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C451E" w14:textId="77777777" w:rsidR="00AD575C" w:rsidRPr="00B23352" w:rsidRDefault="00AD575C" w:rsidP="00AD575C">
      <w:pPr>
        <w:pStyle w:val="Title"/>
        <w:ind w:left="851"/>
        <w:rPr>
          <w:rFonts w:ascii="Franklin Gothic Book" w:hAnsi="Franklin Gothic Book"/>
        </w:rPr>
      </w:pPr>
      <w:r>
        <w:rPr>
          <w:rFonts w:ascii="Franklin Gothic Book" w:hAnsi="Franklin Gothic Book"/>
        </w:rPr>
        <w:t xml:space="preserve">PNG </w:t>
      </w:r>
      <w:bookmarkStart w:id="0" w:name="_GoBack"/>
      <w:r>
        <w:rPr>
          <w:rFonts w:ascii="Franklin Gothic Book" w:hAnsi="Franklin Gothic Book"/>
        </w:rPr>
        <w:t>Partnership Fund</w:t>
      </w:r>
      <w:bookmarkEnd w:id="0"/>
      <w:r>
        <w:rPr>
          <w:rFonts w:ascii="Franklin Gothic Book" w:hAnsi="Franklin Gothic Book"/>
        </w:rPr>
        <w:t xml:space="preserve"> (PPF) education GRANTS mid-term REVIEW</w:t>
      </w:r>
    </w:p>
    <w:p w14:paraId="661475CD" w14:textId="77777777" w:rsidR="00AD575C" w:rsidRPr="00BD24C1" w:rsidRDefault="00AD575C" w:rsidP="00AD575C">
      <w:pPr>
        <w:pStyle w:val="Subtitle"/>
        <w:ind w:left="851"/>
        <w:rPr>
          <w:rFonts w:ascii="Franklin Gothic Book" w:hAnsi="Franklin Gothic Book"/>
          <w:color w:val="222222"/>
        </w:rPr>
      </w:pPr>
      <w:r>
        <w:rPr>
          <w:rFonts w:ascii="Franklin Gothic Book" w:hAnsi="Franklin Gothic Book"/>
          <w:color w:val="222222"/>
        </w:rPr>
        <w:t xml:space="preserve">Prepared by the </w:t>
      </w:r>
      <w:r w:rsidRPr="00BD24C1">
        <w:rPr>
          <w:rFonts w:ascii="Franklin Gothic Book" w:hAnsi="Franklin Gothic Book"/>
          <w:color w:val="222222"/>
        </w:rPr>
        <w:t>Human Development Monitoring and Evaluation Services</w:t>
      </w:r>
      <w:r>
        <w:rPr>
          <w:b w:val="0"/>
          <w:bCs/>
          <w:color w:val="000000"/>
          <w:sz w:val="20"/>
          <w:szCs w:val="20"/>
        </w:rPr>
        <w:t xml:space="preserve"> </w:t>
      </w:r>
      <w:r>
        <w:rPr>
          <w:rFonts w:ascii="Franklin Gothic Book" w:hAnsi="Franklin Gothic Book"/>
          <w:color w:val="222222"/>
        </w:rPr>
        <w:t>(HDMES) for</w:t>
      </w:r>
      <w:r w:rsidRPr="00B23352">
        <w:rPr>
          <w:rFonts w:ascii="Franklin Gothic Book" w:hAnsi="Franklin Gothic Book"/>
        </w:rPr>
        <w:t xml:space="preserve"> </w:t>
      </w:r>
      <w:sdt>
        <w:sdtPr>
          <w:rPr>
            <w:rFonts w:ascii="Franklin Gothic Book" w:hAnsi="Franklin Gothic Book"/>
          </w:rPr>
          <w:alias w:val="Enter Client name here"/>
          <w:tag w:val="Company"/>
          <w:id w:val="224185524"/>
          <w:text/>
        </w:sdtPr>
        <w:sdtEndPr>
          <w:rPr>
            <w:color w:val="222222"/>
          </w:rPr>
        </w:sdtEndPr>
        <w:sdtContent>
          <w:r w:rsidRPr="00B23352">
            <w:rPr>
              <w:rFonts w:ascii="Franklin Gothic Book" w:hAnsi="Franklin Gothic Book"/>
            </w:rPr>
            <w:t>the Australian High Commission,</w:t>
          </w:r>
          <w:r>
            <w:rPr>
              <w:rFonts w:ascii="Franklin Gothic Book" w:hAnsi="Franklin Gothic Book"/>
            </w:rPr>
            <w:t xml:space="preserve"> </w:t>
          </w:r>
          <w:r w:rsidRPr="00B23352">
            <w:rPr>
              <w:rFonts w:ascii="Franklin Gothic Book" w:hAnsi="Franklin Gothic Book"/>
            </w:rPr>
            <w:t xml:space="preserve">Port Moresby </w:t>
          </w:r>
        </w:sdtContent>
      </w:sdt>
    </w:p>
    <w:sdt>
      <w:sdtPr>
        <w:rPr>
          <w:rFonts w:ascii="Franklin Gothic Book" w:hAnsi="Franklin Gothic Book"/>
        </w:rPr>
        <w:id w:val="1926991105"/>
        <w:date w:fullDate="2020-06-03T00:00:00Z">
          <w:dateFormat w:val="d MMMM yyyy"/>
          <w:lid w:val="en-AU"/>
          <w:storeMappedDataAs w:val="dateTime"/>
          <w:calendar w:val="gregorian"/>
        </w:date>
      </w:sdtPr>
      <w:sdtEndPr/>
      <w:sdtContent>
        <w:p w14:paraId="39F81483" w14:textId="77777777" w:rsidR="00AD575C" w:rsidRDefault="00AD575C" w:rsidP="00AD575C">
          <w:pPr>
            <w:pStyle w:val="Date"/>
            <w:ind w:left="851"/>
            <w:rPr>
              <w:rFonts w:ascii="Franklin Gothic Book" w:hAnsi="Franklin Gothic Book"/>
            </w:rPr>
          </w:pPr>
          <w:r>
            <w:rPr>
              <w:rFonts w:ascii="Franklin Gothic Book" w:hAnsi="Franklin Gothic Book"/>
            </w:rPr>
            <w:t>3 June 2020</w:t>
          </w:r>
        </w:p>
      </w:sdtContent>
    </w:sdt>
    <w:p w14:paraId="7D37B3A9" w14:textId="77777777" w:rsidR="00AD575C" w:rsidRDefault="00AD575C" w:rsidP="00AD575C">
      <w:pPr>
        <w:ind w:left="851"/>
        <w:rPr>
          <w:b/>
          <w:bCs/>
        </w:rPr>
      </w:pPr>
      <w:r>
        <w:rPr>
          <w:b/>
          <w:bCs/>
        </w:rPr>
        <w:t>Final</w:t>
      </w:r>
    </w:p>
    <w:p w14:paraId="0F517650" w14:textId="7D60F724" w:rsidR="000C66A7" w:rsidRPr="00FA288E" w:rsidRDefault="000C66A7" w:rsidP="000C66A7">
      <w:pPr>
        <w:rPr>
          <w:rFonts w:cs="Calibri"/>
        </w:rPr>
      </w:pPr>
    </w:p>
    <w:p w14:paraId="43349821" w14:textId="77777777" w:rsidR="000C66A7" w:rsidRPr="00FA288E" w:rsidRDefault="000C66A7" w:rsidP="000C66A7">
      <w:pPr>
        <w:rPr>
          <w:rFonts w:cs="Calibri"/>
        </w:rPr>
      </w:pPr>
    </w:p>
    <w:p w14:paraId="53BD0540" w14:textId="77777777" w:rsidR="000C66A7" w:rsidRPr="00FA288E" w:rsidRDefault="000C66A7" w:rsidP="000C66A7">
      <w:pPr>
        <w:rPr>
          <w:rFonts w:cs="Calibri"/>
        </w:rPr>
      </w:pPr>
    </w:p>
    <w:p w14:paraId="157F4B3C" w14:textId="77777777" w:rsidR="000C66A7" w:rsidRPr="00FA288E" w:rsidRDefault="000C66A7" w:rsidP="000C66A7">
      <w:pPr>
        <w:rPr>
          <w:rFonts w:cs="Calibri"/>
        </w:rPr>
      </w:pPr>
    </w:p>
    <w:p w14:paraId="4F75EE40" w14:textId="77777777" w:rsidR="000C66A7" w:rsidRPr="00FA288E" w:rsidRDefault="000C66A7" w:rsidP="000C66A7">
      <w:pPr>
        <w:rPr>
          <w:rFonts w:cs="Calibri"/>
        </w:rPr>
      </w:pPr>
    </w:p>
    <w:p w14:paraId="7A41E297" w14:textId="77777777" w:rsidR="000C66A7" w:rsidRPr="00FA288E" w:rsidRDefault="000C66A7" w:rsidP="000C66A7">
      <w:pPr>
        <w:rPr>
          <w:rFonts w:cs="Calibri"/>
        </w:rPr>
      </w:pPr>
    </w:p>
    <w:p w14:paraId="4C9EB6C9" w14:textId="77777777" w:rsidR="000C66A7" w:rsidRPr="00FA288E" w:rsidRDefault="000C66A7" w:rsidP="000C66A7">
      <w:pPr>
        <w:rPr>
          <w:rFonts w:cs="Calibri"/>
        </w:rPr>
      </w:pPr>
    </w:p>
    <w:p w14:paraId="7FD727A4" w14:textId="77777777" w:rsidR="000C66A7" w:rsidRPr="00FA288E" w:rsidRDefault="000C66A7" w:rsidP="000C66A7">
      <w:pPr>
        <w:rPr>
          <w:rFonts w:cs="Calibri"/>
        </w:rPr>
      </w:pPr>
    </w:p>
    <w:p w14:paraId="7C18AA9F" w14:textId="77777777" w:rsidR="000C66A7" w:rsidRPr="00FA288E" w:rsidRDefault="000C66A7" w:rsidP="000C66A7">
      <w:pPr>
        <w:rPr>
          <w:rFonts w:cs="Calibri"/>
        </w:rPr>
      </w:pPr>
    </w:p>
    <w:p w14:paraId="59569344" w14:textId="77777777" w:rsidR="000C66A7" w:rsidRPr="00FA288E" w:rsidRDefault="000C66A7" w:rsidP="000C66A7">
      <w:pPr>
        <w:rPr>
          <w:rFonts w:cs="Calibri"/>
        </w:rPr>
      </w:pPr>
    </w:p>
    <w:p w14:paraId="695C7B21" w14:textId="67ED107D" w:rsidR="000C66A7" w:rsidRPr="00FA288E" w:rsidRDefault="000C66A7" w:rsidP="000C66A7">
      <w:pPr>
        <w:rPr>
          <w:rFonts w:cs="Calibri"/>
        </w:rPr>
      </w:pPr>
    </w:p>
    <w:p w14:paraId="1BECA29E" w14:textId="77777777" w:rsidR="000C66A7" w:rsidRPr="00FA288E" w:rsidRDefault="000C66A7" w:rsidP="000C66A7">
      <w:pPr>
        <w:rPr>
          <w:rFonts w:cs="Calibri"/>
        </w:rPr>
      </w:pPr>
    </w:p>
    <w:p w14:paraId="60274404" w14:textId="77777777" w:rsidR="000C66A7" w:rsidRPr="00FA288E" w:rsidRDefault="000C66A7" w:rsidP="000C66A7">
      <w:pPr>
        <w:rPr>
          <w:rFonts w:cs="Calibri"/>
        </w:rPr>
      </w:pPr>
    </w:p>
    <w:p w14:paraId="5D692545" w14:textId="2C9621CB" w:rsidR="000C66A7" w:rsidRPr="00FA288E" w:rsidRDefault="000C66A7" w:rsidP="000C66A7">
      <w:pPr>
        <w:rPr>
          <w:rFonts w:cs="Calibri"/>
        </w:rPr>
      </w:pPr>
    </w:p>
    <w:p w14:paraId="25C79D69" w14:textId="77777777" w:rsidR="000C66A7" w:rsidRPr="00FA288E" w:rsidRDefault="000C66A7" w:rsidP="000C66A7">
      <w:pPr>
        <w:rPr>
          <w:rFonts w:cs="Calibri"/>
        </w:rPr>
        <w:sectPr w:rsidR="000C66A7" w:rsidRPr="00FA288E" w:rsidSect="00081C68">
          <w:headerReference w:type="default" r:id="rId8"/>
          <w:footerReference w:type="default" r:id="rId9"/>
          <w:pgSz w:w="11906" w:h="16838"/>
          <w:pgMar w:top="1440" w:right="1008" w:bottom="1008" w:left="1152" w:header="720" w:footer="720" w:gutter="0"/>
          <w:pgNumType w:fmt="lowerRoman" w:chapSep="colon"/>
          <w:cols w:space="720"/>
          <w:docGrid w:linePitch="360"/>
        </w:sectPr>
      </w:pPr>
    </w:p>
    <w:p w14:paraId="75EE9AB6" w14:textId="77777777" w:rsidR="000C66A7" w:rsidRPr="00FA288E" w:rsidRDefault="000C66A7" w:rsidP="000C66A7">
      <w:pPr>
        <w:rPr>
          <w:rFonts w:cs="Calibri"/>
          <w:sz w:val="32"/>
        </w:rPr>
      </w:pPr>
      <w:r w:rsidRPr="00FA288E">
        <w:rPr>
          <w:rFonts w:cs="Calibri"/>
          <w:sz w:val="32"/>
        </w:rPr>
        <w:lastRenderedPageBreak/>
        <w:t>Acknowledgements</w:t>
      </w:r>
    </w:p>
    <w:p w14:paraId="5DB22297" w14:textId="4EA2B10A" w:rsidR="000C66A7" w:rsidRPr="00FA288E" w:rsidRDefault="000C66A7" w:rsidP="000C66A7">
      <w:pPr>
        <w:spacing w:after="120" w:line="240" w:lineRule="auto"/>
        <w:jc w:val="both"/>
      </w:pPr>
      <w:r w:rsidRPr="00FA288E">
        <w:t xml:space="preserve">The Independent Mid-term Review team would like to thank the senior officials of the National Department of Education (NDOE) and the Department of National Planning and Monitoring (DNPM) of Papua New Guinea, the education officials at the provincial and district levels, as well as the teaching staff at the elementary schools visited who gave up their valuable time to provide information to the review. The team would like to extend sincere appreciation to the members of the three consortia, led by Save the Children, World Vision and </w:t>
      </w:r>
      <w:r w:rsidR="00FA288E" w:rsidRPr="00FA288E">
        <w:t>CARE that</w:t>
      </w:r>
      <w:r w:rsidRPr="00FA288E">
        <w:t xml:space="preserve"> have been contracted to implement the education grants to improve literacy and numeracy in the early grades in PNG. </w:t>
      </w:r>
    </w:p>
    <w:p w14:paraId="15E5D90B" w14:textId="77777777" w:rsidR="000C66A7" w:rsidRPr="00FA288E" w:rsidRDefault="000C66A7" w:rsidP="000C66A7">
      <w:pPr>
        <w:spacing w:after="120" w:line="240" w:lineRule="auto"/>
        <w:jc w:val="both"/>
      </w:pPr>
      <w:r w:rsidRPr="00FA288E">
        <w:t xml:space="preserve">We would also like to thank the </w:t>
      </w:r>
      <w:r w:rsidR="00C0317F" w:rsidRPr="00FA288E">
        <w:t xml:space="preserve">Australian </w:t>
      </w:r>
      <w:r w:rsidRPr="00FA288E">
        <w:t xml:space="preserve">Department of Foreign Affairs and Trade (DFAT), particularly Ms Janelle Denton and Mr Michael Quinn who guided the review, provided valuable advice and access to key documents.  A special note of appreciation is to be extended to Ms Delilah Konaka, DFAT’s Assistant Program Manager who accompanied the review team during their field visits and interviews. Adam Smith International, the managing contractor for the Human Development Monitoring and Evaluation Services (HDMES) program under which the review team was contracted and supported, deserves our express thanks for ensuring that the schedule of meetings, interview and events were accomplished. </w:t>
      </w:r>
    </w:p>
    <w:p w14:paraId="2DC43AD6" w14:textId="77777777" w:rsidR="000C66A7" w:rsidRPr="00FA288E" w:rsidRDefault="000C66A7" w:rsidP="000C66A7">
      <w:pPr>
        <w:spacing w:after="120" w:line="240" w:lineRule="auto"/>
        <w:jc w:val="both"/>
      </w:pPr>
      <w:r w:rsidRPr="00FA288E">
        <w:t>The findings, observations and recommendations offered were compiled by the Independent Mid-term Review team and therefore do not necessarily represent the views of DFAT or the Government of Australia, the NDOE, the DNPM or the Government of the Independent State of Papua New Guinea.</w:t>
      </w:r>
    </w:p>
    <w:p w14:paraId="5C11F44A" w14:textId="77777777" w:rsidR="000C66A7" w:rsidRPr="00FA288E" w:rsidRDefault="000C66A7" w:rsidP="000C66A7">
      <w:pPr>
        <w:pStyle w:val="SectionHeading"/>
        <w:spacing w:before="120" w:after="120" w:line="240" w:lineRule="auto"/>
        <w:rPr>
          <w:rFonts w:ascii="Calibri" w:hAnsi="Calibri" w:cs="Calibri"/>
          <w:sz w:val="32"/>
        </w:rPr>
      </w:pPr>
      <w:r w:rsidRPr="00FA288E">
        <w:rPr>
          <w:rFonts w:ascii="Calibri" w:hAnsi="Calibri" w:cs="Calibri"/>
          <w:sz w:val="32"/>
        </w:rPr>
        <w:t>Contact Details</w:t>
      </w:r>
    </w:p>
    <w:tbl>
      <w:tblPr>
        <w:tblStyle w:val="TableGridLight2"/>
        <w:tblW w:w="0" w:type="auto"/>
        <w:tblLook w:val="04A0" w:firstRow="1" w:lastRow="0" w:firstColumn="1" w:lastColumn="0" w:noHBand="0" w:noVBand="1"/>
        <w:tblCaption w:val="Contact details"/>
        <w:tblDescription w:val="At HDMES, Nick Martinez, Program Manager: +61451950166 or nick.martinez@adamsmithinternational.com; or within the Australian Government: Janelle Denton, Acting Counsellor, Australian High Commission Port Moresby, P: +675325933 ext 166 or janelle.denton@dfat.gov.au"/>
      </w:tblPr>
      <w:tblGrid>
        <w:gridCol w:w="4868"/>
        <w:gridCol w:w="4868"/>
      </w:tblGrid>
      <w:tr w:rsidR="000C66A7" w:rsidRPr="00FA288E" w14:paraId="157BBE5F" w14:textId="77777777" w:rsidTr="00EA14BA">
        <w:trPr>
          <w:trHeight w:val="469"/>
          <w:tblHeader/>
        </w:trPr>
        <w:tc>
          <w:tcPr>
            <w:tcW w:w="4868" w:type="dxa"/>
            <w:shd w:val="clear" w:color="auto" w:fill="3B3838" w:themeFill="background2" w:themeFillShade="40"/>
          </w:tcPr>
          <w:p w14:paraId="37D59ED7" w14:textId="77777777" w:rsidR="000C66A7" w:rsidRPr="00FA288E" w:rsidRDefault="000C66A7" w:rsidP="000C66A7">
            <w:pPr>
              <w:pStyle w:val="SectionHeading"/>
              <w:spacing w:after="0"/>
              <w:rPr>
                <w:rFonts w:ascii="Calibri" w:hAnsi="Calibri" w:cs="Calibri"/>
                <w:color w:val="auto"/>
                <w:sz w:val="21"/>
                <w:szCs w:val="21"/>
              </w:rPr>
            </w:pPr>
            <w:r w:rsidRPr="00FA288E">
              <w:rPr>
                <w:rFonts w:ascii="Calibri" w:hAnsi="Calibri" w:cs="Calibri"/>
                <w:color w:val="auto"/>
                <w:sz w:val="21"/>
                <w:szCs w:val="21"/>
              </w:rPr>
              <w:t>HDMES Contact</w:t>
            </w:r>
          </w:p>
        </w:tc>
        <w:tc>
          <w:tcPr>
            <w:tcW w:w="4868" w:type="dxa"/>
            <w:shd w:val="clear" w:color="auto" w:fill="3B3838" w:themeFill="background2" w:themeFillShade="40"/>
          </w:tcPr>
          <w:p w14:paraId="193B5D6C" w14:textId="77777777" w:rsidR="000C66A7" w:rsidRPr="00FA288E" w:rsidRDefault="000C66A7" w:rsidP="000C66A7">
            <w:pPr>
              <w:pStyle w:val="SectionHeading"/>
              <w:spacing w:after="0"/>
              <w:rPr>
                <w:rFonts w:ascii="Calibri" w:hAnsi="Calibri" w:cs="Calibri"/>
                <w:color w:val="auto"/>
                <w:sz w:val="21"/>
                <w:szCs w:val="21"/>
              </w:rPr>
            </w:pPr>
            <w:r w:rsidRPr="00FA288E">
              <w:rPr>
                <w:rFonts w:ascii="Calibri" w:hAnsi="Calibri" w:cs="Calibri"/>
                <w:color w:val="auto"/>
                <w:sz w:val="21"/>
                <w:szCs w:val="21"/>
              </w:rPr>
              <w:t>Australian Government Contact</w:t>
            </w:r>
          </w:p>
        </w:tc>
      </w:tr>
      <w:tr w:rsidR="000C66A7" w:rsidRPr="00FA288E" w14:paraId="23F9C8A5" w14:textId="77777777" w:rsidTr="000C66A7">
        <w:tc>
          <w:tcPr>
            <w:tcW w:w="4868" w:type="dxa"/>
          </w:tcPr>
          <w:p w14:paraId="4742F696" w14:textId="6380CFF4" w:rsidR="000C66A7" w:rsidRPr="00FA288E" w:rsidRDefault="00825A5B" w:rsidP="000C66A7">
            <w:r>
              <w:t>Nick Martinez</w:t>
            </w:r>
          </w:p>
        </w:tc>
        <w:tc>
          <w:tcPr>
            <w:tcW w:w="4868" w:type="dxa"/>
          </w:tcPr>
          <w:p w14:paraId="6EFABB8B" w14:textId="77777777" w:rsidR="000C66A7" w:rsidRPr="00FA288E" w:rsidRDefault="000C66A7" w:rsidP="000C66A7">
            <w:r w:rsidRPr="00FA288E">
              <w:rPr>
                <w:rFonts w:eastAsia="Arial"/>
              </w:rPr>
              <w:t>Janelle Denton</w:t>
            </w:r>
          </w:p>
        </w:tc>
      </w:tr>
      <w:tr w:rsidR="000C66A7" w:rsidRPr="00FA288E" w14:paraId="236DFD5F" w14:textId="77777777" w:rsidTr="000C66A7">
        <w:tc>
          <w:tcPr>
            <w:tcW w:w="4868" w:type="dxa"/>
          </w:tcPr>
          <w:p w14:paraId="4093333D" w14:textId="67BF85E9" w:rsidR="000C66A7" w:rsidRPr="00FA288E" w:rsidRDefault="00F83214" w:rsidP="000C66A7">
            <w:r>
              <w:t>Program Manager</w:t>
            </w:r>
          </w:p>
        </w:tc>
        <w:tc>
          <w:tcPr>
            <w:tcW w:w="4868" w:type="dxa"/>
          </w:tcPr>
          <w:p w14:paraId="6A218812" w14:textId="77777777" w:rsidR="000C66A7" w:rsidRPr="00FA288E" w:rsidRDefault="000C66A7" w:rsidP="000C66A7">
            <w:r w:rsidRPr="00FA288E">
              <w:rPr>
                <w:rFonts w:eastAsia="Arial"/>
              </w:rPr>
              <w:t>Acting Counsellor</w:t>
            </w:r>
          </w:p>
        </w:tc>
      </w:tr>
      <w:tr w:rsidR="000C66A7" w:rsidRPr="00FA288E" w14:paraId="71F761D3" w14:textId="77777777" w:rsidTr="000C66A7">
        <w:trPr>
          <w:trHeight w:val="500"/>
        </w:trPr>
        <w:tc>
          <w:tcPr>
            <w:tcW w:w="4868" w:type="dxa"/>
          </w:tcPr>
          <w:p w14:paraId="4D9DEF64" w14:textId="77777777" w:rsidR="000C66A7" w:rsidRPr="00FA288E" w:rsidRDefault="000C66A7" w:rsidP="000C66A7">
            <w:r w:rsidRPr="00FA288E">
              <w:rPr>
                <w:rFonts w:eastAsia="Arial"/>
              </w:rPr>
              <w:t>Human Development Monitoring &amp; Evaluation Services</w:t>
            </w:r>
          </w:p>
        </w:tc>
        <w:tc>
          <w:tcPr>
            <w:tcW w:w="4868" w:type="dxa"/>
          </w:tcPr>
          <w:p w14:paraId="3EF5ACEA" w14:textId="3748F93A" w:rsidR="000C66A7" w:rsidRPr="00FA288E" w:rsidRDefault="000C66A7" w:rsidP="000C66A7">
            <w:r w:rsidRPr="00FA288E">
              <w:rPr>
                <w:rFonts w:eastAsia="Arial"/>
              </w:rPr>
              <w:t>Australian High Commission</w:t>
            </w:r>
          </w:p>
        </w:tc>
      </w:tr>
      <w:tr w:rsidR="000C66A7" w:rsidRPr="00FA288E" w14:paraId="6C40A81F" w14:textId="77777777" w:rsidTr="000C66A7">
        <w:tc>
          <w:tcPr>
            <w:tcW w:w="4868" w:type="dxa"/>
          </w:tcPr>
          <w:p w14:paraId="3A70CD2B" w14:textId="1EFB6C94" w:rsidR="000C66A7" w:rsidRPr="00FA288E" w:rsidRDefault="000C66A7" w:rsidP="000C66A7">
            <w:pPr>
              <w:rPr>
                <w:rFonts w:eastAsia="Arial"/>
              </w:rPr>
            </w:pPr>
            <w:r w:rsidRPr="00FA288E">
              <w:rPr>
                <w:rFonts w:eastAsia="Arial"/>
              </w:rPr>
              <w:t>P: +6</w:t>
            </w:r>
            <w:r w:rsidR="00F83214">
              <w:rPr>
                <w:rFonts w:eastAsia="Arial"/>
              </w:rPr>
              <w:t>1 4</w:t>
            </w:r>
            <w:r w:rsidR="008467FB">
              <w:rPr>
                <w:rFonts w:eastAsia="Arial"/>
              </w:rPr>
              <w:t>51 950 166</w:t>
            </w:r>
          </w:p>
        </w:tc>
        <w:tc>
          <w:tcPr>
            <w:tcW w:w="4868" w:type="dxa"/>
          </w:tcPr>
          <w:p w14:paraId="147BCBA8" w14:textId="77777777" w:rsidR="000C66A7" w:rsidRPr="00FA288E" w:rsidRDefault="000C66A7" w:rsidP="000C66A7">
            <w:r w:rsidRPr="00FA288E">
              <w:rPr>
                <w:rFonts w:eastAsia="Arial"/>
              </w:rPr>
              <w:t>P: +675 325 9333 Ext 166</w:t>
            </w:r>
          </w:p>
        </w:tc>
      </w:tr>
      <w:tr w:rsidR="000C66A7" w:rsidRPr="00FA288E" w14:paraId="7B7ED053" w14:textId="77777777" w:rsidTr="000C66A7">
        <w:tc>
          <w:tcPr>
            <w:tcW w:w="4868" w:type="dxa"/>
          </w:tcPr>
          <w:p w14:paraId="077EA108" w14:textId="65E94050" w:rsidR="000C66A7" w:rsidRPr="00FA288E" w:rsidRDefault="000C66A7" w:rsidP="000C66A7">
            <w:pPr>
              <w:rPr>
                <w:rFonts w:eastAsia="Arial" w:cs="Calibri"/>
                <w:szCs w:val="21"/>
                <w:lang w:val="es-419"/>
              </w:rPr>
            </w:pPr>
            <w:r w:rsidRPr="00FA288E">
              <w:rPr>
                <w:rFonts w:eastAsia="Arial" w:cs="Calibri"/>
                <w:szCs w:val="21"/>
                <w:lang w:val="es-419"/>
              </w:rPr>
              <w:t xml:space="preserve">E: </w:t>
            </w:r>
            <w:hyperlink r:id="rId10" w:history="1">
              <w:r w:rsidR="008467FB" w:rsidRPr="002E74F0">
                <w:rPr>
                  <w:rStyle w:val="Hyperlink"/>
                </w:rPr>
                <w:t>nick.martinez</w:t>
              </w:r>
              <w:r w:rsidR="008467FB" w:rsidRPr="002E74F0">
                <w:rPr>
                  <w:rStyle w:val="Hyperlink"/>
                  <w:rFonts w:eastAsia="Arial" w:cs="Calibri"/>
                  <w:szCs w:val="21"/>
                  <w:lang w:val="es-419"/>
                </w:rPr>
                <w:t>@adamsmithinternational.com</w:t>
              </w:r>
            </w:hyperlink>
            <w:r w:rsidRPr="00FA288E">
              <w:rPr>
                <w:rFonts w:eastAsia="Arial" w:cs="Calibri"/>
                <w:szCs w:val="21"/>
                <w:lang w:val="es-419"/>
              </w:rPr>
              <w:t xml:space="preserve"> </w:t>
            </w:r>
          </w:p>
        </w:tc>
        <w:tc>
          <w:tcPr>
            <w:tcW w:w="4868" w:type="dxa"/>
          </w:tcPr>
          <w:p w14:paraId="1FF45573" w14:textId="77777777" w:rsidR="000C66A7" w:rsidRPr="00FA288E" w:rsidRDefault="009F64C0" w:rsidP="000C66A7">
            <w:pPr>
              <w:rPr>
                <w:rFonts w:eastAsia="Arial" w:cs="Calibri"/>
                <w:szCs w:val="21"/>
                <w:lang w:val="es-419"/>
              </w:rPr>
            </w:pPr>
            <w:hyperlink r:id="rId11">
              <w:r w:rsidR="000C66A7" w:rsidRPr="00FA288E">
                <w:rPr>
                  <w:rFonts w:eastAsia="Arial" w:cs="Calibri"/>
                  <w:szCs w:val="21"/>
                  <w:lang w:val="es-419"/>
                </w:rPr>
                <w:t>E:</w:t>
              </w:r>
            </w:hyperlink>
            <w:r w:rsidR="000C66A7" w:rsidRPr="00FA288E">
              <w:rPr>
                <w:rFonts w:eastAsia="Arial" w:cs="Calibri"/>
                <w:szCs w:val="21"/>
                <w:lang w:val="es-419"/>
              </w:rPr>
              <w:t xml:space="preserve"> </w:t>
            </w:r>
            <w:hyperlink r:id="rId12" w:history="1">
              <w:r w:rsidR="000C66A7" w:rsidRPr="00FA288E">
                <w:rPr>
                  <w:rStyle w:val="Hyperlink"/>
                  <w:rFonts w:eastAsia="Arial" w:cs="Calibri"/>
                  <w:szCs w:val="21"/>
                  <w:lang w:val="es-419"/>
                </w:rPr>
                <w:t>janelle.denton@dfat.gov.au</w:t>
              </w:r>
            </w:hyperlink>
            <w:r w:rsidR="000C66A7" w:rsidRPr="00FA288E">
              <w:rPr>
                <w:rFonts w:eastAsia="Arial" w:cs="Calibri"/>
                <w:szCs w:val="21"/>
                <w:lang w:val="es-419"/>
              </w:rPr>
              <w:t xml:space="preserve"> </w:t>
            </w:r>
          </w:p>
        </w:tc>
      </w:tr>
    </w:tbl>
    <w:p w14:paraId="4B0AFF28" w14:textId="77777777" w:rsidR="000C66A7" w:rsidRPr="00FA288E" w:rsidRDefault="000C66A7" w:rsidP="000C66A7">
      <w:pPr>
        <w:pStyle w:val="SectionHeading"/>
        <w:spacing w:after="0"/>
        <w:rPr>
          <w:rFonts w:ascii="Calibri" w:hAnsi="Calibri" w:cs="Calibri"/>
          <w:sz w:val="21"/>
          <w:szCs w:val="21"/>
          <w:lang w:val="es-419"/>
        </w:rPr>
      </w:pPr>
    </w:p>
    <w:p w14:paraId="073C44F2" w14:textId="6C8C6FBC" w:rsidR="000C66A7" w:rsidRPr="00FA288E" w:rsidRDefault="000C66A7" w:rsidP="000C66A7">
      <w:pPr>
        <w:pStyle w:val="SectionHeading"/>
        <w:spacing w:after="0"/>
        <w:rPr>
          <w:rFonts w:ascii="Calibri" w:hAnsi="Calibri" w:cs="Calibri"/>
          <w:sz w:val="21"/>
          <w:szCs w:val="21"/>
        </w:rPr>
      </w:pPr>
      <w:r w:rsidRPr="00FA288E">
        <w:rPr>
          <w:rFonts w:ascii="Calibri" w:hAnsi="Calibri" w:cs="Calibri"/>
          <w:sz w:val="21"/>
          <w:szCs w:val="21"/>
        </w:rPr>
        <w:t>Document Review and Authorisation</w:t>
      </w:r>
    </w:p>
    <w:tbl>
      <w:tblPr>
        <w:tblStyle w:val="TableGridLight2"/>
        <w:tblW w:w="9745" w:type="dxa"/>
        <w:tblLook w:val="04A0" w:firstRow="1" w:lastRow="0" w:firstColumn="1" w:lastColumn="0" w:noHBand="0" w:noVBand="1"/>
        <w:tblCaption w:val="Document Review and Authorisation"/>
        <w:tblDescription w:val="The first version was issued to HDMES on 9 December 2019, it was submitted to the Australian High Commission on 13 December, after several iterations the final version was submitted to the High Commission on 3 June 2020."/>
      </w:tblPr>
      <w:tblGrid>
        <w:gridCol w:w="1555"/>
        <w:gridCol w:w="2268"/>
        <w:gridCol w:w="3118"/>
        <w:gridCol w:w="2804"/>
      </w:tblGrid>
      <w:tr w:rsidR="000C66A7" w:rsidRPr="00FA288E" w14:paraId="7ECEE9FD" w14:textId="77777777" w:rsidTr="00EA14BA">
        <w:trPr>
          <w:trHeight w:val="309"/>
          <w:tblHeader/>
        </w:trPr>
        <w:tc>
          <w:tcPr>
            <w:tcW w:w="1555" w:type="dxa"/>
            <w:shd w:val="clear" w:color="auto" w:fill="3B3838" w:themeFill="background2" w:themeFillShade="40"/>
          </w:tcPr>
          <w:p w14:paraId="2E2DBC2D" w14:textId="77777777" w:rsidR="000C66A7" w:rsidRPr="00FA288E" w:rsidRDefault="000C66A7" w:rsidP="000C66A7">
            <w:r w:rsidRPr="00FA288E">
              <w:t>Version</w:t>
            </w:r>
          </w:p>
        </w:tc>
        <w:tc>
          <w:tcPr>
            <w:tcW w:w="2268" w:type="dxa"/>
            <w:shd w:val="clear" w:color="auto" w:fill="3B3838" w:themeFill="background2" w:themeFillShade="40"/>
          </w:tcPr>
          <w:p w14:paraId="2B98D008" w14:textId="77777777" w:rsidR="000C66A7" w:rsidRPr="00FA288E" w:rsidRDefault="000C66A7" w:rsidP="000C66A7">
            <w:r w:rsidRPr="00FA288E">
              <w:t>Date distributed</w:t>
            </w:r>
          </w:p>
        </w:tc>
        <w:tc>
          <w:tcPr>
            <w:tcW w:w="3118" w:type="dxa"/>
            <w:shd w:val="clear" w:color="auto" w:fill="3B3838" w:themeFill="background2" w:themeFillShade="40"/>
          </w:tcPr>
          <w:p w14:paraId="207199E6" w14:textId="77777777" w:rsidR="000C66A7" w:rsidRPr="00FA288E" w:rsidRDefault="000C66A7" w:rsidP="000C66A7">
            <w:r w:rsidRPr="00FA288E">
              <w:t>Issued to</w:t>
            </w:r>
          </w:p>
        </w:tc>
        <w:tc>
          <w:tcPr>
            <w:tcW w:w="2804" w:type="dxa"/>
            <w:shd w:val="clear" w:color="auto" w:fill="3B3838" w:themeFill="background2" w:themeFillShade="40"/>
          </w:tcPr>
          <w:p w14:paraId="4129E1F9" w14:textId="77777777" w:rsidR="000C66A7" w:rsidRPr="00FA288E" w:rsidRDefault="000C66A7" w:rsidP="000C66A7">
            <w:r w:rsidRPr="00FA288E">
              <w:t>Comments</w:t>
            </w:r>
          </w:p>
        </w:tc>
      </w:tr>
      <w:tr w:rsidR="000C66A7" w:rsidRPr="00FA288E" w14:paraId="6B65EF66" w14:textId="77777777" w:rsidTr="000C66A7">
        <w:trPr>
          <w:trHeight w:val="245"/>
        </w:trPr>
        <w:tc>
          <w:tcPr>
            <w:tcW w:w="1555" w:type="dxa"/>
          </w:tcPr>
          <w:p w14:paraId="62F39BA0" w14:textId="77777777" w:rsidR="000C66A7" w:rsidRPr="00FA288E" w:rsidRDefault="000C66A7" w:rsidP="000C66A7">
            <w:r w:rsidRPr="00FA288E">
              <w:rPr>
                <w:rFonts w:cs="Calibri"/>
                <w:szCs w:val="21"/>
              </w:rPr>
              <w:t xml:space="preserve">V1.0 </w:t>
            </w:r>
          </w:p>
        </w:tc>
        <w:tc>
          <w:tcPr>
            <w:tcW w:w="2268" w:type="dxa"/>
          </w:tcPr>
          <w:p w14:paraId="36A627C3" w14:textId="77777777" w:rsidR="000C66A7" w:rsidRPr="00FA288E" w:rsidRDefault="000C66A7" w:rsidP="000C66A7">
            <w:r w:rsidRPr="00FA288E">
              <w:rPr>
                <w:rFonts w:cs="Calibri"/>
                <w:szCs w:val="21"/>
              </w:rPr>
              <w:t>9 December 2019</w:t>
            </w:r>
          </w:p>
        </w:tc>
        <w:tc>
          <w:tcPr>
            <w:tcW w:w="3118" w:type="dxa"/>
          </w:tcPr>
          <w:p w14:paraId="1F502721" w14:textId="77777777" w:rsidR="000C66A7" w:rsidRPr="00FA288E" w:rsidRDefault="000C66A7" w:rsidP="000C66A7">
            <w:r w:rsidRPr="00FA288E">
              <w:rPr>
                <w:rFonts w:cs="Calibri"/>
                <w:szCs w:val="21"/>
              </w:rPr>
              <w:t xml:space="preserve">HDMES/(QC) Damien Sweeney </w:t>
            </w:r>
          </w:p>
        </w:tc>
        <w:tc>
          <w:tcPr>
            <w:tcW w:w="2804" w:type="dxa"/>
          </w:tcPr>
          <w:p w14:paraId="60F9D4CF" w14:textId="77777777" w:rsidR="000C66A7" w:rsidRPr="00FA288E" w:rsidRDefault="000C66A7" w:rsidP="000C66A7">
            <w:r w:rsidRPr="00FA288E">
              <w:rPr>
                <w:rFonts w:cs="Calibri"/>
                <w:szCs w:val="21"/>
              </w:rPr>
              <w:t>For review</w:t>
            </w:r>
          </w:p>
        </w:tc>
      </w:tr>
      <w:tr w:rsidR="000C66A7" w:rsidRPr="00FA288E" w14:paraId="256BED08" w14:textId="77777777" w:rsidTr="000C66A7">
        <w:trPr>
          <w:trHeight w:val="245"/>
        </w:trPr>
        <w:tc>
          <w:tcPr>
            <w:tcW w:w="1555" w:type="dxa"/>
          </w:tcPr>
          <w:p w14:paraId="409E12F7" w14:textId="77777777" w:rsidR="000C66A7" w:rsidRPr="00FA288E" w:rsidRDefault="000C66A7" w:rsidP="000C66A7">
            <w:r w:rsidRPr="00FA288E">
              <w:t>V1.0</w:t>
            </w:r>
          </w:p>
        </w:tc>
        <w:tc>
          <w:tcPr>
            <w:tcW w:w="2268" w:type="dxa"/>
          </w:tcPr>
          <w:p w14:paraId="0B4A71C3" w14:textId="77777777" w:rsidR="000C66A7" w:rsidRPr="00FA288E" w:rsidRDefault="000C66A7" w:rsidP="000C66A7">
            <w:r w:rsidRPr="00FA288E">
              <w:t xml:space="preserve">13 December </w:t>
            </w:r>
          </w:p>
        </w:tc>
        <w:tc>
          <w:tcPr>
            <w:tcW w:w="3118" w:type="dxa"/>
          </w:tcPr>
          <w:p w14:paraId="41FB0C1F" w14:textId="77777777" w:rsidR="000C66A7" w:rsidRPr="00FA288E" w:rsidRDefault="000C66A7" w:rsidP="000C66A7">
            <w:r w:rsidRPr="00FA288E">
              <w:t>AHC/Quinn, Michael</w:t>
            </w:r>
          </w:p>
        </w:tc>
        <w:tc>
          <w:tcPr>
            <w:tcW w:w="2804" w:type="dxa"/>
          </w:tcPr>
          <w:p w14:paraId="570CE9A3" w14:textId="77777777" w:rsidR="000C66A7" w:rsidRPr="00FA288E" w:rsidRDefault="000C66A7" w:rsidP="000C66A7">
            <w:r w:rsidRPr="00FA288E">
              <w:rPr>
                <w:rFonts w:cs="Calibri"/>
                <w:szCs w:val="21"/>
              </w:rPr>
              <w:t>For review and feedback</w:t>
            </w:r>
          </w:p>
        </w:tc>
      </w:tr>
      <w:tr w:rsidR="000C66A7" w:rsidRPr="00FA288E" w14:paraId="70552BBF" w14:textId="77777777" w:rsidTr="000C66A7">
        <w:trPr>
          <w:trHeight w:val="245"/>
        </w:trPr>
        <w:tc>
          <w:tcPr>
            <w:tcW w:w="1555" w:type="dxa"/>
          </w:tcPr>
          <w:p w14:paraId="38710514" w14:textId="77777777" w:rsidR="000C66A7" w:rsidRPr="00FA288E" w:rsidRDefault="000C66A7" w:rsidP="000C66A7">
            <w:r w:rsidRPr="00FA288E">
              <w:t>V1.0</w:t>
            </w:r>
          </w:p>
        </w:tc>
        <w:tc>
          <w:tcPr>
            <w:tcW w:w="2268" w:type="dxa"/>
          </w:tcPr>
          <w:p w14:paraId="62DC9A71" w14:textId="77777777" w:rsidR="000C66A7" w:rsidRPr="00FA288E" w:rsidRDefault="000C66A7" w:rsidP="000C66A7">
            <w:r w:rsidRPr="00FA288E">
              <w:t>23 January</w:t>
            </w:r>
          </w:p>
        </w:tc>
        <w:tc>
          <w:tcPr>
            <w:tcW w:w="3118" w:type="dxa"/>
          </w:tcPr>
          <w:p w14:paraId="441DDA82" w14:textId="77777777" w:rsidR="000C66A7" w:rsidRPr="00FA288E" w:rsidRDefault="000C66A7" w:rsidP="000C66A7">
            <w:r w:rsidRPr="00FA288E">
              <w:t>HDMES/Review Team</w:t>
            </w:r>
          </w:p>
        </w:tc>
        <w:tc>
          <w:tcPr>
            <w:tcW w:w="2804" w:type="dxa"/>
          </w:tcPr>
          <w:p w14:paraId="485497ED" w14:textId="77777777" w:rsidR="000C66A7" w:rsidRPr="00FA288E" w:rsidRDefault="000C66A7" w:rsidP="000C66A7">
            <w:r w:rsidRPr="00FA288E">
              <w:t>AHC Feedback</w:t>
            </w:r>
          </w:p>
        </w:tc>
      </w:tr>
      <w:tr w:rsidR="000C66A7" w:rsidRPr="00FA288E" w14:paraId="557C8C10" w14:textId="77777777" w:rsidTr="000C66A7">
        <w:trPr>
          <w:trHeight w:val="245"/>
        </w:trPr>
        <w:tc>
          <w:tcPr>
            <w:tcW w:w="1555" w:type="dxa"/>
          </w:tcPr>
          <w:p w14:paraId="0E7C37A0" w14:textId="77777777" w:rsidR="000C66A7" w:rsidRPr="00FA288E" w:rsidRDefault="000C66A7" w:rsidP="000C66A7">
            <w:r w:rsidRPr="00FA288E">
              <w:t xml:space="preserve">V2.0 </w:t>
            </w:r>
          </w:p>
        </w:tc>
        <w:tc>
          <w:tcPr>
            <w:tcW w:w="2268" w:type="dxa"/>
          </w:tcPr>
          <w:p w14:paraId="4E6EA4B4" w14:textId="77777777" w:rsidR="000C66A7" w:rsidRPr="00FA288E" w:rsidRDefault="000C66A7" w:rsidP="000C66A7">
            <w:r w:rsidRPr="00FA288E">
              <w:t>4 February 2020</w:t>
            </w:r>
          </w:p>
        </w:tc>
        <w:tc>
          <w:tcPr>
            <w:tcW w:w="3118" w:type="dxa"/>
          </w:tcPr>
          <w:p w14:paraId="05B17459" w14:textId="77777777" w:rsidR="000C66A7" w:rsidRPr="00FA288E" w:rsidRDefault="000C66A7" w:rsidP="000C66A7">
            <w:r w:rsidRPr="00FA288E">
              <w:t xml:space="preserve">Damien Sweeney </w:t>
            </w:r>
          </w:p>
        </w:tc>
        <w:tc>
          <w:tcPr>
            <w:tcW w:w="2804" w:type="dxa"/>
          </w:tcPr>
          <w:p w14:paraId="03C91D7A" w14:textId="77777777" w:rsidR="000C66A7" w:rsidRPr="00FA288E" w:rsidRDefault="000C66A7" w:rsidP="000C66A7">
            <w:r w:rsidRPr="00FA288E">
              <w:t>For review</w:t>
            </w:r>
          </w:p>
        </w:tc>
      </w:tr>
      <w:tr w:rsidR="000C66A7" w:rsidRPr="00FA288E" w14:paraId="70900FC9" w14:textId="77777777" w:rsidTr="000C66A7">
        <w:trPr>
          <w:trHeight w:val="245"/>
        </w:trPr>
        <w:tc>
          <w:tcPr>
            <w:tcW w:w="1555" w:type="dxa"/>
          </w:tcPr>
          <w:p w14:paraId="26162B3D" w14:textId="77777777" w:rsidR="000C66A7" w:rsidRPr="00FA288E" w:rsidRDefault="000C66A7" w:rsidP="000C66A7">
            <w:r w:rsidRPr="00FA288E">
              <w:t>V2.0</w:t>
            </w:r>
          </w:p>
        </w:tc>
        <w:tc>
          <w:tcPr>
            <w:tcW w:w="2268" w:type="dxa"/>
          </w:tcPr>
          <w:p w14:paraId="3B858C71" w14:textId="77777777" w:rsidR="000C66A7" w:rsidRPr="00FA288E" w:rsidRDefault="000C66A7" w:rsidP="000C66A7">
            <w:r w:rsidRPr="00FA288E">
              <w:t>5 February 2020</w:t>
            </w:r>
          </w:p>
        </w:tc>
        <w:tc>
          <w:tcPr>
            <w:tcW w:w="3118" w:type="dxa"/>
          </w:tcPr>
          <w:p w14:paraId="0D699742" w14:textId="77777777" w:rsidR="000C66A7" w:rsidRPr="00FA288E" w:rsidRDefault="000C66A7" w:rsidP="000C66A7">
            <w:r w:rsidRPr="00FA288E">
              <w:t>AHC/Sharon Ben-Porat</w:t>
            </w:r>
          </w:p>
        </w:tc>
        <w:tc>
          <w:tcPr>
            <w:tcW w:w="2804" w:type="dxa"/>
          </w:tcPr>
          <w:p w14:paraId="26DC680A" w14:textId="77777777" w:rsidR="000C66A7" w:rsidRPr="00FA288E" w:rsidRDefault="000C66A7" w:rsidP="000C66A7">
            <w:r w:rsidRPr="00FA288E">
              <w:t>For review</w:t>
            </w:r>
          </w:p>
        </w:tc>
      </w:tr>
      <w:tr w:rsidR="00725D9F" w:rsidRPr="00FA288E" w14:paraId="2CF0C083" w14:textId="77777777" w:rsidTr="000C66A7">
        <w:trPr>
          <w:trHeight w:val="245"/>
        </w:trPr>
        <w:tc>
          <w:tcPr>
            <w:tcW w:w="1555" w:type="dxa"/>
          </w:tcPr>
          <w:p w14:paraId="61BA8F26" w14:textId="77777777" w:rsidR="00725D9F" w:rsidRPr="00FA288E" w:rsidRDefault="00725D9F" w:rsidP="00725D9F">
            <w:r w:rsidRPr="00FA288E">
              <w:t>V3.0</w:t>
            </w:r>
          </w:p>
        </w:tc>
        <w:tc>
          <w:tcPr>
            <w:tcW w:w="2268" w:type="dxa"/>
          </w:tcPr>
          <w:p w14:paraId="4D128BD5" w14:textId="038AA811" w:rsidR="00725D9F" w:rsidRPr="00FA288E" w:rsidRDefault="00725D9F" w:rsidP="00725D9F">
            <w:r w:rsidRPr="00FA288E">
              <w:t>2</w:t>
            </w:r>
            <w:r w:rsidR="0027492A" w:rsidRPr="00FA288E">
              <w:t>5</w:t>
            </w:r>
            <w:r w:rsidRPr="00FA288E">
              <w:t xml:space="preserve"> February 2020</w:t>
            </w:r>
          </w:p>
        </w:tc>
        <w:tc>
          <w:tcPr>
            <w:tcW w:w="3118" w:type="dxa"/>
          </w:tcPr>
          <w:p w14:paraId="5B8B3ADA" w14:textId="77777777" w:rsidR="00725D9F" w:rsidRPr="00FA288E" w:rsidRDefault="00725D9F" w:rsidP="00725D9F">
            <w:r w:rsidRPr="00FA288E">
              <w:t>AHC/Sharon Ben-Porat</w:t>
            </w:r>
          </w:p>
        </w:tc>
        <w:tc>
          <w:tcPr>
            <w:tcW w:w="2804" w:type="dxa"/>
          </w:tcPr>
          <w:p w14:paraId="075D9A2F" w14:textId="77777777" w:rsidR="00725D9F" w:rsidRPr="00FA288E" w:rsidRDefault="00725D9F" w:rsidP="00725D9F">
            <w:r w:rsidRPr="00FA288E">
              <w:t>For review</w:t>
            </w:r>
          </w:p>
        </w:tc>
      </w:tr>
      <w:tr w:rsidR="00446BBD" w:rsidRPr="00FA288E" w14:paraId="77BB3BF5" w14:textId="77777777" w:rsidTr="000C66A7">
        <w:trPr>
          <w:trHeight w:val="245"/>
        </w:trPr>
        <w:tc>
          <w:tcPr>
            <w:tcW w:w="1555" w:type="dxa"/>
          </w:tcPr>
          <w:p w14:paraId="29663BC2" w14:textId="3210FC51" w:rsidR="00446BBD" w:rsidRPr="00FA288E" w:rsidRDefault="00446BBD" w:rsidP="00725D9F">
            <w:r w:rsidRPr="00FA288E">
              <w:t>V3.0</w:t>
            </w:r>
          </w:p>
        </w:tc>
        <w:tc>
          <w:tcPr>
            <w:tcW w:w="2268" w:type="dxa"/>
          </w:tcPr>
          <w:p w14:paraId="520F5552" w14:textId="41855E9C" w:rsidR="00446BBD" w:rsidRPr="00FA288E" w:rsidRDefault="00446BBD" w:rsidP="00725D9F">
            <w:r w:rsidRPr="00FA288E">
              <w:t>27 March 2020</w:t>
            </w:r>
          </w:p>
        </w:tc>
        <w:tc>
          <w:tcPr>
            <w:tcW w:w="3118" w:type="dxa"/>
          </w:tcPr>
          <w:p w14:paraId="31490E72" w14:textId="2EDA5438" w:rsidR="00446BBD" w:rsidRPr="00FA288E" w:rsidRDefault="00446BBD" w:rsidP="00725D9F">
            <w:r w:rsidRPr="00FA288E">
              <w:t>AHC/Delilah, Janelle</w:t>
            </w:r>
          </w:p>
        </w:tc>
        <w:tc>
          <w:tcPr>
            <w:tcW w:w="2804" w:type="dxa"/>
          </w:tcPr>
          <w:p w14:paraId="5ABBF538" w14:textId="4EB471F6" w:rsidR="00446BBD" w:rsidRPr="00FA288E" w:rsidRDefault="00446BBD" w:rsidP="00725D9F">
            <w:r w:rsidRPr="00FA288E">
              <w:t>For final review</w:t>
            </w:r>
            <w:r w:rsidR="009837C5" w:rsidRPr="00FA288E">
              <w:t xml:space="preserve"> and approval</w:t>
            </w:r>
          </w:p>
        </w:tc>
      </w:tr>
      <w:tr w:rsidR="009330D7" w:rsidRPr="00FA288E" w14:paraId="70080811" w14:textId="77777777" w:rsidTr="000C66A7">
        <w:trPr>
          <w:trHeight w:val="245"/>
        </w:trPr>
        <w:tc>
          <w:tcPr>
            <w:tcW w:w="1555" w:type="dxa"/>
          </w:tcPr>
          <w:p w14:paraId="61063662" w14:textId="2485E02E" w:rsidR="009330D7" w:rsidRPr="00FA288E" w:rsidRDefault="00BA7494" w:rsidP="00725D9F">
            <w:r>
              <w:t>V4.0 Final</w:t>
            </w:r>
          </w:p>
        </w:tc>
        <w:tc>
          <w:tcPr>
            <w:tcW w:w="2268" w:type="dxa"/>
          </w:tcPr>
          <w:p w14:paraId="46613ED1" w14:textId="78009A3B" w:rsidR="009330D7" w:rsidRPr="00FA288E" w:rsidRDefault="00BA7494" w:rsidP="00725D9F">
            <w:r>
              <w:t>3 June 2020</w:t>
            </w:r>
          </w:p>
        </w:tc>
        <w:tc>
          <w:tcPr>
            <w:tcW w:w="3118" w:type="dxa"/>
          </w:tcPr>
          <w:p w14:paraId="1BB3C360" w14:textId="0CD111B3" w:rsidR="009330D7" w:rsidRPr="00FA288E" w:rsidRDefault="00BA7494" w:rsidP="00725D9F">
            <w:r>
              <w:t>AHC</w:t>
            </w:r>
          </w:p>
        </w:tc>
        <w:tc>
          <w:tcPr>
            <w:tcW w:w="2804" w:type="dxa"/>
          </w:tcPr>
          <w:p w14:paraId="5A5AFF7B" w14:textId="49F037B4" w:rsidR="009330D7" w:rsidRPr="00FA288E" w:rsidRDefault="00BA7494" w:rsidP="00725D9F">
            <w:r>
              <w:t>Final</w:t>
            </w:r>
          </w:p>
        </w:tc>
      </w:tr>
    </w:tbl>
    <w:p w14:paraId="2B16275A" w14:textId="77777777" w:rsidR="000C66A7" w:rsidRPr="00FA288E" w:rsidRDefault="000C66A7" w:rsidP="000C66A7">
      <w:pPr>
        <w:spacing w:after="0" w:line="240" w:lineRule="auto"/>
      </w:pPr>
    </w:p>
    <w:tbl>
      <w:tblPr>
        <w:tblStyle w:val="CHTable2"/>
        <w:tblW w:w="0" w:type="auto"/>
        <w:tblLook w:val="04A0" w:firstRow="1" w:lastRow="0" w:firstColumn="1" w:lastColumn="0" w:noHBand="0" w:noVBand="1"/>
        <w:tblCaption w:val="Lead authors"/>
        <w:tblDescription w:val="Nelson Ireland and Helen Moriarty are the authors of this report. Disclaimer: this document has been produced with information supplied to HDMES by the Australian Government through the Australian High Commission, Port Moresby. While we make every effort to ensure the accuracy of the information contained in this report, any judgements as to suitability of the information for the client’s purposes are the client’s responsibility. HDMES extends no warranties and assumes no responsibility as to the suitability of this information or for the consequences of its use."/>
      </w:tblPr>
      <w:tblGrid>
        <w:gridCol w:w="3058"/>
        <w:gridCol w:w="6683"/>
      </w:tblGrid>
      <w:tr w:rsidR="000C66A7" w:rsidRPr="00FA288E" w14:paraId="3BD05E68" w14:textId="77777777" w:rsidTr="00765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shd w:val="clear" w:color="auto" w:fill="3B3838" w:themeFill="background2" w:themeFillShade="40"/>
          </w:tcPr>
          <w:p w14:paraId="0BF05F4C" w14:textId="77777777" w:rsidR="000C66A7" w:rsidRPr="00FA288E" w:rsidRDefault="000C66A7" w:rsidP="000C66A7">
            <w:pPr>
              <w:spacing w:before="0" w:after="0"/>
            </w:pPr>
            <w:r w:rsidRPr="00FA288E">
              <w:t>Lead authors</w:t>
            </w:r>
          </w:p>
        </w:tc>
        <w:tc>
          <w:tcPr>
            <w:tcW w:w="6683" w:type="dxa"/>
            <w:shd w:val="clear" w:color="auto" w:fill="auto"/>
          </w:tcPr>
          <w:p w14:paraId="1F84918C" w14:textId="77777777" w:rsidR="000C66A7" w:rsidRPr="007659B0" w:rsidRDefault="000C66A7" w:rsidP="000C66A7">
            <w:pPr>
              <w:spacing w:before="0" w:after="0"/>
              <w:cnfStyle w:val="100000000000" w:firstRow="1" w:lastRow="0" w:firstColumn="0" w:lastColumn="0" w:oddVBand="0" w:evenVBand="0" w:oddHBand="0" w:evenHBand="0" w:firstRowFirstColumn="0" w:firstRowLastColumn="0" w:lastRowFirstColumn="0" w:lastRowLastColumn="0"/>
              <w:rPr>
                <w:color w:val="000000" w:themeColor="text1"/>
              </w:rPr>
            </w:pPr>
            <w:r w:rsidRPr="007659B0">
              <w:rPr>
                <w:color w:val="000000" w:themeColor="text1"/>
              </w:rPr>
              <w:t>Nelson Ireland and Helen Moriarty</w:t>
            </w:r>
          </w:p>
        </w:tc>
      </w:tr>
      <w:tr w:rsidR="000C66A7" w:rsidRPr="00FA288E" w14:paraId="1FB50C98" w14:textId="77777777" w:rsidTr="00ED43D5">
        <w:trPr>
          <w:trHeight w:val="215"/>
        </w:trPr>
        <w:tc>
          <w:tcPr>
            <w:cnfStyle w:val="001000000000" w:firstRow="0" w:lastRow="0" w:firstColumn="1" w:lastColumn="0" w:oddVBand="0" w:evenVBand="0" w:oddHBand="0" w:evenHBand="0" w:firstRowFirstColumn="0" w:firstRowLastColumn="0" w:lastRowFirstColumn="0" w:lastRowLastColumn="0"/>
            <w:tcW w:w="3058" w:type="dxa"/>
            <w:shd w:val="clear" w:color="auto" w:fill="3B3838" w:themeFill="background2" w:themeFillShade="40"/>
          </w:tcPr>
          <w:p w14:paraId="43C29E9D" w14:textId="77777777" w:rsidR="000C66A7" w:rsidRPr="00FA288E" w:rsidRDefault="000C66A7" w:rsidP="000C66A7">
            <w:pPr>
              <w:spacing w:before="0" w:after="0"/>
            </w:pPr>
            <w:r w:rsidRPr="00FA288E">
              <w:t>Internal Contributors</w:t>
            </w:r>
          </w:p>
        </w:tc>
        <w:tc>
          <w:tcPr>
            <w:tcW w:w="6683" w:type="dxa"/>
          </w:tcPr>
          <w:p w14:paraId="1C4BB6EB" w14:textId="77777777" w:rsidR="000C66A7" w:rsidRPr="00FA288E" w:rsidRDefault="000C66A7" w:rsidP="000C66A7">
            <w:pPr>
              <w:spacing w:before="0" w:after="0"/>
              <w:cnfStyle w:val="000000000000" w:firstRow="0" w:lastRow="0" w:firstColumn="0" w:lastColumn="0" w:oddVBand="0" w:evenVBand="0" w:oddHBand="0" w:evenHBand="0" w:firstRowFirstColumn="0" w:firstRowLastColumn="0" w:lastRowFirstColumn="0" w:lastRowLastColumn="0"/>
            </w:pPr>
          </w:p>
        </w:tc>
      </w:tr>
      <w:tr w:rsidR="000C66A7" w:rsidRPr="00FA288E" w14:paraId="7F629A0C" w14:textId="77777777" w:rsidTr="00ED43D5">
        <w:tc>
          <w:tcPr>
            <w:cnfStyle w:val="001000000000" w:firstRow="0" w:lastRow="0" w:firstColumn="1" w:lastColumn="0" w:oddVBand="0" w:evenVBand="0" w:oddHBand="0" w:evenHBand="0" w:firstRowFirstColumn="0" w:firstRowLastColumn="0" w:lastRowFirstColumn="0" w:lastRowLastColumn="0"/>
            <w:tcW w:w="3058" w:type="dxa"/>
            <w:shd w:val="clear" w:color="auto" w:fill="3B3838" w:themeFill="background2" w:themeFillShade="40"/>
          </w:tcPr>
          <w:p w14:paraId="7FB0F809" w14:textId="77777777" w:rsidR="000C66A7" w:rsidRPr="00FA288E" w:rsidRDefault="000C66A7" w:rsidP="000C66A7">
            <w:pPr>
              <w:spacing w:before="0" w:after="0"/>
            </w:pPr>
            <w:r w:rsidRPr="00FA288E">
              <w:t>External Contributors</w:t>
            </w:r>
          </w:p>
        </w:tc>
        <w:tc>
          <w:tcPr>
            <w:tcW w:w="6683" w:type="dxa"/>
          </w:tcPr>
          <w:p w14:paraId="432862C9" w14:textId="77777777" w:rsidR="000C66A7" w:rsidRPr="00FA288E" w:rsidRDefault="000C66A7" w:rsidP="000C66A7">
            <w:pPr>
              <w:spacing w:before="0" w:after="0"/>
              <w:cnfStyle w:val="000000000000" w:firstRow="0" w:lastRow="0" w:firstColumn="0" w:lastColumn="0" w:oddVBand="0" w:evenVBand="0" w:oddHBand="0" w:evenHBand="0" w:firstRowFirstColumn="0" w:firstRowLastColumn="0" w:lastRowFirstColumn="0" w:lastRowLastColumn="0"/>
            </w:pPr>
          </w:p>
        </w:tc>
      </w:tr>
      <w:tr w:rsidR="000C66A7" w:rsidRPr="00FA288E" w14:paraId="6DCDCD1A" w14:textId="77777777" w:rsidTr="00ED43D5">
        <w:tc>
          <w:tcPr>
            <w:cnfStyle w:val="001000000000" w:firstRow="0" w:lastRow="0" w:firstColumn="1" w:lastColumn="0" w:oddVBand="0" w:evenVBand="0" w:oddHBand="0" w:evenHBand="0" w:firstRowFirstColumn="0" w:firstRowLastColumn="0" w:lastRowFirstColumn="0" w:lastRowLastColumn="0"/>
            <w:tcW w:w="3058" w:type="dxa"/>
            <w:shd w:val="clear" w:color="auto" w:fill="3B3838" w:themeFill="background2" w:themeFillShade="40"/>
          </w:tcPr>
          <w:p w14:paraId="04BCC72F" w14:textId="77777777" w:rsidR="000C66A7" w:rsidRPr="00FA288E" w:rsidRDefault="000C66A7" w:rsidP="000C66A7">
            <w:pPr>
              <w:spacing w:before="0" w:after="0"/>
            </w:pPr>
            <w:r w:rsidRPr="00FA288E">
              <w:t>HDMES Reference No.</w:t>
            </w:r>
          </w:p>
        </w:tc>
        <w:tc>
          <w:tcPr>
            <w:tcW w:w="6683" w:type="dxa"/>
          </w:tcPr>
          <w:p w14:paraId="5931FD43" w14:textId="77777777" w:rsidR="000C66A7" w:rsidRPr="00FA288E" w:rsidRDefault="000C66A7" w:rsidP="000C66A7">
            <w:pPr>
              <w:spacing w:before="0" w:after="0"/>
              <w:cnfStyle w:val="000000000000" w:firstRow="0" w:lastRow="0" w:firstColumn="0" w:lastColumn="0" w:oddVBand="0" w:evenVBand="0" w:oddHBand="0" w:evenHBand="0" w:firstRowFirstColumn="0" w:firstRowLastColumn="0" w:lastRowFirstColumn="0" w:lastRowLastColumn="0"/>
            </w:pPr>
            <w:r w:rsidRPr="00FA288E">
              <w:t>E1903</w:t>
            </w:r>
          </w:p>
        </w:tc>
      </w:tr>
      <w:tr w:rsidR="000C66A7" w:rsidRPr="00FA288E" w14:paraId="051EBD2C" w14:textId="77777777" w:rsidTr="00ED43D5">
        <w:tc>
          <w:tcPr>
            <w:cnfStyle w:val="001000000000" w:firstRow="0" w:lastRow="0" w:firstColumn="1" w:lastColumn="0" w:oddVBand="0" w:evenVBand="0" w:oddHBand="0" w:evenHBand="0" w:firstRowFirstColumn="0" w:firstRowLastColumn="0" w:lastRowFirstColumn="0" w:lastRowLastColumn="0"/>
            <w:tcW w:w="3058" w:type="dxa"/>
            <w:shd w:val="clear" w:color="auto" w:fill="3B3838" w:themeFill="background2" w:themeFillShade="40"/>
          </w:tcPr>
          <w:p w14:paraId="0B424F84" w14:textId="77777777" w:rsidR="000C66A7" w:rsidRPr="00FA288E" w:rsidRDefault="000C66A7" w:rsidP="000C66A7">
            <w:pPr>
              <w:spacing w:before="0" w:after="0"/>
            </w:pPr>
            <w:r w:rsidRPr="00FA288E">
              <w:t>Disclaimer</w:t>
            </w:r>
          </w:p>
        </w:tc>
        <w:tc>
          <w:tcPr>
            <w:tcW w:w="6683" w:type="dxa"/>
          </w:tcPr>
          <w:p w14:paraId="09F1322E" w14:textId="77777777" w:rsidR="000C66A7" w:rsidRPr="00FA288E" w:rsidRDefault="000C66A7" w:rsidP="000C66A7">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rPr>
            </w:pPr>
            <w:r w:rsidRPr="00FA288E">
              <w:rPr>
                <w:sz w:val="20"/>
                <w:szCs w:val="20"/>
              </w:rPr>
              <w:t>This document has been produced with information supplied to HDMES by the Australian Government through the Australian High Commission, Port Moresby. While we make every effort to ensure the accuracy of the information contained in this report, any judgements as to suitability of the information for the client’s purposes are the client’s responsibility. HDMES extends no warranties and assumes no responsibility as to the suitability of this information or for the consequences of its use.</w:t>
            </w:r>
          </w:p>
        </w:tc>
      </w:tr>
    </w:tbl>
    <w:p w14:paraId="074BE5C7" w14:textId="77777777" w:rsidR="000C66A7" w:rsidRPr="00FA288E" w:rsidRDefault="000C66A7" w:rsidP="000C66A7">
      <w:pPr>
        <w:pStyle w:val="Heading2"/>
        <w:tabs>
          <w:tab w:val="left" w:pos="3225"/>
        </w:tabs>
        <w:rPr>
          <w:b w:val="0"/>
          <w:bCs w:val="0"/>
        </w:rPr>
      </w:pPr>
      <w:bookmarkStart w:id="1" w:name="_Toc27049637"/>
      <w:bookmarkStart w:id="2" w:name="_Toc42075956"/>
      <w:r w:rsidRPr="00FA288E">
        <w:rPr>
          <w:b w:val="0"/>
          <w:bCs w:val="0"/>
        </w:rPr>
        <w:lastRenderedPageBreak/>
        <w:t>Table of Contents</w:t>
      </w:r>
      <w:bookmarkEnd w:id="1"/>
      <w:bookmarkEnd w:id="2"/>
      <w:r w:rsidRPr="00FA288E">
        <w:rPr>
          <w:b w:val="0"/>
          <w:bCs w:val="0"/>
        </w:rPr>
        <w:tab/>
      </w:r>
    </w:p>
    <w:sdt>
      <w:sdtPr>
        <w:rPr>
          <w:rFonts w:eastAsia="Times New Roman" w:cs="Times New Roman"/>
          <w:b w:val="0"/>
          <w:bCs w:val="0"/>
          <w:noProof w:val="0"/>
          <w:sz w:val="21"/>
          <w:szCs w:val="24"/>
        </w:rPr>
        <w:id w:val="188040099"/>
        <w:docPartObj>
          <w:docPartGallery w:val="Table of Contents"/>
          <w:docPartUnique/>
        </w:docPartObj>
      </w:sdtPr>
      <w:sdtEndPr>
        <w:rPr>
          <w:rFonts w:cs="Calibri"/>
          <w:szCs w:val="21"/>
        </w:rPr>
      </w:sdtEndPr>
      <w:sdtContent>
        <w:p w14:paraId="14B93C66" w14:textId="08A16DE9" w:rsidR="00660737" w:rsidRDefault="000C66A7" w:rsidP="00F67121">
          <w:pPr>
            <w:pStyle w:val="TOC2"/>
            <w:rPr>
              <w:rFonts w:asciiTheme="minorHAnsi" w:eastAsiaTheme="minorEastAsia" w:hAnsiTheme="minorHAnsi" w:cstheme="minorBidi"/>
              <w:sz w:val="22"/>
              <w:szCs w:val="22"/>
              <w:lang w:eastAsia="en-AU"/>
            </w:rPr>
          </w:pPr>
          <w:r w:rsidRPr="00FA288E">
            <w:fldChar w:fldCharType="begin"/>
          </w:r>
          <w:r w:rsidRPr="00FA288E">
            <w:instrText xml:space="preserve"> TOC \o "1-3" \h \z \u </w:instrText>
          </w:r>
          <w:r w:rsidRPr="00FA288E">
            <w:fldChar w:fldCharType="separate"/>
          </w:r>
          <w:hyperlink w:anchor="_Toc42075956" w:history="1">
            <w:r w:rsidR="00660737" w:rsidRPr="002512C5">
              <w:rPr>
                <w:rStyle w:val="Hyperlink"/>
              </w:rPr>
              <w:t>Table of Contents</w:t>
            </w:r>
            <w:r w:rsidR="00660737">
              <w:rPr>
                <w:webHidden/>
              </w:rPr>
              <w:tab/>
            </w:r>
            <w:r w:rsidR="00660737">
              <w:rPr>
                <w:webHidden/>
              </w:rPr>
              <w:fldChar w:fldCharType="begin"/>
            </w:r>
            <w:r w:rsidR="00660737">
              <w:rPr>
                <w:webHidden/>
              </w:rPr>
              <w:instrText xml:space="preserve"> PAGEREF _Toc42075956 \h </w:instrText>
            </w:r>
            <w:r w:rsidR="00660737">
              <w:rPr>
                <w:webHidden/>
              </w:rPr>
            </w:r>
            <w:r w:rsidR="00660737">
              <w:rPr>
                <w:webHidden/>
              </w:rPr>
              <w:fldChar w:fldCharType="separate"/>
            </w:r>
            <w:r w:rsidR="005A1DC6">
              <w:rPr>
                <w:webHidden/>
              </w:rPr>
              <w:t>ii</w:t>
            </w:r>
            <w:r w:rsidR="00660737">
              <w:rPr>
                <w:webHidden/>
              </w:rPr>
              <w:fldChar w:fldCharType="end"/>
            </w:r>
          </w:hyperlink>
        </w:p>
        <w:p w14:paraId="214EC65C" w14:textId="3B01EBA1" w:rsidR="00660737" w:rsidRDefault="009F64C0" w:rsidP="00F67121">
          <w:pPr>
            <w:pStyle w:val="TOC2"/>
            <w:rPr>
              <w:rFonts w:asciiTheme="minorHAnsi" w:eastAsiaTheme="minorEastAsia" w:hAnsiTheme="minorHAnsi" w:cstheme="minorBidi"/>
              <w:sz w:val="22"/>
              <w:szCs w:val="22"/>
              <w:lang w:eastAsia="en-AU"/>
            </w:rPr>
          </w:pPr>
          <w:hyperlink w:anchor="_Toc42075957" w:history="1">
            <w:r w:rsidR="00660737" w:rsidRPr="002512C5">
              <w:rPr>
                <w:rStyle w:val="Hyperlink"/>
              </w:rPr>
              <w:t>Abbreviations and Acronyms</w:t>
            </w:r>
            <w:r w:rsidR="00660737">
              <w:rPr>
                <w:webHidden/>
              </w:rPr>
              <w:tab/>
            </w:r>
            <w:r w:rsidR="00660737">
              <w:rPr>
                <w:webHidden/>
              </w:rPr>
              <w:fldChar w:fldCharType="begin"/>
            </w:r>
            <w:r w:rsidR="00660737">
              <w:rPr>
                <w:webHidden/>
              </w:rPr>
              <w:instrText xml:space="preserve"> PAGEREF _Toc42075957 \h </w:instrText>
            </w:r>
            <w:r w:rsidR="00660737">
              <w:rPr>
                <w:webHidden/>
              </w:rPr>
            </w:r>
            <w:r w:rsidR="00660737">
              <w:rPr>
                <w:webHidden/>
              </w:rPr>
              <w:fldChar w:fldCharType="separate"/>
            </w:r>
            <w:r w:rsidR="005A1DC6">
              <w:rPr>
                <w:webHidden/>
              </w:rPr>
              <w:t>iii</w:t>
            </w:r>
            <w:r w:rsidR="00660737">
              <w:rPr>
                <w:webHidden/>
              </w:rPr>
              <w:fldChar w:fldCharType="end"/>
            </w:r>
          </w:hyperlink>
        </w:p>
        <w:p w14:paraId="661C7ED4" w14:textId="00122CE3" w:rsidR="00660737" w:rsidRDefault="009F64C0" w:rsidP="00F67121">
          <w:pPr>
            <w:pStyle w:val="TOC2"/>
            <w:rPr>
              <w:rFonts w:asciiTheme="minorHAnsi" w:eastAsiaTheme="minorEastAsia" w:hAnsiTheme="minorHAnsi" w:cstheme="minorBidi"/>
              <w:sz w:val="22"/>
              <w:szCs w:val="22"/>
              <w:lang w:eastAsia="en-AU"/>
            </w:rPr>
          </w:pPr>
          <w:hyperlink w:anchor="_Toc42075958" w:history="1">
            <w:r w:rsidR="00660737" w:rsidRPr="002512C5">
              <w:rPr>
                <w:rStyle w:val="Hyperlink"/>
              </w:rPr>
              <w:t>Executive Summary</w:t>
            </w:r>
            <w:r w:rsidR="00660737">
              <w:rPr>
                <w:webHidden/>
              </w:rPr>
              <w:tab/>
            </w:r>
            <w:r w:rsidR="00660737">
              <w:rPr>
                <w:webHidden/>
              </w:rPr>
              <w:fldChar w:fldCharType="begin"/>
            </w:r>
            <w:r w:rsidR="00660737">
              <w:rPr>
                <w:webHidden/>
              </w:rPr>
              <w:instrText xml:space="preserve"> PAGEREF _Toc42075958 \h </w:instrText>
            </w:r>
            <w:r w:rsidR="00660737">
              <w:rPr>
                <w:webHidden/>
              </w:rPr>
            </w:r>
            <w:r w:rsidR="00660737">
              <w:rPr>
                <w:webHidden/>
              </w:rPr>
              <w:fldChar w:fldCharType="separate"/>
            </w:r>
            <w:r w:rsidR="005A1DC6">
              <w:rPr>
                <w:webHidden/>
              </w:rPr>
              <w:t>iv</w:t>
            </w:r>
            <w:r w:rsidR="00660737">
              <w:rPr>
                <w:webHidden/>
              </w:rPr>
              <w:fldChar w:fldCharType="end"/>
            </w:r>
          </w:hyperlink>
        </w:p>
        <w:p w14:paraId="6E3A68D3" w14:textId="6A54A000" w:rsidR="00660737" w:rsidRDefault="009F64C0" w:rsidP="00F67121">
          <w:pPr>
            <w:pStyle w:val="TOC2"/>
            <w:rPr>
              <w:rFonts w:asciiTheme="minorHAnsi" w:eastAsiaTheme="minorEastAsia" w:hAnsiTheme="minorHAnsi" w:cstheme="minorBidi"/>
              <w:sz w:val="22"/>
              <w:szCs w:val="22"/>
              <w:lang w:eastAsia="en-AU"/>
            </w:rPr>
          </w:pPr>
          <w:hyperlink w:anchor="_Toc42075959" w:history="1">
            <w:r w:rsidR="00660737" w:rsidRPr="002512C5">
              <w:rPr>
                <w:rStyle w:val="Hyperlink"/>
              </w:rPr>
              <w:t>1.</w:t>
            </w:r>
            <w:r w:rsidR="00660737">
              <w:rPr>
                <w:rFonts w:asciiTheme="minorHAnsi" w:eastAsiaTheme="minorEastAsia" w:hAnsiTheme="minorHAnsi" w:cstheme="minorBidi"/>
                <w:sz w:val="22"/>
                <w:szCs w:val="22"/>
                <w:lang w:eastAsia="en-AU"/>
              </w:rPr>
              <w:tab/>
            </w:r>
            <w:r w:rsidR="00660737" w:rsidRPr="002512C5">
              <w:rPr>
                <w:rStyle w:val="Hyperlink"/>
              </w:rPr>
              <w:t>Background and Context</w:t>
            </w:r>
            <w:r w:rsidR="00660737">
              <w:rPr>
                <w:webHidden/>
              </w:rPr>
              <w:tab/>
            </w:r>
            <w:r w:rsidR="00660737">
              <w:rPr>
                <w:webHidden/>
              </w:rPr>
              <w:fldChar w:fldCharType="begin"/>
            </w:r>
            <w:r w:rsidR="00660737">
              <w:rPr>
                <w:webHidden/>
              </w:rPr>
              <w:instrText xml:space="preserve"> PAGEREF _Toc42075959 \h </w:instrText>
            </w:r>
            <w:r w:rsidR="00660737">
              <w:rPr>
                <w:webHidden/>
              </w:rPr>
            </w:r>
            <w:r w:rsidR="00660737">
              <w:rPr>
                <w:webHidden/>
              </w:rPr>
              <w:fldChar w:fldCharType="separate"/>
            </w:r>
            <w:r w:rsidR="005A1DC6">
              <w:rPr>
                <w:webHidden/>
              </w:rPr>
              <w:t>1</w:t>
            </w:r>
            <w:r w:rsidR="00660737">
              <w:rPr>
                <w:webHidden/>
              </w:rPr>
              <w:fldChar w:fldCharType="end"/>
            </w:r>
          </w:hyperlink>
        </w:p>
        <w:p w14:paraId="51D45060" w14:textId="32D3CEB2" w:rsidR="00660737" w:rsidRPr="00F67121" w:rsidRDefault="009F64C0" w:rsidP="00660737">
          <w:pPr>
            <w:pStyle w:val="TOC1"/>
            <w:tabs>
              <w:tab w:val="left" w:pos="630"/>
            </w:tabs>
            <w:spacing w:before="0" w:line="240" w:lineRule="auto"/>
            <w:rPr>
              <w:rFonts w:eastAsiaTheme="minorEastAsia" w:cstheme="minorBidi"/>
              <w:b w:val="0"/>
              <w:bCs w:val="0"/>
              <w:noProof/>
              <w:lang w:eastAsia="en-AU"/>
            </w:rPr>
          </w:pPr>
          <w:hyperlink w:anchor="_Toc42075960" w:history="1">
            <w:r w:rsidR="00660737" w:rsidRPr="00F67121">
              <w:rPr>
                <w:rStyle w:val="Hyperlink"/>
                <w:b w:val="0"/>
                <w:bCs w:val="0"/>
                <w:noProof/>
                <w:sz w:val="18"/>
                <w:szCs w:val="18"/>
              </w:rPr>
              <w:t>1.1.</w:t>
            </w:r>
            <w:r w:rsidR="00660737" w:rsidRPr="00F67121">
              <w:rPr>
                <w:rFonts w:eastAsiaTheme="minorEastAsia" w:cstheme="minorBidi"/>
                <w:b w:val="0"/>
                <w:bCs w:val="0"/>
                <w:noProof/>
                <w:lang w:eastAsia="en-AU"/>
              </w:rPr>
              <w:tab/>
            </w:r>
            <w:r w:rsidR="00660737" w:rsidRPr="00F67121">
              <w:rPr>
                <w:rStyle w:val="Hyperlink"/>
                <w:b w:val="0"/>
                <w:bCs w:val="0"/>
                <w:noProof/>
                <w:sz w:val="18"/>
                <w:szCs w:val="18"/>
              </w:rPr>
              <w:t>The Mid-Term Review Assignment</w:t>
            </w:r>
            <w:r w:rsidR="00660737" w:rsidRPr="00F67121">
              <w:rPr>
                <w:b w:val="0"/>
                <w:bCs w:val="0"/>
                <w:noProof/>
                <w:webHidden/>
                <w:sz w:val="18"/>
                <w:szCs w:val="18"/>
              </w:rPr>
              <w:tab/>
            </w:r>
            <w:r w:rsidR="00660737" w:rsidRPr="00F67121">
              <w:rPr>
                <w:b w:val="0"/>
                <w:bCs w:val="0"/>
                <w:noProof/>
                <w:webHidden/>
                <w:sz w:val="18"/>
                <w:szCs w:val="18"/>
              </w:rPr>
              <w:fldChar w:fldCharType="begin"/>
            </w:r>
            <w:r w:rsidR="00660737" w:rsidRPr="00F67121">
              <w:rPr>
                <w:b w:val="0"/>
                <w:bCs w:val="0"/>
                <w:noProof/>
                <w:webHidden/>
                <w:sz w:val="18"/>
                <w:szCs w:val="18"/>
              </w:rPr>
              <w:instrText xml:space="preserve"> PAGEREF _Toc42075960 \h </w:instrText>
            </w:r>
            <w:r w:rsidR="00660737" w:rsidRPr="00F67121">
              <w:rPr>
                <w:b w:val="0"/>
                <w:bCs w:val="0"/>
                <w:noProof/>
                <w:webHidden/>
                <w:sz w:val="18"/>
                <w:szCs w:val="18"/>
              </w:rPr>
            </w:r>
            <w:r w:rsidR="00660737" w:rsidRPr="00F67121">
              <w:rPr>
                <w:b w:val="0"/>
                <w:bCs w:val="0"/>
                <w:noProof/>
                <w:webHidden/>
                <w:sz w:val="18"/>
                <w:szCs w:val="18"/>
              </w:rPr>
              <w:fldChar w:fldCharType="separate"/>
            </w:r>
            <w:r w:rsidR="005A1DC6">
              <w:rPr>
                <w:b w:val="0"/>
                <w:bCs w:val="0"/>
                <w:noProof/>
                <w:webHidden/>
                <w:sz w:val="18"/>
                <w:szCs w:val="18"/>
              </w:rPr>
              <w:t>1</w:t>
            </w:r>
            <w:r w:rsidR="00660737" w:rsidRPr="00F67121">
              <w:rPr>
                <w:b w:val="0"/>
                <w:bCs w:val="0"/>
                <w:noProof/>
                <w:webHidden/>
                <w:sz w:val="18"/>
                <w:szCs w:val="18"/>
              </w:rPr>
              <w:fldChar w:fldCharType="end"/>
            </w:r>
          </w:hyperlink>
        </w:p>
        <w:p w14:paraId="591C581A" w14:textId="4374C71C" w:rsidR="00660737" w:rsidRPr="00F67121" w:rsidRDefault="009F64C0" w:rsidP="00660737">
          <w:pPr>
            <w:pStyle w:val="TOC1"/>
            <w:tabs>
              <w:tab w:val="left" w:pos="630"/>
            </w:tabs>
            <w:spacing w:before="0" w:line="240" w:lineRule="auto"/>
            <w:rPr>
              <w:rFonts w:eastAsiaTheme="minorEastAsia" w:cstheme="minorBidi"/>
              <w:b w:val="0"/>
              <w:bCs w:val="0"/>
              <w:noProof/>
              <w:lang w:eastAsia="en-AU"/>
            </w:rPr>
          </w:pPr>
          <w:hyperlink w:anchor="_Toc42075962" w:history="1">
            <w:r w:rsidR="00660737" w:rsidRPr="00F67121">
              <w:rPr>
                <w:rStyle w:val="Hyperlink"/>
                <w:b w:val="0"/>
                <w:bCs w:val="0"/>
                <w:noProof/>
                <w:sz w:val="18"/>
                <w:szCs w:val="18"/>
              </w:rPr>
              <w:t>1.2.</w:t>
            </w:r>
            <w:r w:rsidR="00660737" w:rsidRPr="00F67121">
              <w:rPr>
                <w:rFonts w:eastAsiaTheme="minorEastAsia" w:cstheme="minorBidi"/>
                <w:b w:val="0"/>
                <w:bCs w:val="0"/>
                <w:noProof/>
                <w:lang w:eastAsia="en-AU"/>
              </w:rPr>
              <w:tab/>
            </w:r>
            <w:r w:rsidR="00660737" w:rsidRPr="00F67121">
              <w:rPr>
                <w:rStyle w:val="Hyperlink"/>
                <w:b w:val="0"/>
                <w:bCs w:val="0"/>
                <w:noProof/>
                <w:sz w:val="18"/>
                <w:szCs w:val="18"/>
              </w:rPr>
              <w:t>Context</w:t>
            </w:r>
            <w:r w:rsidR="00660737" w:rsidRPr="00F67121">
              <w:rPr>
                <w:b w:val="0"/>
                <w:bCs w:val="0"/>
                <w:noProof/>
                <w:webHidden/>
                <w:sz w:val="18"/>
                <w:szCs w:val="18"/>
              </w:rPr>
              <w:tab/>
            </w:r>
            <w:r w:rsidR="00660737" w:rsidRPr="00F67121">
              <w:rPr>
                <w:b w:val="0"/>
                <w:bCs w:val="0"/>
                <w:noProof/>
                <w:webHidden/>
                <w:sz w:val="18"/>
                <w:szCs w:val="18"/>
              </w:rPr>
              <w:fldChar w:fldCharType="begin"/>
            </w:r>
            <w:r w:rsidR="00660737" w:rsidRPr="00F67121">
              <w:rPr>
                <w:b w:val="0"/>
                <w:bCs w:val="0"/>
                <w:noProof/>
                <w:webHidden/>
                <w:sz w:val="18"/>
                <w:szCs w:val="18"/>
              </w:rPr>
              <w:instrText xml:space="preserve"> PAGEREF _Toc42075962 \h </w:instrText>
            </w:r>
            <w:r w:rsidR="00660737" w:rsidRPr="00F67121">
              <w:rPr>
                <w:b w:val="0"/>
                <w:bCs w:val="0"/>
                <w:noProof/>
                <w:webHidden/>
                <w:sz w:val="18"/>
                <w:szCs w:val="18"/>
              </w:rPr>
            </w:r>
            <w:r w:rsidR="00660737" w:rsidRPr="00F67121">
              <w:rPr>
                <w:b w:val="0"/>
                <w:bCs w:val="0"/>
                <w:noProof/>
                <w:webHidden/>
                <w:sz w:val="18"/>
                <w:szCs w:val="18"/>
              </w:rPr>
              <w:fldChar w:fldCharType="separate"/>
            </w:r>
            <w:r w:rsidR="005A1DC6">
              <w:rPr>
                <w:b w:val="0"/>
                <w:bCs w:val="0"/>
                <w:noProof/>
                <w:webHidden/>
                <w:sz w:val="18"/>
                <w:szCs w:val="18"/>
              </w:rPr>
              <w:t>2</w:t>
            </w:r>
            <w:r w:rsidR="00660737" w:rsidRPr="00F67121">
              <w:rPr>
                <w:b w:val="0"/>
                <w:bCs w:val="0"/>
                <w:noProof/>
                <w:webHidden/>
                <w:sz w:val="18"/>
                <w:szCs w:val="18"/>
              </w:rPr>
              <w:fldChar w:fldCharType="end"/>
            </w:r>
          </w:hyperlink>
        </w:p>
        <w:p w14:paraId="2F6CC67F" w14:textId="4A8E8874" w:rsidR="00660737" w:rsidRPr="00F67121" w:rsidRDefault="009F64C0" w:rsidP="00660737">
          <w:pPr>
            <w:pStyle w:val="TOC1"/>
            <w:tabs>
              <w:tab w:val="left" w:pos="630"/>
            </w:tabs>
            <w:spacing w:before="0" w:line="240" w:lineRule="auto"/>
            <w:rPr>
              <w:rFonts w:eastAsiaTheme="minorEastAsia" w:cstheme="minorBidi"/>
              <w:b w:val="0"/>
              <w:bCs w:val="0"/>
              <w:noProof/>
              <w:lang w:eastAsia="en-AU"/>
            </w:rPr>
          </w:pPr>
          <w:hyperlink w:anchor="_Toc42075963" w:history="1">
            <w:r w:rsidR="00660737" w:rsidRPr="00F67121">
              <w:rPr>
                <w:rStyle w:val="Hyperlink"/>
                <w:b w:val="0"/>
                <w:bCs w:val="0"/>
                <w:noProof/>
                <w:sz w:val="18"/>
                <w:szCs w:val="18"/>
              </w:rPr>
              <w:t>1.3.</w:t>
            </w:r>
            <w:r w:rsidR="00660737" w:rsidRPr="00F67121">
              <w:rPr>
                <w:rFonts w:eastAsiaTheme="minorEastAsia" w:cstheme="minorBidi"/>
                <w:b w:val="0"/>
                <w:bCs w:val="0"/>
                <w:noProof/>
                <w:lang w:eastAsia="en-AU"/>
              </w:rPr>
              <w:tab/>
            </w:r>
            <w:r w:rsidR="00660737" w:rsidRPr="00F67121">
              <w:rPr>
                <w:rStyle w:val="Hyperlink"/>
                <w:b w:val="0"/>
                <w:bCs w:val="0"/>
                <w:noProof/>
                <w:sz w:val="18"/>
                <w:szCs w:val="18"/>
              </w:rPr>
              <w:t>The PPF Education Grants</w:t>
            </w:r>
            <w:r w:rsidR="00660737" w:rsidRPr="00F67121">
              <w:rPr>
                <w:b w:val="0"/>
                <w:bCs w:val="0"/>
                <w:noProof/>
                <w:webHidden/>
                <w:sz w:val="18"/>
                <w:szCs w:val="18"/>
              </w:rPr>
              <w:tab/>
            </w:r>
            <w:r w:rsidR="00660737" w:rsidRPr="00F67121">
              <w:rPr>
                <w:b w:val="0"/>
                <w:bCs w:val="0"/>
                <w:noProof/>
                <w:webHidden/>
                <w:sz w:val="18"/>
                <w:szCs w:val="18"/>
              </w:rPr>
              <w:fldChar w:fldCharType="begin"/>
            </w:r>
            <w:r w:rsidR="00660737" w:rsidRPr="00F67121">
              <w:rPr>
                <w:b w:val="0"/>
                <w:bCs w:val="0"/>
                <w:noProof/>
                <w:webHidden/>
                <w:sz w:val="18"/>
                <w:szCs w:val="18"/>
              </w:rPr>
              <w:instrText xml:space="preserve"> PAGEREF _Toc42075963 \h </w:instrText>
            </w:r>
            <w:r w:rsidR="00660737" w:rsidRPr="00F67121">
              <w:rPr>
                <w:b w:val="0"/>
                <w:bCs w:val="0"/>
                <w:noProof/>
                <w:webHidden/>
                <w:sz w:val="18"/>
                <w:szCs w:val="18"/>
              </w:rPr>
            </w:r>
            <w:r w:rsidR="00660737" w:rsidRPr="00F67121">
              <w:rPr>
                <w:b w:val="0"/>
                <w:bCs w:val="0"/>
                <w:noProof/>
                <w:webHidden/>
                <w:sz w:val="18"/>
                <w:szCs w:val="18"/>
              </w:rPr>
              <w:fldChar w:fldCharType="separate"/>
            </w:r>
            <w:r w:rsidR="005A1DC6">
              <w:rPr>
                <w:b w:val="0"/>
                <w:bCs w:val="0"/>
                <w:noProof/>
                <w:webHidden/>
                <w:sz w:val="18"/>
                <w:szCs w:val="18"/>
              </w:rPr>
              <w:t>3</w:t>
            </w:r>
            <w:r w:rsidR="00660737" w:rsidRPr="00F67121">
              <w:rPr>
                <w:b w:val="0"/>
                <w:bCs w:val="0"/>
                <w:noProof/>
                <w:webHidden/>
                <w:sz w:val="18"/>
                <w:szCs w:val="18"/>
              </w:rPr>
              <w:fldChar w:fldCharType="end"/>
            </w:r>
          </w:hyperlink>
        </w:p>
        <w:p w14:paraId="7B07C2EF" w14:textId="57E0A66E" w:rsidR="00660737" w:rsidRDefault="009F64C0" w:rsidP="00F67121">
          <w:pPr>
            <w:pStyle w:val="TOC2"/>
            <w:rPr>
              <w:rFonts w:asciiTheme="minorHAnsi" w:eastAsiaTheme="minorEastAsia" w:hAnsiTheme="minorHAnsi" w:cstheme="minorBidi"/>
              <w:sz w:val="22"/>
              <w:szCs w:val="22"/>
              <w:lang w:eastAsia="en-AU"/>
            </w:rPr>
          </w:pPr>
          <w:hyperlink w:anchor="_Toc42075964" w:history="1">
            <w:r w:rsidR="00660737" w:rsidRPr="002512C5">
              <w:rPr>
                <w:rStyle w:val="Hyperlink"/>
              </w:rPr>
              <w:t>2.</w:t>
            </w:r>
            <w:r w:rsidR="00660737">
              <w:rPr>
                <w:rFonts w:asciiTheme="minorHAnsi" w:eastAsiaTheme="minorEastAsia" w:hAnsiTheme="minorHAnsi" w:cstheme="minorBidi"/>
                <w:sz w:val="22"/>
                <w:szCs w:val="22"/>
                <w:lang w:eastAsia="en-AU"/>
              </w:rPr>
              <w:tab/>
            </w:r>
            <w:r w:rsidR="00660737" w:rsidRPr="002512C5">
              <w:rPr>
                <w:rStyle w:val="Hyperlink"/>
              </w:rPr>
              <w:t>Review Methodology</w:t>
            </w:r>
            <w:r w:rsidR="00660737">
              <w:rPr>
                <w:webHidden/>
              </w:rPr>
              <w:tab/>
            </w:r>
            <w:r w:rsidR="00660737">
              <w:rPr>
                <w:webHidden/>
              </w:rPr>
              <w:fldChar w:fldCharType="begin"/>
            </w:r>
            <w:r w:rsidR="00660737">
              <w:rPr>
                <w:webHidden/>
              </w:rPr>
              <w:instrText xml:space="preserve"> PAGEREF _Toc42075964 \h </w:instrText>
            </w:r>
            <w:r w:rsidR="00660737">
              <w:rPr>
                <w:webHidden/>
              </w:rPr>
            </w:r>
            <w:r w:rsidR="00660737">
              <w:rPr>
                <w:webHidden/>
              </w:rPr>
              <w:fldChar w:fldCharType="separate"/>
            </w:r>
            <w:r w:rsidR="005A1DC6">
              <w:rPr>
                <w:webHidden/>
              </w:rPr>
              <w:t>4</w:t>
            </w:r>
            <w:r w:rsidR="00660737">
              <w:rPr>
                <w:webHidden/>
              </w:rPr>
              <w:fldChar w:fldCharType="end"/>
            </w:r>
          </w:hyperlink>
        </w:p>
        <w:p w14:paraId="73CE51FE" w14:textId="520A6136" w:rsidR="00660737" w:rsidRPr="00F67121" w:rsidRDefault="009F64C0" w:rsidP="00660737">
          <w:pPr>
            <w:pStyle w:val="TOC1"/>
            <w:tabs>
              <w:tab w:val="left" w:pos="630"/>
            </w:tabs>
            <w:spacing w:before="0" w:line="240" w:lineRule="auto"/>
            <w:rPr>
              <w:rFonts w:eastAsiaTheme="minorEastAsia" w:cstheme="minorBidi"/>
              <w:b w:val="0"/>
              <w:bCs w:val="0"/>
              <w:noProof/>
              <w:lang w:eastAsia="en-AU"/>
            </w:rPr>
          </w:pPr>
          <w:hyperlink w:anchor="_Toc42075965" w:history="1">
            <w:r w:rsidR="00660737" w:rsidRPr="00F67121">
              <w:rPr>
                <w:rStyle w:val="Hyperlink"/>
                <w:b w:val="0"/>
                <w:bCs w:val="0"/>
                <w:noProof/>
                <w:sz w:val="18"/>
                <w:szCs w:val="18"/>
              </w:rPr>
              <w:t>2.1</w:t>
            </w:r>
            <w:r w:rsidR="00660737" w:rsidRPr="00F67121">
              <w:rPr>
                <w:rFonts w:eastAsiaTheme="minorEastAsia" w:cstheme="minorBidi"/>
                <w:b w:val="0"/>
                <w:bCs w:val="0"/>
                <w:noProof/>
                <w:lang w:eastAsia="en-AU"/>
              </w:rPr>
              <w:tab/>
            </w:r>
            <w:r w:rsidR="00660737" w:rsidRPr="00F67121">
              <w:rPr>
                <w:rStyle w:val="Hyperlink"/>
                <w:b w:val="0"/>
                <w:bCs w:val="0"/>
                <w:noProof/>
                <w:sz w:val="18"/>
                <w:szCs w:val="18"/>
              </w:rPr>
              <w:t>Limitations</w:t>
            </w:r>
            <w:r w:rsidR="00660737" w:rsidRPr="00F67121">
              <w:rPr>
                <w:b w:val="0"/>
                <w:bCs w:val="0"/>
                <w:noProof/>
                <w:webHidden/>
                <w:sz w:val="18"/>
                <w:szCs w:val="18"/>
              </w:rPr>
              <w:tab/>
            </w:r>
            <w:r w:rsidR="00660737" w:rsidRPr="00F67121">
              <w:rPr>
                <w:b w:val="0"/>
                <w:bCs w:val="0"/>
                <w:noProof/>
                <w:webHidden/>
                <w:sz w:val="18"/>
                <w:szCs w:val="18"/>
              </w:rPr>
              <w:fldChar w:fldCharType="begin"/>
            </w:r>
            <w:r w:rsidR="00660737" w:rsidRPr="00F67121">
              <w:rPr>
                <w:b w:val="0"/>
                <w:bCs w:val="0"/>
                <w:noProof/>
                <w:webHidden/>
                <w:sz w:val="18"/>
                <w:szCs w:val="18"/>
              </w:rPr>
              <w:instrText xml:space="preserve"> PAGEREF _Toc42075965 \h </w:instrText>
            </w:r>
            <w:r w:rsidR="00660737" w:rsidRPr="00F67121">
              <w:rPr>
                <w:b w:val="0"/>
                <w:bCs w:val="0"/>
                <w:noProof/>
                <w:webHidden/>
                <w:sz w:val="18"/>
                <w:szCs w:val="18"/>
              </w:rPr>
            </w:r>
            <w:r w:rsidR="00660737" w:rsidRPr="00F67121">
              <w:rPr>
                <w:b w:val="0"/>
                <w:bCs w:val="0"/>
                <w:noProof/>
                <w:webHidden/>
                <w:sz w:val="18"/>
                <w:szCs w:val="18"/>
              </w:rPr>
              <w:fldChar w:fldCharType="separate"/>
            </w:r>
            <w:r w:rsidR="005A1DC6">
              <w:rPr>
                <w:b w:val="0"/>
                <w:bCs w:val="0"/>
                <w:noProof/>
                <w:webHidden/>
                <w:sz w:val="18"/>
                <w:szCs w:val="18"/>
              </w:rPr>
              <w:t>4</w:t>
            </w:r>
            <w:r w:rsidR="00660737" w:rsidRPr="00F67121">
              <w:rPr>
                <w:b w:val="0"/>
                <w:bCs w:val="0"/>
                <w:noProof/>
                <w:webHidden/>
                <w:sz w:val="18"/>
                <w:szCs w:val="18"/>
              </w:rPr>
              <w:fldChar w:fldCharType="end"/>
            </w:r>
          </w:hyperlink>
        </w:p>
        <w:p w14:paraId="4D2C7130" w14:textId="3764DFA5" w:rsidR="00660737" w:rsidRPr="00F67121" w:rsidRDefault="009F64C0" w:rsidP="00660737">
          <w:pPr>
            <w:pStyle w:val="TOC1"/>
            <w:tabs>
              <w:tab w:val="left" w:pos="630"/>
            </w:tabs>
            <w:spacing w:before="0" w:line="240" w:lineRule="auto"/>
            <w:rPr>
              <w:rFonts w:eastAsiaTheme="minorEastAsia" w:cstheme="minorBidi"/>
              <w:b w:val="0"/>
              <w:bCs w:val="0"/>
              <w:noProof/>
              <w:lang w:eastAsia="en-AU"/>
            </w:rPr>
          </w:pPr>
          <w:hyperlink w:anchor="_Toc42075966" w:history="1">
            <w:r w:rsidR="00660737" w:rsidRPr="00F67121">
              <w:rPr>
                <w:rStyle w:val="Hyperlink"/>
                <w:b w:val="0"/>
                <w:bCs w:val="0"/>
                <w:noProof/>
                <w:sz w:val="18"/>
                <w:szCs w:val="18"/>
              </w:rPr>
              <w:t>2.2</w:t>
            </w:r>
            <w:r w:rsidR="00660737" w:rsidRPr="00F67121">
              <w:rPr>
                <w:rFonts w:eastAsiaTheme="minorEastAsia" w:cstheme="minorBidi"/>
                <w:b w:val="0"/>
                <w:bCs w:val="0"/>
                <w:noProof/>
                <w:lang w:eastAsia="en-AU"/>
              </w:rPr>
              <w:tab/>
            </w:r>
            <w:r w:rsidR="00660737" w:rsidRPr="00F67121">
              <w:rPr>
                <w:rStyle w:val="Hyperlink"/>
                <w:b w:val="0"/>
                <w:bCs w:val="0"/>
                <w:noProof/>
                <w:sz w:val="18"/>
                <w:szCs w:val="18"/>
              </w:rPr>
              <w:t>Report Structure</w:t>
            </w:r>
            <w:r w:rsidR="00660737" w:rsidRPr="00F67121">
              <w:rPr>
                <w:b w:val="0"/>
                <w:bCs w:val="0"/>
                <w:noProof/>
                <w:webHidden/>
                <w:sz w:val="18"/>
                <w:szCs w:val="18"/>
              </w:rPr>
              <w:tab/>
            </w:r>
            <w:r w:rsidR="00660737" w:rsidRPr="00F67121">
              <w:rPr>
                <w:b w:val="0"/>
                <w:bCs w:val="0"/>
                <w:noProof/>
                <w:webHidden/>
                <w:sz w:val="18"/>
                <w:szCs w:val="18"/>
              </w:rPr>
              <w:fldChar w:fldCharType="begin"/>
            </w:r>
            <w:r w:rsidR="00660737" w:rsidRPr="00F67121">
              <w:rPr>
                <w:b w:val="0"/>
                <w:bCs w:val="0"/>
                <w:noProof/>
                <w:webHidden/>
                <w:sz w:val="18"/>
                <w:szCs w:val="18"/>
              </w:rPr>
              <w:instrText xml:space="preserve"> PAGEREF _Toc42075966 \h </w:instrText>
            </w:r>
            <w:r w:rsidR="00660737" w:rsidRPr="00F67121">
              <w:rPr>
                <w:b w:val="0"/>
                <w:bCs w:val="0"/>
                <w:noProof/>
                <w:webHidden/>
                <w:sz w:val="18"/>
                <w:szCs w:val="18"/>
              </w:rPr>
            </w:r>
            <w:r w:rsidR="00660737" w:rsidRPr="00F67121">
              <w:rPr>
                <w:b w:val="0"/>
                <w:bCs w:val="0"/>
                <w:noProof/>
                <w:webHidden/>
                <w:sz w:val="18"/>
                <w:szCs w:val="18"/>
              </w:rPr>
              <w:fldChar w:fldCharType="separate"/>
            </w:r>
            <w:r w:rsidR="005A1DC6">
              <w:rPr>
                <w:b w:val="0"/>
                <w:bCs w:val="0"/>
                <w:noProof/>
                <w:webHidden/>
                <w:sz w:val="18"/>
                <w:szCs w:val="18"/>
              </w:rPr>
              <w:t>5</w:t>
            </w:r>
            <w:r w:rsidR="00660737" w:rsidRPr="00F67121">
              <w:rPr>
                <w:b w:val="0"/>
                <w:bCs w:val="0"/>
                <w:noProof/>
                <w:webHidden/>
                <w:sz w:val="18"/>
                <w:szCs w:val="18"/>
              </w:rPr>
              <w:fldChar w:fldCharType="end"/>
            </w:r>
          </w:hyperlink>
        </w:p>
        <w:p w14:paraId="3CFF1847" w14:textId="4C954E09" w:rsidR="00660737" w:rsidRDefault="009F64C0" w:rsidP="00F67121">
          <w:pPr>
            <w:pStyle w:val="TOC2"/>
            <w:rPr>
              <w:rFonts w:asciiTheme="minorHAnsi" w:eastAsiaTheme="minorEastAsia" w:hAnsiTheme="minorHAnsi" w:cstheme="minorBidi"/>
              <w:sz w:val="22"/>
              <w:szCs w:val="22"/>
              <w:lang w:eastAsia="en-AU"/>
            </w:rPr>
          </w:pPr>
          <w:hyperlink w:anchor="_Toc42075967" w:history="1">
            <w:r w:rsidR="00660737" w:rsidRPr="002512C5">
              <w:rPr>
                <w:rStyle w:val="Hyperlink"/>
              </w:rPr>
              <w:t>3.</w:t>
            </w:r>
            <w:r w:rsidR="00660737">
              <w:rPr>
                <w:rFonts w:asciiTheme="minorHAnsi" w:eastAsiaTheme="minorEastAsia" w:hAnsiTheme="minorHAnsi" w:cstheme="minorBidi"/>
                <w:sz w:val="22"/>
                <w:szCs w:val="22"/>
                <w:lang w:eastAsia="en-AU"/>
              </w:rPr>
              <w:tab/>
            </w:r>
            <w:r w:rsidR="00660737" w:rsidRPr="002512C5">
              <w:rPr>
                <w:rStyle w:val="Hyperlink"/>
              </w:rPr>
              <w:t>Analysis and Findings</w:t>
            </w:r>
            <w:r w:rsidR="00660737">
              <w:rPr>
                <w:webHidden/>
              </w:rPr>
              <w:tab/>
            </w:r>
            <w:r w:rsidR="00660737">
              <w:rPr>
                <w:webHidden/>
              </w:rPr>
              <w:fldChar w:fldCharType="begin"/>
            </w:r>
            <w:r w:rsidR="00660737">
              <w:rPr>
                <w:webHidden/>
              </w:rPr>
              <w:instrText xml:space="preserve"> PAGEREF _Toc42075967 \h </w:instrText>
            </w:r>
            <w:r w:rsidR="00660737">
              <w:rPr>
                <w:webHidden/>
              </w:rPr>
            </w:r>
            <w:r w:rsidR="00660737">
              <w:rPr>
                <w:webHidden/>
              </w:rPr>
              <w:fldChar w:fldCharType="separate"/>
            </w:r>
            <w:r w:rsidR="005A1DC6">
              <w:rPr>
                <w:webHidden/>
              </w:rPr>
              <w:t>5</w:t>
            </w:r>
            <w:r w:rsidR="00660737">
              <w:rPr>
                <w:webHidden/>
              </w:rPr>
              <w:fldChar w:fldCharType="end"/>
            </w:r>
          </w:hyperlink>
        </w:p>
        <w:p w14:paraId="21532D78" w14:textId="2D3CA6D1" w:rsidR="00660737" w:rsidRPr="00F67121" w:rsidRDefault="009F64C0" w:rsidP="00F67121">
          <w:pPr>
            <w:pStyle w:val="TOC1"/>
            <w:tabs>
              <w:tab w:val="left" w:pos="630"/>
            </w:tabs>
            <w:spacing w:before="0"/>
            <w:ind w:left="630" w:hanging="630"/>
            <w:rPr>
              <w:rFonts w:eastAsiaTheme="minorEastAsia" w:cstheme="minorBidi"/>
              <w:b w:val="0"/>
              <w:bCs w:val="0"/>
              <w:noProof/>
              <w:lang w:eastAsia="en-AU"/>
            </w:rPr>
          </w:pPr>
          <w:hyperlink w:anchor="_Toc42075968" w:history="1">
            <w:r w:rsidR="00660737" w:rsidRPr="00F67121">
              <w:rPr>
                <w:rStyle w:val="Hyperlink"/>
                <w:rFonts w:eastAsia="Calibri"/>
                <w:b w:val="0"/>
                <w:bCs w:val="0"/>
                <w:noProof/>
                <w:sz w:val="18"/>
                <w:szCs w:val="18"/>
              </w:rPr>
              <w:t>3.1</w:t>
            </w:r>
            <w:r w:rsidR="00660737" w:rsidRPr="00F67121">
              <w:rPr>
                <w:rFonts w:eastAsiaTheme="minorEastAsia" w:cstheme="minorBidi"/>
                <w:b w:val="0"/>
                <w:bCs w:val="0"/>
                <w:noProof/>
                <w:lang w:eastAsia="en-AU"/>
              </w:rPr>
              <w:tab/>
            </w:r>
            <w:r w:rsidR="00660737" w:rsidRPr="00F67121">
              <w:rPr>
                <w:rStyle w:val="Hyperlink"/>
                <w:rFonts w:eastAsia="Calibri"/>
                <w:b w:val="0"/>
                <w:bCs w:val="0"/>
                <w:noProof/>
                <w:sz w:val="18"/>
                <w:szCs w:val="18"/>
              </w:rPr>
              <w:t>Effectiveness of the grants in improving literacy and numeracy against the agreed outcomes and targets for girls, including boys and children with disabilities (KRQ 1)</w:t>
            </w:r>
            <w:r w:rsidR="00660737" w:rsidRPr="00F67121">
              <w:rPr>
                <w:b w:val="0"/>
                <w:bCs w:val="0"/>
                <w:noProof/>
                <w:webHidden/>
                <w:sz w:val="18"/>
                <w:szCs w:val="18"/>
              </w:rPr>
              <w:tab/>
            </w:r>
            <w:r w:rsidR="00660737" w:rsidRPr="00F67121">
              <w:rPr>
                <w:b w:val="0"/>
                <w:bCs w:val="0"/>
                <w:noProof/>
                <w:webHidden/>
                <w:sz w:val="18"/>
                <w:szCs w:val="18"/>
              </w:rPr>
              <w:fldChar w:fldCharType="begin"/>
            </w:r>
            <w:r w:rsidR="00660737" w:rsidRPr="00F67121">
              <w:rPr>
                <w:b w:val="0"/>
                <w:bCs w:val="0"/>
                <w:noProof/>
                <w:webHidden/>
                <w:sz w:val="18"/>
                <w:szCs w:val="18"/>
              </w:rPr>
              <w:instrText xml:space="preserve"> PAGEREF _Toc42075968 \h </w:instrText>
            </w:r>
            <w:r w:rsidR="00660737" w:rsidRPr="00F67121">
              <w:rPr>
                <w:b w:val="0"/>
                <w:bCs w:val="0"/>
                <w:noProof/>
                <w:webHidden/>
                <w:sz w:val="18"/>
                <w:szCs w:val="18"/>
              </w:rPr>
            </w:r>
            <w:r w:rsidR="00660737" w:rsidRPr="00F67121">
              <w:rPr>
                <w:b w:val="0"/>
                <w:bCs w:val="0"/>
                <w:noProof/>
                <w:webHidden/>
                <w:sz w:val="18"/>
                <w:szCs w:val="18"/>
              </w:rPr>
              <w:fldChar w:fldCharType="separate"/>
            </w:r>
            <w:r w:rsidR="005A1DC6">
              <w:rPr>
                <w:b w:val="0"/>
                <w:bCs w:val="0"/>
                <w:noProof/>
                <w:webHidden/>
                <w:sz w:val="18"/>
                <w:szCs w:val="18"/>
              </w:rPr>
              <w:t>5</w:t>
            </w:r>
            <w:r w:rsidR="00660737" w:rsidRPr="00F67121">
              <w:rPr>
                <w:b w:val="0"/>
                <w:bCs w:val="0"/>
                <w:noProof/>
                <w:webHidden/>
                <w:sz w:val="18"/>
                <w:szCs w:val="18"/>
              </w:rPr>
              <w:fldChar w:fldCharType="end"/>
            </w:r>
          </w:hyperlink>
        </w:p>
        <w:p w14:paraId="0F0407A0" w14:textId="105ED97B" w:rsidR="00660737" w:rsidRPr="00F67121" w:rsidRDefault="009F64C0" w:rsidP="00660737">
          <w:pPr>
            <w:pStyle w:val="TOC1"/>
            <w:tabs>
              <w:tab w:val="left" w:pos="630"/>
            </w:tabs>
            <w:spacing w:before="0"/>
            <w:rPr>
              <w:rFonts w:eastAsiaTheme="minorEastAsia" w:cstheme="minorBidi"/>
              <w:b w:val="0"/>
              <w:bCs w:val="0"/>
              <w:noProof/>
              <w:lang w:eastAsia="en-AU"/>
            </w:rPr>
          </w:pPr>
          <w:hyperlink w:anchor="_Toc42075969" w:history="1">
            <w:r w:rsidR="00660737" w:rsidRPr="00F67121">
              <w:rPr>
                <w:rStyle w:val="Hyperlink"/>
                <w:b w:val="0"/>
                <w:bCs w:val="0"/>
                <w:noProof/>
                <w:sz w:val="18"/>
                <w:szCs w:val="18"/>
              </w:rPr>
              <w:t>3.2</w:t>
            </w:r>
            <w:r w:rsidR="00660737" w:rsidRPr="00F67121">
              <w:rPr>
                <w:rFonts w:eastAsiaTheme="minorEastAsia" w:cstheme="minorBidi"/>
                <w:b w:val="0"/>
                <w:bCs w:val="0"/>
                <w:noProof/>
                <w:lang w:eastAsia="en-AU"/>
              </w:rPr>
              <w:tab/>
            </w:r>
            <w:r w:rsidR="00660737" w:rsidRPr="00F67121">
              <w:rPr>
                <w:rStyle w:val="Hyperlink"/>
                <w:rFonts w:eastAsia="Calibri"/>
                <w:b w:val="0"/>
                <w:bCs w:val="0"/>
                <w:noProof/>
                <w:sz w:val="18"/>
                <w:szCs w:val="18"/>
              </w:rPr>
              <w:t>Effectiveness</w:t>
            </w:r>
            <w:r w:rsidR="00660737" w:rsidRPr="00F67121">
              <w:rPr>
                <w:rStyle w:val="Hyperlink"/>
                <w:b w:val="0"/>
                <w:bCs w:val="0"/>
                <w:noProof/>
                <w:sz w:val="18"/>
                <w:szCs w:val="18"/>
              </w:rPr>
              <w:t xml:space="preserve"> of the grant approaches in influencing (directly or indirectly) GoPNG policies (KRQ 2)</w:t>
            </w:r>
            <w:r w:rsidR="00660737" w:rsidRPr="00F67121">
              <w:rPr>
                <w:b w:val="0"/>
                <w:bCs w:val="0"/>
                <w:noProof/>
                <w:webHidden/>
                <w:sz w:val="18"/>
                <w:szCs w:val="18"/>
              </w:rPr>
              <w:tab/>
            </w:r>
            <w:r w:rsidR="00660737" w:rsidRPr="00F67121">
              <w:rPr>
                <w:b w:val="0"/>
                <w:bCs w:val="0"/>
                <w:noProof/>
                <w:webHidden/>
                <w:sz w:val="18"/>
                <w:szCs w:val="18"/>
              </w:rPr>
              <w:fldChar w:fldCharType="begin"/>
            </w:r>
            <w:r w:rsidR="00660737" w:rsidRPr="00F67121">
              <w:rPr>
                <w:b w:val="0"/>
                <w:bCs w:val="0"/>
                <w:noProof/>
                <w:webHidden/>
                <w:sz w:val="18"/>
                <w:szCs w:val="18"/>
              </w:rPr>
              <w:instrText xml:space="preserve"> PAGEREF _Toc42075969 \h </w:instrText>
            </w:r>
            <w:r w:rsidR="00660737" w:rsidRPr="00F67121">
              <w:rPr>
                <w:b w:val="0"/>
                <w:bCs w:val="0"/>
                <w:noProof/>
                <w:webHidden/>
                <w:sz w:val="18"/>
                <w:szCs w:val="18"/>
              </w:rPr>
            </w:r>
            <w:r w:rsidR="00660737" w:rsidRPr="00F67121">
              <w:rPr>
                <w:b w:val="0"/>
                <w:bCs w:val="0"/>
                <w:noProof/>
                <w:webHidden/>
                <w:sz w:val="18"/>
                <w:szCs w:val="18"/>
              </w:rPr>
              <w:fldChar w:fldCharType="separate"/>
            </w:r>
            <w:r w:rsidR="005A1DC6">
              <w:rPr>
                <w:b w:val="0"/>
                <w:bCs w:val="0"/>
                <w:noProof/>
                <w:webHidden/>
                <w:sz w:val="18"/>
                <w:szCs w:val="18"/>
              </w:rPr>
              <w:t>13</w:t>
            </w:r>
            <w:r w:rsidR="00660737" w:rsidRPr="00F67121">
              <w:rPr>
                <w:b w:val="0"/>
                <w:bCs w:val="0"/>
                <w:noProof/>
                <w:webHidden/>
                <w:sz w:val="18"/>
                <w:szCs w:val="18"/>
              </w:rPr>
              <w:fldChar w:fldCharType="end"/>
            </w:r>
          </w:hyperlink>
        </w:p>
        <w:p w14:paraId="28A52CFD" w14:textId="17B2489E" w:rsidR="00660737" w:rsidRPr="00F67121" w:rsidRDefault="009F64C0" w:rsidP="00F67121">
          <w:pPr>
            <w:pStyle w:val="TOC1"/>
            <w:tabs>
              <w:tab w:val="left" w:pos="630"/>
            </w:tabs>
            <w:spacing w:before="0"/>
            <w:ind w:left="630" w:hanging="630"/>
            <w:rPr>
              <w:rFonts w:eastAsiaTheme="minorEastAsia" w:cstheme="minorBidi"/>
              <w:b w:val="0"/>
              <w:bCs w:val="0"/>
              <w:noProof/>
              <w:lang w:eastAsia="en-AU"/>
            </w:rPr>
          </w:pPr>
          <w:hyperlink w:anchor="_Toc42075970" w:history="1">
            <w:r w:rsidR="00660737" w:rsidRPr="00F67121">
              <w:rPr>
                <w:rStyle w:val="Hyperlink"/>
                <w:b w:val="0"/>
                <w:bCs w:val="0"/>
                <w:noProof/>
                <w:sz w:val="18"/>
                <w:szCs w:val="18"/>
              </w:rPr>
              <w:t>3.3</w:t>
            </w:r>
            <w:r w:rsidR="00660737" w:rsidRPr="00F67121">
              <w:rPr>
                <w:rFonts w:eastAsiaTheme="minorEastAsia" w:cstheme="minorBidi"/>
                <w:b w:val="0"/>
                <w:bCs w:val="0"/>
                <w:noProof/>
                <w:lang w:eastAsia="en-AU"/>
              </w:rPr>
              <w:tab/>
            </w:r>
            <w:r w:rsidR="00660737" w:rsidRPr="00F67121">
              <w:rPr>
                <w:rStyle w:val="Hyperlink"/>
                <w:b w:val="0"/>
                <w:bCs w:val="0"/>
                <w:noProof/>
                <w:sz w:val="18"/>
                <w:szCs w:val="18"/>
              </w:rPr>
              <w:t>Extent to which the monitoring and evaluation systems are adequately measuring implementation progress towards outcomes and supporting reporting and learning (KRQ 3)</w:t>
            </w:r>
            <w:r w:rsidR="00660737" w:rsidRPr="00F67121">
              <w:rPr>
                <w:b w:val="0"/>
                <w:bCs w:val="0"/>
                <w:noProof/>
                <w:webHidden/>
                <w:sz w:val="18"/>
                <w:szCs w:val="18"/>
              </w:rPr>
              <w:tab/>
            </w:r>
            <w:r w:rsidR="00660737" w:rsidRPr="00F67121">
              <w:rPr>
                <w:b w:val="0"/>
                <w:bCs w:val="0"/>
                <w:noProof/>
                <w:webHidden/>
                <w:sz w:val="18"/>
                <w:szCs w:val="18"/>
              </w:rPr>
              <w:fldChar w:fldCharType="begin"/>
            </w:r>
            <w:r w:rsidR="00660737" w:rsidRPr="00F67121">
              <w:rPr>
                <w:b w:val="0"/>
                <w:bCs w:val="0"/>
                <w:noProof/>
                <w:webHidden/>
                <w:sz w:val="18"/>
                <w:szCs w:val="18"/>
              </w:rPr>
              <w:instrText xml:space="preserve"> PAGEREF _Toc42075970 \h </w:instrText>
            </w:r>
            <w:r w:rsidR="00660737" w:rsidRPr="00F67121">
              <w:rPr>
                <w:b w:val="0"/>
                <w:bCs w:val="0"/>
                <w:noProof/>
                <w:webHidden/>
                <w:sz w:val="18"/>
                <w:szCs w:val="18"/>
              </w:rPr>
            </w:r>
            <w:r w:rsidR="00660737" w:rsidRPr="00F67121">
              <w:rPr>
                <w:b w:val="0"/>
                <w:bCs w:val="0"/>
                <w:noProof/>
                <w:webHidden/>
                <w:sz w:val="18"/>
                <w:szCs w:val="18"/>
              </w:rPr>
              <w:fldChar w:fldCharType="separate"/>
            </w:r>
            <w:r w:rsidR="005A1DC6">
              <w:rPr>
                <w:b w:val="0"/>
                <w:bCs w:val="0"/>
                <w:noProof/>
                <w:webHidden/>
                <w:sz w:val="18"/>
                <w:szCs w:val="18"/>
              </w:rPr>
              <w:t>16</w:t>
            </w:r>
            <w:r w:rsidR="00660737" w:rsidRPr="00F67121">
              <w:rPr>
                <w:b w:val="0"/>
                <w:bCs w:val="0"/>
                <w:noProof/>
                <w:webHidden/>
                <w:sz w:val="18"/>
                <w:szCs w:val="18"/>
              </w:rPr>
              <w:fldChar w:fldCharType="end"/>
            </w:r>
          </w:hyperlink>
        </w:p>
        <w:p w14:paraId="63BBB1A9" w14:textId="0D474D72" w:rsidR="00660737" w:rsidRPr="00F67121" w:rsidRDefault="009F64C0" w:rsidP="00660737">
          <w:pPr>
            <w:pStyle w:val="TOC1"/>
            <w:tabs>
              <w:tab w:val="left" w:pos="630"/>
            </w:tabs>
            <w:spacing w:before="0"/>
            <w:rPr>
              <w:rFonts w:eastAsiaTheme="minorEastAsia" w:cstheme="minorBidi"/>
              <w:b w:val="0"/>
              <w:bCs w:val="0"/>
              <w:noProof/>
              <w:lang w:eastAsia="en-AU"/>
            </w:rPr>
          </w:pPr>
          <w:hyperlink w:anchor="_Toc42075971" w:history="1">
            <w:r w:rsidR="00660737" w:rsidRPr="00F67121">
              <w:rPr>
                <w:rStyle w:val="Hyperlink"/>
                <w:b w:val="0"/>
                <w:bCs w:val="0"/>
                <w:noProof/>
                <w:sz w:val="18"/>
                <w:szCs w:val="18"/>
              </w:rPr>
              <w:t>3.4</w:t>
            </w:r>
            <w:r w:rsidR="00660737" w:rsidRPr="00F67121">
              <w:rPr>
                <w:rFonts w:eastAsiaTheme="minorEastAsia" w:cstheme="minorBidi"/>
                <w:b w:val="0"/>
                <w:bCs w:val="0"/>
                <w:noProof/>
                <w:lang w:eastAsia="en-AU"/>
              </w:rPr>
              <w:tab/>
            </w:r>
            <w:r w:rsidR="00660737" w:rsidRPr="00F67121">
              <w:rPr>
                <w:rStyle w:val="Hyperlink"/>
                <w:b w:val="0"/>
                <w:bCs w:val="0"/>
                <w:noProof/>
                <w:sz w:val="18"/>
                <w:szCs w:val="18"/>
              </w:rPr>
              <w:t>Extent to which the grant projects are being implemented efficiently (KRQ 4)</w:t>
            </w:r>
            <w:r w:rsidR="00660737" w:rsidRPr="00F67121">
              <w:rPr>
                <w:b w:val="0"/>
                <w:bCs w:val="0"/>
                <w:noProof/>
                <w:webHidden/>
                <w:sz w:val="18"/>
                <w:szCs w:val="18"/>
              </w:rPr>
              <w:tab/>
            </w:r>
            <w:r w:rsidR="00660737" w:rsidRPr="00F67121">
              <w:rPr>
                <w:b w:val="0"/>
                <w:bCs w:val="0"/>
                <w:noProof/>
                <w:webHidden/>
                <w:sz w:val="18"/>
                <w:szCs w:val="18"/>
              </w:rPr>
              <w:fldChar w:fldCharType="begin"/>
            </w:r>
            <w:r w:rsidR="00660737" w:rsidRPr="00F67121">
              <w:rPr>
                <w:b w:val="0"/>
                <w:bCs w:val="0"/>
                <w:noProof/>
                <w:webHidden/>
                <w:sz w:val="18"/>
                <w:szCs w:val="18"/>
              </w:rPr>
              <w:instrText xml:space="preserve"> PAGEREF _Toc42075971 \h </w:instrText>
            </w:r>
            <w:r w:rsidR="00660737" w:rsidRPr="00F67121">
              <w:rPr>
                <w:b w:val="0"/>
                <w:bCs w:val="0"/>
                <w:noProof/>
                <w:webHidden/>
                <w:sz w:val="18"/>
                <w:szCs w:val="18"/>
              </w:rPr>
            </w:r>
            <w:r w:rsidR="00660737" w:rsidRPr="00F67121">
              <w:rPr>
                <w:b w:val="0"/>
                <w:bCs w:val="0"/>
                <w:noProof/>
                <w:webHidden/>
                <w:sz w:val="18"/>
                <w:szCs w:val="18"/>
              </w:rPr>
              <w:fldChar w:fldCharType="separate"/>
            </w:r>
            <w:r w:rsidR="005A1DC6">
              <w:rPr>
                <w:b w:val="0"/>
                <w:bCs w:val="0"/>
                <w:noProof/>
                <w:webHidden/>
                <w:sz w:val="18"/>
                <w:szCs w:val="18"/>
              </w:rPr>
              <w:t>22</w:t>
            </w:r>
            <w:r w:rsidR="00660737" w:rsidRPr="00F67121">
              <w:rPr>
                <w:b w:val="0"/>
                <w:bCs w:val="0"/>
                <w:noProof/>
                <w:webHidden/>
                <w:sz w:val="18"/>
                <w:szCs w:val="18"/>
              </w:rPr>
              <w:fldChar w:fldCharType="end"/>
            </w:r>
          </w:hyperlink>
        </w:p>
        <w:p w14:paraId="329B92BC" w14:textId="1843C349" w:rsidR="00660737" w:rsidRPr="00F67121" w:rsidRDefault="009F64C0" w:rsidP="00660737">
          <w:pPr>
            <w:pStyle w:val="TOC1"/>
            <w:tabs>
              <w:tab w:val="left" w:pos="630"/>
            </w:tabs>
            <w:spacing w:before="0"/>
            <w:rPr>
              <w:rFonts w:eastAsiaTheme="minorEastAsia" w:cstheme="minorBidi"/>
              <w:b w:val="0"/>
              <w:bCs w:val="0"/>
              <w:noProof/>
              <w:lang w:eastAsia="en-AU"/>
            </w:rPr>
          </w:pPr>
          <w:hyperlink w:anchor="_Toc42075972" w:history="1">
            <w:r w:rsidR="00660737" w:rsidRPr="00F67121">
              <w:rPr>
                <w:rStyle w:val="Hyperlink"/>
                <w:b w:val="0"/>
                <w:bCs w:val="0"/>
                <w:noProof/>
                <w:sz w:val="18"/>
                <w:szCs w:val="18"/>
              </w:rPr>
              <w:t>3.5</w:t>
            </w:r>
            <w:r w:rsidR="00660737" w:rsidRPr="00F67121">
              <w:rPr>
                <w:rFonts w:eastAsiaTheme="minorEastAsia" w:cstheme="minorBidi"/>
                <w:b w:val="0"/>
                <w:bCs w:val="0"/>
                <w:noProof/>
                <w:lang w:eastAsia="en-AU"/>
              </w:rPr>
              <w:tab/>
            </w:r>
            <w:r w:rsidR="00660737" w:rsidRPr="00F67121">
              <w:rPr>
                <w:rStyle w:val="Hyperlink"/>
                <w:b w:val="0"/>
                <w:bCs w:val="0"/>
                <w:noProof/>
                <w:sz w:val="18"/>
                <w:szCs w:val="18"/>
              </w:rPr>
              <w:t>Extent to which grant approaches and practices have been institutionalised and/or are likely to be sustained (KRQ 5)</w:t>
            </w:r>
            <w:r w:rsidR="00660737" w:rsidRPr="00F67121">
              <w:rPr>
                <w:b w:val="0"/>
                <w:bCs w:val="0"/>
                <w:noProof/>
                <w:webHidden/>
                <w:sz w:val="18"/>
                <w:szCs w:val="18"/>
              </w:rPr>
              <w:tab/>
            </w:r>
            <w:r w:rsidR="00660737" w:rsidRPr="00F67121">
              <w:rPr>
                <w:b w:val="0"/>
                <w:bCs w:val="0"/>
                <w:noProof/>
                <w:webHidden/>
                <w:sz w:val="18"/>
                <w:szCs w:val="18"/>
              </w:rPr>
              <w:fldChar w:fldCharType="begin"/>
            </w:r>
            <w:r w:rsidR="00660737" w:rsidRPr="00F67121">
              <w:rPr>
                <w:b w:val="0"/>
                <w:bCs w:val="0"/>
                <w:noProof/>
                <w:webHidden/>
                <w:sz w:val="18"/>
                <w:szCs w:val="18"/>
              </w:rPr>
              <w:instrText xml:space="preserve"> PAGEREF _Toc42075972 \h </w:instrText>
            </w:r>
            <w:r w:rsidR="00660737" w:rsidRPr="00F67121">
              <w:rPr>
                <w:b w:val="0"/>
                <w:bCs w:val="0"/>
                <w:noProof/>
                <w:webHidden/>
                <w:sz w:val="18"/>
                <w:szCs w:val="18"/>
              </w:rPr>
            </w:r>
            <w:r w:rsidR="00660737" w:rsidRPr="00F67121">
              <w:rPr>
                <w:b w:val="0"/>
                <w:bCs w:val="0"/>
                <w:noProof/>
                <w:webHidden/>
                <w:sz w:val="18"/>
                <w:szCs w:val="18"/>
              </w:rPr>
              <w:fldChar w:fldCharType="separate"/>
            </w:r>
            <w:r w:rsidR="005A1DC6">
              <w:rPr>
                <w:b w:val="0"/>
                <w:bCs w:val="0"/>
                <w:noProof/>
                <w:webHidden/>
                <w:sz w:val="18"/>
                <w:szCs w:val="18"/>
              </w:rPr>
              <w:t>24</w:t>
            </w:r>
            <w:r w:rsidR="00660737" w:rsidRPr="00F67121">
              <w:rPr>
                <w:b w:val="0"/>
                <w:bCs w:val="0"/>
                <w:noProof/>
                <w:webHidden/>
                <w:sz w:val="18"/>
                <w:szCs w:val="18"/>
              </w:rPr>
              <w:fldChar w:fldCharType="end"/>
            </w:r>
          </w:hyperlink>
        </w:p>
        <w:p w14:paraId="1559172F" w14:textId="572384FF" w:rsidR="00660737" w:rsidRPr="00F67121" w:rsidRDefault="009F64C0" w:rsidP="00F67121">
          <w:pPr>
            <w:pStyle w:val="TOC1"/>
            <w:tabs>
              <w:tab w:val="left" w:pos="630"/>
            </w:tabs>
            <w:spacing w:before="0"/>
            <w:ind w:left="630" w:hanging="630"/>
            <w:rPr>
              <w:rFonts w:eastAsiaTheme="minorEastAsia" w:cstheme="minorBidi"/>
              <w:b w:val="0"/>
              <w:bCs w:val="0"/>
              <w:noProof/>
              <w:lang w:eastAsia="en-AU"/>
            </w:rPr>
          </w:pPr>
          <w:hyperlink w:anchor="_Toc42075973" w:history="1">
            <w:r w:rsidR="00660737" w:rsidRPr="00F67121">
              <w:rPr>
                <w:rStyle w:val="Hyperlink"/>
                <w:b w:val="0"/>
                <w:bCs w:val="0"/>
                <w:noProof/>
                <w:sz w:val="18"/>
                <w:szCs w:val="18"/>
              </w:rPr>
              <w:t>3.6</w:t>
            </w:r>
            <w:r w:rsidR="00660737" w:rsidRPr="00F67121">
              <w:rPr>
                <w:rFonts w:eastAsiaTheme="minorEastAsia" w:cstheme="minorBidi"/>
                <w:b w:val="0"/>
                <w:bCs w:val="0"/>
                <w:noProof/>
                <w:lang w:eastAsia="en-AU"/>
              </w:rPr>
              <w:tab/>
            </w:r>
            <w:r w:rsidR="00660737" w:rsidRPr="00F67121">
              <w:rPr>
                <w:rStyle w:val="Hyperlink"/>
                <w:b w:val="0"/>
                <w:bCs w:val="0"/>
                <w:noProof/>
                <w:sz w:val="18"/>
                <w:szCs w:val="18"/>
              </w:rPr>
              <w:t>Lessons from the implementation of the grants can contribute to future Australia investments in early grades education in PNG (KRQ 6)</w:t>
            </w:r>
            <w:r w:rsidR="00660737" w:rsidRPr="00F67121">
              <w:rPr>
                <w:b w:val="0"/>
                <w:bCs w:val="0"/>
                <w:noProof/>
                <w:webHidden/>
                <w:sz w:val="18"/>
                <w:szCs w:val="18"/>
              </w:rPr>
              <w:tab/>
            </w:r>
            <w:r w:rsidR="00660737" w:rsidRPr="00F67121">
              <w:rPr>
                <w:b w:val="0"/>
                <w:bCs w:val="0"/>
                <w:noProof/>
                <w:webHidden/>
                <w:sz w:val="18"/>
                <w:szCs w:val="18"/>
              </w:rPr>
              <w:fldChar w:fldCharType="begin"/>
            </w:r>
            <w:r w:rsidR="00660737" w:rsidRPr="00F67121">
              <w:rPr>
                <w:b w:val="0"/>
                <w:bCs w:val="0"/>
                <w:noProof/>
                <w:webHidden/>
                <w:sz w:val="18"/>
                <w:szCs w:val="18"/>
              </w:rPr>
              <w:instrText xml:space="preserve"> PAGEREF _Toc42075973 \h </w:instrText>
            </w:r>
            <w:r w:rsidR="00660737" w:rsidRPr="00F67121">
              <w:rPr>
                <w:b w:val="0"/>
                <w:bCs w:val="0"/>
                <w:noProof/>
                <w:webHidden/>
                <w:sz w:val="18"/>
                <w:szCs w:val="18"/>
              </w:rPr>
            </w:r>
            <w:r w:rsidR="00660737" w:rsidRPr="00F67121">
              <w:rPr>
                <w:b w:val="0"/>
                <w:bCs w:val="0"/>
                <w:noProof/>
                <w:webHidden/>
                <w:sz w:val="18"/>
                <w:szCs w:val="18"/>
              </w:rPr>
              <w:fldChar w:fldCharType="separate"/>
            </w:r>
            <w:r w:rsidR="005A1DC6">
              <w:rPr>
                <w:b w:val="0"/>
                <w:bCs w:val="0"/>
                <w:noProof/>
                <w:webHidden/>
                <w:sz w:val="18"/>
                <w:szCs w:val="18"/>
              </w:rPr>
              <w:t>26</w:t>
            </w:r>
            <w:r w:rsidR="00660737" w:rsidRPr="00F67121">
              <w:rPr>
                <w:b w:val="0"/>
                <w:bCs w:val="0"/>
                <w:noProof/>
                <w:webHidden/>
                <w:sz w:val="18"/>
                <w:szCs w:val="18"/>
              </w:rPr>
              <w:fldChar w:fldCharType="end"/>
            </w:r>
          </w:hyperlink>
        </w:p>
        <w:p w14:paraId="15DB143C" w14:textId="150CB425" w:rsidR="00660737" w:rsidRDefault="009F64C0" w:rsidP="00F67121">
          <w:pPr>
            <w:pStyle w:val="TOC2"/>
            <w:rPr>
              <w:rFonts w:asciiTheme="minorHAnsi" w:eastAsiaTheme="minorEastAsia" w:hAnsiTheme="minorHAnsi" w:cstheme="minorBidi"/>
              <w:sz w:val="22"/>
              <w:szCs w:val="22"/>
              <w:lang w:eastAsia="en-AU"/>
            </w:rPr>
          </w:pPr>
          <w:hyperlink w:anchor="_Toc42075974" w:history="1">
            <w:r w:rsidR="00660737" w:rsidRPr="002512C5">
              <w:rPr>
                <w:rStyle w:val="Hyperlink"/>
              </w:rPr>
              <w:t>4</w:t>
            </w:r>
            <w:r w:rsidR="00660737">
              <w:rPr>
                <w:rFonts w:asciiTheme="minorHAnsi" w:eastAsiaTheme="minorEastAsia" w:hAnsiTheme="minorHAnsi" w:cstheme="minorBidi"/>
                <w:sz w:val="22"/>
                <w:szCs w:val="22"/>
                <w:lang w:eastAsia="en-AU"/>
              </w:rPr>
              <w:tab/>
            </w:r>
            <w:r w:rsidR="00660737" w:rsidRPr="002512C5">
              <w:rPr>
                <w:rStyle w:val="Hyperlink"/>
              </w:rPr>
              <w:t>Summary of Lessons Learnt</w:t>
            </w:r>
            <w:r w:rsidR="00660737">
              <w:rPr>
                <w:webHidden/>
              </w:rPr>
              <w:tab/>
            </w:r>
            <w:r w:rsidR="00660737">
              <w:rPr>
                <w:webHidden/>
              </w:rPr>
              <w:fldChar w:fldCharType="begin"/>
            </w:r>
            <w:r w:rsidR="00660737">
              <w:rPr>
                <w:webHidden/>
              </w:rPr>
              <w:instrText xml:space="preserve"> PAGEREF _Toc42075974 \h </w:instrText>
            </w:r>
            <w:r w:rsidR="00660737">
              <w:rPr>
                <w:webHidden/>
              </w:rPr>
            </w:r>
            <w:r w:rsidR="00660737">
              <w:rPr>
                <w:webHidden/>
              </w:rPr>
              <w:fldChar w:fldCharType="separate"/>
            </w:r>
            <w:r w:rsidR="005A1DC6">
              <w:rPr>
                <w:webHidden/>
              </w:rPr>
              <w:t>30</w:t>
            </w:r>
            <w:r w:rsidR="00660737">
              <w:rPr>
                <w:webHidden/>
              </w:rPr>
              <w:fldChar w:fldCharType="end"/>
            </w:r>
          </w:hyperlink>
        </w:p>
        <w:p w14:paraId="10A3F114" w14:textId="786E40C5" w:rsidR="00660737" w:rsidRDefault="009F64C0" w:rsidP="00F67121">
          <w:pPr>
            <w:pStyle w:val="TOC2"/>
            <w:rPr>
              <w:rFonts w:asciiTheme="minorHAnsi" w:eastAsiaTheme="minorEastAsia" w:hAnsiTheme="minorHAnsi" w:cstheme="minorBidi"/>
              <w:sz w:val="22"/>
              <w:szCs w:val="22"/>
              <w:lang w:eastAsia="en-AU"/>
            </w:rPr>
          </w:pPr>
          <w:hyperlink w:anchor="_Toc42075975" w:history="1">
            <w:r w:rsidR="00660737" w:rsidRPr="002512C5">
              <w:rPr>
                <w:rStyle w:val="Hyperlink"/>
              </w:rPr>
              <w:t>5</w:t>
            </w:r>
            <w:r w:rsidR="00660737">
              <w:rPr>
                <w:rFonts w:asciiTheme="minorHAnsi" w:eastAsiaTheme="minorEastAsia" w:hAnsiTheme="minorHAnsi" w:cstheme="minorBidi"/>
                <w:sz w:val="22"/>
                <w:szCs w:val="22"/>
                <w:lang w:eastAsia="en-AU"/>
              </w:rPr>
              <w:tab/>
            </w:r>
            <w:r w:rsidR="00660737" w:rsidRPr="002512C5">
              <w:rPr>
                <w:rStyle w:val="Hyperlink"/>
              </w:rPr>
              <w:t>Moving Forward</w:t>
            </w:r>
            <w:r w:rsidR="00660737">
              <w:rPr>
                <w:webHidden/>
              </w:rPr>
              <w:tab/>
            </w:r>
            <w:r w:rsidR="00660737">
              <w:rPr>
                <w:webHidden/>
              </w:rPr>
              <w:fldChar w:fldCharType="begin"/>
            </w:r>
            <w:r w:rsidR="00660737">
              <w:rPr>
                <w:webHidden/>
              </w:rPr>
              <w:instrText xml:space="preserve"> PAGEREF _Toc42075975 \h </w:instrText>
            </w:r>
            <w:r w:rsidR="00660737">
              <w:rPr>
                <w:webHidden/>
              </w:rPr>
            </w:r>
            <w:r w:rsidR="00660737">
              <w:rPr>
                <w:webHidden/>
              </w:rPr>
              <w:fldChar w:fldCharType="separate"/>
            </w:r>
            <w:r w:rsidR="005A1DC6">
              <w:rPr>
                <w:webHidden/>
              </w:rPr>
              <w:t>31</w:t>
            </w:r>
            <w:r w:rsidR="00660737">
              <w:rPr>
                <w:webHidden/>
              </w:rPr>
              <w:fldChar w:fldCharType="end"/>
            </w:r>
          </w:hyperlink>
        </w:p>
        <w:p w14:paraId="7C645757" w14:textId="70164460" w:rsidR="00660737" w:rsidRPr="00F67121" w:rsidRDefault="009F64C0" w:rsidP="00660737">
          <w:pPr>
            <w:pStyle w:val="TOC1"/>
            <w:tabs>
              <w:tab w:val="left" w:pos="630"/>
            </w:tabs>
            <w:spacing w:before="0"/>
            <w:rPr>
              <w:rFonts w:eastAsiaTheme="minorEastAsia" w:cstheme="minorBidi"/>
              <w:b w:val="0"/>
              <w:bCs w:val="0"/>
              <w:noProof/>
              <w:lang w:eastAsia="en-AU"/>
            </w:rPr>
          </w:pPr>
          <w:hyperlink w:anchor="_Toc42075976" w:history="1">
            <w:r w:rsidR="00660737" w:rsidRPr="00F67121">
              <w:rPr>
                <w:rStyle w:val="Hyperlink"/>
                <w:b w:val="0"/>
                <w:bCs w:val="0"/>
                <w:noProof/>
                <w:sz w:val="18"/>
                <w:szCs w:val="18"/>
              </w:rPr>
              <w:t>5.1</w:t>
            </w:r>
            <w:r w:rsidR="00660737" w:rsidRPr="00F67121">
              <w:rPr>
                <w:rFonts w:eastAsiaTheme="minorEastAsia" w:cstheme="minorBidi"/>
                <w:b w:val="0"/>
                <w:bCs w:val="0"/>
                <w:noProof/>
                <w:lang w:eastAsia="en-AU"/>
              </w:rPr>
              <w:tab/>
            </w:r>
            <w:r w:rsidR="00660737" w:rsidRPr="00F67121">
              <w:rPr>
                <w:rStyle w:val="Hyperlink"/>
                <w:b w:val="0"/>
                <w:bCs w:val="0"/>
                <w:noProof/>
                <w:sz w:val="18"/>
                <w:szCs w:val="18"/>
              </w:rPr>
              <w:t>Proposed Immediate Next Steps</w:t>
            </w:r>
            <w:r w:rsidR="00660737" w:rsidRPr="00F67121">
              <w:rPr>
                <w:b w:val="0"/>
                <w:bCs w:val="0"/>
                <w:noProof/>
                <w:webHidden/>
                <w:sz w:val="18"/>
                <w:szCs w:val="18"/>
              </w:rPr>
              <w:tab/>
            </w:r>
            <w:r w:rsidR="00660737" w:rsidRPr="00F67121">
              <w:rPr>
                <w:b w:val="0"/>
                <w:bCs w:val="0"/>
                <w:noProof/>
                <w:webHidden/>
                <w:sz w:val="18"/>
                <w:szCs w:val="18"/>
              </w:rPr>
              <w:fldChar w:fldCharType="begin"/>
            </w:r>
            <w:r w:rsidR="00660737" w:rsidRPr="00F67121">
              <w:rPr>
                <w:b w:val="0"/>
                <w:bCs w:val="0"/>
                <w:noProof/>
                <w:webHidden/>
                <w:sz w:val="18"/>
                <w:szCs w:val="18"/>
              </w:rPr>
              <w:instrText xml:space="preserve"> PAGEREF _Toc42075976 \h </w:instrText>
            </w:r>
            <w:r w:rsidR="00660737" w:rsidRPr="00F67121">
              <w:rPr>
                <w:b w:val="0"/>
                <w:bCs w:val="0"/>
                <w:noProof/>
                <w:webHidden/>
                <w:sz w:val="18"/>
                <w:szCs w:val="18"/>
              </w:rPr>
            </w:r>
            <w:r w:rsidR="00660737" w:rsidRPr="00F67121">
              <w:rPr>
                <w:b w:val="0"/>
                <w:bCs w:val="0"/>
                <w:noProof/>
                <w:webHidden/>
                <w:sz w:val="18"/>
                <w:szCs w:val="18"/>
              </w:rPr>
              <w:fldChar w:fldCharType="separate"/>
            </w:r>
            <w:r w:rsidR="005A1DC6">
              <w:rPr>
                <w:b w:val="0"/>
                <w:bCs w:val="0"/>
                <w:noProof/>
                <w:webHidden/>
                <w:sz w:val="18"/>
                <w:szCs w:val="18"/>
              </w:rPr>
              <w:t>31</w:t>
            </w:r>
            <w:r w:rsidR="00660737" w:rsidRPr="00F67121">
              <w:rPr>
                <w:b w:val="0"/>
                <w:bCs w:val="0"/>
                <w:noProof/>
                <w:webHidden/>
                <w:sz w:val="18"/>
                <w:szCs w:val="18"/>
              </w:rPr>
              <w:fldChar w:fldCharType="end"/>
            </w:r>
          </w:hyperlink>
        </w:p>
        <w:p w14:paraId="3077A4F5" w14:textId="55C60052" w:rsidR="00660737" w:rsidRPr="00F67121" w:rsidRDefault="009F64C0" w:rsidP="00660737">
          <w:pPr>
            <w:pStyle w:val="TOC1"/>
            <w:tabs>
              <w:tab w:val="left" w:pos="630"/>
            </w:tabs>
            <w:spacing w:before="0"/>
            <w:rPr>
              <w:rFonts w:eastAsiaTheme="minorEastAsia" w:cstheme="minorBidi"/>
              <w:b w:val="0"/>
              <w:bCs w:val="0"/>
              <w:noProof/>
              <w:lang w:eastAsia="en-AU"/>
            </w:rPr>
          </w:pPr>
          <w:hyperlink w:anchor="_Toc42075977" w:history="1">
            <w:r w:rsidR="00660737" w:rsidRPr="00F67121">
              <w:rPr>
                <w:rStyle w:val="Hyperlink"/>
                <w:b w:val="0"/>
                <w:bCs w:val="0"/>
                <w:noProof/>
                <w:sz w:val="18"/>
                <w:szCs w:val="18"/>
              </w:rPr>
              <w:t>5.2</w:t>
            </w:r>
            <w:r w:rsidR="00660737" w:rsidRPr="00F67121">
              <w:rPr>
                <w:rFonts w:eastAsiaTheme="minorEastAsia" w:cstheme="minorBidi"/>
                <w:b w:val="0"/>
                <w:bCs w:val="0"/>
                <w:noProof/>
                <w:lang w:eastAsia="en-AU"/>
              </w:rPr>
              <w:tab/>
            </w:r>
            <w:r w:rsidR="00660737" w:rsidRPr="00F67121">
              <w:rPr>
                <w:rStyle w:val="Hyperlink"/>
                <w:b w:val="0"/>
                <w:bCs w:val="0"/>
                <w:noProof/>
                <w:sz w:val="18"/>
                <w:szCs w:val="18"/>
              </w:rPr>
              <w:t>Proposed Actions for the Short-Term (implementation to 2022)</w:t>
            </w:r>
            <w:r w:rsidR="00660737" w:rsidRPr="00F67121">
              <w:rPr>
                <w:b w:val="0"/>
                <w:bCs w:val="0"/>
                <w:noProof/>
                <w:webHidden/>
                <w:sz w:val="18"/>
                <w:szCs w:val="18"/>
              </w:rPr>
              <w:tab/>
            </w:r>
            <w:r w:rsidR="00660737" w:rsidRPr="00F67121">
              <w:rPr>
                <w:b w:val="0"/>
                <w:bCs w:val="0"/>
                <w:noProof/>
                <w:webHidden/>
                <w:sz w:val="18"/>
                <w:szCs w:val="18"/>
              </w:rPr>
              <w:fldChar w:fldCharType="begin"/>
            </w:r>
            <w:r w:rsidR="00660737" w:rsidRPr="00F67121">
              <w:rPr>
                <w:b w:val="0"/>
                <w:bCs w:val="0"/>
                <w:noProof/>
                <w:webHidden/>
                <w:sz w:val="18"/>
                <w:szCs w:val="18"/>
              </w:rPr>
              <w:instrText xml:space="preserve"> PAGEREF _Toc42075977 \h </w:instrText>
            </w:r>
            <w:r w:rsidR="00660737" w:rsidRPr="00F67121">
              <w:rPr>
                <w:b w:val="0"/>
                <w:bCs w:val="0"/>
                <w:noProof/>
                <w:webHidden/>
                <w:sz w:val="18"/>
                <w:szCs w:val="18"/>
              </w:rPr>
            </w:r>
            <w:r w:rsidR="00660737" w:rsidRPr="00F67121">
              <w:rPr>
                <w:b w:val="0"/>
                <w:bCs w:val="0"/>
                <w:noProof/>
                <w:webHidden/>
                <w:sz w:val="18"/>
                <w:szCs w:val="18"/>
              </w:rPr>
              <w:fldChar w:fldCharType="separate"/>
            </w:r>
            <w:r w:rsidR="005A1DC6">
              <w:rPr>
                <w:b w:val="0"/>
                <w:bCs w:val="0"/>
                <w:noProof/>
                <w:webHidden/>
                <w:sz w:val="18"/>
                <w:szCs w:val="18"/>
              </w:rPr>
              <w:t>32</w:t>
            </w:r>
            <w:r w:rsidR="00660737" w:rsidRPr="00F67121">
              <w:rPr>
                <w:b w:val="0"/>
                <w:bCs w:val="0"/>
                <w:noProof/>
                <w:webHidden/>
                <w:sz w:val="18"/>
                <w:szCs w:val="18"/>
              </w:rPr>
              <w:fldChar w:fldCharType="end"/>
            </w:r>
          </w:hyperlink>
        </w:p>
        <w:p w14:paraId="79002AAF" w14:textId="1EECC2A4" w:rsidR="00660737" w:rsidRPr="00F67121" w:rsidRDefault="009F64C0" w:rsidP="00660737">
          <w:pPr>
            <w:pStyle w:val="TOC1"/>
            <w:tabs>
              <w:tab w:val="left" w:pos="630"/>
            </w:tabs>
            <w:spacing w:before="0"/>
            <w:rPr>
              <w:rFonts w:eastAsiaTheme="minorEastAsia" w:cstheme="minorBidi"/>
              <w:b w:val="0"/>
              <w:bCs w:val="0"/>
              <w:noProof/>
              <w:lang w:eastAsia="en-AU"/>
            </w:rPr>
          </w:pPr>
          <w:hyperlink w:anchor="_Toc42075978" w:history="1">
            <w:r w:rsidR="00660737" w:rsidRPr="00F67121">
              <w:rPr>
                <w:rStyle w:val="Hyperlink"/>
                <w:b w:val="0"/>
                <w:bCs w:val="0"/>
                <w:noProof/>
                <w:sz w:val="18"/>
                <w:szCs w:val="18"/>
              </w:rPr>
              <w:t>5.3</w:t>
            </w:r>
            <w:r w:rsidR="00660737" w:rsidRPr="00F67121">
              <w:rPr>
                <w:rFonts w:eastAsiaTheme="minorEastAsia" w:cstheme="minorBidi"/>
                <w:b w:val="0"/>
                <w:bCs w:val="0"/>
                <w:noProof/>
                <w:lang w:eastAsia="en-AU"/>
              </w:rPr>
              <w:tab/>
            </w:r>
            <w:r w:rsidR="00660737" w:rsidRPr="00F67121">
              <w:rPr>
                <w:rStyle w:val="Hyperlink"/>
                <w:b w:val="0"/>
                <w:bCs w:val="0"/>
                <w:noProof/>
                <w:sz w:val="18"/>
                <w:szCs w:val="18"/>
              </w:rPr>
              <w:t>Considerations for the longer-term (future investments in foundational education)</w:t>
            </w:r>
            <w:r w:rsidR="00660737" w:rsidRPr="00F67121">
              <w:rPr>
                <w:b w:val="0"/>
                <w:bCs w:val="0"/>
                <w:noProof/>
                <w:webHidden/>
                <w:sz w:val="18"/>
                <w:szCs w:val="18"/>
              </w:rPr>
              <w:tab/>
            </w:r>
            <w:r w:rsidR="00660737" w:rsidRPr="00F67121">
              <w:rPr>
                <w:b w:val="0"/>
                <w:bCs w:val="0"/>
                <w:noProof/>
                <w:webHidden/>
                <w:sz w:val="18"/>
                <w:szCs w:val="18"/>
              </w:rPr>
              <w:fldChar w:fldCharType="begin"/>
            </w:r>
            <w:r w:rsidR="00660737" w:rsidRPr="00F67121">
              <w:rPr>
                <w:b w:val="0"/>
                <w:bCs w:val="0"/>
                <w:noProof/>
                <w:webHidden/>
                <w:sz w:val="18"/>
                <w:szCs w:val="18"/>
              </w:rPr>
              <w:instrText xml:space="preserve"> PAGEREF _Toc42075978 \h </w:instrText>
            </w:r>
            <w:r w:rsidR="00660737" w:rsidRPr="00F67121">
              <w:rPr>
                <w:b w:val="0"/>
                <w:bCs w:val="0"/>
                <w:noProof/>
                <w:webHidden/>
                <w:sz w:val="18"/>
                <w:szCs w:val="18"/>
              </w:rPr>
            </w:r>
            <w:r w:rsidR="00660737" w:rsidRPr="00F67121">
              <w:rPr>
                <w:b w:val="0"/>
                <w:bCs w:val="0"/>
                <w:noProof/>
                <w:webHidden/>
                <w:sz w:val="18"/>
                <w:szCs w:val="18"/>
              </w:rPr>
              <w:fldChar w:fldCharType="separate"/>
            </w:r>
            <w:r w:rsidR="005A1DC6">
              <w:rPr>
                <w:b w:val="0"/>
                <w:bCs w:val="0"/>
                <w:noProof/>
                <w:webHidden/>
                <w:sz w:val="18"/>
                <w:szCs w:val="18"/>
              </w:rPr>
              <w:t>35</w:t>
            </w:r>
            <w:r w:rsidR="00660737" w:rsidRPr="00F67121">
              <w:rPr>
                <w:b w:val="0"/>
                <w:bCs w:val="0"/>
                <w:noProof/>
                <w:webHidden/>
                <w:sz w:val="18"/>
                <w:szCs w:val="18"/>
              </w:rPr>
              <w:fldChar w:fldCharType="end"/>
            </w:r>
          </w:hyperlink>
        </w:p>
        <w:p w14:paraId="16727A0E" w14:textId="5B38A69E" w:rsidR="00660737" w:rsidRDefault="009F64C0" w:rsidP="00F67121">
          <w:pPr>
            <w:pStyle w:val="TOC2"/>
            <w:rPr>
              <w:rFonts w:asciiTheme="minorHAnsi" w:eastAsiaTheme="minorEastAsia" w:hAnsiTheme="minorHAnsi" w:cstheme="minorBidi"/>
              <w:sz w:val="22"/>
              <w:szCs w:val="22"/>
              <w:lang w:eastAsia="en-AU"/>
            </w:rPr>
          </w:pPr>
          <w:hyperlink w:anchor="_Toc42075979" w:history="1">
            <w:r w:rsidR="00660737" w:rsidRPr="002512C5">
              <w:rPr>
                <w:rStyle w:val="Hyperlink"/>
              </w:rPr>
              <w:t>Annexes</w:t>
            </w:r>
            <w:r w:rsidR="00660737">
              <w:rPr>
                <w:webHidden/>
              </w:rPr>
              <w:tab/>
            </w:r>
            <w:r w:rsidR="00660737">
              <w:rPr>
                <w:webHidden/>
              </w:rPr>
              <w:fldChar w:fldCharType="begin"/>
            </w:r>
            <w:r w:rsidR="00660737">
              <w:rPr>
                <w:webHidden/>
              </w:rPr>
              <w:instrText xml:space="preserve"> PAGEREF _Toc42075979 \h </w:instrText>
            </w:r>
            <w:r w:rsidR="00660737">
              <w:rPr>
                <w:webHidden/>
              </w:rPr>
            </w:r>
            <w:r w:rsidR="00660737">
              <w:rPr>
                <w:webHidden/>
              </w:rPr>
              <w:fldChar w:fldCharType="separate"/>
            </w:r>
            <w:r w:rsidR="005A1DC6">
              <w:rPr>
                <w:webHidden/>
              </w:rPr>
              <w:t>38</w:t>
            </w:r>
            <w:r w:rsidR="00660737">
              <w:rPr>
                <w:webHidden/>
              </w:rPr>
              <w:fldChar w:fldCharType="end"/>
            </w:r>
          </w:hyperlink>
        </w:p>
        <w:p w14:paraId="40C135F1" w14:textId="74F083E9" w:rsidR="00660737" w:rsidRDefault="009F64C0" w:rsidP="00F67121">
          <w:pPr>
            <w:pStyle w:val="TOC1"/>
            <w:spacing w:before="0"/>
            <w:rPr>
              <w:rFonts w:eastAsiaTheme="minorEastAsia" w:cstheme="minorBidi"/>
              <w:b w:val="0"/>
              <w:bCs w:val="0"/>
              <w:noProof/>
              <w:sz w:val="22"/>
              <w:szCs w:val="22"/>
              <w:lang w:eastAsia="en-AU"/>
            </w:rPr>
          </w:pPr>
          <w:hyperlink w:anchor="_Toc42075980" w:history="1">
            <w:r w:rsidR="00660737" w:rsidRPr="002512C5">
              <w:rPr>
                <w:rStyle w:val="Hyperlink"/>
                <w:noProof/>
              </w:rPr>
              <w:t>Annex A: Terms of Reference: PPF Education Grants Mid-Term Review</w:t>
            </w:r>
            <w:r w:rsidR="00660737">
              <w:rPr>
                <w:noProof/>
                <w:webHidden/>
              </w:rPr>
              <w:tab/>
            </w:r>
            <w:r w:rsidR="00660737">
              <w:rPr>
                <w:noProof/>
                <w:webHidden/>
              </w:rPr>
              <w:fldChar w:fldCharType="begin"/>
            </w:r>
            <w:r w:rsidR="00660737">
              <w:rPr>
                <w:noProof/>
                <w:webHidden/>
              </w:rPr>
              <w:instrText xml:space="preserve"> PAGEREF _Toc42075980 \h </w:instrText>
            </w:r>
            <w:r w:rsidR="00660737">
              <w:rPr>
                <w:noProof/>
                <w:webHidden/>
              </w:rPr>
            </w:r>
            <w:r w:rsidR="00660737">
              <w:rPr>
                <w:noProof/>
                <w:webHidden/>
              </w:rPr>
              <w:fldChar w:fldCharType="separate"/>
            </w:r>
            <w:r w:rsidR="005A1DC6">
              <w:rPr>
                <w:noProof/>
                <w:webHidden/>
              </w:rPr>
              <w:t>39</w:t>
            </w:r>
            <w:r w:rsidR="00660737">
              <w:rPr>
                <w:noProof/>
                <w:webHidden/>
              </w:rPr>
              <w:fldChar w:fldCharType="end"/>
            </w:r>
          </w:hyperlink>
        </w:p>
        <w:p w14:paraId="4F3F23A2" w14:textId="4FBA35C5" w:rsidR="00660737" w:rsidRDefault="009F64C0" w:rsidP="00F67121">
          <w:pPr>
            <w:pStyle w:val="TOC1"/>
            <w:spacing w:before="0"/>
            <w:rPr>
              <w:rFonts w:eastAsiaTheme="minorEastAsia" w:cstheme="minorBidi"/>
              <w:b w:val="0"/>
              <w:bCs w:val="0"/>
              <w:noProof/>
              <w:sz w:val="22"/>
              <w:szCs w:val="22"/>
              <w:lang w:eastAsia="en-AU"/>
            </w:rPr>
          </w:pPr>
          <w:hyperlink w:anchor="_Toc42075981" w:history="1">
            <w:r w:rsidR="00660737" w:rsidRPr="002512C5">
              <w:rPr>
                <w:rStyle w:val="Hyperlink"/>
                <w:noProof/>
              </w:rPr>
              <w:t>Annex B: Key Review Questions and Sub-Questions</w:t>
            </w:r>
            <w:r w:rsidR="00660737">
              <w:rPr>
                <w:noProof/>
                <w:webHidden/>
              </w:rPr>
              <w:tab/>
            </w:r>
            <w:r w:rsidR="00660737">
              <w:rPr>
                <w:noProof/>
                <w:webHidden/>
              </w:rPr>
              <w:fldChar w:fldCharType="begin"/>
            </w:r>
            <w:r w:rsidR="00660737">
              <w:rPr>
                <w:noProof/>
                <w:webHidden/>
              </w:rPr>
              <w:instrText xml:space="preserve"> PAGEREF _Toc42075981 \h </w:instrText>
            </w:r>
            <w:r w:rsidR="00660737">
              <w:rPr>
                <w:noProof/>
                <w:webHidden/>
              </w:rPr>
            </w:r>
            <w:r w:rsidR="00660737">
              <w:rPr>
                <w:noProof/>
                <w:webHidden/>
              </w:rPr>
              <w:fldChar w:fldCharType="separate"/>
            </w:r>
            <w:r w:rsidR="005A1DC6">
              <w:rPr>
                <w:noProof/>
                <w:webHidden/>
              </w:rPr>
              <w:t>49</w:t>
            </w:r>
            <w:r w:rsidR="00660737">
              <w:rPr>
                <w:noProof/>
                <w:webHidden/>
              </w:rPr>
              <w:fldChar w:fldCharType="end"/>
            </w:r>
          </w:hyperlink>
        </w:p>
        <w:p w14:paraId="4446E9D3" w14:textId="4492E4C8" w:rsidR="00660737" w:rsidRDefault="009F64C0" w:rsidP="00F67121">
          <w:pPr>
            <w:pStyle w:val="TOC1"/>
            <w:spacing w:before="0"/>
            <w:rPr>
              <w:rFonts w:eastAsiaTheme="minorEastAsia" w:cstheme="minorBidi"/>
              <w:b w:val="0"/>
              <w:bCs w:val="0"/>
              <w:noProof/>
              <w:sz w:val="22"/>
              <w:szCs w:val="22"/>
              <w:lang w:eastAsia="en-AU"/>
            </w:rPr>
          </w:pPr>
          <w:hyperlink w:anchor="_Toc42075982" w:history="1">
            <w:r w:rsidR="00660737" w:rsidRPr="002512C5">
              <w:rPr>
                <w:rStyle w:val="Hyperlink"/>
                <w:noProof/>
              </w:rPr>
              <w:t>Annex C: Aide-Memoire (25 November 2019)</w:t>
            </w:r>
            <w:r w:rsidR="00660737">
              <w:rPr>
                <w:noProof/>
                <w:webHidden/>
              </w:rPr>
              <w:tab/>
            </w:r>
            <w:r w:rsidR="00660737">
              <w:rPr>
                <w:noProof/>
                <w:webHidden/>
              </w:rPr>
              <w:fldChar w:fldCharType="begin"/>
            </w:r>
            <w:r w:rsidR="00660737">
              <w:rPr>
                <w:noProof/>
                <w:webHidden/>
              </w:rPr>
              <w:instrText xml:space="preserve"> PAGEREF _Toc42075982 \h </w:instrText>
            </w:r>
            <w:r w:rsidR="00660737">
              <w:rPr>
                <w:noProof/>
                <w:webHidden/>
              </w:rPr>
            </w:r>
            <w:r w:rsidR="00660737">
              <w:rPr>
                <w:noProof/>
                <w:webHidden/>
              </w:rPr>
              <w:fldChar w:fldCharType="separate"/>
            </w:r>
            <w:r w:rsidR="005A1DC6">
              <w:rPr>
                <w:noProof/>
                <w:webHidden/>
              </w:rPr>
              <w:t>51</w:t>
            </w:r>
            <w:r w:rsidR="00660737">
              <w:rPr>
                <w:noProof/>
                <w:webHidden/>
              </w:rPr>
              <w:fldChar w:fldCharType="end"/>
            </w:r>
          </w:hyperlink>
        </w:p>
        <w:p w14:paraId="6F8513AC" w14:textId="05FA03CB" w:rsidR="00660737" w:rsidRDefault="009F64C0" w:rsidP="00F67121">
          <w:pPr>
            <w:pStyle w:val="TOC1"/>
            <w:spacing w:before="0"/>
            <w:rPr>
              <w:rFonts w:eastAsiaTheme="minorEastAsia" w:cstheme="minorBidi"/>
              <w:b w:val="0"/>
              <w:bCs w:val="0"/>
              <w:noProof/>
              <w:sz w:val="22"/>
              <w:szCs w:val="22"/>
              <w:lang w:eastAsia="en-AU"/>
            </w:rPr>
          </w:pPr>
          <w:hyperlink w:anchor="_Toc42075983" w:history="1">
            <w:r w:rsidR="00660737" w:rsidRPr="002512C5">
              <w:rPr>
                <w:rStyle w:val="Hyperlink"/>
                <w:noProof/>
              </w:rPr>
              <w:t>Annex D: Consortia Leads and Partners, Budget Allocations and Implementation Areas</w:t>
            </w:r>
            <w:r w:rsidR="00660737">
              <w:rPr>
                <w:noProof/>
                <w:webHidden/>
              </w:rPr>
              <w:tab/>
            </w:r>
            <w:r w:rsidR="00660737">
              <w:rPr>
                <w:noProof/>
                <w:webHidden/>
              </w:rPr>
              <w:fldChar w:fldCharType="begin"/>
            </w:r>
            <w:r w:rsidR="00660737">
              <w:rPr>
                <w:noProof/>
                <w:webHidden/>
              </w:rPr>
              <w:instrText xml:space="preserve"> PAGEREF _Toc42075983 \h </w:instrText>
            </w:r>
            <w:r w:rsidR="00660737">
              <w:rPr>
                <w:noProof/>
                <w:webHidden/>
              </w:rPr>
            </w:r>
            <w:r w:rsidR="00660737">
              <w:rPr>
                <w:noProof/>
                <w:webHidden/>
              </w:rPr>
              <w:fldChar w:fldCharType="separate"/>
            </w:r>
            <w:r w:rsidR="005A1DC6">
              <w:rPr>
                <w:noProof/>
                <w:webHidden/>
              </w:rPr>
              <w:t>66</w:t>
            </w:r>
            <w:r w:rsidR="00660737">
              <w:rPr>
                <w:noProof/>
                <w:webHidden/>
              </w:rPr>
              <w:fldChar w:fldCharType="end"/>
            </w:r>
          </w:hyperlink>
        </w:p>
        <w:p w14:paraId="5F50AD63" w14:textId="118AC299" w:rsidR="00660737" w:rsidRDefault="009F64C0" w:rsidP="00F67121">
          <w:pPr>
            <w:pStyle w:val="TOC1"/>
            <w:spacing w:before="0"/>
            <w:rPr>
              <w:rFonts w:eastAsiaTheme="minorEastAsia" w:cstheme="minorBidi"/>
              <w:b w:val="0"/>
              <w:bCs w:val="0"/>
              <w:noProof/>
              <w:sz w:val="22"/>
              <w:szCs w:val="22"/>
              <w:lang w:eastAsia="en-AU"/>
            </w:rPr>
          </w:pPr>
          <w:hyperlink w:anchor="_Toc42075984" w:history="1">
            <w:r w:rsidR="00660737" w:rsidRPr="002512C5">
              <w:rPr>
                <w:rStyle w:val="Hyperlink"/>
                <w:noProof/>
              </w:rPr>
              <w:t>Annex E: List of Individuals Interviewed/Consulted</w:t>
            </w:r>
            <w:r w:rsidR="00660737">
              <w:rPr>
                <w:noProof/>
                <w:webHidden/>
              </w:rPr>
              <w:tab/>
            </w:r>
            <w:r w:rsidR="00660737">
              <w:rPr>
                <w:noProof/>
                <w:webHidden/>
              </w:rPr>
              <w:fldChar w:fldCharType="begin"/>
            </w:r>
            <w:r w:rsidR="00660737">
              <w:rPr>
                <w:noProof/>
                <w:webHidden/>
              </w:rPr>
              <w:instrText xml:space="preserve"> PAGEREF _Toc42075984 \h </w:instrText>
            </w:r>
            <w:r w:rsidR="00660737">
              <w:rPr>
                <w:noProof/>
                <w:webHidden/>
              </w:rPr>
            </w:r>
            <w:r w:rsidR="00660737">
              <w:rPr>
                <w:noProof/>
                <w:webHidden/>
              </w:rPr>
              <w:fldChar w:fldCharType="separate"/>
            </w:r>
            <w:r w:rsidR="005A1DC6">
              <w:rPr>
                <w:noProof/>
                <w:webHidden/>
              </w:rPr>
              <w:t>67</w:t>
            </w:r>
            <w:r w:rsidR="00660737">
              <w:rPr>
                <w:noProof/>
                <w:webHidden/>
              </w:rPr>
              <w:fldChar w:fldCharType="end"/>
            </w:r>
          </w:hyperlink>
        </w:p>
        <w:p w14:paraId="0397491F" w14:textId="109D4F76" w:rsidR="00660737" w:rsidRDefault="009F64C0" w:rsidP="00F67121">
          <w:pPr>
            <w:pStyle w:val="TOC1"/>
            <w:spacing w:before="0"/>
            <w:rPr>
              <w:rFonts w:eastAsiaTheme="minorEastAsia" w:cstheme="minorBidi"/>
              <w:b w:val="0"/>
              <w:bCs w:val="0"/>
              <w:noProof/>
              <w:sz w:val="22"/>
              <w:szCs w:val="22"/>
              <w:lang w:eastAsia="en-AU"/>
            </w:rPr>
          </w:pPr>
          <w:hyperlink w:anchor="_Toc42075985" w:history="1">
            <w:r w:rsidR="00660737" w:rsidRPr="002512C5">
              <w:rPr>
                <w:rStyle w:val="Hyperlink"/>
                <w:noProof/>
              </w:rPr>
              <w:t>Annex F: Analysis of Key Intervention Progress and Results</w:t>
            </w:r>
            <w:r w:rsidR="00660737">
              <w:rPr>
                <w:noProof/>
                <w:webHidden/>
              </w:rPr>
              <w:tab/>
            </w:r>
            <w:r w:rsidR="00660737">
              <w:rPr>
                <w:noProof/>
                <w:webHidden/>
              </w:rPr>
              <w:fldChar w:fldCharType="begin"/>
            </w:r>
            <w:r w:rsidR="00660737">
              <w:rPr>
                <w:noProof/>
                <w:webHidden/>
              </w:rPr>
              <w:instrText xml:space="preserve"> PAGEREF _Toc42075985 \h </w:instrText>
            </w:r>
            <w:r w:rsidR="00660737">
              <w:rPr>
                <w:noProof/>
                <w:webHidden/>
              </w:rPr>
            </w:r>
            <w:r w:rsidR="00660737">
              <w:rPr>
                <w:noProof/>
                <w:webHidden/>
              </w:rPr>
              <w:fldChar w:fldCharType="separate"/>
            </w:r>
            <w:r w:rsidR="005A1DC6">
              <w:rPr>
                <w:noProof/>
                <w:webHidden/>
              </w:rPr>
              <w:t>71</w:t>
            </w:r>
            <w:r w:rsidR="00660737">
              <w:rPr>
                <w:noProof/>
                <w:webHidden/>
              </w:rPr>
              <w:fldChar w:fldCharType="end"/>
            </w:r>
          </w:hyperlink>
        </w:p>
        <w:p w14:paraId="32513BAB" w14:textId="2FA5CE10" w:rsidR="00660737" w:rsidRDefault="009F64C0" w:rsidP="00F67121">
          <w:pPr>
            <w:pStyle w:val="TOC1"/>
            <w:spacing w:before="0"/>
            <w:rPr>
              <w:rFonts w:eastAsiaTheme="minorEastAsia" w:cstheme="minorBidi"/>
              <w:b w:val="0"/>
              <w:bCs w:val="0"/>
              <w:noProof/>
              <w:sz w:val="22"/>
              <w:szCs w:val="22"/>
              <w:lang w:eastAsia="en-AU"/>
            </w:rPr>
          </w:pPr>
          <w:hyperlink w:anchor="_Toc42076006" w:history="1">
            <w:r w:rsidR="00660737" w:rsidRPr="002512C5">
              <w:rPr>
                <w:rStyle w:val="Hyperlink"/>
                <w:noProof/>
              </w:rPr>
              <w:t>Annex G: Documents Reviewed</w:t>
            </w:r>
            <w:r w:rsidR="00660737">
              <w:rPr>
                <w:noProof/>
                <w:webHidden/>
              </w:rPr>
              <w:tab/>
            </w:r>
            <w:r w:rsidR="00660737">
              <w:rPr>
                <w:noProof/>
                <w:webHidden/>
              </w:rPr>
              <w:fldChar w:fldCharType="begin"/>
            </w:r>
            <w:r w:rsidR="00660737">
              <w:rPr>
                <w:noProof/>
                <w:webHidden/>
              </w:rPr>
              <w:instrText xml:space="preserve"> PAGEREF _Toc42076006 \h </w:instrText>
            </w:r>
            <w:r w:rsidR="00660737">
              <w:rPr>
                <w:noProof/>
                <w:webHidden/>
              </w:rPr>
            </w:r>
            <w:r w:rsidR="00660737">
              <w:rPr>
                <w:noProof/>
                <w:webHidden/>
              </w:rPr>
              <w:fldChar w:fldCharType="separate"/>
            </w:r>
            <w:r w:rsidR="005A1DC6">
              <w:rPr>
                <w:noProof/>
                <w:webHidden/>
              </w:rPr>
              <w:t>108</w:t>
            </w:r>
            <w:r w:rsidR="00660737">
              <w:rPr>
                <w:noProof/>
                <w:webHidden/>
              </w:rPr>
              <w:fldChar w:fldCharType="end"/>
            </w:r>
          </w:hyperlink>
        </w:p>
        <w:p w14:paraId="716AE1EA" w14:textId="17FBBD49" w:rsidR="00660737" w:rsidRDefault="009F64C0" w:rsidP="00F67121">
          <w:pPr>
            <w:pStyle w:val="TOC1"/>
            <w:spacing w:before="0" w:after="0"/>
            <w:rPr>
              <w:rFonts w:eastAsiaTheme="minorEastAsia" w:cstheme="minorBidi"/>
              <w:b w:val="0"/>
              <w:bCs w:val="0"/>
              <w:noProof/>
              <w:sz w:val="22"/>
              <w:szCs w:val="22"/>
              <w:lang w:eastAsia="en-AU"/>
            </w:rPr>
          </w:pPr>
          <w:hyperlink w:anchor="_Toc42076007" w:history="1">
            <w:r w:rsidR="00660737" w:rsidRPr="002512C5">
              <w:rPr>
                <w:rStyle w:val="Hyperlink"/>
                <w:noProof/>
              </w:rPr>
              <w:t>Annex H: DFAT Monitoring and Evaluation Standards</w:t>
            </w:r>
            <w:r w:rsidR="00660737">
              <w:rPr>
                <w:noProof/>
                <w:webHidden/>
              </w:rPr>
              <w:tab/>
            </w:r>
            <w:r w:rsidR="00660737">
              <w:rPr>
                <w:noProof/>
                <w:webHidden/>
              </w:rPr>
              <w:fldChar w:fldCharType="begin"/>
            </w:r>
            <w:r w:rsidR="00660737">
              <w:rPr>
                <w:noProof/>
                <w:webHidden/>
              </w:rPr>
              <w:instrText xml:space="preserve"> PAGEREF _Toc42076007 \h </w:instrText>
            </w:r>
            <w:r w:rsidR="00660737">
              <w:rPr>
                <w:noProof/>
                <w:webHidden/>
              </w:rPr>
            </w:r>
            <w:r w:rsidR="00660737">
              <w:rPr>
                <w:noProof/>
                <w:webHidden/>
              </w:rPr>
              <w:fldChar w:fldCharType="separate"/>
            </w:r>
            <w:r w:rsidR="005A1DC6">
              <w:rPr>
                <w:noProof/>
                <w:webHidden/>
              </w:rPr>
              <w:t>111</w:t>
            </w:r>
            <w:r w:rsidR="00660737">
              <w:rPr>
                <w:noProof/>
                <w:webHidden/>
              </w:rPr>
              <w:fldChar w:fldCharType="end"/>
            </w:r>
          </w:hyperlink>
        </w:p>
        <w:p w14:paraId="731856CE" w14:textId="2C69C332" w:rsidR="000C66A7" w:rsidRPr="00FA288E" w:rsidRDefault="000C66A7" w:rsidP="000C66A7">
          <w:pPr>
            <w:spacing w:before="120" w:after="120" w:line="240" w:lineRule="auto"/>
            <w:rPr>
              <w:rFonts w:cs="Calibri"/>
              <w:szCs w:val="21"/>
            </w:rPr>
          </w:pPr>
          <w:r w:rsidRPr="00FA288E">
            <w:rPr>
              <w:rFonts w:asciiTheme="minorHAnsi" w:hAnsiTheme="minorHAnsi" w:cstheme="minorHAnsi"/>
              <w:sz w:val="20"/>
              <w:szCs w:val="20"/>
            </w:rPr>
            <w:fldChar w:fldCharType="end"/>
          </w:r>
        </w:p>
      </w:sdtContent>
    </w:sdt>
    <w:p w14:paraId="07C703DE" w14:textId="77777777" w:rsidR="00075A6D" w:rsidRPr="00FA288E" w:rsidRDefault="000C66A7" w:rsidP="000C66A7">
      <w:pPr>
        <w:spacing w:before="120" w:after="120" w:line="240" w:lineRule="auto"/>
        <w:rPr>
          <w:rFonts w:cs="Calibri"/>
          <w:szCs w:val="21"/>
        </w:rPr>
      </w:pPr>
      <w:r w:rsidRPr="00FA288E">
        <w:t xml:space="preserve"> </w:t>
      </w:r>
      <w:sdt>
        <w:sdtPr>
          <w:id w:val="281998330"/>
          <w:docPartObj>
            <w:docPartGallery w:val="Table of Contents"/>
            <w:docPartUnique/>
          </w:docPartObj>
        </w:sdtPr>
        <w:sdtEndPr>
          <w:rPr>
            <w:rFonts w:cs="Calibri"/>
            <w:szCs w:val="21"/>
          </w:rPr>
        </w:sdtEndPr>
        <w:sdtContent/>
      </w:sdt>
    </w:p>
    <w:p w14:paraId="78EC05D4" w14:textId="77777777" w:rsidR="00872337" w:rsidRPr="00FA288E" w:rsidRDefault="00872337" w:rsidP="00265887">
      <w:pPr>
        <w:rPr>
          <w:rFonts w:cs="Calibri"/>
        </w:rPr>
        <w:sectPr w:rsidR="00872337" w:rsidRPr="00FA288E" w:rsidSect="00872337">
          <w:headerReference w:type="default" r:id="rId13"/>
          <w:footerReference w:type="default" r:id="rId14"/>
          <w:pgSz w:w="11906" w:h="16838"/>
          <w:pgMar w:top="1440" w:right="1008" w:bottom="1008" w:left="1152" w:header="720" w:footer="720" w:gutter="0"/>
          <w:pgNumType w:fmt="lowerRoman" w:start="1" w:chapSep="colon"/>
          <w:cols w:space="720"/>
          <w:docGrid w:linePitch="360"/>
        </w:sectPr>
      </w:pPr>
    </w:p>
    <w:p w14:paraId="11A8A056" w14:textId="77777777" w:rsidR="0090236D" w:rsidRPr="00FA288E" w:rsidRDefault="00DA07AC" w:rsidP="00643720">
      <w:pPr>
        <w:pStyle w:val="Heading2"/>
        <w:spacing w:before="0" w:after="40" w:line="240" w:lineRule="auto"/>
        <w:rPr>
          <w:b w:val="0"/>
          <w:bCs w:val="0"/>
          <w:sz w:val="32"/>
          <w:szCs w:val="32"/>
        </w:rPr>
      </w:pPr>
      <w:bookmarkStart w:id="3" w:name="_Toc31625576"/>
      <w:bookmarkStart w:id="4" w:name="_Toc42075957"/>
      <w:r w:rsidRPr="00FA288E">
        <w:rPr>
          <w:b w:val="0"/>
          <w:bCs w:val="0"/>
          <w:sz w:val="32"/>
          <w:szCs w:val="32"/>
        </w:rPr>
        <w:lastRenderedPageBreak/>
        <w:t>Abbreviations and Acronyms</w:t>
      </w:r>
      <w:bookmarkEnd w:id="3"/>
      <w:bookmarkEnd w:id="4"/>
    </w:p>
    <w:tbl>
      <w:tblPr>
        <w:tblStyle w:val="TableGridLight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Abbreviations and Acronyms"/>
        <w:tblDescription w:val=" &#10;AUD Australian Dollar&#10;CARE CARE Australia&#10;CEO Community Engagement Officer&#10;CIMC Consultative Implementation and Monitoring Council&#10;CLV Community Literacy Volunteer&#10;DNPM Department of National Planning and Monitoring (PNG)&#10;DFAT Department of Foreign Affairs and Trade (Australia)&#10;ECCE Early Childhood Care and Education&#10;E1 Elementary Year 1&#10;E2 Elementary Year 2&#10;FODE Flexible, Open and Distance Education&#10;GoPNG Government of Papua New Guinea&#10;HDMES Human Development Monitoring and Evaluation Service&#10;KRQ Key Review Question&#10;LfA Library for All&#10;M&amp;E Monitoring and Evaluation&#10;MEL Monitoring, Evaluation and Learning&#10;MEP Monitoring and Evaluation Plan&#10;MOU Memorandum of Understanding&#10;NDOE National Department of Education (PNG)&#10;NEP National Education Plan (PNG)&#10;NOC National Oversight Committee (PPF)&#10;PAF Performance Assessment Framework&#10;PDOE Provincial Department of Education (PNG)&#10;PKS Pikinini Kisim Save&#10;RISE Rapidly Improving Standards in Elementary&#10;SBC Standards-Based Curriculum&#10;SBoM School Board of Management&#10;SD Secure Digital (SD Card)&#10;SIL Summer Institute of Linguistics&#10;SLIP School Learning Improvement Plan&#10;StC Save the Children&#10;T4E Together for Education&#10;TiC Teacher-in-Charge&#10;TFF Tuition Fee Free&#10;WV World Vision"/>
      </w:tblPr>
      <w:tblGrid>
        <w:gridCol w:w="1668"/>
        <w:gridCol w:w="7197"/>
      </w:tblGrid>
      <w:tr w:rsidR="00DA07AC" w:rsidRPr="00FA288E" w14:paraId="6DC709D9" w14:textId="77777777" w:rsidTr="00EA14BA">
        <w:trPr>
          <w:trHeight w:val="22"/>
          <w:tblHeader/>
        </w:trPr>
        <w:tc>
          <w:tcPr>
            <w:tcW w:w="1668" w:type="dxa"/>
            <w:hideMark/>
          </w:tcPr>
          <w:p w14:paraId="0D1BC2B6" w14:textId="77777777" w:rsidR="00DA07AC" w:rsidRPr="00FA288E" w:rsidRDefault="00DA07AC" w:rsidP="004A375B">
            <w:pPr>
              <w:spacing w:before="40" w:after="40"/>
              <w:rPr>
                <w:rFonts w:cs="Calibri"/>
                <w:sz w:val="19"/>
                <w:szCs w:val="19"/>
              </w:rPr>
            </w:pPr>
          </w:p>
        </w:tc>
        <w:tc>
          <w:tcPr>
            <w:tcW w:w="7197" w:type="dxa"/>
            <w:hideMark/>
          </w:tcPr>
          <w:p w14:paraId="7D096DD2" w14:textId="77777777" w:rsidR="00DA07AC" w:rsidRPr="00FA288E" w:rsidRDefault="00DA07AC" w:rsidP="004A375B">
            <w:pPr>
              <w:spacing w:before="40" w:after="40"/>
              <w:rPr>
                <w:rFonts w:cs="Calibri"/>
                <w:sz w:val="19"/>
                <w:szCs w:val="19"/>
              </w:rPr>
            </w:pPr>
          </w:p>
        </w:tc>
      </w:tr>
      <w:tr w:rsidR="00B97B9A" w:rsidRPr="00FA288E" w14:paraId="71765823" w14:textId="77777777" w:rsidTr="00A87240">
        <w:trPr>
          <w:trHeight w:val="22"/>
        </w:trPr>
        <w:tc>
          <w:tcPr>
            <w:tcW w:w="1668" w:type="dxa"/>
            <w:hideMark/>
          </w:tcPr>
          <w:p w14:paraId="07D1ADB7" w14:textId="77777777" w:rsidR="00B97B9A" w:rsidRPr="00FA288E" w:rsidRDefault="00B97B9A" w:rsidP="004A375B">
            <w:pPr>
              <w:spacing w:before="40" w:after="40"/>
              <w:rPr>
                <w:rFonts w:cs="Calibri"/>
                <w:sz w:val="19"/>
                <w:szCs w:val="19"/>
              </w:rPr>
            </w:pPr>
            <w:r w:rsidRPr="00FA288E">
              <w:rPr>
                <w:rFonts w:cs="Calibri"/>
                <w:sz w:val="19"/>
                <w:szCs w:val="19"/>
              </w:rPr>
              <w:t>AUD</w:t>
            </w:r>
          </w:p>
        </w:tc>
        <w:tc>
          <w:tcPr>
            <w:tcW w:w="7197" w:type="dxa"/>
            <w:hideMark/>
          </w:tcPr>
          <w:p w14:paraId="1201FDE8" w14:textId="77777777" w:rsidR="00B97B9A" w:rsidRPr="00FA288E" w:rsidRDefault="00B97B9A" w:rsidP="004A375B">
            <w:pPr>
              <w:spacing w:before="40" w:after="40"/>
              <w:rPr>
                <w:rFonts w:cs="Calibri"/>
                <w:sz w:val="19"/>
                <w:szCs w:val="19"/>
              </w:rPr>
            </w:pPr>
            <w:r w:rsidRPr="00FA288E">
              <w:rPr>
                <w:rFonts w:cs="Calibri"/>
                <w:sz w:val="19"/>
                <w:szCs w:val="19"/>
              </w:rPr>
              <w:t>Australian Dollar</w:t>
            </w:r>
          </w:p>
        </w:tc>
      </w:tr>
      <w:tr w:rsidR="00B97B9A" w:rsidRPr="00FA288E" w14:paraId="65B587F1" w14:textId="77777777" w:rsidTr="00A87240">
        <w:trPr>
          <w:trHeight w:val="22"/>
        </w:trPr>
        <w:tc>
          <w:tcPr>
            <w:tcW w:w="1668" w:type="dxa"/>
            <w:hideMark/>
          </w:tcPr>
          <w:p w14:paraId="64203305" w14:textId="77777777" w:rsidR="00B97B9A" w:rsidRPr="00FA288E" w:rsidRDefault="00B97B9A" w:rsidP="004A375B">
            <w:pPr>
              <w:spacing w:before="40" w:after="40"/>
              <w:rPr>
                <w:rFonts w:cs="Calibri"/>
                <w:sz w:val="19"/>
                <w:szCs w:val="19"/>
              </w:rPr>
            </w:pPr>
            <w:r w:rsidRPr="00FA288E">
              <w:rPr>
                <w:rFonts w:cs="Calibri"/>
                <w:sz w:val="19"/>
                <w:szCs w:val="19"/>
              </w:rPr>
              <w:t>CARE</w:t>
            </w:r>
          </w:p>
        </w:tc>
        <w:tc>
          <w:tcPr>
            <w:tcW w:w="7197" w:type="dxa"/>
            <w:hideMark/>
          </w:tcPr>
          <w:p w14:paraId="42522DD8" w14:textId="77777777" w:rsidR="00B97B9A" w:rsidRPr="00FA288E" w:rsidRDefault="00B97B9A" w:rsidP="004A375B">
            <w:pPr>
              <w:spacing w:before="40" w:after="40"/>
              <w:rPr>
                <w:rFonts w:cs="Calibri"/>
                <w:sz w:val="19"/>
                <w:szCs w:val="19"/>
              </w:rPr>
            </w:pPr>
            <w:r w:rsidRPr="00FA288E">
              <w:rPr>
                <w:rFonts w:cs="Calibri"/>
                <w:sz w:val="19"/>
                <w:szCs w:val="19"/>
              </w:rPr>
              <w:t>CARE Australia</w:t>
            </w:r>
          </w:p>
        </w:tc>
      </w:tr>
      <w:tr w:rsidR="00B97B9A" w:rsidRPr="00FA288E" w14:paraId="0818A0CD" w14:textId="77777777" w:rsidTr="00A87240">
        <w:trPr>
          <w:trHeight w:val="22"/>
        </w:trPr>
        <w:tc>
          <w:tcPr>
            <w:tcW w:w="1668" w:type="dxa"/>
            <w:hideMark/>
          </w:tcPr>
          <w:p w14:paraId="002D058A" w14:textId="77777777" w:rsidR="00B97B9A" w:rsidRPr="00FA288E" w:rsidRDefault="00B97B9A" w:rsidP="004A375B">
            <w:pPr>
              <w:spacing w:before="40" w:after="40"/>
              <w:rPr>
                <w:rFonts w:cs="Calibri"/>
                <w:sz w:val="19"/>
                <w:szCs w:val="19"/>
              </w:rPr>
            </w:pPr>
            <w:r w:rsidRPr="00FA288E">
              <w:rPr>
                <w:rFonts w:cs="Calibri"/>
                <w:sz w:val="19"/>
                <w:szCs w:val="19"/>
              </w:rPr>
              <w:t>CEO</w:t>
            </w:r>
          </w:p>
        </w:tc>
        <w:tc>
          <w:tcPr>
            <w:tcW w:w="7197" w:type="dxa"/>
            <w:hideMark/>
          </w:tcPr>
          <w:p w14:paraId="5A3A4291" w14:textId="77777777" w:rsidR="00B97B9A" w:rsidRPr="00FA288E" w:rsidRDefault="00B97B9A" w:rsidP="004A375B">
            <w:pPr>
              <w:spacing w:before="40" w:after="40"/>
              <w:rPr>
                <w:rFonts w:cs="Calibri"/>
                <w:sz w:val="19"/>
                <w:szCs w:val="19"/>
              </w:rPr>
            </w:pPr>
            <w:r w:rsidRPr="00FA288E">
              <w:rPr>
                <w:rFonts w:cs="Calibri"/>
                <w:sz w:val="19"/>
                <w:szCs w:val="19"/>
              </w:rPr>
              <w:t>Community Engagement Officer</w:t>
            </w:r>
          </w:p>
        </w:tc>
      </w:tr>
      <w:tr w:rsidR="000118A2" w:rsidRPr="00FA288E" w14:paraId="2E5700A9" w14:textId="77777777" w:rsidTr="00A87240">
        <w:trPr>
          <w:trHeight w:val="22"/>
        </w:trPr>
        <w:tc>
          <w:tcPr>
            <w:tcW w:w="1668" w:type="dxa"/>
          </w:tcPr>
          <w:p w14:paraId="33DD9E75" w14:textId="77777777" w:rsidR="000118A2" w:rsidRPr="00FA288E" w:rsidRDefault="000118A2" w:rsidP="004A375B">
            <w:pPr>
              <w:spacing w:before="40" w:after="40"/>
              <w:rPr>
                <w:rFonts w:cs="Calibri"/>
                <w:sz w:val="19"/>
                <w:szCs w:val="19"/>
              </w:rPr>
            </w:pPr>
            <w:r w:rsidRPr="00FA288E">
              <w:rPr>
                <w:rFonts w:cs="Calibri"/>
                <w:sz w:val="19"/>
                <w:szCs w:val="19"/>
              </w:rPr>
              <w:t>CIMC</w:t>
            </w:r>
          </w:p>
        </w:tc>
        <w:tc>
          <w:tcPr>
            <w:tcW w:w="7197" w:type="dxa"/>
          </w:tcPr>
          <w:p w14:paraId="5814BB01" w14:textId="77777777" w:rsidR="000118A2" w:rsidRPr="00FA288E" w:rsidRDefault="000118A2" w:rsidP="004A375B">
            <w:pPr>
              <w:spacing w:before="40" w:after="40"/>
              <w:rPr>
                <w:rFonts w:cs="Calibri"/>
                <w:sz w:val="19"/>
                <w:szCs w:val="19"/>
              </w:rPr>
            </w:pPr>
            <w:r w:rsidRPr="00FA288E">
              <w:rPr>
                <w:rFonts w:cs="Calibri"/>
                <w:sz w:val="19"/>
                <w:szCs w:val="19"/>
              </w:rPr>
              <w:t>Consultative Implementation and Monitoring Council</w:t>
            </w:r>
          </w:p>
        </w:tc>
      </w:tr>
      <w:tr w:rsidR="00B97B9A" w:rsidRPr="00FA288E" w14:paraId="411186DC" w14:textId="77777777" w:rsidTr="00A87240">
        <w:trPr>
          <w:trHeight w:val="22"/>
        </w:trPr>
        <w:tc>
          <w:tcPr>
            <w:tcW w:w="1668" w:type="dxa"/>
            <w:hideMark/>
          </w:tcPr>
          <w:p w14:paraId="5AC1316E" w14:textId="77777777" w:rsidR="00B97B9A" w:rsidRPr="00FA288E" w:rsidRDefault="00B97B9A" w:rsidP="004A375B">
            <w:pPr>
              <w:spacing w:before="40" w:after="40"/>
              <w:rPr>
                <w:rFonts w:cs="Calibri"/>
                <w:sz w:val="19"/>
                <w:szCs w:val="19"/>
              </w:rPr>
            </w:pPr>
            <w:r w:rsidRPr="00FA288E">
              <w:rPr>
                <w:rFonts w:cs="Calibri"/>
                <w:sz w:val="19"/>
                <w:szCs w:val="19"/>
              </w:rPr>
              <w:t>CLV</w:t>
            </w:r>
          </w:p>
        </w:tc>
        <w:tc>
          <w:tcPr>
            <w:tcW w:w="7197" w:type="dxa"/>
            <w:hideMark/>
          </w:tcPr>
          <w:p w14:paraId="4092213A" w14:textId="77777777" w:rsidR="00B97B9A" w:rsidRPr="00FA288E" w:rsidRDefault="00B97B9A" w:rsidP="004A375B">
            <w:pPr>
              <w:spacing w:before="40" w:after="40"/>
              <w:rPr>
                <w:rFonts w:cs="Calibri"/>
                <w:sz w:val="19"/>
                <w:szCs w:val="19"/>
              </w:rPr>
            </w:pPr>
            <w:r w:rsidRPr="00FA288E">
              <w:rPr>
                <w:rFonts w:cs="Calibri"/>
                <w:sz w:val="19"/>
                <w:szCs w:val="19"/>
              </w:rPr>
              <w:t>Community Literacy Volunteer</w:t>
            </w:r>
          </w:p>
        </w:tc>
      </w:tr>
      <w:tr w:rsidR="00B97B9A" w:rsidRPr="00FA288E" w14:paraId="10918851" w14:textId="77777777" w:rsidTr="00A87240">
        <w:trPr>
          <w:trHeight w:val="22"/>
        </w:trPr>
        <w:tc>
          <w:tcPr>
            <w:tcW w:w="1668" w:type="dxa"/>
            <w:hideMark/>
          </w:tcPr>
          <w:p w14:paraId="586F8920" w14:textId="77777777" w:rsidR="00B97B9A" w:rsidRPr="00FA288E" w:rsidRDefault="00B97B9A" w:rsidP="004A375B">
            <w:pPr>
              <w:spacing w:before="40" w:after="40"/>
              <w:rPr>
                <w:rFonts w:cs="Calibri"/>
                <w:sz w:val="19"/>
                <w:szCs w:val="19"/>
              </w:rPr>
            </w:pPr>
            <w:r w:rsidRPr="00FA288E">
              <w:rPr>
                <w:rFonts w:cs="Calibri"/>
                <w:sz w:val="19"/>
                <w:szCs w:val="19"/>
              </w:rPr>
              <w:t>DNPM</w:t>
            </w:r>
          </w:p>
        </w:tc>
        <w:tc>
          <w:tcPr>
            <w:tcW w:w="7197" w:type="dxa"/>
            <w:hideMark/>
          </w:tcPr>
          <w:p w14:paraId="49EC7D58" w14:textId="77777777" w:rsidR="00B97B9A" w:rsidRPr="00FA288E" w:rsidRDefault="00B97B9A" w:rsidP="004A375B">
            <w:pPr>
              <w:spacing w:before="40" w:after="40"/>
              <w:rPr>
                <w:rFonts w:cs="Calibri"/>
                <w:sz w:val="19"/>
                <w:szCs w:val="19"/>
              </w:rPr>
            </w:pPr>
            <w:r w:rsidRPr="00FA288E">
              <w:rPr>
                <w:rFonts w:cs="Calibri"/>
                <w:sz w:val="19"/>
                <w:szCs w:val="19"/>
              </w:rPr>
              <w:t xml:space="preserve">Department of National Planning and Monitoring </w:t>
            </w:r>
            <w:r w:rsidRPr="00FA288E">
              <w:rPr>
                <w:rFonts w:cs="Calibri"/>
                <w:i/>
                <w:iCs/>
                <w:sz w:val="19"/>
                <w:szCs w:val="19"/>
              </w:rPr>
              <w:t>(PNG)</w:t>
            </w:r>
          </w:p>
        </w:tc>
      </w:tr>
      <w:tr w:rsidR="00B97B9A" w:rsidRPr="00FA288E" w14:paraId="51E11BD6" w14:textId="77777777" w:rsidTr="00A87240">
        <w:trPr>
          <w:trHeight w:val="22"/>
        </w:trPr>
        <w:tc>
          <w:tcPr>
            <w:tcW w:w="1668" w:type="dxa"/>
            <w:hideMark/>
          </w:tcPr>
          <w:p w14:paraId="3A273BC1" w14:textId="77777777" w:rsidR="00B97B9A" w:rsidRPr="00FA288E" w:rsidRDefault="00B97B9A" w:rsidP="004A375B">
            <w:pPr>
              <w:spacing w:before="40" w:after="40"/>
              <w:rPr>
                <w:rFonts w:cs="Calibri"/>
                <w:sz w:val="19"/>
                <w:szCs w:val="19"/>
              </w:rPr>
            </w:pPr>
            <w:r w:rsidRPr="00FA288E">
              <w:rPr>
                <w:rFonts w:cs="Calibri"/>
                <w:sz w:val="19"/>
                <w:szCs w:val="19"/>
              </w:rPr>
              <w:t>DFAT</w:t>
            </w:r>
          </w:p>
        </w:tc>
        <w:tc>
          <w:tcPr>
            <w:tcW w:w="7197" w:type="dxa"/>
            <w:hideMark/>
          </w:tcPr>
          <w:p w14:paraId="0E2C3B06" w14:textId="77777777" w:rsidR="00B97B9A" w:rsidRPr="00FA288E" w:rsidRDefault="00B97B9A" w:rsidP="004A375B">
            <w:pPr>
              <w:spacing w:before="40" w:after="40"/>
              <w:rPr>
                <w:rFonts w:cs="Calibri"/>
                <w:sz w:val="19"/>
                <w:szCs w:val="19"/>
              </w:rPr>
            </w:pPr>
            <w:r w:rsidRPr="00FA288E">
              <w:rPr>
                <w:rFonts w:cs="Calibri"/>
                <w:sz w:val="19"/>
                <w:szCs w:val="19"/>
              </w:rPr>
              <w:t xml:space="preserve">Department of Foreign Affairs and Trade </w:t>
            </w:r>
            <w:r w:rsidR="00BB060F" w:rsidRPr="00FA288E">
              <w:rPr>
                <w:rFonts w:cs="Calibri"/>
                <w:i/>
                <w:sz w:val="19"/>
                <w:szCs w:val="19"/>
              </w:rPr>
              <w:t>(Australia)</w:t>
            </w:r>
          </w:p>
        </w:tc>
      </w:tr>
      <w:tr w:rsidR="00DA07AC" w:rsidRPr="00FA288E" w14:paraId="0D1DDACB" w14:textId="77777777" w:rsidTr="00A87240">
        <w:trPr>
          <w:trHeight w:val="22"/>
        </w:trPr>
        <w:tc>
          <w:tcPr>
            <w:tcW w:w="1668" w:type="dxa"/>
            <w:hideMark/>
          </w:tcPr>
          <w:p w14:paraId="43F5C599" w14:textId="77777777" w:rsidR="00DA07AC" w:rsidRPr="00FA288E" w:rsidRDefault="00DA07AC" w:rsidP="004A375B">
            <w:pPr>
              <w:spacing w:before="40" w:after="40"/>
              <w:rPr>
                <w:rFonts w:cs="Calibri"/>
                <w:sz w:val="19"/>
                <w:szCs w:val="19"/>
              </w:rPr>
            </w:pPr>
            <w:r w:rsidRPr="00FA288E">
              <w:rPr>
                <w:rFonts w:cs="Calibri"/>
                <w:sz w:val="19"/>
                <w:szCs w:val="19"/>
              </w:rPr>
              <w:t>ECCE</w:t>
            </w:r>
          </w:p>
        </w:tc>
        <w:tc>
          <w:tcPr>
            <w:tcW w:w="7197" w:type="dxa"/>
            <w:hideMark/>
          </w:tcPr>
          <w:p w14:paraId="46AA44CA" w14:textId="77777777" w:rsidR="00DA07AC" w:rsidRPr="00FA288E" w:rsidRDefault="00DA07AC" w:rsidP="004A375B">
            <w:pPr>
              <w:spacing w:before="40" w:after="40"/>
              <w:rPr>
                <w:rFonts w:cs="Calibri"/>
                <w:sz w:val="19"/>
                <w:szCs w:val="19"/>
              </w:rPr>
            </w:pPr>
            <w:r w:rsidRPr="00FA288E">
              <w:rPr>
                <w:rFonts w:cs="Calibri"/>
                <w:sz w:val="19"/>
                <w:szCs w:val="19"/>
              </w:rPr>
              <w:t>Early Childhood Care and Education</w:t>
            </w:r>
          </w:p>
        </w:tc>
      </w:tr>
      <w:tr w:rsidR="00DA07AC" w:rsidRPr="00FA288E" w14:paraId="75DD8831" w14:textId="77777777" w:rsidTr="00A87240">
        <w:trPr>
          <w:trHeight w:val="22"/>
        </w:trPr>
        <w:tc>
          <w:tcPr>
            <w:tcW w:w="1668" w:type="dxa"/>
            <w:hideMark/>
          </w:tcPr>
          <w:p w14:paraId="4D5F5651" w14:textId="77777777" w:rsidR="00DA07AC" w:rsidRPr="00FA288E" w:rsidRDefault="00DA07AC" w:rsidP="004A375B">
            <w:pPr>
              <w:spacing w:before="40" w:after="40"/>
              <w:rPr>
                <w:rFonts w:cs="Calibri"/>
                <w:sz w:val="19"/>
                <w:szCs w:val="19"/>
              </w:rPr>
            </w:pPr>
            <w:r w:rsidRPr="00FA288E">
              <w:rPr>
                <w:rFonts w:cs="Calibri"/>
                <w:sz w:val="19"/>
                <w:szCs w:val="19"/>
              </w:rPr>
              <w:t>E1</w:t>
            </w:r>
          </w:p>
        </w:tc>
        <w:tc>
          <w:tcPr>
            <w:tcW w:w="7197" w:type="dxa"/>
            <w:hideMark/>
          </w:tcPr>
          <w:p w14:paraId="5D7F4095" w14:textId="77777777" w:rsidR="00DA07AC" w:rsidRPr="00FA288E" w:rsidRDefault="00DA07AC" w:rsidP="004A375B">
            <w:pPr>
              <w:spacing w:before="40" w:after="40"/>
              <w:rPr>
                <w:rFonts w:cs="Calibri"/>
                <w:sz w:val="19"/>
                <w:szCs w:val="19"/>
              </w:rPr>
            </w:pPr>
            <w:r w:rsidRPr="00FA288E">
              <w:rPr>
                <w:rFonts w:cs="Calibri"/>
                <w:sz w:val="19"/>
                <w:szCs w:val="19"/>
              </w:rPr>
              <w:t>Elementary Year 1</w:t>
            </w:r>
          </w:p>
        </w:tc>
      </w:tr>
      <w:tr w:rsidR="00DA07AC" w:rsidRPr="00FA288E" w14:paraId="6727C869" w14:textId="77777777" w:rsidTr="00A87240">
        <w:trPr>
          <w:trHeight w:val="22"/>
        </w:trPr>
        <w:tc>
          <w:tcPr>
            <w:tcW w:w="1668" w:type="dxa"/>
            <w:hideMark/>
          </w:tcPr>
          <w:p w14:paraId="4EBEA780" w14:textId="77777777" w:rsidR="00DA07AC" w:rsidRPr="00FA288E" w:rsidRDefault="00DA07AC" w:rsidP="004A375B">
            <w:pPr>
              <w:spacing w:before="40" w:after="40"/>
              <w:rPr>
                <w:rFonts w:cs="Calibri"/>
                <w:sz w:val="19"/>
                <w:szCs w:val="19"/>
              </w:rPr>
            </w:pPr>
            <w:r w:rsidRPr="00FA288E">
              <w:rPr>
                <w:rFonts w:cs="Calibri"/>
                <w:sz w:val="19"/>
                <w:szCs w:val="19"/>
              </w:rPr>
              <w:t>E2</w:t>
            </w:r>
          </w:p>
        </w:tc>
        <w:tc>
          <w:tcPr>
            <w:tcW w:w="7197" w:type="dxa"/>
            <w:hideMark/>
          </w:tcPr>
          <w:p w14:paraId="032CC254" w14:textId="77777777" w:rsidR="00DA07AC" w:rsidRPr="00FA288E" w:rsidRDefault="00DA07AC" w:rsidP="004A375B">
            <w:pPr>
              <w:spacing w:before="40" w:after="40"/>
              <w:rPr>
                <w:rFonts w:cs="Calibri"/>
                <w:sz w:val="19"/>
                <w:szCs w:val="19"/>
              </w:rPr>
            </w:pPr>
            <w:r w:rsidRPr="00FA288E">
              <w:rPr>
                <w:rFonts w:cs="Calibri"/>
                <w:sz w:val="19"/>
                <w:szCs w:val="19"/>
              </w:rPr>
              <w:t>Elementary Year 2</w:t>
            </w:r>
          </w:p>
        </w:tc>
      </w:tr>
      <w:tr w:rsidR="00DA07AC" w:rsidRPr="00FA288E" w14:paraId="237573E6" w14:textId="77777777" w:rsidTr="00A87240">
        <w:trPr>
          <w:trHeight w:val="22"/>
        </w:trPr>
        <w:tc>
          <w:tcPr>
            <w:tcW w:w="1668" w:type="dxa"/>
            <w:hideMark/>
          </w:tcPr>
          <w:p w14:paraId="7C405150" w14:textId="77777777" w:rsidR="00DA07AC" w:rsidRPr="00FA288E" w:rsidRDefault="00DA07AC" w:rsidP="004A375B">
            <w:pPr>
              <w:spacing w:before="40" w:after="40"/>
              <w:rPr>
                <w:rFonts w:cs="Calibri"/>
                <w:sz w:val="19"/>
                <w:szCs w:val="19"/>
              </w:rPr>
            </w:pPr>
            <w:r w:rsidRPr="00FA288E">
              <w:rPr>
                <w:rFonts w:cs="Calibri"/>
                <w:sz w:val="19"/>
                <w:szCs w:val="19"/>
              </w:rPr>
              <w:t>FODE</w:t>
            </w:r>
          </w:p>
        </w:tc>
        <w:tc>
          <w:tcPr>
            <w:tcW w:w="7197" w:type="dxa"/>
            <w:hideMark/>
          </w:tcPr>
          <w:p w14:paraId="4A7C73DB" w14:textId="77777777" w:rsidR="00DA07AC" w:rsidRPr="00FA288E" w:rsidRDefault="00DA07AC" w:rsidP="004A375B">
            <w:pPr>
              <w:spacing w:before="40" w:after="40"/>
              <w:rPr>
                <w:rFonts w:cs="Calibri"/>
                <w:sz w:val="19"/>
                <w:szCs w:val="19"/>
              </w:rPr>
            </w:pPr>
            <w:r w:rsidRPr="00FA288E">
              <w:rPr>
                <w:rFonts w:cs="Calibri"/>
                <w:sz w:val="19"/>
                <w:szCs w:val="19"/>
              </w:rPr>
              <w:t>Flexible, Open and Distance Education</w:t>
            </w:r>
          </w:p>
        </w:tc>
      </w:tr>
      <w:tr w:rsidR="00DA07AC" w:rsidRPr="00FA288E" w14:paraId="1CE06BBA" w14:textId="77777777" w:rsidTr="00A87240">
        <w:trPr>
          <w:trHeight w:val="22"/>
        </w:trPr>
        <w:tc>
          <w:tcPr>
            <w:tcW w:w="1668" w:type="dxa"/>
            <w:hideMark/>
          </w:tcPr>
          <w:p w14:paraId="6BEC0223" w14:textId="77777777" w:rsidR="00DA07AC" w:rsidRPr="00FA288E" w:rsidRDefault="00DA07AC" w:rsidP="004A375B">
            <w:pPr>
              <w:spacing w:before="40" w:after="40"/>
              <w:rPr>
                <w:rFonts w:cs="Calibri"/>
                <w:sz w:val="19"/>
                <w:szCs w:val="19"/>
              </w:rPr>
            </w:pPr>
            <w:r w:rsidRPr="00FA288E">
              <w:rPr>
                <w:rFonts w:cs="Calibri"/>
                <w:sz w:val="19"/>
                <w:szCs w:val="19"/>
              </w:rPr>
              <w:t>GoPNG</w:t>
            </w:r>
          </w:p>
        </w:tc>
        <w:tc>
          <w:tcPr>
            <w:tcW w:w="7197" w:type="dxa"/>
            <w:hideMark/>
          </w:tcPr>
          <w:p w14:paraId="581AF2C6" w14:textId="77777777" w:rsidR="00DA07AC" w:rsidRPr="00FA288E" w:rsidRDefault="00DA07AC" w:rsidP="004A375B">
            <w:pPr>
              <w:spacing w:before="40" w:after="40"/>
              <w:rPr>
                <w:rFonts w:cs="Calibri"/>
                <w:sz w:val="19"/>
                <w:szCs w:val="19"/>
              </w:rPr>
            </w:pPr>
            <w:r w:rsidRPr="00FA288E">
              <w:rPr>
                <w:rFonts w:cs="Calibri"/>
                <w:sz w:val="19"/>
                <w:szCs w:val="19"/>
              </w:rPr>
              <w:t>Government of Papua New Guinea</w:t>
            </w:r>
          </w:p>
        </w:tc>
      </w:tr>
      <w:tr w:rsidR="00DA07AC" w:rsidRPr="00FA288E" w14:paraId="6727677F" w14:textId="77777777" w:rsidTr="00A87240">
        <w:trPr>
          <w:trHeight w:val="22"/>
        </w:trPr>
        <w:tc>
          <w:tcPr>
            <w:tcW w:w="1668" w:type="dxa"/>
            <w:hideMark/>
          </w:tcPr>
          <w:p w14:paraId="68917138" w14:textId="77777777" w:rsidR="00DA07AC" w:rsidRPr="00FA288E" w:rsidRDefault="00DA07AC" w:rsidP="004A375B">
            <w:pPr>
              <w:spacing w:before="40" w:after="40"/>
              <w:rPr>
                <w:rFonts w:cs="Calibri"/>
                <w:sz w:val="19"/>
                <w:szCs w:val="19"/>
              </w:rPr>
            </w:pPr>
            <w:r w:rsidRPr="00FA288E">
              <w:rPr>
                <w:rFonts w:cs="Calibri"/>
                <w:sz w:val="19"/>
                <w:szCs w:val="19"/>
              </w:rPr>
              <w:t>HDMES</w:t>
            </w:r>
          </w:p>
        </w:tc>
        <w:tc>
          <w:tcPr>
            <w:tcW w:w="7197" w:type="dxa"/>
            <w:hideMark/>
          </w:tcPr>
          <w:p w14:paraId="2EB16975" w14:textId="77777777" w:rsidR="00DA07AC" w:rsidRPr="00FA288E" w:rsidRDefault="00DA07AC" w:rsidP="004A375B">
            <w:pPr>
              <w:spacing w:before="40" w:after="40"/>
              <w:rPr>
                <w:rFonts w:cs="Calibri"/>
                <w:sz w:val="19"/>
                <w:szCs w:val="19"/>
              </w:rPr>
            </w:pPr>
            <w:r w:rsidRPr="00FA288E">
              <w:rPr>
                <w:rFonts w:cs="Calibri"/>
                <w:sz w:val="19"/>
                <w:szCs w:val="19"/>
              </w:rPr>
              <w:t>Human Development Monitoring and Evaluation Service</w:t>
            </w:r>
          </w:p>
        </w:tc>
      </w:tr>
      <w:tr w:rsidR="00DA07AC" w:rsidRPr="00FA288E" w14:paraId="6F867A24" w14:textId="77777777" w:rsidTr="00A87240">
        <w:trPr>
          <w:trHeight w:val="22"/>
        </w:trPr>
        <w:tc>
          <w:tcPr>
            <w:tcW w:w="1668" w:type="dxa"/>
            <w:hideMark/>
          </w:tcPr>
          <w:p w14:paraId="6DBA639A" w14:textId="77777777" w:rsidR="00DA07AC" w:rsidRPr="00FA288E" w:rsidRDefault="00DA07AC" w:rsidP="004A375B">
            <w:pPr>
              <w:spacing w:before="40" w:after="40"/>
              <w:rPr>
                <w:rFonts w:cs="Calibri"/>
                <w:sz w:val="19"/>
                <w:szCs w:val="19"/>
              </w:rPr>
            </w:pPr>
            <w:r w:rsidRPr="00FA288E">
              <w:rPr>
                <w:rFonts w:cs="Calibri"/>
                <w:sz w:val="19"/>
                <w:szCs w:val="19"/>
              </w:rPr>
              <w:t>KRQ</w:t>
            </w:r>
          </w:p>
        </w:tc>
        <w:tc>
          <w:tcPr>
            <w:tcW w:w="7197" w:type="dxa"/>
            <w:hideMark/>
          </w:tcPr>
          <w:p w14:paraId="228BFD70" w14:textId="77777777" w:rsidR="00DA07AC" w:rsidRPr="00FA288E" w:rsidRDefault="00DA07AC" w:rsidP="004A375B">
            <w:pPr>
              <w:spacing w:before="40" w:after="40"/>
              <w:rPr>
                <w:rFonts w:cs="Calibri"/>
                <w:sz w:val="19"/>
                <w:szCs w:val="19"/>
              </w:rPr>
            </w:pPr>
            <w:r w:rsidRPr="00FA288E">
              <w:rPr>
                <w:rFonts w:cs="Calibri"/>
                <w:sz w:val="19"/>
                <w:szCs w:val="19"/>
              </w:rPr>
              <w:t>Key Review Question</w:t>
            </w:r>
          </w:p>
        </w:tc>
      </w:tr>
      <w:tr w:rsidR="00DA07AC" w:rsidRPr="00FA288E" w14:paraId="77F17DEF" w14:textId="77777777" w:rsidTr="00A87240">
        <w:trPr>
          <w:trHeight w:val="22"/>
        </w:trPr>
        <w:tc>
          <w:tcPr>
            <w:tcW w:w="1668" w:type="dxa"/>
            <w:hideMark/>
          </w:tcPr>
          <w:p w14:paraId="1508A9B9" w14:textId="77777777" w:rsidR="00DA07AC" w:rsidRPr="00FA288E" w:rsidRDefault="00DA07AC" w:rsidP="004A375B">
            <w:pPr>
              <w:spacing w:before="40" w:after="40"/>
              <w:rPr>
                <w:rFonts w:cs="Calibri"/>
                <w:sz w:val="19"/>
                <w:szCs w:val="19"/>
              </w:rPr>
            </w:pPr>
            <w:proofErr w:type="spellStart"/>
            <w:r w:rsidRPr="00FA288E">
              <w:rPr>
                <w:rFonts w:cs="Calibri"/>
                <w:sz w:val="19"/>
                <w:szCs w:val="19"/>
              </w:rPr>
              <w:t>LfA</w:t>
            </w:r>
            <w:proofErr w:type="spellEnd"/>
          </w:p>
        </w:tc>
        <w:tc>
          <w:tcPr>
            <w:tcW w:w="7197" w:type="dxa"/>
            <w:hideMark/>
          </w:tcPr>
          <w:p w14:paraId="0863CE64" w14:textId="77777777" w:rsidR="00DA07AC" w:rsidRPr="00FA288E" w:rsidRDefault="00DA07AC" w:rsidP="004A375B">
            <w:pPr>
              <w:spacing w:before="40" w:after="40"/>
              <w:rPr>
                <w:rFonts w:cs="Calibri"/>
                <w:sz w:val="19"/>
                <w:szCs w:val="19"/>
              </w:rPr>
            </w:pPr>
            <w:r w:rsidRPr="00FA288E">
              <w:rPr>
                <w:rFonts w:cs="Calibri"/>
                <w:sz w:val="19"/>
                <w:szCs w:val="19"/>
              </w:rPr>
              <w:t>Library for All</w:t>
            </w:r>
          </w:p>
        </w:tc>
      </w:tr>
      <w:tr w:rsidR="00DA07AC" w:rsidRPr="00FA288E" w14:paraId="74EDC333" w14:textId="77777777" w:rsidTr="00A87240">
        <w:trPr>
          <w:trHeight w:val="22"/>
        </w:trPr>
        <w:tc>
          <w:tcPr>
            <w:tcW w:w="1668" w:type="dxa"/>
            <w:hideMark/>
          </w:tcPr>
          <w:p w14:paraId="06792F17" w14:textId="77777777" w:rsidR="00DA07AC" w:rsidRPr="00FA288E" w:rsidRDefault="00DA07AC" w:rsidP="004A375B">
            <w:pPr>
              <w:spacing w:before="40" w:after="40"/>
              <w:rPr>
                <w:rFonts w:cs="Calibri"/>
                <w:sz w:val="19"/>
                <w:szCs w:val="19"/>
              </w:rPr>
            </w:pPr>
            <w:r w:rsidRPr="00FA288E">
              <w:rPr>
                <w:rFonts w:cs="Calibri"/>
                <w:sz w:val="19"/>
                <w:szCs w:val="19"/>
              </w:rPr>
              <w:t>M&amp;E</w:t>
            </w:r>
          </w:p>
        </w:tc>
        <w:tc>
          <w:tcPr>
            <w:tcW w:w="7197" w:type="dxa"/>
            <w:hideMark/>
          </w:tcPr>
          <w:p w14:paraId="7210432B" w14:textId="77777777" w:rsidR="00DA07AC" w:rsidRPr="00FA288E" w:rsidRDefault="00DA07AC" w:rsidP="004A375B">
            <w:pPr>
              <w:spacing w:before="40" w:after="40"/>
              <w:rPr>
                <w:rFonts w:cs="Calibri"/>
                <w:sz w:val="19"/>
                <w:szCs w:val="19"/>
              </w:rPr>
            </w:pPr>
            <w:r w:rsidRPr="00FA288E">
              <w:rPr>
                <w:rFonts w:cs="Calibri"/>
                <w:sz w:val="19"/>
                <w:szCs w:val="19"/>
              </w:rPr>
              <w:t>Monitoring and Evaluation</w:t>
            </w:r>
          </w:p>
        </w:tc>
      </w:tr>
      <w:tr w:rsidR="00DA07AC" w:rsidRPr="00FA288E" w14:paraId="56476062" w14:textId="77777777" w:rsidTr="00A87240">
        <w:trPr>
          <w:trHeight w:val="22"/>
        </w:trPr>
        <w:tc>
          <w:tcPr>
            <w:tcW w:w="1668" w:type="dxa"/>
            <w:hideMark/>
          </w:tcPr>
          <w:p w14:paraId="60668206" w14:textId="77777777" w:rsidR="00DA07AC" w:rsidRPr="00FA288E" w:rsidRDefault="00DA07AC" w:rsidP="004A375B">
            <w:pPr>
              <w:spacing w:before="40" w:after="40"/>
              <w:rPr>
                <w:rFonts w:cs="Calibri"/>
                <w:sz w:val="19"/>
                <w:szCs w:val="19"/>
              </w:rPr>
            </w:pPr>
            <w:r w:rsidRPr="00FA288E">
              <w:rPr>
                <w:rFonts w:cs="Calibri"/>
                <w:sz w:val="19"/>
                <w:szCs w:val="19"/>
              </w:rPr>
              <w:t>MEL</w:t>
            </w:r>
          </w:p>
        </w:tc>
        <w:tc>
          <w:tcPr>
            <w:tcW w:w="7197" w:type="dxa"/>
            <w:hideMark/>
          </w:tcPr>
          <w:p w14:paraId="5796FBD1" w14:textId="77777777" w:rsidR="00DA07AC" w:rsidRPr="00FA288E" w:rsidRDefault="00DA07AC" w:rsidP="004A375B">
            <w:pPr>
              <w:spacing w:before="40" w:after="40"/>
              <w:rPr>
                <w:rFonts w:cs="Calibri"/>
                <w:sz w:val="19"/>
                <w:szCs w:val="19"/>
              </w:rPr>
            </w:pPr>
            <w:r w:rsidRPr="00FA288E">
              <w:rPr>
                <w:rFonts w:cs="Calibri"/>
                <w:sz w:val="19"/>
                <w:szCs w:val="19"/>
              </w:rPr>
              <w:t>Monitoring, Evaluation and Learning</w:t>
            </w:r>
          </w:p>
        </w:tc>
      </w:tr>
      <w:tr w:rsidR="00643720" w:rsidRPr="00FA288E" w14:paraId="3B62A0A3" w14:textId="77777777" w:rsidTr="00A87240">
        <w:trPr>
          <w:trHeight w:val="22"/>
        </w:trPr>
        <w:tc>
          <w:tcPr>
            <w:tcW w:w="1668" w:type="dxa"/>
          </w:tcPr>
          <w:p w14:paraId="0B49792E" w14:textId="77777777" w:rsidR="00643720" w:rsidRPr="00FA288E" w:rsidRDefault="00643720" w:rsidP="004A375B">
            <w:pPr>
              <w:spacing w:before="40" w:after="40"/>
              <w:rPr>
                <w:rFonts w:cs="Calibri"/>
                <w:sz w:val="19"/>
                <w:szCs w:val="19"/>
              </w:rPr>
            </w:pPr>
            <w:r w:rsidRPr="00FA288E">
              <w:rPr>
                <w:rFonts w:cs="Calibri"/>
                <w:sz w:val="19"/>
                <w:szCs w:val="19"/>
              </w:rPr>
              <w:t>MEP</w:t>
            </w:r>
          </w:p>
        </w:tc>
        <w:tc>
          <w:tcPr>
            <w:tcW w:w="7197" w:type="dxa"/>
          </w:tcPr>
          <w:p w14:paraId="1CBA8A91" w14:textId="77777777" w:rsidR="00643720" w:rsidRPr="00FA288E" w:rsidRDefault="00643720" w:rsidP="004A375B">
            <w:pPr>
              <w:spacing w:before="40" w:after="40"/>
              <w:rPr>
                <w:rFonts w:cs="Calibri"/>
                <w:sz w:val="19"/>
                <w:szCs w:val="19"/>
              </w:rPr>
            </w:pPr>
            <w:r w:rsidRPr="00FA288E">
              <w:rPr>
                <w:rFonts w:cs="Calibri"/>
                <w:sz w:val="19"/>
                <w:szCs w:val="19"/>
              </w:rPr>
              <w:t>Monitoring and Evaluation Plan</w:t>
            </w:r>
          </w:p>
        </w:tc>
      </w:tr>
      <w:tr w:rsidR="00DA07AC" w:rsidRPr="00FA288E" w14:paraId="797270F8" w14:textId="77777777" w:rsidTr="00A87240">
        <w:trPr>
          <w:trHeight w:val="22"/>
        </w:trPr>
        <w:tc>
          <w:tcPr>
            <w:tcW w:w="1668" w:type="dxa"/>
            <w:hideMark/>
          </w:tcPr>
          <w:p w14:paraId="51B95D63" w14:textId="77777777" w:rsidR="00DA07AC" w:rsidRPr="00FA288E" w:rsidRDefault="00DA07AC" w:rsidP="004A375B">
            <w:pPr>
              <w:spacing w:before="40" w:after="40"/>
              <w:rPr>
                <w:rFonts w:cs="Calibri"/>
                <w:sz w:val="19"/>
                <w:szCs w:val="19"/>
              </w:rPr>
            </w:pPr>
            <w:r w:rsidRPr="00FA288E">
              <w:rPr>
                <w:rFonts w:cs="Calibri"/>
                <w:sz w:val="19"/>
                <w:szCs w:val="19"/>
              </w:rPr>
              <w:t>MOU</w:t>
            </w:r>
          </w:p>
        </w:tc>
        <w:tc>
          <w:tcPr>
            <w:tcW w:w="7197" w:type="dxa"/>
            <w:hideMark/>
          </w:tcPr>
          <w:p w14:paraId="4F408671" w14:textId="77777777" w:rsidR="00DA07AC" w:rsidRPr="00FA288E" w:rsidRDefault="00DA07AC" w:rsidP="004A375B">
            <w:pPr>
              <w:spacing w:before="40" w:after="40"/>
              <w:rPr>
                <w:rFonts w:cs="Calibri"/>
                <w:sz w:val="19"/>
                <w:szCs w:val="19"/>
              </w:rPr>
            </w:pPr>
            <w:r w:rsidRPr="00FA288E">
              <w:rPr>
                <w:rFonts w:cs="Calibri"/>
                <w:sz w:val="19"/>
                <w:szCs w:val="19"/>
              </w:rPr>
              <w:t>Memorandum of Understanding</w:t>
            </w:r>
          </w:p>
        </w:tc>
      </w:tr>
      <w:tr w:rsidR="00DA07AC" w:rsidRPr="00FA288E" w14:paraId="4BADCDE8" w14:textId="77777777" w:rsidTr="00A87240">
        <w:trPr>
          <w:trHeight w:val="22"/>
        </w:trPr>
        <w:tc>
          <w:tcPr>
            <w:tcW w:w="1668" w:type="dxa"/>
            <w:hideMark/>
          </w:tcPr>
          <w:p w14:paraId="3664C4B8" w14:textId="77777777" w:rsidR="00DA07AC" w:rsidRPr="00FA288E" w:rsidRDefault="00DA07AC" w:rsidP="004A375B">
            <w:pPr>
              <w:spacing w:before="40" w:after="40"/>
              <w:rPr>
                <w:rFonts w:cs="Calibri"/>
                <w:sz w:val="19"/>
                <w:szCs w:val="19"/>
              </w:rPr>
            </w:pPr>
            <w:r w:rsidRPr="00FA288E">
              <w:rPr>
                <w:rFonts w:cs="Calibri"/>
                <w:sz w:val="19"/>
                <w:szCs w:val="19"/>
              </w:rPr>
              <w:t>NDOE</w:t>
            </w:r>
          </w:p>
        </w:tc>
        <w:tc>
          <w:tcPr>
            <w:tcW w:w="7197" w:type="dxa"/>
            <w:hideMark/>
          </w:tcPr>
          <w:p w14:paraId="52DB8C9A" w14:textId="77777777" w:rsidR="00DA07AC" w:rsidRPr="00FA288E" w:rsidRDefault="00DA07AC" w:rsidP="004A375B">
            <w:pPr>
              <w:spacing w:before="40" w:after="40"/>
              <w:rPr>
                <w:rFonts w:cs="Calibri"/>
                <w:sz w:val="19"/>
                <w:szCs w:val="19"/>
              </w:rPr>
            </w:pPr>
            <w:r w:rsidRPr="00FA288E">
              <w:rPr>
                <w:rFonts w:cs="Calibri"/>
                <w:sz w:val="19"/>
                <w:szCs w:val="19"/>
              </w:rPr>
              <w:t xml:space="preserve">National Department of Education </w:t>
            </w:r>
            <w:r w:rsidRPr="00FA288E">
              <w:rPr>
                <w:rFonts w:cs="Calibri"/>
                <w:i/>
                <w:iCs/>
                <w:sz w:val="19"/>
                <w:szCs w:val="19"/>
              </w:rPr>
              <w:t>(PNG)</w:t>
            </w:r>
          </w:p>
        </w:tc>
      </w:tr>
      <w:tr w:rsidR="00DA07AC" w:rsidRPr="00FA288E" w14:paraId="08476FAF" w14:textId="77777777" w:rsidTr="00A87240">
        <w:trPr>
          <w:trHeight w:val="22"/>
        </w:trPr>
        <w:tc>
          <w:tcPr>
            <w:tcW w:w="1668" w:type="dxa"/>
            <w:hideMark/>
          </w:tcPr>
          <w:p w14:paraId="65C10E94" w14:textId="77777777" w:rsidR="00DA07AC" w:rsidRPr="00FA288E" w:rsidRDefault="00DA07AC" w:rsidP="004A375B">
            <w:pPr>
              <w:spacing w:before="40" w:after="40"/>
              <w:rPr>
                <w:rFonts w:cs="Calibri"/>
                <w:sz w:val="19"/>
                <w:szCs w:val="19"/>
              </w:rPr>
            </w:pPr>
            <w:r w:rsidRPr="00FA288E">
              <w:rPr>
                <w:rFonts w:cs="Calibri"/>
                <w:sz w:val="19"/>
                <w:szCs w:val="19"/>
              </w:rPr>
              <w:t>NEP</w:t>
            </w:r>
          </w:p>
        </w:tc>
        <w:tc>
          <w:tcPr>
            <w:tcW w:w="7197" w:type="dxa"/>
            <w:hideMark/>
          </w:tcPr>
          <w:p w14:paraId="3A5920AD" w14:textId="77777777" w:rsidR="00DA07AC" w:rsidRPr="00FA288E" w:rsidRDefault="00DA07AC" w:rsidP="004A375B">
            <w:pPr>
              <w:spacing w:before="40" w:after="40"/>
              <w:rPr>
                <w:rFonts w:cs="Calibri"/>
                <w:sz w:val="19"/>
                <w:szCs w:val="19"/>
              </w:rPr>
            </w:pPr>
            <w:r w:rsidRPr="00FA288E">
              <w:rPr>
                <w:rFonts w:cs="Calibri"/>
                <w:sz w:val="19"/>
                <w:szCs w:val="19"/>
              </w:rPr>
              <w:t xml:space="preserve">National Education Plan </w:t>
            </w:r>
            <w:r w:rsidRPr="00FA288E">
              <w:rPr>
                <w:rFonts w:cs="Calibri"/>
                <w:i/>
                <w:iCs/>
                <w:sz w:val="19"/>
                <w:szCs w:val="19"/>
              </w:rPr>
              <w:t>(PNG)</w:t>
            </w:r>
          </w:p>
        </w:tc>
      </w:tr>
      <w:tr w:rsidR="00DA07AC" w:rsidRPr="00FA288E" w14:paraId="36A1555F" w14:textId="77777777" w:rsidTr="00A87240">
        <w:trPr>
          <w:trHeight w:val="22"/>
        </w:trPr>
        <w:tc>
          <w:tcPr>
            <w:tcW w:w="1668" w:type="dxa"/>
            <w:hideMark/>
          </w:tcPr>
          <w:p w14:paraId="37943017" w14:textId="77777777" w:rsidR="00DA07AC" w:rsidRPr="00FA288E" w:rsidRDefault="00DA07AC" w:rsidP="004A375B">
            <w:pPr>
              <w:spacing w:before="40" w:after="40"/>
              <w:rPr>
                <w:rFonts w:cs="Calibri"/>
                <w:sz w:val="19"/>
                <w:szCs w:val="19"/>
              </w:rPr>
            </w:pPr>
            <w:r w:rsidRPr="00FA288E">
              <w:rPr>
                <w:rFonts w:cs="Calibri"/>
                <w:sz w:val="19"/>
                <w:szCs w:val="19"/>
              </w:rPr>
              <w:t>NOC</w:t>
            </w:r>
          </w:p>
        </w:tc>
        <w:tc>
          <w:tcPr>
            <w:tcW w:w="7197" w:type="dxa"/>
            <w:hideMark/>
          </w:tcPr>
          <w:p w14:paraId="4B05BFF1" w14:textId="77777777" w:rsidR="00DA07AC" w:rsidRPr="00FA288E" w:rsidRDefault="00DA07AC" w:rsidP="004A375B">
            <w:pPr>
              <w:spacing w:before="40" w:after="40"/>
              <w:rPr>
                <w:rFonts w:cs="Calibri"/>
                <w:sz w:val="19"/>
                <w:szCs w:val="19"/>
              </w:rPr>
            </w:pPr>
            <w:r w:rsidRPr="00FA288E">
              <w:rPr>
                <w:rFonts w:cs="Calibri"/>
                <w:sz w:val="19"/>
                <w:szCs w:val="19"/>
              </w:rPr>
              <w:t>National Oversight Committee (PPF)</w:t>
            </w:r>
          </w:p>
        </w:tc>
      </w:tr>
      <w:tr w:rsidR="00E22599" w:rsidRPr="00FA288E" w14:paraId="496521F8" w14:textId="77777777" w:rsidTr="00A87240">
        <w:trPr>
          <w:trHeight w:val="22"/>
        </w:trPr>
        <w:tc>
          <w:tcPr>
            <w:tcW w:w="1668" w:type="dxa"/>
          </w:tcPr>
          <w:p w14:paraId="6654E8AA" w14:textId="77777777" w:rsidR="00E22599" w:rsidRPr="00FA288E" w:rsidRDefault="00E22599" w:rsidP="004A375B">
            <w:pPr>
              <w:spacing w:before="40" w:after="40"/>
              <w:rPr>
                <w:rFonts w:cs="Calibri"/>
                <w:sz w:val="19"/>
                <w:szCs w:val="19"/>
              </w:rPr>
            </w:pPr>
            <w:r w:rsidRPr="00FA288E">
              <w:rPr>
                <w:rFonts w:cs="Calibri"/>
                <w:sz w:val="19"/>
                <w:szCs w:val="19"/>
              </w:rPr>
              <w:t>PAF</w:t>
            </w:r>
          </w:p>
        </w:tc>
        <w:tc>
          <w:tcPr>
            <w:tcW w:w="7197" w:type="dxa"/>
          </w:tcPr>
          <w:p w14:paraId="626EA2B7" w14:textId="77777777" w:rsidR="00E22599" w:rsidRPr="00FA288E" w:rsidRDefault="00E22599" w:rsidP="004A375B">
            <w:pPr>
              <w:spacing w:before="40" w:after="40"/>
              <w:rPr>
                <w:rFonts w:cs="Calibri"/>
                <w:sz w:val="19"/>
                <w:szCs w:val="19"/>
              </w:rPr>
            </w:pPr>
            <w:r w:rsidRPr="00FA288E">
              <w:rPr>
                <w:rFonts w:cs="Calibri"/>
                <w:sz w:val="19"/>
                <w:szCs w:val="19"/>
              </w:rPr>
              <w:t>Performance Assessment Framework</w:t>
            </w:r>
          </w:p>
        </w:tc>
      </w:tr>
      <w:tr w:rsidR="00DA07AC" w:rsidRPr="00FA288E" w14:paraId="0A8BD1AB" w14:textId="77777777" w:rsidTr="00A87240">
        <w:trPr>
          <w:trHeight w:val="22"/>
        </w:trPr>
        <w:tc>
          <w:tcPr>
            <w:tcW w:w="1668" w:type="dxa"/>
            <w:hideMark/>
          </w:tcPr>
          <w:p w14:paraId="47D4F89E" w14:textId="77777777" w:rsidR="00DA07AC" w:rsidRPr="00FA288E" w:rsidRDefault="00DA07AC" w:rsidP="004A375B">
            <w:pPr>
              <w:spacing w:before="40" w:after="40"/>
              <w:rPr>
                <w:rFonts w:cs="Calibri"/>
                <w:sz w:val="19"/>
                <w:szCs w:val="19"/>
              </w:rPr>
            </w:pPr>
            <w:r w:rsidRPr="00FA288E">
              <w:rPr>
                <w:rFonts w:cs="Calibri"/>
                <w:sz w:val="19"/>
                <w:szCs w:val="19"/>
              </w:rPr>
              <w:t>PDOE</w:t>
            </w:r>
          </w:p>
        </w:tc>
        <w:tc>
          <w:tcPr>
            <w:tcW w:w="7197" w:type="dxa"/>
            <w:hideMark/>
          </w:tcPr>
          <w:p w14:paraId="505290DA" w14:textId="77777777" w:rsidR="00DA07AC" w:rsidRPr="00FA288E" w:rsidRDefault="00DA07AC" w:rsidP="004A375B">
            <w:pPr>
              <w:spacing w:before="40" w:after="40"/>
              <w:rPr>
                <w:rFonts w:cs="Calibri"/>
                <w:sz w:val="19"/>
                <w:szCs w:val="19"/>
              </w:rPr>
            </w:pPr>
            <w:r w:rsidRPr="00FA288E">
              <w:rPr>
                <w:rFonts w:cs="Calibri"/>
                <w:sz w:val="19"/>
                <w:szCs w:val="19"/>
              </w:rPr>
              <w:t>Provincial Department of Education</w:t>
            </w:r>
            <w:r w:rsidR="00BB060F" w:rsidRPr="00FA288E">
              <w:rPr>
                <w:rFonts w:cs="Calibri"/>
                <w:sz w:val="19"/>
                <w:szCs w:val="19"/>
              </w:rPr>
              <w:t xml:space="preserve"> (PNG)</w:t>
            </w:r>
          </w:p>
        </w:tc>
      </w:tr>
      <w:tr w:rsidR="00DA07AC" w:rsidRPr="00FA288E" w14:paraId="375853A7" w14:textId="77777777" w:rsidTr="00A87240">
        <w:trPr>
          <w:trHeight w:val="22"/>
        </w:trPr>
        <w:tc>
          <w:tcPr>
            <w:tcW w:w="1668" w:type="dxa"/>
            <w:hideMark/>
          </w:tcPr>
          <w:p w14:paraId="30F731C3" w14:textId="77777777" w:rsidR="00DA07AC" w:rsidRPr="00FA288E" w:rsidRDefault="00DA07AC" w:rsidP="004A375B">
            <w:pPr>
              <w:spacing w:before="40" w:after="40"/>
              <w:rPr>
                <w:rFonts w:cs="Calibri"/>
                <w:sz w:val="19"/>
                <w:szCs w:val="19"/>
              </w:rPr>
            </w:pPr>
            <w:r w:rsidRPr="00FA288E">
              <w:rPr>
                <w:rFonts w:cs="Calibri"/>
                <w:sz w:val="19"/>
                <w:szCs w:val="19"/>
              </w:rPr>
              <w:t>PKS</w:t>
            </w:r>
          </w:p>
        </w:tc>
        <w:tc>
          <w:tcPr>
            <w:tcW w:w="7197" w:type="dxa"/>
            <w:hideMark/>
          </w:tcPr>
          <w:p w14:paraId="163CD8DD" w14:textId="77777777" w:rsidR="00DA07AC" w:rsidRPr="00FA288E" w:rsidRDefault="00DA07AC" w:rsidP="004A375B">
            <w:pPr>
              <w:spacing w:before="40" w:after="40"/>
              <w:rPr>
                <w:rFonts w:cs="Calibri"/>
                <w:sz w:val="19"/>
                <w:szCs w:val="19"/>
              </w:rPr>
            </w:pPr>
            <w:proofErr w:type="spellStart"/>
            <w:r w:rsidRPr="00FA288E">
              <w:rPr>
                <w:rFonts w:cs="Calibri"/>
                <w:sz w:val="19"/>
                <w:szCs w:val="19"/>
              </w:rPr>
              <w:t>Pikinini</w:t>
            </w:r>
            <w:proofErr w:type="spellEnd"/>
            <w:r w:rsidRPr="00FA288E">
              <w:rPr>
                <w:rFonts w:cs="Calibri"/>
                <w:sz w:val="19"/>
                <w:szCs w:val="19"/>
              </w:rPr>
              <w:t xml:space="preserve"> </w:t>
            </w:r>
            <w:proofErr w:type="spellStart"/>
            <w:r w:rsidRPr="00FA288E">
              <w:rPr>
                <w:rFonts w:cs="Calibri"/>
                <w:sz w:val="19"/>
                <w:szCs w:val="19"/>
              </w:rPr>
              <w:t>Kisim</w:t>
            </w:r>
            <w:proofErr w:type="spellEnd"/>
            <w:r w:rsidRPr="00FA288E">
              <w:rPr>
                <w:rFonts w:cs="Calibri"/>
                <w:sz w:val="19"/>
                <w:szCs w:val="19"/>
              </w:rPr>
              <w:t xml:space="preserve"> Save</w:t>
            </w:r>
          </w:p>
        </w:tc>
      </w:tr>
      <w:tr w:rsidR="00DA07AC" w:rsidRPr="00FA288E" w14:paraId="07995F2D" w14:textId="77777777" w:rsidTr="00A87240">
        <w:trPr>
          <w:trHeight w:val="22"/>
        </w:trPr>
        <w:tc>
          <w:tcPr>
            <w:tcW w:w="1668" w:type="dxa"/>
            <w:hideMark/>
          </w:tcPr>
          <w:p w14:paraId="528DFE71" w14:textId="77777777" w:rsidR="00DA07AC" w:rsidRPr="00FA288E" w:rsidRDefault="00DA07AC" w:rsidP="004A375B">
            <w:pPr>
              <w:spacing w:before="40" w:after="40"/>
              <w:rPr>
                <w:rFonts w:cs="Calibri"/>
                <w:sz w:val="19"/>
                <w:szCs w:val="19"/>
              </w:rPr>
            </w:pPr>
            <w:r w:rsidRPr="00FA288E">
              <w:rPr>
                <w:rFonts w:cs="Calibri"/>
                <w:sz w:val="19"/>
                <w:szCs w:val="19"/>
              </w:rPr>
              <w:t>RISE</w:t>
            </w:r>
          </w:p>
        </w:tc>
        <w:tc>
          <w:tcPr>
            <w:tcW w:w="7197" w:type="dxa"/>
            <w:hideMark/>
          </w:tcPr>
          <w:p w14:paraId="2C67078C" w14:textId="77777777" w:rsidR="00DA07AC" w:rsidRPr="00FA288E" w:rsidRDefault="00DA07AC" w:rsidP="004A375B">
            <w:pPr>
              <w:spacing w:before="40" w:after="40"/>
              <w:rPr>
                <w:rFonts w:cs="Calibri"/>
                <w:sz w:val="19"/>
                <w:szCs w:val="19"/>
              </w:rPr>
            </w:pPr>
            <w:r w:rsidRPr="00FA288E">
              <w:rPr>
                <w:rFonts w:cs="Calibri"/>
                <w:sz w:val="19"/>
                <w:szCs w:val="19"/>
              </w:rPr>
              <w:t>Rapidly Improving Standards in Elementary</w:t>
            </w:r>
          </w:p>
        </w:tc>
      </w:tr>
      <w:tr w:rsidR="00DA07AC" w:rsidRPr="00FA288E" w14:paraId="7C62C0AC" w14:textId="77777777" w:rsidTr="00A87240">
        <w:trPr>
          <w:trHeight w:val="22"/>
        </w:trPr>
        <w:tc>
          <w:tcPr>
            <w:tcW w:w="1668" w:type="dxa"/>
            <w:hideMark/>
          </w:tcPr>
          <w:p w14:paraId="21E5089B" w14:textId="77777777" w:rsidR="00DA07AC" w:rsidRPr="00FA288E" w:rsidRDefault="00DA07AC" w:rsidP="004A375B">
            <w:pPr>
              <w:spacing w:before="40" w:after="40"/>
              <w:rPr>
                <w:rFonts w:cs="Calibri"/>
                <w:sz w:val="19"/>
                <w:szCs w:val="19"/>
              </w:rPr>
            </w:pPr>
            <w:r w:rsidRPr="00FA288E">
              <w:rPr>
                <w:rFonts w:cs="Calibri"/>
                <w:sz w:val="19"/>
                <w:szCs w:val="19"/>
              </w:rPr>
              <w:t>SBC</w:t>
            </w:r>
          </w:p>
        </w:tc>
        <w:tc>
          <w:tcPr>
            <w:tcW w:w="7197" w:type="dxa"/>
            <w:hideMark/>
          </w:tcPr>
          <w:p w14:paraId="6A87F22E" w14:textId="77777777" w:rsidR="00DA07AC" w:rsidRPr="00FA288E" w:rsidRDefault="00DA07AC" w:rsidP="004A375B">
            <w:pPr>
              <w:spacing w:before="40" w:after="40"/>
              <w:rPr>
                <w:rFonts w:cs="Calibri"/>
                <w:sz w:val="19"/>
                <w:szCs w:val="19"/>
              </w:rPr>
            </w:pPr>
            <w:r w:rsidRPr="00FA288E">
              <w:rPr>
                <w:rFonts w:cs="Calibri"/>
                <w:sz w:val="19"/>
                <w:szCs w:val="19"/>
              </w:rPr>
              <w:t>Standards-Based Curriculum</w:t>
            </w:r>
          </w:p>
        </w:tc>
      </w:tr>
      <w:tr w:rsidR="00DA07AC" w:rsidRPr="00FA288E" w14:paraId="05FC8FB9" w14:textId="77777777" w:rsidTr="00A87240">
        <w:trPr>
          <w:trHeight w:val="22"/>
        </w:trPr>
        <w:tc>
          <w:tcPr>
            <w:tcW w:w="1668" w:type="dxa"/>
            <w:hideMark/>
          </w:tcPr>
          <w:p w14:paraId="73869140" w14:textId="77777777" w:rsidR="00DA07AC" w:rsidRPr="00FA288E" w:rsidRDefault="00DA07AC" w:rsidP="004A375B">
            <w:pPr>
              <w:spacing w:before="40" w:after="40"/>
              <w:rPr>
                <w:rFonts w:cs="Calibri"/>
                <w:sz w:val="19"/>
                <w:szCs w:val="19"/>
              </w:rPr>
            </w:pPr>
            <w:proofErr w:type="spellStart"/>
            <w:r w:rsidRPr="00FA288E">
              <w:rPr>
                <w:rFonts w:cs="Calibri"/>
                <w:sz w:val="19"/>
                <w:szCs w:val="19"/>
              </w:rPr>
              <w:t>SBoM</w:t>
            </w:r>
            <w:proofErr w:type="spellEnd"/>
          </w:p>
        </w:tc>
        <w:tc>
          <w:tcPr>
            <w:tcW w:w="7197" w:type="dxa"/>
            <w:hideMark/>
          </w:tcPr>
          <w:p w14:paraId="0C7F2D61" w14:textId="77777777" w:rsidR="00DA07AC" w:rsidRPr="00FA288E" w:rsidRDefault="00DA07AC" w:rsidP="004A375B">
            <w:pPr>
              <w:spacing w:before="40" w:after="40"/>
              <w:rPr>
                <w:rFonts w:cs="Calibri"/>
                <w:sz w:val="19"/>
                <w:szCs w:val="19"/>
              </w:rPr>
            </w:pPr>
            <w:r w:rsidRPr="00FA288E">
              <w:rPr>
                <w:rFonts w:cs="Calibri"/>
                <w:sz w:val="19"/>
                <w:szCs w:val="19"/>
              </w:rPr>
              <w:t>School Board of Management</w:t>
            </w:r>
          </w:p>
        </w:tc>
      </w:tr>
      <w:tr w:rsidR="00DA07AC" w:rsidRPr="00FA288E" w14:paraId="3B0F0FF4" w14:textId="77777777" w:rsidTr="00A87240">
        <w:trPr>
          <w:trHeight w:val="22"/>
        </w:trPr>
        <w:tc>
          <w:tcPr>
            <w:tcW w:w="1668" w:type="dxa"/>
            <w:hideMark/>
          </w:tcPr>
          <w:p w14:paraId="45226980" w14:textId="77777777" w:rsidR="00DA07AC" w:rsidRPr="00FA288E" w:rsidRDefault="00DA07AC" w:rsidP="004A375B">
            <w:pPr>
              <w:spacing w:before="40" w:after="40"/>
              <w:rPr>
                <w:rFonts w:cs="Calibri"/>
                <w:sz w:val="19"/>
                <w:szCs w:val="19"/>
              </w:rPr>
            </w:pPr>
            <w:r w:rsidRPr="00FA288E">
              <w:rPr>
                <w:rFonts w:cs="Calibri"/>
                <w:sz w:val="19"/>
                <w:szCs w:val="19"/>
              </w:rPr>
              <w:t>SD</w:t>
            </w:r>
          </w:p>
        </w:tc>
        <w:tc>
          <w:tcPr>
            <w:tcW w:w="7197" w:type="dxa"/>
            <w:hideMark/>
          </w:tcPr>
          <w:p w14:paraId="54361D4E" w14:textId="77777777" w:rsidR="00DA07AC" w:rsidRPr="00FA288E" w:rsidRDefault="00DA07AC" w:rsidP="004A375B">
            <w:pPr>
              <w:spacing w:before="40" w:after="40"/>
              <w:rPr>
                <w:rFonts w:cs="Calibri"/>
                <w:sz w:val="19"/>
                <w:szCs w:val="19"/>
              </w:rPr>
            </w:pPr>
            <w:r w:rsidRPr="00FA288E">
              <w:rPr>
                <w:rFonts w:cs="Calibri"/>
                <w:sz w:val="19"/>
                <w:szCs w:val="19"/>
              </w:rPr>
              <w:t>Secure Digital (SD Card)</w:t>
            </w:r>
          </w:p>
        </w:tc>
      </w:tr>
      <w:tr w:rsidR="00DA07AC" w:rsidRPr="00FA288E" w14:paraId="20B94AC3" w14:textId="77777777" w:rsidTr="00A87240">
        <w:trPr>
          <w:trHeight w:val="22"/>
        </w:trPr>
        <w:tc>
          <w:tcPr>
            <w:tcW w:w="1668" w:type="dxa"/>
            <w:hideMark/>
          </w:tcPr>
          <w:p w14:paraId="4BE3DC95" w14:textId="77777777" w:rsidR="00DA07AC" w:rsidRPr="00FA288E" w:rsidRDefault="00DA07AC" w:rsidP="004A375B">
            <w:pPr>
              <w:spacing w:before="40" w:after="40"/>
              <w:rPr>
                <w:rFonts w:cs="Calibri"/>
                <w:sz w:val="19"/>
                <w:szCs w:val="19"/>
              </w:rPr>
            </w:pPr>
            <w:r w:rsidRPr="00FA288E">
              <w:rPr>
                <w:rFonts w:cs="Calibri"/>
                <w:sz w:val="19"/>
                <w:szCs w:val="19"/>
              </w:rPr>
              <w:t>SIL</w:t>
            </w:r>
          </w:p>
        </w:tc>
        <w:tc>
          <w:tcPr>
            <w:tcW w:w="7197" w:type="dxa"/>
            <w:hideMark/>
          </w:tcPr>
          <w:p w14:paraId="7F920AE7" w14:textId="77777777" w:rsidR="00DA07AC" w:rsidRPr="00FA288E" w:rsidRDefault="00DA07AC" w:rsidP="004A375B">
            <w:pPr>
              <w:spacing w:before="40" w:after="40"/>
              <w:rPr>
                <w:rFonts w:cs="Calibri"/>
                <w:sz w:val="19"/>
                <w:szCs w:val="19"/>
              </w:rPr>
            </w:pPr>
            <w:r w:rsidRPr="00FA288E">
              <w:rPr>
                <w:rFonts w:cs="Calibri"/>
                <w:sz w:val="19"/>
                <w:szCs w:val="19"/>
              </w:rPr>
              <w:t>Summer Institute of Linguistics</w:t>
            </w:r>
          </w:p>
        </w:tc>
      </w:tr>
      <w:tr w:rsidR="00DA07AC" w:rsidRPr="00FA288E" w14:paraId="440B9AE4" w14:textId="77777777" w:rsidTr="00A87240">
        <w:trPr>
          <w:trHeight w:val="22"/>
        </w:trPr>
        <w:tc>
          <w:tcPr>
            <w:tcW w:w="1668" w:type="dxa"/>
            <w:hideMark/>
          </w:tcPr>
          <w:p w14:paraId="7F75E4A4" w14:textId="77777777" w:rsidR="00DA07AC" w:rsidRPr="00FA288E" w:rsidRDefault="00DA07AC" w:rsidP="004A375B">
            <w:pPr>
              <w:spacing w:before="40" w:after="40"/>
              <w:rPr>
                <w:rFonts w:cs="Calibri"/>
                <w:sz w:val="19"/>
                <w:szCs w:val="19"/>
              </w:rPr>
            </w:pPr>
            <w:r w:rsidRPr="00FA288E">
              <w:rPr>
                <w:rFonts w:cs="Calibri"/>
                <w:sz w:val="19"/>
                <w:szCs w:val="19"/>
              </w:rPr>
              <w:t>SLIP</w:t>
            </w:r>
          </w:p>
        </w:tc>
        <w:tc>
          <w:tcPr>
            <w:tcW w:w="7197" w:type="dxa"/>
            <w:hideMark/>
          </w:tcPr>
          <w:p w14:paraId="68D1648E" w14:textId="77777777" w:rsidR="00DA07AC" w:rsidRPr="00FA288E" w:rsidRDefault="00DA07AC" w:rsidP="004A375B">
            <w:pPr>
              <w:spacing w:before="40" w:after="40"/>
              <w:rPr>
                <w:rFonts w:cs="Calibri"/>
                <w:sz w:val="19"/>
                <w:szCs w:val="19"/>
              </w:rPr>
            </w:pPr>
            <w:r w:rsidRPr="00FA288E">
              <w:rPr>
                <w:rFonts w:cs="Calibri"/>
                <w:sz w:val="19"/>
                <w:szCs w:val="19"/>
              </w:rPr>
              <w:t>School Learning Improvement Plan</w:t>
            </w:r>
          </w:p>
        </w:tc>
      </w:tr>
      <w:tr w:rsidR="00DA07AC" w:rsidRPr="00FA288E" w14:paraId="7407541C" w14:textId="77777777" w:rsidTr="00A87240">
        <w:trPr>
          <w:trHeight w:val="22"/>
        </w:trPr>
        <w:tc>
          <w:tcPr>
            <w:tcW w:w="1668" w:type="dxa"/>
            <w:hideMark/>
          </w:tcPr>
          <w:p w14:paraId="0C41E79C" w14:textId="77777777" w:rsidR="00DA07AC" w:rsidRPr="00FA288E" w:rsidRDefault="00DA07AC" w:rsidP="004A375B">
            <w:pPr>
              <w:spacing w:before="40" w:after="40"/>
              <w:rPr>
                <w:rFonts w:cs="Calibri"/>
                <w:sz w:val="19"/>
                <w:szCs w:val="19"/>
              </w:rPr>
            </w:pPr>
            <w:proofErr w:type="spellStart"/>
            <w:r w:rsidRPr="00FA288E">
              <w:rPr>
                <w:rFonts w:cs="Calibri"/>
                <w:sz w:val="19"/>
                <w:szCs w:val="19"/>
              </w:rPr>
              <w:t>StC</w:t>
            </w:r>
            <w:proofErr w:type="spellEnd"/>
          </w:p>
        </w:tc>
        <w:tc>
          <w:tcPr>
            <w:tcW w:w="7197" w:type="dxa"/>
            <w:hideMark/>
          </w:tcPr>
          <w:p w14:paraId="575F09C9" w14:textId="77777777" w:rsidR="00DA07AC" w:rsidRPr="00FA288E" w:rsidRDefault="00DA07AC" w:rsidP="004A375B">
            <w:pPr>
              <w:spacing w:before="40" w:after="40"/>
              <w:rPr>
                <w:rFonts w:cs="Calibri"/>
                <w:sz w:val="19"/>
                <w:szCs w:val="19"/>
              </w:rPr>
            </w:pPr>
            <w:r w:rsidRPr="00FA288E">
              <w:rPr>
                <w:rFonts w:cs="Calibri"/>
                <w:sz w:val="19"/>
                <w:szCs w:val="19"/>
              </w:rPr>
              <w:t>Save the Children</w:t>
            </w:r>
          </w:p>
        </w:tc>
      </w:tr>
      <w:tr w:rsidR="00DA07AC" w:rsidRPr="00FA288E" w14:paraId="62853CFD" w14:textId="77777777" w:rsidTr="00A87240">
        <w:trPr>
          <w:trHeight w:val="22"/>
        </w:trPr>
        <w:tc>
          <w:tcPr>
            <w:tcW w:w="1668" w:type="dxa"/>
            <w:hideMark/>
          </w:tcPr>
          <w:p w14:paraId="5832AC2F" w14:textId="77777777" w:rsidR="00DA07AC" w:rsidRPr="00FA288E" w:rsidRDefault="00DA07AC" w:rsidP="004A375B">
            <w:pPr>
              <w:spacing w:before="40" w:after="40"/>
              <w:rPr>
                <w:rFonts w:cs="Calibri"/>
                <w:sz w:val="19"/>
                <w:szCs w:val="19"/>
              </w:rPr>
            </w:pPr>
            <w:r w:rsidRPr="00FA288E">
              <w:rPr>
                <w:rFonts w:cs="Calibri"/>
                <w:sz w:val="19"/>
                <w:szCs w:val="19"/>
              </w:rPr>
              <w:t>T4E</w:t>
            </w:r>
          </w:p>
        </w:tc>
        <w:tc>
          <w:tcPr>
            <w:tcW w:w="7197" w:type="dxa"/>
            <w:hideMark/>
          </w:tcPr>
          <w:p w14:paraId="2B046436" w14:textId="77777777" w:rsidR="00DA07AC" w:rsidRPr="00FA288E" w:rsidRDefault="00DA07AC" w:rsidP="004A375B">
            <w:pPr>
              <w:spacing w:before="40" w:after="40"/>
              <w:rPr>
                <w:rFonts w:cs="Calibri"/>
                <w:sz w:val="19"/>
                <w:szCs w:val="19"/>
              </w:rPr>
            </w:pPr>
            <w:r w:rsidRPr="00FA288E">
              <w:rPr>
                <w:rFonts w:cs="Calibri"/>
                <w:sz w:val="19"/>
                <w:szCs w:val="19"/>
              </w:rPr>
              <w:t>Together for Education</w:t>
            </w:r>
          </w:p>
        </w:tc>
      </w:tr>
      <w:tr w:rsidR="00DA07AC" w:rsidRPr="00FA288E" w14:paraId="27CA97F9" w14:textId="77777777" w:rsidTr="00A87240">
        <w:trPr>
          <w:trHeight w:val="22"/>
        </w:trPr>
        <w:tc>
          <w:tcPr>
            <w:tcW w:w="1668" w:type="dxa"/>
            <w:hideMark/>
          </w:tcPr>
          <w:p w14:paraId="2C8199CB" w14:textId="77777777" w:rsidR="00DA07AC" w:rsidRPr="00FA288E" w:rsidRDefault="00DA07AC" w:rsidP="004A375B">
            <w:pPr>
              <w:spacing w:before="40" w:after="40"/>
              <w:rPr>
                <w:rFonts w:cs="Calibri"/>
                <w:sz w:val="19"/>
                <w:szCs w:val="19"/>
              </w:rPr>
            </w:pPr>
            <w:proofErr w:type="spellStart"/>
            <w:r w:rsidRPr="00FA288E">
              <w:rPr>
                <w:rFonts w:cs="Calibri"/>
                <w:sz w:val="19"/>
                <w:szCs w:val="19"/>
              </w:rPr>
              <w:t>TiC</w:t>
            </w:r>
            <w:proofErr w:type="spellEnd"/>
          </w:p>
        </w:tc>
        <w:tc>
          <w:tcPr>
            <w:tcW w:w="7197" w:type="dxa"/>
            <w:hideMark/>
          </w:tcPr>
          <w:p w14:paraId="02F5B919" w14:textId="77777777" w:rsidR="00DA07AC" w:rsidRPr="00FA288E" w:rsidRDefault="00DA07AC" w:rsidP="004A375B">
            <w:pPr>
              <w:spacing w:before="40" w:after="40"/>
              <w:rPr>
                <w:rFonts w:cs="Calibri"/>
                <w:sz w:val="19"/>
                <w:szCs w:val="19"/>
              </w:rPr>
            </w:pPr>
            <w:r w:rsidRPr="00FA288E">
              <w:rPr>
                <w:rFonts w:cs="Calibri"/>
                <w:sz w:val="19"/>
                <w:szCs w:val="19"/>
              </w:rPr>
              <w:t>Teacher-in-Charge</w:t>
            </w:r>
          </w:p>
        </w:tc>
      </w:tr>
      <w:tr w:rsidR="00DA07AC" w:rsidRPr="00FA288E" w14:paraId="14588785" w14:textId="77777777" w:rsidTr="00A87240">
        <w:trPr>
          <w:trHeight w:val="22"/>
        </w:trPr>
        <w:tc>
          <w:tcPr>
            <w:tcW w:w="1668" w:type="dxa"/>
            <w:hideMark/>
          </w:tcPr>
          <w:p w14:paraId="22350586" w14:textId="77777777" w:rsidR="00DA07AC" w:rsidRPr="00FA288E" w:rsidRDefault="00DA07AC" w:rsidP="004A375B">
            <w:pPr>
              <w:spacing w:before="40" w:after="40"/>
              <w:rPr>
                <w:rFonts w:cs="Calibri"/>
                <w:sz w:val="19"/>
                <w:szCs w:val="19"/>
              </w:rPr>
            </w:pPr>
            <w:r w:rsidRPr="00FA288E">
              <w:rPr>
                <w:rFonts w:cs="Calibri"/>
                <w:sz w:val="19"/>
                <w:szCs w:val="19"/>
              </w:rPr>
              <w:t>TFF</w:t>
            </w:r>
          </w:p>
        </w:tc>
        <w:tc>
          <w:tcPr>
            <w:tcW w:w="7197" w:type="dxa"/>
            <w:hideMark/>
          </w:tcPr>
          <w:p w14:paraId="6721BCE5" w14:textId="77777777" w:rsidR="00DA07AC" w:rsidRPr="00FA288E" w:rsidRDefault="00DA07AC" w:rsidP="004A375B">
            <w:pPr>
              <w:spacing w:before="40" w:after="40"/>
              <w:rPr>
                <w:rFonts w:cs="Calibri"/>
                <w:sz w:val="19"/>
                <w:szCs w:val="19"/>
              </w:rPr>
            </w:pPr>
            <w:r w:rsidRPr="00FA288E">
              <w:rPr>
                <w:rFonts w:cs="Calibri"/>
                <w:sz w:val="19"/>
                <w:szCs w:val="19"/>
              </w:rPr>
              <w:t>Tuition Fee Free</w:t>
            </w:r>
          </w:p>
        </w:tc>
      </w:tr>
      <w:tr w:rsidR="00DA07AC" w:rsidRPr="00FA288E" w14:paraId="2A12BB5E" w14:textId="77777777" w:rsidTr="00A87240">
        <w:trPr>
          <w:trHeight w:val="22"/>
        </w:trPr>
        <w:tc>
          <w:tcPr>
            <w:tcW w:w="1668" w:type="dxa"/>
            <w:hideMark/>
          </w:tcPr>
          <w:p w14:paraId="2353A321" w14:textId="77777777" w:rsidR="00DA07AC" w:rsidRPr="00FA288E" w:rsidRDefault="00DA07AC" w:rsidP="004A375B">
            <w:pPr>
              <w:spacing w:before="40" w:after="40"/>
              <w:rPr>
                <w:rFonts w:cs="Calibri"/>
                <w:sz w:val="19"/>
                <w:szCs w:val="19"/>
              </w:rPr>
            </w:pPr>
            <w:r w:rsidRPr="00FA288E">
              <w:rPr>
                <w:rFonts w:cs="Calibri"/>
                <w:sz w:val="19"/>
                <w:szCs w:val="19"/>
              </w:rPr>
              <w:t>WV</w:t>
            </w:r>
          </w:p>
        </w:tc>
        <w:tc>
          <w:tcPr>
            <w:tcW w:w="7197" w:type="dxa"/>
            <w:hideMark/>
          </w:tcPr>
          <w:p w14:paraId="5AA5EA1A" w14:textId="77777777" w:rsidR="00DA07AC" w:rsidRPr="00FA288E" w:rsidRDefault="00DA07AC" w:rsidP="004A375B">
            <w:pPr>
              <w:spacing w:before="40" w:after="40"/>
              <w:rPr>
                <w:rFonts w:cs="Calibri"/>
                <w:sz w:val="19"/>
                <w:szCs w:val="19"/>
              </w:rPr>
            </w:pPr>
            <w:r w:rsidRPr="00FA288E">
              <w:rPr>
                <w:rFonts w:cs="Calibri"/>
                <w:sz w:val="19"/>
                <w:szCs w:val="19"/>
              </w:rPr>
              <w:t>World Vision</w:t>
            </w:r>
          </w:p>
        </w:tc>
      </w:tr>
    </w:tbl>
    <w:p w14:paraId="2BAAC969" w14:textId="77777777" w:rsidR="00872337" w:rsidRPr="00FA288E" w:rsidRDefault="0090236D" w:rsidP="00872337">
      <w:pPr>
        <w:tabs>
          <w:tab w:val="center" w:pos="4873"/>
        </w:tabs>
        <w:sectPr w:rsidR="00872337" w:rsidRPr="00FA288E" w:rsidSect="00872337">
          <w:pgSz w:w="11906" w:h="16838"/>
          <w:pgMar w:top="1440" w:right="1008" w:bottom="1008" w:left="1152" w:header="720" w:footer="720" w:gutter="0"/>
          <w:pgNumType w:fmt="lowerRoman" w:chapSep="colon"/>
          <w:cols w:space="720"/>
          <w:docGrid w:linePitch="360"/>
        </w:sectPr>
      </w:pPr>
      <w:r w:rsidRPr="00FA288E">
        <w:tab/>
      </w:r>
      <w:r w:rsidRPr="00FA288E">
        <w:tab/>
      </w:r>
    </w:p>
    <w:p w14:paraId="51FD86D4" w14:textId="77777777" w:rsidR="00693E81" w:rsidRPr="00FA288E" w:rsidRDefault="00693E81" w:rsidP="001523A6">
      <w:pPr>
        <w:pStyle w:val="Heading2"/>
        <w:spacing w:before="0" w:after="80" w:line="240" w:lineRule="auto"/>
        <w:rPr>
          <w:b w:val="0"/>
          <w:bCs w:val="0"/>
          <w:sz w:val="32"/>
          <w:szCs w:val="32"/>
        </w:rPr>
      </w:pPr>
      <w:bookmarkStart w:id="5" w:name="_Toc31625577"/>
      <w:bookmarkStart w:id="6" w:name="_Toc42075958"/>
      <w:r w:rsidRPr="00FA288E">
        <w:rPr>
          <w:b w:val="0"/>
          <w:bCs w:val="0"/>
          <w:sz w:val="32"/>
          <w:szCs w:val="32"/>
        </w:rPr>
        <w:lastRenderedPageBreak/>
        <w:t>Executive Summary</w:t>
      </w:r>
      <w:bookmarkEnd w:id="5"/>
      <w:bookmarkEnd w:id="6"/>
    </w:p>
    <w:p w14:paraId="062A4A03" w14:textId="77777777" w:rsidR="00146965" w:rsidRPr="00FA288E" w:rsidRDefault="00146965" w:rsidP="00661AB0">
      <w:pPr>
        <w:jc w:val="both"/>
        <w:rPr>
          <w:b/>
          <w:sz w:val="22"/>
        </w:rPr>
      </w:pPr>
      <w:r w:rsidRPr="00FA288E">
        <w:rPr>
          <w:b/>
          <w:sz w:val="22"/>
        </w:rPr>
        <w:t>Introduction</w:t>
      </w:r>
    </w:p>
    <w:p w14:paraId="1F660426" w14:textId="77777777" w:rsidR="00771B26" w:rsidRPr="00FA288E" w:rsidRDefault="00061FBD" w:rsidP="00661AB0">
      <w:pPr>
        <w:jc w:val="both"/>
        <w:rPr>
          <w:b/>
          <w:sz w:val="22"/>
        </w:rPr>
      </w:pPr>
      <w:r w:rsidRPr="00FA288E">
        <w:t>This report details the findings from a</w:t>
      </w:r>
      <w:r w:rsidR="0042748D" w:rsidRPr="00FA288E">
        <w:t>n</w:t>
      </w:r>
      <w:r w:rsidRPr="00FA288E">
        <w:t xml:space="preserve"> independent mid-term review of the Papua New Guinea Partnership Fund (PPF) Education Grants</w:t>
      </w:r>
      <w:r w:rsidR="0042748D" w:rsidRPr="00FA288E">
        <w:t xml:space="preserve"> undertaken in November 2019</w:t>
      </w:r>
      <w:r w:rsidR="00A727D2" w:rsidRPr="00FA288E">
        <w:t xml:space="preserve">. </w:t>
      </w:r>
      <w:r w:rsidR="0042748D" w:rsidRPr="00FA288E">
        <w:t>The</w:t>
      </w:r>
      <w:r w:rsidR="00E630D8" w:rsidRPr="00FA288E">
        <w:t xml:space="preserve"> </w:t>
      </w:r>
      <w:r w:rsidR="0042748D" w:rsidRPr="00FA288E">
        <w:t>A</w:t>
      </w:r>
      <w:r w:rsidR="006E2C99" w:rsidRPr="00FA288E">
        <w:t xml:space="preserve">ustralian Government engaged </w:t>
      </w:r>
      <w:r w:rsidR="004155A2" w:rsidRPr="00FA288E">
        <w:t xml:space="preserve">the </w:t>
      </w:r>
      <w:r w:rsidR="006E2C99" w:rsidRPr="00FA288E">
        <w:t>Human Development Monitoring and Evaluation Services (HDMES)</w:t>
      </w:r>
      <w:r w:rsidR="004155A2" w:rsidRPr="00FA288E">
        <w:t xml:space="preserve"> </w:t>
      </w:r>
      <w:r w:rsidR="006E2C99" w:rsidRPr="00FA288E">
        <w:t>to conduct</w:t>
      </w:r>
      <w:r w:rsidR="0042748D" w:rsidRPr="00FA288E">
        <w:t xml:space="preserve"> the review.</w:t>
      </w:r>
    </w:p>
    <w:p w14:paraId="27B9DBFB" w14:textId="77777777" w:rsidR="0042748D" w:rsidRPr="00FA288E" w:rsidRDefault="0042748D" w:rsidP="00661AB0">
      <w:pPr>
        <w:jc w:val="both"/>
      </w:pPr>
      <w:r w:rsidRPr="00FA288E">
        <w:t xml:space="preserve">The two key purposes of the </w:t>
      </w:r>
      <w:r w:rsidR="001144BB" w:rsidRPr="00FA288E">
        <w:t>review</w:t>
      </w:r>
      <w:r w:rsidRPr="00FA288E">
        <w:t xml:space="preserve"> were to: 1) identify actions/recommendations to improve the grants through an extension</w:t>
      </w:r>
      <w:r w:rsidR="00BB060F" w:rsidRPr="00FA288E">
        <w:t xml:space="preserve"> phase</w:t>
      </w:r>
      <w:r w:rsidRPr="00FA288E">
        <w:t xml:space="preserve"> from June 2020 to February 2022;</w:t>
      </w:r>
      <w:r w:rsidRPr="00FA288E">
        <w:rPr>
          <w:vertAlign w:val="superscript"/>
        </w:rPr>
        <w:footnoteReference w:id="1"/>
      </w:r>
      <w:r w:rsidRPr="00FA288E">
        <w:t xml:space="preserve"> and 2) inform the design of a future investment in foundational education in Papua New Guinea</w:t>
      </w:r>
      <w:r w:rsidR="00A07ED0" w:rsidRPr="00FA288E">
        <w:t xml:space="preserve"> (PNG)</w:t>
      </w:r>
      <w:r w:rsidRPr="00FA288E">
        <w:t xml:space="preserve">, including recommendations on approaches to improving basic literacy and numeracy and </w:t>
      </w:r>
      <w:r w:rsidR="00197924" w:rsidRPr="00FA288E">
        <w:t xml:space="preserve">their most effective </w:t>
      </w:r>
      <w:r w:rsidRPr="00FA288E">
        <w:t>delivery modalities.</w:t>
      </w:r>
      <w:r w:rsidRPr="00FA288E">
        <w:rPr>
          <w:vertAlign w:val="superscript"/>
        </w:rPr>
        <w:footnoteReference w:id="2"/>
      </w:r>
      <w:r w:rsidR="00800072" w:rsidRPr="00FA288E">
        <w:t xml:space="preserve"> The assessment period was from initial grant implementation in January 2018 to </w:t>
      </w:r>
      <w:r w:rsidR="00757932" w:rsidRPr="00FA288E">
        <w:t>December</w:t>
      </w:r>
      <w:r w:rsidR="00800072" w:rsidRPr="00FA288E">
        <w:t xml:space="preserve"> 2019</w:t>
      </w:r>
      <w:r w:rsidR="00757932" w:rsidRPr="00FA288E">
        <w:t>,</w:t>
      </w:r>
      <w:r w:rsidR="00800072" w:rsidRPr="00FA288E">
        <w:t xml:space="preserve"> when the review was undertaken.</w:t>
      </w:r>
    </w:p>
    <w:p w14:paraId="2038EC2D" w14:textId="77777777" w:rsidR="00814A35" w:rsidRPr="00FA288E" w:rsidRDefault="009616BA" w:rsidP="00661AB0">
      <w:pPr>
        <w:jc w:val="both"/>
      </w:pPr>
      <w:r w:rsidRPr="00FA288E">
        <w:t xml:space="preserve">The review </w:t>
      </w:r>
      <w:r w:rsidR="00800072" w:rsidRPr="00FA288E">
        <w:t>considered</w:t>
      </w:r>
      <w:r w:rsidRPr="00FA288E">
        <w:t xml:space="preserve"> three</w:t>
      </w:r>
      <w:r w:rsidR="00D9271A" w:rsidRPr="00FA288E">
        <w:t xml:space="preserve"> grants</w:t>
      </w:r>
      <w:r w:rsidR="006E593C" w:rsidRPr="00FA288E">
        <w:t xml:space="preserve"> (see </w:t>
      </w:r>
      <w:hyperlink w:anchor="_Annex_D:_Consortia" w:history="1">
        <w:r w:rsidR="00A07ED0" w:rsidRPr="00FA288E">
          <w:rPr>
            <w:rStyle w:val="Hyperlink"/>
            <w:rFonts w:cs="Calibri"/>
            <w:b/>
            <w:bCs/>
            <w:i/>
            <w:iCs/>
            <w:szCs w:val="21"/>
          </w:rPr>
          <w:t>Annex D</w:t>
        </w:r>
      </w:hyperlink>
      <w:r w:rsidR="006E593C" w:rsidRPr="00FA288E">
        <w:t xml:space="preserve"> for </w:t>
      </w:r>
      <w:r w:rsidR="00A07ED0" w:rsidRPr="00FA288E">
        <w:t>detailed grant information including consortium partners)</w:t>
      </w:r>
      <w:r w:rsidR="00D9271A" w:rsidRPr="00FA288E">
        <w:t>:</w:t>
      </w:r>
    </w:p>
    <w:p w14:paraId="42C93278" w14:textId="580C286B" w:rsidR="00D9271A" w:rsidRPr="00FA288E" w:rsidRDefault="00D9271A" w:rsidP="00FF62CC">
      <w:pPr>
        <w:pStyle w:val="ListParagraph"/>
        <w:numPr>
          <w:ilvl w:val="0"/>
          <w:numId w:val="89"/>
        </w:numPr>
        <w:jc w:val="both"/>
        <w:rPr>
          <w:rFonts w:ascii="Calibri" w:eastAsia="Times New Roman" w:hAnsi="Calibri" w:cs="Times New Roman"/>
          <w:sz w:val="21"/>
          <w:szCs w:val="24"/>
          <w:lang w:val="en-AU" w:eastAsia="en-US"/>
        </w:rPr>
      </w:pPr>
      <w:r w:rsidRPr="00FA288E">
        <w:rPr>
          <w:rFonts w:ascii="Calibri" w:eastAsia="Times New Roman" w:hAnsi="Calibri" w:cs="Times New Roman"/>
          <w:sz w:val="21"/>
          <w:szCs w:val="24"/>
          <w:lang w:val="en-AU" w:eastAsia="en-US"/>
        </w:rPr>
        <w:t xml:space="preserve">Care Australia (CARE): </w:t>
      </w:r>
      <w:proofErr w:type="spellStart"/>
      <w:r w:rsidRPr="00FA288E">
        <w:rPr>
          <w:rFonts w:ascii="Calibri" w:eastAsia="Times New Roman" w:hAnsi="Calibri" w:cs="Times New Roman"/>
          <w:sz w:val="21"/>
          <w:szCs w:val="24"/>
          <w:lang w:val="en-AU" w:eastAsia="en-US"/>
        </w:rPr>
        <w:t>Pikinini</w:t>
      </w:r>
      <w:proofErr w:type="spellEnd"/>
      <w:r w:rsidRPr="00FA288E">
        <w:rPr>
          <w:rFonts w:ascii="Calibri" w:eastAsia="Times New Roman" w:hAnsi="Calibri" w:cs="Times New Roman"/>
          <w:sz w:val="21"/>
          <w:szCs w:val="24"/>
          <w:lang w:val="en-AU" w:eastAsia="en-US"/>
        </w:rPr>
        <w:t xml:space="preserve"> </w:t>
      </w:r>
      <w:proofErr w:type="spellStart"/>
      <w:r w:rsidRPr="00FA288E">
        <w:rPr>
          <w:rFonts w:ascii="Calibri" w:eastAsia="Times New Roman" w:hAnsi="Calibri" w:cs="Times New Roman"/>
          <w:sz w:val="21"/>
          <w:szCs w:val="24"/>
          <w:lang w:val="en-AU" w:eastAsia="en-US"/>
        </w:rPr>
        <w:t>Kisim</w:t>
      </w:r>
      <w:proofErr w:type="spellEnd"/>
      <w:r w:rsidRPr="00FA288E">
        <w:rPr>
          <w:rFonts w:ascii="Calibri" w:eastAsia="Times New Roman" w:hAnsi="Calibri" w:cs="Times New Roman"/>
          <w:sz w:val="21"/>
          <w:szCs w:val="24"/>
          <w:lang w:val="en-AU" w:eastAsia="en-US"/>
        </w:rPr>
        <w:t xml:space="preserve"> Save (PKS) Project, AU</w:t>
      </w:r>
      <w:r w:rsidR="001F4669" w:rsidRPr="00FA288E">
        <w:rPr>
          <w:rFonts w:ascii="Calibri" w:eastAsia="Times New Roman" w:hAnsi="Calibri" w:cs="Times New Roman"/>
          <w:sz w:val="21"/>
          <w:szCs w:val="24"/>
          <w:lang w:val="en-AU" w:eastAsia="en-US"/>
        </w:rPr>
        <w:t>D</w:t>
      </w:r>
      <w:r w:rsidRPr="00FA288E">
        <w:rPr>
          <w:rFonts w:ascii="Calibri" w:eastAsia="Times New Roman" w:hAnsi="Calibri" w:cs="Times New Roman"/>
          <w:sz w:val="21"/>
          <w:szCs w:val="24"/>
          <w:lang w:val="en-AU" w:eastAsia="en-US"/>
        </w:rPr>
        <w:t>1</w:t>
      </w:r>
      <w:r w:rsidR="001F4669" w:rsidRPr="00FA288E">
        <w:rPr>
          <w:rFonts w:ascii="Calibri" w:eastAsia="Times New Roman" w:hAnsi="Calibri" w:cs="Times New Roman"/>
          <w:sz w:val="21"/>
          <w:szCs w:val="24"/>
          <w:lang w:val="en-AU" w:eastAsia="en-US"/>
        </w:rPr>
        <w:t>0,620,000</w:t>
      </w:r>
      <w:r w:rsidRPr="00FA288E">
        <w:rPr>
          <w:rFonts w:ascii="Calibri" w:eastAsia="Times New Roman" w:hAnsi="Calibri" w:cs="Times New Roman"/>
          <w:sz w:val="21"/>
          <w:szCs w:val="24"/>
          <w:lang w:val="en-AU" w:eastAsia="en-US"/>
        </w:rPr>
        <w:t xml:space="preserve"> to end June 2020 </w:t>
      </w:r>
    </w:p>
    <w:p w14:paraId="3BA2014E" w14:textId="65778336" w:rsidR="00D9271A" w:rsidRPr="005857AF" w:rsidRDefault="00D9271A" w:rsidP="00FF62CC">
      <w:pPr>
        <w:pStyle w:val="ListParagraph"/>
        <w:numPr>
          <w:ilvl w:val="0"/>
          <w:numId w:val="89"/>
        </w:numPr>
        <w:jc w:val="both"/>
        <w:rPr>
          <w:rFonts w:ascii="Calibri" w:eastAsia="Times New Roman" w:hAnsi="Calibri" w:cs="Times New Roman"/>
          <w:sz w:val="21"/>
          <w:szCs w:val="24"/>
          <w:lang w:val="en-AU" w:eastAsia="en-US"/>
        </w:rPr>
      </w:pPr>
      <w:r w:rsidRPr="00FA288E">
        <w:rPr>
          <w:rFonts w:ascii="Calibri" w:eastAsia="Times New Roman" w:hAnsi="Calibri" w:cs="Times New Roman"/>
          <w:sz w:val="21"/>
          <w:szCs w:val="24"/>
          <w:lang w:val="en-AU" w:eastAsia="en-US"/>
        </w:rPr>
        <w:t>Save the Children (</w:t>
      </w:r>
      <w:proofErr w:type="spellStart"/>
      <w:r w:rsidRPr="00FA288E">
        <w:rPr>
          <w:rFonts w:ascii="Calibri" w:eastAsia="Times New Roman" w:hAnsi="Calibri" w:cs="Times New Roman"/>
          <w:sz w:val="21"/>
          <w:szCs w:val="24"/>
          <w:lang w:val="en-AU" w:eastAsia="en-US"/>
        </w:rPr>
        <w:t>StC</w:t>
      </w:r>
      <w:proofErr w:type="spellEnd"/>
      <w:r w:rsidRPr="00FA288E">
        <w:rPr>
          <w:rFonts w:ascii="Calibri" w:eastAsia="Times New Roman" w:hAnsi="Calibri" w:cs="Times New Roman"/>
          <w:sz w:val="21"/>
          <w:szCs w:val="24"/>
          <w:lang w:val="en-AU" w:eastAsia="en-US"/>
        </w:rPr>
        <w:t xml:space="preserve">): Rapidly Improving Standards in Elementary Education (RISE) Project, </w:t>
      </w:r>
      <w:r w:rsidRPr="005857AF">
        <w:rPr>
          <w:rFonts w:eastAsia="Times New Roman"/>
        </w:rPr>
        <w:t>AU</w:t>
      </w:r>
      <w:r w:rsidR="001F4669" w:rsidRPr="005857AF">
        <w:rPr>
          <w:rFonts w:eastAsia="Times New Roman"/>
        </w:rPr>
        <w:t>D</w:t>
      </w:r>
      <w:r w:rsidRPr="005857AF">
        <w:rPr>
          <w:rFonts w:eastAsia="Times New Roman"/>
        </w:rPr>
        <w:t>18</w:t>
      </w:r>
      <w:r w:rsidR="001F4669" w:rsidRPr="005857AF">
        <w:rPr>
          <w:rFonts w:eastAsia="Times New Roman"/>
        </w:rPr>
        <w:t>,239,125</w:t>
      </w:r>
      <w:r w:rsidRPr="005857AF">
        <w:rPr>
          <w:rFonts w:eastAsia="Times New Roman"/>
        </w:rPr>
        <w:t xml:space="preserve"> to end June 2020 (extended from April 2020). </w:t>
      </w:r>
    </w:p>
    <w:p w14:paraId="5118F3C3" w14:textId="1B4358D3" w:rsidR="00D9271A" w:rsidRPr="00FA288E" w:rsidRDefault="00D9271A" w:rsidP="00FF62CC">
      <w:pPr>
        <w:pStyle w:val="ListParagraph"/>
        <w:numPr>
          <w:ilvl w:val="0"/>
          <w:numId w:val="89"/>
        </w:numPr>
        <w:jc w:val="both"/>
        <w:rPr>
          <w:rFonts w:ascii="Calibri" w:eastAsia="Times New Roman" w:hAnsi="Calibri" w:cs="Times New Roman"/>
          <w:sz w:val="21"/>
          <w:szCs w:val="24"/>
          <w:lang w:val="en-AU" w:eastAsia="en-US"/>
        </w:rPr>
      </w:pPr>
      <w:r w:rsidRPr="00FA288E">
        <w:rPr>
          <w:rFonts w:ascii="Calibri" w:eastAsia="Times New Roman" w:hAnsi="Calibri" w:cs="Times New Roman"/>
          <w:sz w:val="21"/>
          <w:szCs w:val="24"/>
          <w:lang w:val="en-AU" w:eastAsia="en-US"/>
        </w:rPr>
        <w:t>World Vision (WV): Together for Education (T4E) Project: Enhancing Access to Quality Elementary Education for Girls &amp; Boys in PNG, AU</w:t>
      </w:r>
      <w:r w:rsidR="001F4669" w:rsidRPr="00FA288E">
        <w:rPr>
          <w:rFonts w:ascii="Calibri" w:eastAsia="Times New Roman" w:hAnsi="Calibri" w:cs="Times New Roman"/>
          <w:sz w:val="21"/>
          <w:szCs w:val="24"/>
          <w:lang w:val="en-AU" w:eastAsia="en-US"/>
        </w:rPr>
        <w:t>D</w:t>
      </w:r>
      <w:r w:rsidRPr="00FA288E">
        <w:rPr>
          <w:rFonts w:ascii="Calibri" w:eastAsia="Times New Roman" w:hAnsi="Calibri" w:cs="Times New Roman"/>
          <w:sz w:val="21"/>
          <w:szCs w:val="24"/>
          <w:lang w:val="en-AU" w:eastAsia="en-US"/>
        </w:rPr>
        <w:t>14,</w:t>
      </w:r>
      <w:r w:rsidR="001F4669" w:rsidRPr="00FA288E">
        <w:rPr>
          <w:rFonts w:ascii="Calibri" w:eastAsia="Times New Roman" w:hAnsi="Calibri" w:cs="Times New Roman"/>
          <w:sz w:val="21"/>
          <w:szCs w:val="24"/>
          <w:lang w:val="en-AU" w:eastAsia="en-US"/>
        </w:rPr>
        <w:t>4</w:t>
      </w:r>
      <w:r w:rsidRPr="00FA288E">
        <w:rPr>
          <w:rFonts w:ascii="Calibri" w:eastAsia="Times New Roman" w:hAnsi="Calibri" w:cs="Times New Roman"/>
          <w:sz w:val="21"/>
          <w:szCs w:val="24"/>
          <w:lang w:val="en-AU" w:eastAsia="en-US"/>
        </w:rPr>
        <w:t xml:space="preserve">95,995 to end June 2020 (extended from April 2020). </w:t>
      </w:r>
    </w:p>
    <w:p w14:paraId="454C654B" w14:textId="5540CBF5" w:rsidR="00A07ED0" w:rsidRPr="00FA288E" w:rsidRDefault="00A07ED0" w:rsidP="00661AB0">
      <w:pPr>
        <w:spacing w:after="80" w:line="240" w:lineRule="auto"/>
        <w:jc w:val="both"/>
        <w:rPr>
          <w:rFonts w:cs="Calibri"/>
          <w:szCs w:val="21"/>
        </w:rPr>
      </w:pPr>
      <w:r w:rsidRPr="00FA288E">
        <w:t>The</w:t>
      </w:r>
      <w:r w:rsidR="00BB060F" w:rsidRPr="00FA288E">
        <w:t xml:space="preserve"> current</w:t>
      </w:r>
      <w:r w:rsidRPr="00FA288E">
        <w:t xml:space="preserve"> combined value of the PPF Education Grants is AU</w:t>
      </w:r>
      <w:r w:rsidR="001F4669" w:rsidRPr="00FA288E">
        <w:t xml:space="preserve">D </w:t>
      </w:r>
      <w:r w:rsidR="00BB060F" w:rsidRPr="00FA288E">
        <w:t>44 million</w:t>
      </w:r>
      <w:r w:rsidRPr="00FA288E">
        <w:t xml:space="preserve"> from July 2017 to June 2020</w:t>
      </w:r>
      <w:r w:rsidR="00197924" w:rsidRPr="00FA288E">
        <w:t>.</w:t>
      </w:r>
      <w:r w:rsidRPr="00FA288E">
        <w:t xml:space="preserve"> </w:t>
      </w:r>
      <w:r w:rsidR="00197924" w:rsidRPr="00FA288E">
        <w:t>A</w:t>
      </w:r>
      <w:r w:rsidRPr="00FA288E">
        <w:t xml:space="preserve">dditional funding </w:t>
      </w:r>
      <w:r w:rsidR="00197924" w:rsidRPr="00FA288E">
        <w:t xml:space="preserve">is expected </w:t>
      </w:r>
      <w:r w:rsidRPr="00FA288E">
        <w:t>to be allocated for the</w:t>
      </w:r>
      <w:r w:rsidR="00197924" w:rsidRPr="00FA288E">
        <w:t xml:space="preserve"> </w:t>
      </w:r>
      <w:r w:rsidRPr="00FA288E">
        <w:t>extension</w:t>
      </w:r>
      <w:r w:rsidR="00197924" w:rsidRPr="00FA288E">
        <w:t xml:space="preserve"> of all</w:t>
      </w:r>
      <w:r w:rsidR="00BB060F" w:rsidRPr="00FA288E">
        <w:t xml:space="preserve"> education</w:t>
      </w:r>
      <w:r w:rsidR="00197924" w:rsidRPr="00FA288E">
        <w:t xml:space="preserve"> grants</w:t>
      </w:r>
      <w:r w:rsidRPr="00FA288E">
        <w:t xml:space="preserve"> to February 2022. </w:t>
      </w:r>
      <w:r w:rsidRPr="00FA288E">
        <w:rPr>
          <w:rFonts w:cs="Calibri"/>
          <w:szCs w:val="21"/>
        </w:rPr>
        <w:t xml:space="preserve">Management oversight and quality assurance of the grants is provided by the PPF Secretariat managed by </w:t>
      </w:r>
      <w:proofErr w:type="spellStart"/>
      <w:r w:rsidRPr="00FA288E">
        <w:rPr>
          <w:rFonts w:cs="Calibri"/>
          <w:szCs w:val="21"/>
        </w:rPr>
        <w:t>Abt</w:t>
      </w:r>
      <w:proofErr w:type="spellEnd"/>
      <w:r w:rsidRPr="00FA288E">
        <w:rPr>
          <w:rFonts w:cs="Calibri"/>
          <w:szCs w:val="21"/>
        </w:rPr>
        <w:t xml:space="preserve"> Associates. </w:t>
      </w:r>
    </w:p>
    <w:p w14:paraId="1ED6C5D7" w14:textId="77777777" w:rsidR="00A07ED0" w:rsidRPr="00FA288E" w:rsidRDefault="00A07ED0" w:rsidP="00661AB0">
      <w:pPr>
        <w:spacing w:after="80" w:line="240" w:lineRule="auto"/>
        <w:jc w:val="both"/>
        <w:rPr>
          <w:rFonts w:cs="Calibri"/>
          <w:szCs w:val="21"/>
        </w:rPr>
      </w:pPr>
      <w:r w:rsidRPr="00FA288E">
        <w:rPr>
          <w:rFonts w:cs="Calibri"/>
          <w:szCs w:val="21"/>
        </w:rPr>
        <w:t>The PPF Education Grants were designed to improve early grade literacy and numeracy by:</w:t>
      </w:r>
    </w:p>
    <w:p w14:paraId="3070898C" w14:textId="77777777" w:rsidR="00A07ED0" w:rsidRPr="00FA288E" w:rsidRDefault="00A07ED0" w:rsidP="00FF62CC">
      <w:pPr>
        <w:pStyle w:val="Bullets"/>
        <w:numPr>
          <w:ilvl w:val="0"/>
          <w:numId w:val="64"/>
        </w:numPr>
        <w:spacing w:after="0" w:line="240" w:lineRule="auto"/>
        <w:jc w:val="both"/>
        <w:rPr>
          <w:rFonts w:ascii="Calibri" w:hAnsi="Calibri" w:cs="Calibri"/>
          <w:sz w:val="21"/>
          <w:szCs w:val="21"/>
        </w:rPr>
      </w:pPr>
      <w:r w:rsidRPr="00FA288E">
        <w:rPr>
          <w:rFonts w:ascii="Calibri" w:hAnsi="Calibri" w:cs="Calibri"/>
          <w:sz w:val="21"/>
          <w:szCs w:val="21"/>
        </w:rPr>
        <w:t>Encouraging innovative approaches that focus on achieving results;</w:t>
      </w:r>
    </w:p>
    <w:p w14:paraId="68597B6D" w14:textId="77777777" w:rsidR="00A07ED0" w:rsidRPr="00FA288E" w:rsidRDefault="00A07ED0" w:rsidP="00FF62CC">
      <w:pPr>
        <w:pStyle w:val="Bullets"/>
        <w:numPr>
          <w:ilvl w:val="0"/>
          <w:numId w:val="64"/>
        </w:numPr>
        <w:spacing w:after="0" w:line="240" w:lineRule="auto"/>
        <w:jc w:val="both"/>
        <w:rPr>
          <w:rFonts w:ascii="Calibri" w:hAnsi="Calibri" w:cs="Calibri"/>
          <w:sz w:val="21"/>
          <w:szCs w:val="21"/>
        </w:rPr>
      </w:pPr>
      <w:r w:rsidRPr="00FA288E">
        <w:rPr>
          <w:rFonts w:ascii="Calibri" w:hAnsi="Calibri" w:cs="Calibri"/>
          <w:sz w:val="21"/>
          <w:szCs w:val="21"/>
        </w:rPr>
        <w:t>Using a competitive funding and application process, with the best proposals selected to achieve sustainable results;</w:t>
      </w:r>
    </w:p>
    <w:p w14:paraId="4BE0EDF2" w14:textId="77777777" w:rsidR="00A07ED0" w:rsidRPr="00FA288E" w:rsidRDefault="00A07ED0" w:rsidP="00FF62CC">
      <w:pPr>
        <w:pStyle w:val="Bullets"/>
        <w:numPr>
          <w:ilvl w:val="0"/>
          <w:numId w:val="64"/>
        </w:numPr>
        <w:spacing w:after="0" w:line="240" w:lineRule="auto"/>
        <w:jc w:val="both"/>
        <w:rPr>
          <w:rFonts w:ascii="Calibri" w:hAnsi="Calibri" w:cs="Calibri"/>
          <w:sz w:val="21"/>
          <w:szCs w:val="21"/>
        </w:rPr>
      </w:pPr>
      <w:r w:rsidRPr="00FA288E">
        <w:rPr>
          <w:rFonts w:ascii="Calibri" w:hAnsi="Calibri" w:cs="Calibri"/>
          <w:sz w:val="21"/>
          <w:szCs w:val="21"/>
        </w:rPr>
        <w:t>Creating partnership between different stakeholders, each with their own strengths and skills to contribute to achieving results; and,</w:t>
      </w:r>
    </w:p>
    <w:p w14:paraId="0F154598" w14:textId="77777777" w:rsidR="00A07ED0" w:rsidRPr="00FA288E" w:rsidRDefault="00A07ED0" w:rsidP="00FF62CC">
      <w:pPr>
        <w:pStyle w:val="Bullets"/>
        <w:numPr>
          <w:ilvl w:val="0"/>
          <w:numId w:val="64"/>
        </w:numPr>
        <w:spacing w:after="80" w:line="240" w:lineRule="auto"/>
        <w:jc w:val="both"/>
        <w:rPr>
          <w:rFonts w:ascii="Calibri" w:hAnsi="Calibri" w:cs="Calibri"/>
          <w:sz w:val="21"/>
          <w:szCs w:val="21"/>
        </w:rPr>
      </w:pPr>
      <w:r w:rsidRPr="00FA288E">
        <w:rPr>
          <w:rFonts w:ascii="Calibri" w:hAnsi="Calibri" w:cs="Calibri"/>
          <w:sz w:val="21"/>
          <w:szCs w:val="21"/>
        </w:rPr>
        <w:t>Enabling large-scale interventions with extensive and substantive reach in service delivery using Australia’s aid funds.</w:t>
      </w:r>
    </w:p>
    <w:p w14:paraId="3E1B822E" w14:textId="77777777" w:rsidR="001207D0" w:rsidRPr="00FA288E" w:rsidRDefault="00A07ED0" w:rsidP="00A07ED0">
      <w:pPr>
        <w:pStyle w:val="Bullets"/>
        <w:numPr>
          <w:ilvl w:val="0"/>
          <w:numId w:val="0"/>
        </w:numPr>
        <w:spacing w:before="120" w:after="60" w:line="240" w:lineRule="auto"/>
        <w:jc w:val="both"/>
        <w:rPr>
          <w:rFonts w:cs="Calibri"/>
          <w:szCs w:val="21"/>
        </w:rPr>
      </w:pPr>
      <w:r w:rsidRPr="00FA288E">
        <w:rPr>
          <w:rFonts w:ascii="Calibri" w:eastAsia="Times New Roman" w:hAnsi="Calibri" w:cs="Calibri"/>
          <w:sz w:val="21"/>
          <w:szCs w:val="21"/>
        </w:rPr>
        <w:t>The current geographic implementation of the grants covers 10 of 22 provinces and 31 of 89 districts in PNG. During the first year of implementation, over 1,400 elementary schools and more than 3,000 teachers received some form of intervention supported by the grants.</w:t>
      </w:r>
      <w:r w:rsidRPr="00FA288E">
        <w:rPr>
          <w:rStyle w:val="FootnoteReference"/>
          <w:rFonts w:cs="Calibri"/>
          <w:szCs w:val="21"/>
        </w:rPr>
        <w:footnoteReference w:id="3"/>
      </w:r>
      <w:r w:rsidRPr="00FA288E">
        <w:rPr>
          <w:rFonts w:cs="Calibri"/>
          <w:szCs w:val="21"/>
        </w:rPr>
        <w:t xml:space="preserve"> </w:t>
      </w:r>
    </w:p>
    <w:p w14:paraId="405DEDC3" w14:textId="77777777" w:rsidR="00D97D83" w:rsidRPr="00FA288E" w:rsidRDefault="00D97D83" w:rsidP="00D97D83">
      <w:pPr>
        <w:spacing w:after="80" w:line="240" w:lineRule="auto"/>
        <w:jc w:val="both"/>
      </w:pPr>
      <w:r w:rsidRPr="00FA288E">
        <w:t>The review</w:t>
      </w:r>
      <w:r w:rsidR="00757932" w:rsidRPr="00FA288E">
        <w:t xml:space="preserve"> primarily</w:t>
      </w:r>
      <w:r w:rsidRPr="00FA288E">
        <w:t xml:space="preserve"> considered the grants’ effectiveness (including through influence)</w:t>
      </w:r>
      <w:r w:rsidR="00712280" w:rsidRPr="00FA288E">
        <w:t>,</w:t>
      </w:r>
      <w:r w:rsidR="00757932" w:rsidRPr="00FA288E">
        <w:t xml:space="preserve"> </w:t>
      </w:r>
      <w:r w:rsidRPr="00FA288E">
        <w:t xml:space="preserve">monitoring and </w:t>
      </w:r>
      <w:r w:rsidR="00712280" w:rsidRPr="00FA288E">
        <w:t xml:space="preserve">evaluation systems </w:t>
      </w:r>
      <w:r w:rsidRPr="00FA288E">
        <w:t>(to measure progress and inform learning), sustainability, use of models and strategies (to inform future investments)</w:t>
      </w:r>
      <w:r w:rsidR="00712280" w:rsidRPr="00FA288E">
        <w:t>, and a limited assessment of implementation efficiency</w:t>
      </w:r>
      <w:r w:rsidRPr="00FA288E">
        <w:t xml:space="preserve">. </w:t>
      </w:r>
    </w:p>
    <w:p w14:paraId="6E771D84" w14:textId="77777777" w:rsidR="00E8149F" w:rsidRPr="00FA288E" w:rsidRDefault="00E8149F" w:rsidP="00D97D83">
      <w:pPr>
        <w:pStyle w:val="BodyText"/>
        <w:spacing w:after="80" w:line="240" w:lineRule="auto"/>
        <w:rPr>
          <w:rFonts w:ascii="Calibri" w:hAnsi="Calibri" w:cs="Calibri"/>
          <w:b/>
          <w:sz w:val="21"/>
          <w:szCs w:val="21"/>
        </w:rPr>
      </w:pPr>
      <w:r w:rsidRPr="00FA288E">
        <w:rPr>
          <w:rFonts w:ascii="Calibri" w:hAnsi="Calibri" w:cs="Calibri"/>
          <w:sz w:val="21"/>
          <w:szCs w:val="21"/>
        </w:rPr>
        <w:t xml:space="preserve"> </w:t>
      </w:r>
      <w:r w:rsidRPr="00FA288E">
        <w:rPr>
          <w:rFonts w:ascii="Calibri" w:hAnsi="Calibri" w:cs="Calibri"/>
          <w:b/>
          <w:sz w:val="21"/>
          <w:szCs w:val="21"/>
        </w:rPr>
        <w:t>Methodology</w:t>
      </w:r>
    </w:p>
    <w:p w14:paraId="6AB43C53" w14:textId="77777777" w:rsidR="00D97D83" w:rsidRPr="00FA288E" w:rsidRDefault="00E8149F" w:rsidP="00D97D83">
      <w:pPr>
        <w:pStyle w:val="BodyText"/>
        <w:spacing w:after="80" w:line="240" w:lineRule="auto"/>
        <w:rPr>
          <w:rFonts w:ascii="Calibri" w:hAnsi="Calibri" w:cs="Calibri"/>
          <w:sz w:val="21"/>
          <w:szCs w:val="21"/>
        </w:rPr>
      </w:pPr>
      <w:r w:rsidRPr="00FA288E">
        <w:rPr>
          <w:rFonts w:ascii="Calibri" w:hAnsi="Calibri" w:cs="Calibri"/>
          <w:sz w:val="21"/>
          <w:szCs w:val="21"/>
        </w:rPr>
        <w:t xml:space="preserve">The MTR approach consisted of three phases: (1) document review and preparation of the Review Plan; (2) field work comprising interviews and classroom observations; and (3) data analysis, synthesis, validation workshops and reporting. </w:t>
      </w:r>
      <w:r w:rsidR="00D97D83" w:rsidRPr="00FA288E">
        <w:rPr>
          <w:rFonts w:ascii="Calibri" w:hAnsi="Calibri" w:cs="Calibri"/>
          <w:sz w:val="21"/>
          <w:szCs w:val="21"/>
        </w:rPr>
        <w:t xml:space="preserve">The field mission </w:t>
      </w:r>
      <w:r w:rsidRPr="00FA288E">
        <w:rPr>
          <w:rFonts w:ascii="Calibri" w:hAnsi="Calibri" w:cs="Calibri"/>
          <w:sz w:val="21"/>
          <w:szCs w:val="21"/>
        </w:rPr>
        <w:t>took place from</w:t>
      </w:r>
      <w:r w:rsidR="00D97D83" w:rsidRPr="00FA288E">
        <w:rPr>
          <w:rFonts w:ascii="Calibri" w:hAnsi="Calibri" w:cs="Calibri"/>
          <w:sz w:val="21"/>
          <w:szCs w:val="21"/>
        </w:rPr>
        <w:t xml:space="preserve"> 5 to 26 November 2019, with</w:t>
      </w:r>
      <w:r w:rsidR="00D97D83" w:rsidRPr="00FA288E">
        <w:rPr>
          <w:rFonts w:cs="Calibri"/>
          <w:sz w:val="21"/>
          <w:szCs w:val="21"/>
        </w:rPr>
        <w:t xml:space="preserve"> visits to three of the ten </w:t>
      </w:r>
      <w:r w:rsidR="00712280" w:rsidRPr="00FA288E">
        <w:rPr>
          <w:rFonts w:cs="Calibri"/>
          <w:sz w:val="21"/>
          <w:szCs w:val="21"/>
        </w:rPr>
        <w:t xml:space="preserve">implementation </w:t>
      </w:r>
      <w:r w:rsidR="00D97D83" w:rsidRPr="00FA288E">
        <w:rPr>
          <w:rFonts w:cs="Calibri"/>
          <w:sz w:val="21"/>
          <w:szCs w:val="21"/>
        </w:rPr>
        <w:lastRenderedPageBreak/>
        <w:t>provinces.</w:t>
      </w:r>
      <w:r w:rsidR="00D97D83" w:rsidRPr="00FA288E">
        <w:rPr>
          <w:rStyle w:val="FootnoteReference"/>
          <w:rFonts w:cs="Calibri"/>
          <w:sz w:val="21"/>
          <w:szCs w:val="21"/>
        </w:rPr>
        <w:footnoteReference w:id="4"/>
      </w:r>
      <w:r w:rsidR="00D97D83" w:rsidRPr="00FA288E">
        <w:rPr>
          <w:rFonts w:cs="Calibri"/>
          <w:sz w:val="21"/>
          <w:szCs w:val="21"/>
        </w:rPr>
        <w:t xml:space="preserve"> </w:t>
      </w:r>
      <w:r w:rsidR="00D97D83" w:rsidRPr="00FA288E">
        <w:rPr>
          <w:rFonts w:ascii="Calibri" w:hAnsi="Calibri" w:cs="Calibri"/>
          <w:sz w:val="21"/>
          <w:szCs w:val="21"/>
        </w:rPr>
        <w:t>Stakeholders consulted included representatives of the Australian Government, GoPNG officials from the National Department of Education and Department of National Planning and Monitoring, provincial and district education officers, school heads/teachers-in-charge, teachers, parents, School Board</w:t>
      </w:r>
      <w:r w:rsidR="00B969A1" w:rsidRPr="00FA288E">
        <w:rPr>
          <w:rFonts w:ascii="Calibri" w:hAnsi="Calibri" w:cs="Calibri"/>
          <w:sz w:val="21"/>
          <w:szCs w:val="21"/>
        </w:rPr>
        <w:t>s</w:t>
      </w:r>
      <w:r w:rsidR="00D97D83" w:rsidRPr="00FA288E">
        <w:rPr>
          <w:rFonts w:ascii="Calibri" w:hAnsi="Calibri" w:cs="Calibri"/>
          <w:sz w:val="21"/>
          <w:szCs w:val="21"/>
        </w:rPr>
        <w:t xml:space="preserve"> of Management</w:t>
      </w:r>
      <w:r w:rsidR="00B969A1" w:rsidRPr="00FA288E">
        <w:rPr>
          <w:rFonts w:ascii="Calibri" w:hAnsi="Calibri" w:cs="Calibri"/>
          <w:sz w:val="21"/>
          <w:szCs w:val="21"/>
        </w:rPr>
        <w:t>,</w:t>
      </w:r>
      <w:r w:rsidR="00D97D83" w:rsidRPr="00FA288E">
        <w:rPr>
          <w:rFonts w:ascii="Calibri" w:hAnsi="Calibri" w:cs="Calibri"/>
          <w:sz w:val="21"/>
          <w:szCs w:val="21"/>
        </w:rPr>
        <w:t xml:space="preserve"> community members, management and staff of the grant projects</w:t>
      </w:r>
      <w:r w:rsidR="00B969A1" w:rsidRPr="00FA288E">
        <w:rPr>
          <w:rFonts w:ascii="Calibri" w:hAnsi="Calibri" w:cs="Calibri"/>
          <w:sz w:val="21"/>
          <w:szCs w:val="21"/>
        </w:rPr>
        <w:t>,</w:t>
      </w:r>
      <w:r w:rsidR="00D97D83" w:rsidRPr="00FA288E">
        <w:rPr>
          <w:rFonts w:ascii="Calibri" w:hAnsi="Calibri" w:cs="Calibri"/>
          <w:sz w:val="21"/>
          <w:szCs w:val="21"/>
        </w:rPr>
        <w:t xml:space="preserve"> and the PPF Secretariat.</w:t>
      </w:r>
    </w:p>
    <w:p w14:paraId="1F7B213C" w14:textId="7B5DA64D" w:rsidR="00146965" w:rsidRPr="00FA288E" w:rsidRDefault="00E8149F" w:rsidP="00D97D83">
      <w:pPr>
        <w:pStyle w:val="BodyText"/>
        <w:spacing w:after="80" w:line="240" w:lineRule="auto"/>
        <w:rPr>
          <w:rFonts w:ascii="Calibri" w:hAnsi="Calibri" w:cs="Calibri"/>
          <w:sz w:val="21"/>
          <w:szCs w:val="21"/>
        </w:rPr>
      </w:pPr>
      <w:r w:rsidRPr="00FA288E">
        <w:rPr>
          <w:sz w:val="21"/>
          <w:szCs w:val="21"/>
        </w:rPr>
        <w:t>Recognising that the impl</w:t>
      </w:r>
      <w:r w:rsidR="00953B20" w:rsidRPr="00FA288E">
        <w:rPr>
          <w:sz w:val="21"/>
          <w:szCs w:val="21"/>
        </w:rPr>
        <w:t>ementation of the grant project</w:t>
      </w:r>
      <w:r w:rsidRPr="00FA288E">
        <w:rPr>
          <w:sz w:val="21"/>
          <w:szCs w:val="21"/>
        </w:rPr>
        <w:t xml:space="preserve"> was at a relatively early stage to enable definitive judgments on the </w:t>
      </w:r>
      <w:r w:rsidR="0030510B" w:rsidRPr="00FA288E">
        <w:rPr>
          <w:sz w:val="21"/>
          <w:szCs w:val="21"/>
        </w:rPr>
        <w:t>outcomes</w:t>
      </w:r>
      <w:r w:rsidRPr="00FA288E">
        <w:rPr>
          <w:sz w:val="21"/>
          <w:szCs w:val="21"/>
        </w:rPr>
        <w:t xml:space="preserve"> of the investment</w:t>
      </w:r>
      <w:r w:rsidR="0030510B" w:rsidRPr="00FA288E">
        <w:rPr>
          <w:sz w:val="21"/>
          <w:szCs w:val="21"/>
        </w:rPr>
        <w:t xml:space="preserve"> (</w:t>
      </w:r>
      <w:r w:rsidR="0030510B" w:rsidRPr="00FA288E">
        <w:rPr>
          <w:rFonts w:cs="Calibri"/>
          <w:sz w:val="21"/>
          <w:szCs w:val="21"/>
        </w:rPr>
        <w:t>less than 2 years for RISE and T4E and 15 months for PKS)</w:t>
      </w:r>
      <w:r w:rsidRPr="00FA288E">
        <w:rPr>
          <w:sz w:val="21"/>
          <w:szCs w:val="21"/>
        </w:rPr>
        <w:t xml:space="preserve">, the review team was tasked </w:t>
      </w:r>
      <w:r w:rsidR="0040219D" w:rsidRPr="00FA288E">
        <w:rPr>
          <w:sz w:val="21"/>
          <w:szCs w:val="21"/>
        </w:rPr>
        <w:t>to</w:t>
      </w:r>
      <w:r w:rsidRPr="00FA288E">
        <w:rPr>
          <w:sz w:val="21"/>
          <w:szCs w:val="21"/>
        </w:rPr>
        <w:t xml:space="preserve"> identify preliminary findings that would be useful to guide an extension phase and to inform the design of a future investment in education in PNG.</w:t>
      </w:r>
    </w:p>
    <w:p w14:paraId="51B6AF8C" w14:textId="45432836" w:rsidR="00A07ED0" w:rsidRPr="00FA288E" w:rsidRDefault="00A07ED0" w:rsidP="00A07ED0">
      <w:pPr>
        <w:pStyle w:val="Bullets"/>
        <w:numPr>
          <w:ilvl w:val="0"/>
          <w:numId w:val="0"/>
        </w:numPr>
        <w:spacing w:before="120" w:after="60" w:line="240" w:lineRule="auto"/>
        <w:jc w:val="both"/>
        <w:rPr>
          <w:rFonts w:ascii="Calibri" w:hAnsi="Calibri" w:cs="Calibri"/>
          <w:sz w:val="21"/>
          <w:szCs w:val="21"/>
        </w:rPr>
      </w:pPr>
      <w:r w:rsidRPr="00FA288E">
        <w:rPr>
          <w:rFonts w:ascii="Calibri" w:hAnsi="Calibri" w:cs="Calibri"/>
          <w:sz w:val="21"/>
          <w:szCs w:val="21"/>
        </w:rPr>
        <w:t>The review team organised key interventions into three main categories for reporting progress.</w:t>
      </w:r>
      <w:r w:rsidR="00255800" w:rsidRPr="00FA288E">
        <w:rPr>
          <w:rStyle w:val="FootnoteReference"/>
          <w:rFonts w:ascii="Calibri" w:hAnsi="Calibri" w:cs="Calibri"/>
          <w:sz w:val="21"/>
          <w:szCs w:val="21"/>
        </w:rPr>
        <w:footnoteReference w:id="5"/>
      </w:r>
      <w:r w:rsidRPr="00FA288E">
        <w:rPr>
          <w:rFonts w:ascii="Calibri" w:hAnsi="Calibri" w:cs="Calibri"/>
          <w:sz w:val="21"/>
          <w:szCs w:val="21"/>
        </w:rPr>
        <w:t xml:space="preserve"> These categories are: </w:t>
      </w:r>
      <w:proofErr w:type="spellStart"/>
      <w:r w:rsidRPr="00FA288E">
        <w:rPr>
          <w:rFonts w:ascii="Calibri" w:hAnsi="Calibri" w:cs="Calibri"/>
          <w:sz w:val="21"/>
          <w:szCs w:val="21"/>
        </w:rPr>
        <w:t>i</w:t>
      </w:r>
      <w:proofErr w:type="spellEnd"/>
      <w:r w:rsidRPr="00FA288E">
        <w:rPr>
          <w:rFonts w:ascii="Calibri" w:hAnsi="Calibri" w:cs="Calibri"/>
          <w:sz w:val="21"/>
          <w:szCs w:val="21"/>
        </w:rPr>
        <w:t>) teacher development and support; ii) resources to support improved reading; and, iii) school management and planning.  Evidence of progress was drawn primarily from the January to June 2019 Six-Monthly Progress Report</w:t>
      </w:r>
      <w:r w:rsidR="00B969A1" w:rsidRPr="00FA288E">
        <w:rPr>
          <w:rFonts w:ascii="Calibri" w:hAnsi="Calibri" w:cs="Calibri"/>
          <w:sz w:val="21"/>
          <w:szCs w:val="21"/>
        </w:rPr>
        <w:t>s</w:t>
      </w:r>
      <w:r w:rsidRPr="00FA288E">
        <w:rPr>
          <w:rFonts w:ascii="Calibri" w:hAnsi="Calibri" w:cs="Calibri"/>
          <w:sz w:val="21"/>
          <w:szCs w:val="21"/>
        </w:rPr>
        <w:t>, the midline evaluation reports</w:t>
      </w:r>
      <w:r w:rsidR="00B969A1" w:rsidRPr="00FA288E">
        <w:rPr>
          <w:rFonts w:ascii="Calibri" w:hAnsi="Calibri" w:cs="Calibri"/>
          <w:sz w:val="21"/>
          <w:szCs w:val="21"/>
        </w:rPr>
        <w:t>,</w:t>
      </w:r>
      <w:r w:rsidRPr="00FA288E">
        <w:rPr>
          <w:rFonts w:ascii="Calibri" w:hAnsi="Calibri" w:cs="Calibri"/>
          <w:sz w:val="21"/>
          <w:szCs w:val="21"/>
        </w:rPr>
        <w:t xml:space="preserve"> and </w:t>
      </w:r>
      <w:r w:rsidR="00B969A1" w:rsidRPr="00FA288E">
        <w:rPr>
          <w:rFonts w:ascii="Calibri" w:hAnsi="Calibri" w:cs="Calibri"/>
          <w:sz w:val="21"/>
          <w:szCs w:val="21"/>
        </w:rPr>
        <w:t xml:space="preserve">a </w:t>
      </w:r>
      <w:r w:rsidRPr="00FA288E">
        <w:rPr>
          <w:rFonts w:ascii="Calibri" w:hAnsi="Calibri" w:cs="Calibri"/>
          <w:sz w:val="21"/>
          <w:szCs w:val="21"/>
        </w:rPr>
        <w:t xml:space="preserve">presentation on progress </w:t>
      </w:r>
      <w:r w:rsidR="00B969A1" w:rsidRPr="00FA288E">
        <w:rPr>
          <w:rFonts w:ascii="Calibri" w:hAnsi="Calibri" w:cs="Calibri"/>
          <w:sz w:val="21"/>
          <w:szCs w:val="21"/>
        </w:rPr>
        <w:t xml:space="preserve">provided by </w:t>
      </w:r>
      <w:r w:rsidRPr="00FA288E">
        <w:rPr>
          <w:rFonts w:ascii="Calibri" w:hAnsi="Calibri" w:cs="Calibri"/>
          <w:sz w:val="21"/>
          <w:szCs w:val="21"/>
        </w:rPr>
        <w:t>PKS during the field visits.</w:t>
      </w:r>
      <w:r w:rsidR="00255800" w:rsidRPr="00FA288E">
        <w:rPr>
          <w:rStyle w:val="FootnoteReference"/>
          <w:rFonts w:ascii="Calibri" w:hAnsi="Calibri" w:cs="Calibri"/>
          <w:sz w:val="21"/>
          <w:szCs w:val="21"/>
        </w:rPr>
        <w:footnoteReference w:id="6"/>
      </w:r>
    </w:p>
    <w:p w14:paraId="687962E7" w14:textId="77777777" w:rsidR="003353AF" w:rsidRPr="00FA288E" w:rsidRDefault="007416B9" w:rsidP="00D36F92">
      <w:pPr>
        <w:pStyle w:val="CommentText"/>
        <w:spacing w:after="80" w:line="240" w:lineRule="auto"/>
        <w:jc w:val="both"/>
        <w:rPr>
          <w:rFonts w:cs="Calibri"/>
          <w:sz w:val="21"/>
          <w:szCs w:val="21"/>
        </w:rPr>
      </w:pPr>
      <w:r w:rsidRPr="00FA288E">
        <w:rPr>
          <w:rFonts w:cs="Calibri"/>
          <w:b/>
          <w:sz w:val="21"/>
          <w:szCs w:val="21"/>
        </w:rPr>
        <w:t>Key Findings:</w:t>
      </w:r>
      <w:r w:rsidRPr="00FA288E">
        <w:rPr>
          <w:rFonts w:cs="Calibri"/>
          <w:sz w:val="21"/>
          <w:szCs w:val="21"/>
        </w:rPr>
        <w:t xml:space="preserve"> </w:t>
      </w:r>
      <w:r w:rsidR="00572193" w:rsidRPr="00FA288E">
        <w:rPr>
          <w:rFonts w:cs="Calibri"/>
          <w:sz w:val="21"/>
          <w:szCs w:val="21"/>
        </w:rPr>
        <w:t xml:space="preserve"> </w:t>
      </w:r>
    </w:p>
    <w:p w14:paraId="13D417FB" w14:textId="4C26577A" w:rsidR="003353AF" w:rsidRPr="00FA288E" w:rsidRDefault="003353AF" w:rsidP="003353AF">
      <w:pPr>
        <w:spacing w:after="80" w:line="240" w:lineRule="auto"/>
        <w:jc w:val="both"/>
        <w:rPr>
          <w:rFonts w:cs="Calibri"/>
          <w:szCs w:val="21"/>
        </w:rPr>
      </w:pPr>
      <w:r w:rsidRPr="00FA288E">
        <w:rPr>
          <w:rFonts w:cs="Calibri"/>
          <w:szCs w:val="21"/>
        </w:rPr>
        <w:t>Of the 20 project targets examined, seven of the targets (35%) expected to date have been achieved, seven targets (35%) are on track to be achieved and six (30%) are unlikely to be achieved</w:t>
      </w:r>
      <w:r w:rsidR="001340BE" w:rsidRPr="00FA288E">
        <w:rPr>
          <w:rFonts w:cs="Calibri"/>
          <w:szCs w:val="21"/>
        </w:rPr>
        <w:t xml:space="preserve"> by June 2020</w:t>
      </w:r>
      <w:r w:rsidRPr="00FA288E">
        <w:rPr>
          <w:rFonts w:cs="Calibri"/>
          <w:szCs w:val="21"/>
        </w:rPr>
        <w:t xml:space="preserve">. Targets related to the number of teachers trained or quantities of teaching and learning materials provided are all on track to be achieved or exceeded by the end of the original grant period in June 2020. For example, </w:t>
      </w:r>
      <w:r w:rsidR="00B969A1" w:rsidRPr="00FA288E">
        <w:rPr>
          <w:rFonts w:cs="Calibri"/>
          <w:szCs w:val="21"/>
        </w:rPr>
        <w:t xml:space="preserve">3,000 of the 3,600 </w:t>
      </w:r>
      <w:r w:rsidRPr="00FA288E">
        <w:rPr>
          <w:rFonts w:cs="Calibri"/>
          <w:szCs w:val="21"/>
        </w:rPr>
        <w:t xml:space="preserve">end of project targets for teachers trained </w:t>
      </w:r>
      <w:r w:rsidR="00B969A1" w:rsidRPr="00FA288E">
        <w:rPr>
          <w:rFonts w:cs="Calibri"/>
          <w:szCs w:val="21"/>
        </w:rPr>
        <w:t xml:space="preserve">have received training </w:t>
      </w:r>
      <w:r w:rsidRPr="00FA288E">
        <w:rPr>
          <w:rFonts w:cs="Calibri"/>
          <w:szCs w:val="21"/>
        </w:rPr>
        <w:t xml:space="preserve">as of June 2019. </w:t>
      </w:r>
      <w:hyperlink w:anchor="_Effectiveness_of_the" w:history="1">
        <w:r w:rsidRPr="00FA288E">
          <w:rPr>
            <w:rStyle w:val="Hyperlink"/>
            <w:rFonts w:cs="Calibri"/>
            <w:szCs w:val="21"/>
          </w:rPr>
          <w:t>Tables 2 – 4 in S</w:t>
        </w:r>
        <w:r w:rsidR="00255800" w:rsidRPr="00FA288E">
          <w:rPr>
            <w:rStyle w:val="Hyperlink"/>
            <w:rFonts w:cs="Calibri"/>
            <w:szCs w:val="21"/>
          </w:rPr>
          <w:t>ubs</w:t>
        </w:r>
        <w:r w:rsidRPr="00FA288E">
          <w:rPr>
            <w:rStyle w:val="Hyperlink"/>
            <w:rFonts w:cs="Calibri"/>
            <w:szCs w:val="21"/>
          </w:rPr>
          <w:t>ection 3.1</w:t>
        </w:r>
      </w:hyperlink>
      <w:r w:rsidR="00255800" w:rsidRPr="00FA288E">
        <w:rPr>
          <w:rStyle w:val="Hyperlink"/>
          <w:rFonts w:cs="Calibri"/>
          <w:szCs w:val="21"/>
        </w:rPr>
        <w:t>.1</w:t>
      </w:r>
      <w:r w:rsidRPr="00FA288E">
        <w:rPr>
          <w:rFonts w:cs="Calibri"/>
          <w:szCs w:val="21"/>
        </w:rPr>
        <w:t xml:space="preserve"> provide additional detail on progress against targets.</w:t>
      </w:r>
    </w:p>
    <w:p w14:paraId="4AA8A66A" w14:textId="77777777" w:rsidR="00537B12" w:rsidRPr="00FA288E" w:rsidRDefault="00537B12" w:rsidP="00537B12">
      <w:pPr>
        <w:spacing w:after="80" w:line="240" w:lineRule="auto"/>
        <w:jc w:val="both"/>
        <w:rPr>
          <w:rFonts w:cs="Calibri"/>
          <w:szCs w:val="21"/>
        </w:rPr>
      </w:pPr>
      <w:r w:rsidRPr="00FA288E">
        <w:rPr>
          <w:rFonts w:cs="Calibri"/>
          <w:szCs w:val="21"/>
        </w:rPr>
        <w:t xml:space="preserve">There are some </w:t>
      </w:r>
      <w:r w:rsidRPr="00FA288E">
        <w:rPr>
          <w:rFonts w:cs="Calibri"/>
          <w:b/>
          <w:bCs/>
          <w:szCs w:val="21"/>
        </w:rPr>
        <w:t>interventions for which there is evidence that progress has been made and there may be opportunities for sustainability</w:t>
      </w:r>
      <w:r w:rsidRPr="00FA288E">
        <w:rPr>
          <w:rFonts w:cs="Calibri"/>
          <w:szCs w:val="21"/>
        </w:rPr>
        <w:t xml:space="preserve"> through adoption and adaptation by GoPNG during an extension phase. In particular, the interventions directed to improving the knowledge and skills of teachers have been effective based on the results of the midline evaluations of RISE and T4E (The PKS did not conduct a midline evaluation due to the later start and condensed timeframe for implementation). Other interventions where there is an indication of effectiveness and potential for sustainability include: the efforts to strengthen provincial and district officials’ knowledge, skills and abilities; and the provision of local and/or low-cost supplemental teaching and learning resources – including </w:t>
      </w:r>
      <w:proofErr w:type="spellStart"/>
      <w:r w:rsidRPr="00FA288E">
        <w:rPr>
          <w:rFonts w:cs="Calibri"/>
          <w:szCs w:val="21"/>
        </w:rPr>
        <w:t>Bilum</w:t>
      </w:r>
      <w:proofErr w:type="spellEnd"/>
      <w:r w:rsidRPr="00FA288E">
        <w:rPr>
          <w:rFonts w:cs="Calibri"/>
          <w:szCs w:val="21"/>
        </w:rPr>
        <w:t xml:space="preserve"> Books (T4E) and the free mobile applications of the Bloom Reader (RISE) and Library for All (T4E). </w:t>
      </w:r>
    </w:p>
    <w:p w14:paraId="43050D1F" w14:textId="169B3314" w:rsidR="00537B12" w:rsidRPr="00FA288E" w:rsidRDefault="00537B12" w:rsidP="00537B12">
      <w:pPr>
        <w:spacing w:after="80" w:line="240" w:lineRule="auto"/>
        <w:jc w:val="both"/>
        <w:rPr>
          <w:rFonts w:cs="Calibri"/>
          <w:szCs w:val="21"/>
        </w:rPr>
      </w:pPr>
      <w:r w:rsidRPr="00FA288E">
        <w:rPr>
          <w:rFonts w:cs="Calibri"/>
          <w:b/>
          <w:bCs/>
          <w:szCs w:val="21"/>
        </w:rPr>
        <w:t>Interventions for which there is currently limited evidence due primarily to the early stage of implementation, but for which there are promising indications of progress</w:t>
      </w:r>
      <w:r w:rsidRPr="00FA288E">
        <w:rPr>
          <w:rFonts w:cs="Calibri"/>
          <w:szCs w:val="21"/>
        </w:rPr>
        <w:t xml:space="preserve"> to demonstrate the effectiveness and potential sustainability of the intervention include: the Early Childhood Care and Education pilot program (RISE); Reading Clubs (RISE and T4E); Education for Life – an adaptation of the Bloom Reader for classroom use (RISE); the Resource Teacher (T4E) and Peer Learning Circle (RISE) concepts which seek to strengthen school and cluster-based approaches to teacher development; and school leadership and management training – particularly focused on improving the development of the School Learning Improvement Plan (T4E and PKS).</w:t>
      </w:r>
    </w:p>
    <w:p w14:paraId="6757E6FA" w14:textId="77777777" w:rsidR="001A68AB" w:rsidRDefault="00537B12" w:rsidP="00F0143A">
      <w:pPr>
        <w:spacing w:after="80" w:line="240" w:lineRule="auto"/>
        <w:jc w:val="both"/>
        <w:rPr>
          <w:rFonts w:cs="Calibri"/>
          <w:szCs w:val="21"/>
        </w:rPr>
      </w:pPr>
      <w:r w:rsidRPr="00FA288E">
        <w:rPr>
          <w:rFonts w:cs="Calibri"/>
          <w:b/>
          <w:bCs/>
          <w:szCs w:val="21"/>
        </w:rPr>
        <w:t>Interventions which either have not been able to provide adequate evidence of progress to date or for which there does not appear to be adequate strategies for improving the effectiveness or sustainability during an extension</w:t>
      </w:r>
      <w:r w:rsidRPr="00FA288E">
        <w:rPr>
          <w:rFonts w:cs="Calibri"/>
          <w:szCs w:val="21"/>
        </w:rPr>
        <w:t xml:space="preserve"> include: increasing parent/caregiver involvement in reading (RISE); increasing the number of children with disabilities in elementary education (RISE); use of Community Literacy Volunteers (RISE); and establishment</w:t>
      </w:r>
      <w:r w:rsidR="00C32BD1" w:rsidRPr="00FA288E">
        <w:rPr>
          <w:rFonts w:cs="Calibri"/>
          <w:szCs w:val="21"/>
        </w:rPr>
        <w:t xml:space="preserve"> of</w:t>
      </w:r>
      <w:r w:rsidRPr="00FA288E">
        <w:rPr>
          <w:rFonts w:cs="Calibri"/>
          <w:szCs w:val="21"/>
        </w:rPr>
        <w:t xml:space="preserve"> the Knowledge Hub (PKS).</w:t>
      </w:r>
    </w:p>
    <w:p w14:paraId="19F04A9C" w14:textId="77777777" w:rsidR="001A68AB" w:rsidRDefault="001A68AB" w:rsidP="00F0143A">
      <w:pPr>
        <w:spacing w:after="80" w:line="240" w:lineRule="auto"/>
        <w:jc w:val="both"/>
        <w:rPr>
          <w:rFonts w:cs="Calibri"/>
          <w:szCs w:val="21"/>
        </w:rPr>
      </w:pPr>
    </w:p>
    <w:p w14:paraId="4C973FCB" w14:textId="77777777" w:rsidR="001A68AB" w:rsidRDefault="001A68AB" w:rsidP="00F0143A">
      <w:pPr>
        <w:spacing w:after="80" w:line="240" w:lineRule="auto"/>
        <w:jc w:val="both"/>
        <w:rPr>
          <w:rFonts w:cs="Calibri"/>
          <w:szCs w:val="21"/>
        </w:rPr>
      </w:pPr>
    </w:p>
    <w:p w14:paraId="36C3CCFB" w14:textId="77777777" w:rsidR="001A68AB" w:rsidRDefault="001A68AB" w:rsidP="00F0143A">
      <w:pPr>
        <w:spacing w:after="80" w:line="240" w:lineRule="auto"/>
        <w:jc w:val="both"/>
        <w:rPr>
          <w:rFonts w:cs="Calibri"/>
          <w:szCs w:val="21"/>
        </w:rPr>
      </w:pPr>
    </w:p>
    <w:p w14:paraId="1301AFB6" w14:textId="61773F49" w:rsidR="00537B12" w:rsidRPr="00FA288E" w:rsidRDefault="001E4E70" w:rsidP="00F0143A">
      <w:pPr>
        <w:spacing w:after="80" w:line="240" w:lineRule="auto"/>
        <w:jc w:val="both"/>
        <w:rPr>
          <w:rFonts w:cs="Calibri"/>
          <w:szCs w:val="21"/>
        </w:rPr>
      </w:pPr>
      <w:r w:rsidRPr="00FA288E">
        <w:rPr>
          <w:rFonts w:cs="Calibri"/>
          <w:szCs w:val="21"/>
        </w:rPr>
        <w:lastRenderedPageBreak/>
        <w:t>The findings of the mid-term review are summarised as follows</w:t>
      </w:r>
      <w:r w:rsidR="004075D1" w:rsidRPr="00FA288E">
        <w:rPr>
          <w:rFonts w:cs="Calibri"/>
          <w:szCs w:val="21"/>
        </w:rPr>
        <w:t xml:space="preserve"> with a detailed discussion provided in </w:t>
      </w:r>
      <w:hyperlink w:anchor="_Analysis_and_Findings" w:history="1">
        <w:r w:rsidR="004075D1" w:rsidRPr="00FA288E">
          <w:rPr>
            <w:rStyle w:val="Hyperlink"/>
            <w:rFonts w:cs="Calibri"/>
            <w:szCs w:val="21"/>
          </w:rPr>
          <w:t>Section 3</w:t>
        </w:r>
      </w:hyperlink>
      <w:r w:rsidRPr="00FA288E">
        <w:rPr>
          <w:rFonts w:cs="Calibri"/>
          <w:szCs w:val="21"/>
        </w:rPr>
        <w:t>:</w:t>
      </w:r>
    </w:p>
    <w:p w14:paraId="42BE8ED7" w14:textId="77777777" w:rsidR="00C32BD1" w:rsidRPr="00FA288E" w:rsidRDefault="00C32BD1" w:rsidP="00D36F92">
      <w:pPr>
        <w:pStyle w:val="CommentText"/>
        <w:spacing w:after="80" w:line="240" w:lineRule="auto"/>
        <w:jc w:val="both"/>
        <w:rPr>
          <w:rFonts w:cs="Calibri"/>
          <w:sz w:val="21"/>
          <w:szCs w:val="21"/>
        </w:rPr>
      </w:pPr>
    </w:p>
    <w:p w14:paraId="237AB103" w14:textId="77777777" w:rsidR="004075D1" w:rsidRPr="00FA288E" w:rsidRDefault="004075D1" w:rsidP="00FF62CC">
      <w:pPr>
        <w:pStyle w:val="CommentText"/>
        <w:numPr>
          <w:ilvl w:val="0"/>
          <w:numId w:val="88"/>
        </w:numPr>
        <w:spacing w:after="80" w:line="240" w:lineRule="auto"/>
        <w:ind w:left="567"/>
        <w:rPr>
          <w:rFonts w:cs="Calibri"/>
          <w:b/>
          <w:bCs/>
          <w:sz w:val="21"/>
          <w:szCs w:val="21"/>
        </w:rPr>
      </w:pPr>
      <w:r w:rsidRPr="00FA288E">
        <w:rPr>
          <w:rFonts w:cs="Calibri"/>
          <w:b/>
          <w:bCs/>
          <w:sz w:val="21"/>
          <w:szCs w:val="21"/>
        </w:rPr>
        <w:t xml:space="preserve">Effectiveness </w:t>
      </w:r>
      <w:r w:rsidR="00746416" w:rsidRPr="00FA288E">
        <w:rPr>
          <w:rFonts w:cs="Calibri"/>
          <w:b/>
          <w:bCs/>
          <w:sz w:val="21"/>
          <w:szCs w:val="21"/>
        </w:rPr>
        <w:t>of the grants in improving literacy</w:t>
      </w:r>
      <w:r w:rsidR="00624216" w:rsidRPr="00FA288E">
        <w:rPr>
          <w:rFonts w:cs="Calibri"/>
          <w:b/>
          <w:bCs/>
          <w:sz w:val="21"/>
          <w:szCs w:val="21"/>
        </w:rPr>
        <w:t xml:space="preserve"> and numeracy (midline evaluation data: January 2019)</w:t>
      </w:r>
    </w:p>
    <w:p w14:paraId="34E590F0" w14:textId="77777777" w:rsidR="004075D1" w:rsidRPr="00FA288E" w:rsidRDefault="004075D1" w:rsidP="00FF62CC">
      <w:pPr>
        <w:pStyle w:val="CommentText"/>
        <w:numPr>
          <w:ilvl w:val="0"/>
          <w:numId w:val="86"/>
        </w:numPr>
        <w:spacing w:after="0" w:line="240" w:lineRule="auto"/>
        <w:ind w:left="810"/>
        <w:rPr>
          <w:rFonts w:cs="Calibri"/>
          <w:sz w:val="21"/>
          <w:szCs w:val="21"/>
        </w:rPr>
      </w:pPr>
      <w:r w:rsidRPr="00FA288E">
        <w:rPr>
          <w:rFonts w:ascii="Calibri" w:hAnsi="Calibri" w:cs="Calibri"/>
          <w:sz w:val="21"/>
          <w:szCs w:val="21"/>
        </w:rPr>
        <w:t xml:space="preserve">Students from the intervention schools </w:t>
      </w:r>
      <w:r w:rsidR="00A00560" w:rsidRPr="00FA288E">
        <w:rPr>
          <w:rFonts w:ascii="Calibri" w:hAnsi="Calibri" w:cs="Calibri"/>
          <w:sz w:val="21"/>
          <w:szCs w:val="21"/>
        </w:rPr>
        <w:t xml:space="preserve">reportedly </w:t>
      </w:r>
      <w:r w:rsidRPr="00FA288E">
        <w:rPr>
          <w:rFonts w:ascii="Calibri" w:hAnsi="Calibri" w:cs="Calibri"/>
          <w:sz w:val="21"/>
          <w:szCs w:val="21"/>
        </w:rPr>
        <w:t>scored 2.56 % higher (57.10 %) than the students in the control schools (54.54 %) in literacy</w:t>
      </w:r>
      <w:r w:rsidR="00093F91" w:rsidRPr="00FA288E">
        <w:rPr>
          <w:rFonts w:ascii="Calibri" w:hAnsi="Calibri" w:cs="Calibri"/>
          <w:sz w:val="21"/>
          <w:szCs w:val="21"/>
        </w:rPr>
        <w:t xml:space="preserve">, and 2.57 % higher (72.31 %) than the students in the control schools (69.74 %) in numeracy </w:t>
      </w:r>
      <w:r w:rsidRPr="00FA288E">
        <w:rPr>
          <w:rFonts w:ascii="Calibri" w:hAnsi="Calibri" w:cs="Calibri"/>
          <w:sz w:val="21"/>
          <w:szCs w:val="21"/>
        </w:rPr>
        <w:t>(RISE)</w:t>
      </w:r>
    </w:p>
    <w:p w14:paraId="65F620A6" w14:textId="77777777" w:rsidR="004075D1" w:rsidRPr="00FA288E" w:rsidRDefault="004075D1" w:rsidP="00FF62CC">
      <w:pPr>
        <w:pStyle w:val="CommentText"/>
        <w:numPr>
          <w:ilvl w:val="0"/>
          <w:numId w:val="86"/>
        </w:numPr>
        <w:spacing w:after="80" w:line="240" w:lineRule="auto"/>
        <w:ind w:left="806"/>
        <w:rPr>
          <w:rFonts w:cs="Calibri"/>
          <w:sz w:val="21"/>
          <w:szCs w:val="21"/>
        </w:rPr>
      </w:pPr>
      <w:r w:rsidRPr="00FA288E">
        <w:rPr>
          <w:rFonts w:ascii="Calibri" w:hAnsi="Calibri" w:cs="Calibri"/>
          <w:sz w:val="21"/>
          <w:szCs w:val="21"/>
        </w:rPr>
        <w:t xml:space="preserve">Students from the intervention schools </w:t>
      </w:r>
      <w:r w:rsidR="00A00560" w:rsidRPr="00FA288E">
        <w:rPr>
          <w:rFonts w:ascii="Calibri" w:hAnsi="Calibri" w:cs="Calibri"/>
          <w:sz w:val="21"/>
          <w:szCs w:val="21"/>
        </w:rPr>
        <w:t xml:space="preserve">reportedly </w:t>
      </w:r>
      <w:r w:rsidRPr="00FA288E">
        <w:rPr>
          <w:rFonts w:ascii="Calibri" w:hAnsi="Calibri" w:cs="Calibri"/>
          <w:sz w:val="21"/>
          <w:szCs w:val="21"/>
        </w:rPr>
        <w:t>scored 6.96 % higher (59.91 %) than the students in the control schools (52.95 %) in literacy.</w:t>
      </w:r>
      <w:r w:rsidR="00624216" w:rsidRPr="00FA288E">
        <w:rPr>
          <w:rFonts w:ascii="Calibri" w:hAnsi="Calibri" w:cs="Calibri"/>
          <w:sz w:val="21"/>
          <w:szCs w:val="21"/>
        </w:rPr>
        <w:t xml:space="preserve"> Numeracy data did not indicate overall differences (</w:t>
      </w:r>
      <w:r w:rsidR="006918FB" w:rsidRPr="00FA288E">
        <w:rPr>
          <w:rFonts w:ascii="Calibri" w:hAnsi="Calibri" w:cs="Calibri"/>
          <w:sz w:val="21"/>
          <w:szCs w:val="21"/>
        </w:rPr>
        <w:t>T4E</w:t>
      </w:r>
      <w:r w:rsidR="00624216" w:rsidRPr="00FA288E">
        <w:rPr>
          <w:rFonts w:ascii="Calibri" w:hAnsi="Calibri" w:cs="Calibri"/>
          <w:sz w:val="21"/>
          <w:szCs w:val="21"/>
        </w:rPr>
        <w:t>)</w:t>
      </w:r>
    </w:p>
    <w:p w14:paraId="2E4F7BDD" w14:textId="77777777" w:rsidR="00624216" w:rsidRPr="00FA288E" w:rsidRDefault="00746416" w:rsidP="00FF62CC">
      <w:pPr>
        <w:pStyle w:val="CommentText"/>
        <w:numPr>
          <w:ilvl w:val="0"/>
          <w:numId w:val="87"/>
        </w:numPr>
        <w:spacing w:after="80" w:line="240" w:lineRule="auto"/>
        <w:ind w:left="446"/>
        <w:rPr>
          <w:rFonts w:cs="Calibri"/>
          <w:b/>
          <w:bCs/>
          <w:sz w:val="21"/>
          <w:szCs w:val="21"/>
        </w:rPr>
      </w:pPr>
      <w:r w:rsidRPr="00FA288E">
        <w:rPr>
          <w:rFonts w:cs="Calibri"/>
          <w:b/>
          <w:bCs/>
          <w:sz w:val="21"/>
          <w:szCs w:val="21"/>
        </w:rPr>
        <w:t>Effectiveness</w:t>
      </w:r>
      <w:r w:rsidR="00624216" w:rsidRPr="00FA288E">
        <w:rPr>
          <w:rFonts w:cs="Calibri"/>
          <w:b/>
          <w:bCs/>
          <w:sz w:val="21"/>
          <w:szCs w:val="21"/>
        </w:rPr>
        <w:t xml:space="preserve"> of the grants in influencing policy</w:t>
      </w:r>
    </w:p>
    <w:p w14:paraId="3A4F94EB" w14:textId="73329788" w:rsidR="002838E9" w:rsidRPr="00FA288E" w:rsidRDefault="00624216" w:rsidP="00D36F92">
      <w:pPr>
        <w:pStyle w:val="CommentText"/>
        <w:spacing w:after="80" w:line="240" w:lineRule="auto"/>
        <w:ind w:left="446"/>
        <w:jc w:val="both"/>
        <w:rPr>
          <w:rFonts w:cs="Calibri"/>
          <w:sz w:val="21"/>
          <w:szCs w:val="21"/>
        </w:rPr>
      </w:pPr>
      <w:r w:rsidRPr="00FA288E">
        <w:rPr>
          <w:rFonts w:cs="Calibri"/>
          <w:sz w:val="21"/>
          <w:szCs w:val="21"/>
        </w:rPr>
        <w:t>The grants were not originally designed</w:t>
      </w:r>
      <w:r w:rsidR="002838E9" w:rsidRPr="00FA288E">
        <w:rPr>
          <w:rFonts w:cs="Calibri"/>
          <w:sz w:val="21"/>
          <w:szCs w:val="21"/>
        </w:rPr>
        <w:t xml:space="preserve"> to influenc</w:t>
      </w:r>
      <w:r w:rsidR="00C32BD1" w:rsidRPr="00FA288E">
        <w:rPr>
          <w:rFonts w:cs="Calibri"/>
          <w:sz w:val="21"/>
          <w:szCs w:val="21"/>
        </w:rPr>
        <w:t>e</w:t>
      </w:r>
      <w:r w:rsidR="002838E9" w:rsidRPr="00FA288E">
        <w:rPr>
          <w:rFonts w:cs="Calibri"/>
          <w:sz w:val="21"/>
          <w:szCs w:val="21"/>
        </w:rPr>
        <w:t xml:space="preserve"> policy related to the delivery of early grade literacy and numeracy, although the Australian Government is </w:t>
      </w:r>
      <w:r w:rsidR="00E32C6B" w:rsidRPr="00FA288E">
        <w:rPr>
          <w:rFonts w:cs="Calibri"/>
          <w:sz w:val="21"/>
          <w:szCs w:val="21"/>
        </w:rPr>
        <w:t xml:space="preserve">interested in </w:t>
      </w:r>
      <w:r w:rsidR="002838E9" w:rsidRPr="00FA288E">
        <w:rPr>
          <w:rFonts w:cs="Calibri"/>
          <w:sz w:val="21"/>
          <w:szCs w:val="21"/>
        </w:rPr>
        <w:t xml:space="preserve">determining if this has </w:t>
      </w:r>
      <w:r w:rsidR="002D175C" w:rsidRPr="00FA288E">
        <w:rPr>
          <w:rFonts w:cs="Calibri"/>
          <w:sz w:val="21"/>
          <w:szCs w:val="21"/>
        </w:rPr>
        <w:t>occurred</w:t>
      </w:r>
      <w:r w:rsidR="00E32C6B" w:rsidRPr="00FA288E">
        <w:rPr>
          <w:rFonts w:cs="Calibri"/>
          <w:sz w:val="21"/>
          <w:szCs w:val="21"/>
        </w:rPr>
        <w:t>.</w:t>
      </w:r>
      <w:r w:rsidR="002838E9" w:rsidRPr="00FA288E">
        <w:rPr>
          <w:rFonts w:cs="Calibri"/>
          <w:sz w:val="21"/>
          <w:szCs w:val="21"/>
        </w:rPr>
        <w:t xml:space="preserve">  </w:t>
      </w:r>
      <w:r w:rsidR="00BB060F" w:rsidRPr="00FA288E">
        <w:rPr>
          <w:rFonts w:cs="Calibri"/>
          <w:sz w:val="21"/>
          <w:szCs w:val="21"/>
        </w:rPr>
        <w:t xml:space="preserve">The review team made the following observations: </w:t>
      </w:r>
    </w:p>
    <w:p w14:paraId="1A10C7BA" w14:textId="400E7EBA" w:rsidR="002838E9" w:rsidRPr="00FA288E" w:rsidRDefault="002838E9" w:rsidP="00FF62CC">
      <w:pPr>
        <w:pStyle w:val="CommentText"/>
        <w:numPr>
          <w:ilvl w:val="0"/>
          <w:numId w:val="86"/>
        </w:numPr>
        <w:spacing w:after="0" w:line="240" w:lineRule="auto"/>
        <w:ind w:left="810"/>
        <w:jc w:val="both"/>
        <w:rPr>
          <w:rFonts w:cs="Calibri"/>
          <w:sz w:val="21"/>
          <w:szCs w:val="21"/>
        </w:rPr>
      </w:pPr>
      <w:r w:rsidRPr="00FA288E">
        <w:rPr>
          <w:rFonts w:cs="Calibri"/>
          <w:sz w:val="21"/>
          <w:szCs w:val="21"/>
        </w:rPr>
        <w:t>The</w:t>
      </w:r>
      <w:r w:rsidR="001A5296" w:rsidRPr="00FA288E">
        <w:rPr>
          <w:rFonts w:cs="Calibri"/>
          <w:sz w:val="21"/>
          <w:szCs w:val="21"/>
        </w:rPr>
        <w:t xml:space="preserve"> grant</w:t>
      </w:r>
      <w:r w:rsidRPr="00FA288E">
        <w:rPr>
          <w:rFonts w:cs="Calibri"/>
          <w:sz w:val="21"/>
          <w:szCs w:val="21"/>
        </w:rPr>
        <w:t xml:space="preserve"> objectives are aligned with the objectives of the GoPNG Medium Term Development Plan III and the current National Education Plan</w:t>
      </w:r>
      <w:r w:rsidR="000B1D4A" w:rsidRPr="00FA288E">
        <w:rPr>
          <w:rFonts w:cs="Calibri"/>
          <w:sz w:val="21"/>
          <w:szCs w:val="21"/>
        </w:rPr>
        <w:t xml:space="preserve"> 2015-2019</w:t>
      </w:r>
      <w:r w:rsidRPr="00FA288E">
        <w:rPr>
          <w:rFonts w:cs="Calibri"/>
          <w:sz w:val="21"/>
          <w:szCs w:val="21"/>
        </w:rPr>
        <w:t>.</w:t>
      </w:r>
    </w:p>
    <w:p w14:paraId="10CAE192" w14:textId="77777777" w:rsidR="002838E9" w:rsidRPr="00FA288E" w:rsidRDefault="002838E9" w:rsidP="00FF62CC">
      <w:pPr>
        <w:pStyle w:val="CommentText"/>
        <w:numPr>
          <w:ilvl w:val="0"/>
          <w:numId w:val="86"/>
        </w:numPr>
        <w:spacing w:after="0" w:line="240" w:lineRule="auto"/>
        <w:ind w:left="810"/>
        <w:jc w:val="both"/>
        <w:rPr>
          <w:rFonts w:cs="Calibri"/>
          <w:sz w:val="21"/>
          <w:szCs w:val="21"/>
        </w:rPr>
      </w:pPr>
      <w:r w:rsidRPr="00FA288E">
        <w:rPr>
          <w:rFonts w:cs="Calibri"/>
          <w:sz w:val="21"/>
          <w:szCs w:val="21"/>
        </w:rPr>
        <w:t xml:space="preserve">There is a high level of interest by senior officials of the National Department of Education in the work of the grant projects, particularly related to teacher development and provision of </w:t>
      </w:r>
      <w:r w:rsidR="003810A4" w:rsidRPr="00FA288E">
        <w:rPr>
          <w:rFonts w:cs="Calibri"/>
          <w:sz w:val="21"/>
          <w:szCs w:val="21"/>
        </w:rPr>
        <w:t xml:space="preserve">local and low-cost </w:t>
      </w:r>
      <w:r w:rsidRPr="00FA288E">
        <w:rPr>
          <w:rFonts w:cs="Calibri"/>
          <w:sz w:val="21"/>
          <w:szCs w:val="21"/>
        </w:rPr>
        <w:t>teaching and learning resources</w:t>
      </w:r>
      <w:r w:rsidR="009B6902" w:rsidRPr="00FA288E">
        <w:rPr>
          <w:rFonts w:cs="Calibri"/>
          <w:sz w:val="21"/>
          <w:szCs w:val="21"/>
        </w:rPr>
        <w:t>, which may influence policy in the future</w:t>
      </w:r>
      <w:r w:rsidRPr="00FA288E">
        <w:rPr>
          <w:rFonts w:cs="Calibri"/>
          <w:sz w:val="21"/>
          <w:szCs w:val="21"/>
        </w:rPr>
        <w:t>.</w:t>
      </w:r>
    </w:p>
    <w:p w14:paraId="523C5DF4" w14:textId="22098858" w:rsidR="003810A4" w:rsidRPr="00FA288E" w:rsidRDefault="003810A4" w:rsidP="00FF62CC">
      <w:pPr>
        <w:pStyle w:val="CommentText"/>
        <w:numPr>
          <w:ilvl w:val="0"/>
          <w:numId w:val="86"/>
        </w:numPr>
        <w:spacing w:after="0" w:line="240" w:lineRule="auto"/>
        <w:ind w:left="810"/>
        <w:jc w:val="both"/>
        <w:rPr>
          <w:rFonts w:cs="Calibri"/>
          <w:sz w:val="21"/>
          <w:szCs w:val="21"/>
        </w:rPr>
      </w:pPr>
      <w:r w:rsidRPr="00FA288E">
        <w:rPr>
          <w:rFonts w:cs="Calibri"/>
          <w:sz w:val="21"/>
          <w:szCs w:val="21"/>
        </w:rPr>
        <w:t xml:space="preserve">One opportunity that presents itself as having strong potential to influence government policy is the </w:t>
      </w:r>
      <w:r w:rsidR="00197E7B" w:rsidRPr="00FA288E">
        <w:rPr>
          <w:rFonts w:cs="Calibri"/>
          <w:sz w:val="21"/>
          <w:szCs w:val="21"/>
        </w:rPr>
        <w:t>partnership between</w:t>
      </w:r>
      <w:r w:rsidRPr="00FA288E">
        <w:rPr>
          <w:rFonts w:cs="Calibri"/>
          <w:sz w:val="21"/>
          <w:szCs w:val="21"/>
        </w:rPr>
        <w:t xml:space="preserve"> T4E </w:t>
      </w:r>
      <w:r w:rsidR="00197E7B" w:rsidRPr="00FA288E">
        <w:rPr>
          <w:rFonts w:cs="Calibri"/>
          <w:sz w:val="21"/>
          <w:szCs w:val="21"/>
        </w:rPr>
        <w:t xml:space="preserve">and </w:t>
      </w:r>
      <w:r w:rsidRPr="00FA288E">
        <w:rPr>
          <w:rFonts w:cs="Calibri"/>
          <w:sz w:val="21"/>
          <w:szCs w:val="21"/>
        </w:rPr>
        <w:t xml:space="preserve">the </w:t>
      </w:r>
      <w:r w:rsidR="00D90596" w:rsidRPr="00FA288E">
        <w:rPr>
          <w:rFonts w:ascii="Calibri" w:hAnsi="Calibri" w:cs="Calibri"/>
          <w:sz w:val="21"/>
          <w:szCs w:val="21"/>
        </w:rPr>
        <w:t>Consultative Implementation and Monitoring Council</w:t>
      </w:r>
      <w:r w:rsidR="00197E7B" w:rsidRPr="00FA288E">
        <w:rPr>
          <w:rFonts w:cs="Calibri"/>
          <w:sz w:val="21"/>
          <w:szCs w:val="21"/>
        </w:rPr>
        <w:t>. CIMC</w:t>
      </w:r>
      <w:r w:rsidR="00E32C6B" w:rsidRPr="00FA288E">
        <w:rPr>
          <w:rFonts w:cs="Calibri"/>
          <w:sz w:val="21"/>
          <w:szCs w:val="21"/>
        </w:rPr>
        <w:t xml:space="preserve"> </w:t>
      </w:r>
      <w:r w:rsidRPr="00FA288E">
        <w:rPr>
          <w:rFonts w:cs="Calibri"/>
          <w:sz w:val="21"/>
          <w:szCs w:val="21"/>
        </w:rPr>
        <w:t xml:space="preserve">has </w:t>
      </w:r>
      <w:r w:rsidR="002D175C" w:rsidRPr="00FA288E">
        <w:rPr>
          <w:rFonts w:cs="Calibri"/>
          <w:sz w:val="21"/>
          <w:szCs w:val="21"/>
        </w:rPr>
        <w:t>a</w:t>
      </w:r>
      <w:r w:rsidR="00197E7B" w:rsidRPr="00FA288E">
        <w:rPr>
          <w:rFonts w:cs="Calibri"/>
          <w:sz w:val="21"/>
          <w:szCs w:val="21"/>
        </w:rPr>
        <w:t xml:space="preserve"> </w:t>
      </w:r>
      <w:r w:rsidRPr="00FA288E">
        <w:rPr>
          <w:rFonts w:cs="Calibri"/>
          <w:sz w:val="21"/>
          <w:szCs w:val="21"/>
        </w:rPr>
        <w:t>mandate</w:t>
      </w:r>
      <w:r w:rsidR="00197E7B" w:rsidRPr="00FA288E">
        <w:rPr>
          <w:rFonts w:cs="Calibri"/>
          <w:sz w:val="21"/>
          <w:szCs w:val="21"/>
        </w:rPr>
        <w:t xml:space="preserve"> to</w:t>
      </w:r>
      <w:r w:rsidRPr="00FA288E">
        <w:rPr>
          <w:rFonts w:cs="Calibri"/>
          <w:sz w:val="21"/>
          <w:szCs w:val="21"/>
        </w:rPr>
        <w:t xml:space="preserve"> influe</w:t>
      </w:r>
      <w:r w:rsidR="00E32C6B" w:rsidRPr="00FA288E">
        <w:rPr>
          <w:rFonts w:cs="Calibri"/>
          <w:sz w:val="21"/>
          <w:szCs w:val="21"/>
        </w:rPr>
        <w:t>nc</w:t>
      </w:r>
      <w:r w:rsidR="00197E7B" w:rsidRPr="00FA288E">
        <w:rPr>
          <w:rFonts w:cs="Calibri"/>
          <w:sz w:val="21"/>
          <w:szCs w:val="21"/>
        </w:rPr>
        <w:t>e</w:t>
      </w:r>
      <w:r w:rsidRPr="00FA288E">
        <w:rPr>
          <w:rFonts w:cs="Calibri"/>
          <w:sz w:val="21"/>
          <w:szCs w:val="21"/>
        </w:rPr>
        <w:t xml:space="preserve"> government decision-making.</w:t>
      </w:r>
    </w:p>
    <w:p w14:paraId="70ED3127" w14:textId="359B0EB6" w:rsidR="002838E9" w:rsidRPr="00FA288E" w:rsidRDefault="00092237" w:rsidP="00FF62CC">
      <w:pPr>
        <w:pStyle w:val="CommentText"/>
        <w:numPr>
          <w:ilvl w:val="0"/>
          <w:numId w:val="86"/>
        </w:numPr>
        <w:spacing w:after="80" w:line="240" w:lineRule="auto"/>
        <w:ind w:left="806"/>
        <w:jc w:val="both"/>
        <w:rPr>
          <w:rFonts w:cs="Calibri"/>
          <w:sz w:val="21"/>
          <w:szCs w:val="21"/>
        </w:rPr>
      </w:pPr>
      <w:bookmarkStart w:id="7" w:name="_Hlk33098929"/>
      <w:r w:rsidRPr="00FA288E">
        <w:rPr>
          <w:rFonts w:cs="Calibri"/>
          <w:sz w:val="21"/>
          <w:szCs w:val="21"/>
        </w:rPr>
        <w:t>There is a need for greater engagement of NDOE and DNPM in the oversight of PPF education grants to support wider policy and practice changes. There is a perception by senior NDOE and DNPM officials (findings from the initial meetings and interviews with the Australian Government, the NDOE and DNPM; 23 individuals of which 13 were women) that PPF Secretariat and NDOE had not engaged sufficiently with relevant Government of Papua New Guinea (GoPNG) officials in awarding and implementation of grants. To address this issue, NDOE, the PPF Secretariat recently established the PPF National Oversight Committee</w:t>
      </w:r>
      <w:r w:rsidR="00B82F75" w:rsidRPr="00FA288E">
        <w:rPr>
          <w:rFonts w:cs="Calibri"/>
          <w:sz w:val="21"/>
          <w:szCs w:val="21"/>
        </w:rPr>
        <w:t xml:space="preserve"> </w:t>
      </w:r>
      <w:r w:rsidRPr="00FA288E">
        <w:rPr>
          <w:rFonts w:cs="Calibri"/>
          <w:sz w:val="21"/>
          <w:szCs w:val="21"/>
        </w:rPr>
        <w:t>(NoC). The NoC comprises representatives from the GoPNG, the Australian Government, the PPF Secretariat and grant consortia lead organisations. The PPF National Oversight Committee held</w:t>
      </w:r>
      <w:r w:rsidR="001A5296" w:rsidRPr="00FA288E">
        <w:rPr>
          <w:rFonts w:cs="Calibri"/>
          <w:sz w:val="21"/>
          <w:szCs w:val="21"/>
        </w:rPr>
        <w:t xml:space="preserve"> its first meeting in</w:t>
      </w:r>
      <w:r w:rsidRPr="00FA288E">
        <w:rPr>
          <w:rFonts w:cs="Calibri"/>
          <w:sz w:val="21"/>
          <w:szCs w:val="21"/>
        </w:rPr>
        <w:t xml:space="preserve"> 13 December 2019</w:t>
      </w:r>
      <w:bookmarkEnd w:id="7"/>
      <w:r w:rsidR="000B1D4A" w:rsidRPr="00FA288E">
        <w:rPr>
          <w:rFonts w:cs="Calibri"/>
          <w:sz w:val="21"/>
          <w:szCs w:val="21"/>
        </w:rPr>
        <w:t>.</w:t>
      </w:r>
    </w:p>
    <w:p w14:paraId="5683AB5D" w14:textId="77777777" w:rsidR="008761EC" w:rsidRPr="00FA288E" w:rsidRDefault="008761EC" w:rsidP="00FF62CC">
      <w:pPr>
        <w:pStyle w:val="CommentText"/>
        <w:numPr>
          <w:ilvl w:val="0"/>
          <w:numId w:val="87"/>
        </w:numPr>
        <w:spacing w:after="80" w:line="240" w:lineRule="auto"/>
        <w:ind w:left="446"/>
        <w:rPr>
          <w:rFonts w:cs="Calibri"/>
          <w:b/>
          <w:bCs/>
          <w:sz w:val="21"/>
          <w:szCs w:val="21"/>
        </w:rPr>
      </w:pPr>
      <w:r w:rsidRPr="00FA288E">
        <w:rPr>
          <w:rFonts w:cs="Calibri"/>
          <w:b/>
          <w:bCs/>
          <w:sz w:val="21"/>
          <w:szCs w:val="21"/>
        </w:rPr>
        <w:t>Adequacy of monitoring and evaluation systems in measuring progress</w:t>
      </w:r>
    </w:p>
    <w:p w14:paraId="1451F4EA" w14:textId="77777777" w:rsidR="00017B94" w:rsidRPr="00FA288E" w:rsidRDefault="00017B94" w:rsidP="00FF62CC">
      <w:pPr>
        <w:pStyle w:val="CommentText"/>
        <w:numPr>
          <w:ilvl w:val="0"/>
          <w:numId w:val="86"/>
        </w:numPr>
        <w:spacing w:after="0" w:line="240" w:lineRule="auto"/>
        <w:ind w:left="810"/>
        <w:jc w:val="both"/>
        <w:rPr>
          <w:rFonts w:cs="Calibri"/>
          <w:sz w:val="21"/>
          <w:szCs w:val="21"/>
        </w:rPr>
      </w:pPr>
      <w:r w:rsidRPr="00FA288E">
        <w:rPr>
          <w:rFonts w:cs="Calibri"/>
          <w:sz w:val="21"/>
          <w:szCs w:val="21"/>
        </w:rPr>
        <w:t>While improvements can</w:t>
      </w:r>
      <w:r w:rsidR="00E32C6B" w:rsidRPr="00FA288E">
        <w:rPr>
          <w:rFonts w:cs="Calibri"/>
          <w:sz w:val="21"/>
          <w:szCs w:val="21"/>
        </w:rPr>
        <w:t xml:space="preserve"> still</w:t>
      </w:r>
      <w:r w:rsidRPr="00FA288E">
        <w:rPr>
          <w:rFonts w:cs="Calibri"/>
          <w:sz w:val="21"/>
          <w:szCs w:val="21"/>
        </w:rPr>
        <w:t xml:space="preserve"> be made, the monitoring and evaluation systems of the three projects were assessed to be adequate, there were significant differences between the three projects in the indicators used and the ways in which the indicators are measured.</w:t>
      </w:r>
    </w:p>
    <w:p w14:paraId="272D7E97" w14:textId="77777777" w:rsidR="003810A4" w:rsidRPr="00FA288E" w:rsidRDefault="003810A4" w:rsidP="00FF62CC">
      <w:pPr>
        <w:pStyle w:val="CommentText"/>
        <w:numPr>
          <w:ilvl w:val="0"/>
          <w:numId w:val="86"/>
        </w:numPr>
        <w:spacing w:after="0" w:line="240" w:lineRule="auto"/>
        <w:ind w:left="810"/>
        <w:jc w:val="both"/>
        <w:rPr>
          <w:rFonts w:cs="Calibri"/>
          <w:sz w:val="21"/>
          <w:szCs w:val="21"/>
        </w:rPr>
      </w:pPr>
      <w:r w:rsidRPr="00FA288E">
        <w:rPr>
          <w:rFonts w:cs="Calibri"/>
          <w:sz w:val="21"/>
          <w:szCs w:val="21"/>
        </w:rPr>
        <w:t>There would be benefits from developing an integrated program logic and results framework to guide future activities.</w:t>
      </w:r>
    </w:p>
    <w:p w14:paraId="175E2892" w14:textId="19A2ABF3" w:rsidR="00017B94" w:rsidRPr="00FA288E" w:rsidRDefault="00017B94" w:rsidP="00FF62CC">
      <w:pPr>
        <w:pStyle w:val="CommentText"/>
        <w:numPr>
          <w:ilvl w:val="0"/>
          <w:numId w:val="86"/>
        </w:numPr>
        <w:spacing w:after="80" w:line="240" w:lineRule="auto"/>
        <w:ind w:left="806"/>
        <w:jc w:val="both"/>
        <w:rPr>
          <w:rFonts w:cs="Calibri"/>
          <w:sz w:val="21"/>
          <w:szCs w:val="21"/>
        </w:rPr>
      </w:pPr>
      <w:r w:rsidRPr="00FA288E">
        <w:rPr>
          <w:rFonts w:cs="Calibri"/>
          <w:sz w:val="21"/>
          <w:szCs w:val="21"/>
        </w:rPr>
        <w:t xml:space="preserve">Additional analysis could be undertaken to derive more meaning from the midline evaluations and </w:t>
      </w:r>
      <w:r w:rsidR="003810A4" w:rsidRPr="00FA288E">
        <w:rPr>
          <w:rFonts w:cs="Calibri"/>
          <w:sz w:val="21"/>
          <w:szCs w:val="21"/>
        </w:rPr>
        <w:t xml:space="preserve">to guide the design of the </w:t>
      </w:r>
      <w:r w:rsidR="000B1D4A" w:rsidRPr="00FA288E">
        <w:rPr>
          <w:rFonts w:cs="Calibri"/>
          <w:sz w:val="21"/>
          <w:szCs w:val="21"/>
        </w:rPr>
        <w:t>end line</w:t>
      </w:r>
      <w:r w:rsidR="003810A4" w:rsidRPr="00FA288E">
        <w:rPr>
          <w:rFonts w:cs="Calibri"/>
          <w:sz w:val="21"/>
          <w:szCs w:val="21"/>
        </w:rPr>
        <w:t xml:space="preserve"> evaluations.</w:t>
      </w:r>
    </w:p>
    <w:p w14:paraId="124727FB" w14:textId="77777777" w:rsidR="00A16C7A" w:rsidRPr="00FA288E" w:rsidRDefault="008761EC" w:rsidP="00FF62CC">
      <w:pPr>
        <w:pStyle w:val="CommentText"/>
        <w:numPr>
          <w:ilvl w:val="0"/>
          <w:numId w:val="87"/>
        </w:numPr>
        <w:spacing w:after="80" w:line="240" w:lineRule="auto"/>
        <w:ind w:left="446"/>
        <w:rPr>
          <w:rFonts w:cs="Calibri"/>
          <w:b/>
          <w:bCs/>
          <w:sz w:val="21"/>
          <w:szCs w:val="21"/>
        </w:rPr>
      </w:pPr>
      <w:r w:rsidRPr="00FA288E">
        <w:rPr>
          <w:rFonts w:cs="Calibri"/>
          <w:b/>
          <w:bCs/>
          <w:sz w:val="21"/>
          <w:szCs w:val="21"/>
        </w:rPr>
        <w:t>Sustainability of the grant interventions</w:t>
      </w:r>
    </w:p>
    <w:p w14:paraId="4ED591D6" w14:textId="77777777" w:rsidR="008761EC" w:rsidRPr="00FA288E" w:rsidRDefault="003810A4" w:rsidP="00FF62CC">
      <w:pPr>
        <w:pStyle w:val="CommentText"/>
        <w:numPr>
          <w:ilvl w:val="0"/>
          <w:numId w:val="86"/>
        </w:numPr>
        <w:spacing w:after="0" w:line="240" w:lineRule="auto"/>
        <w:ind w:left="810"/>
        <w:jc w:val="both"/>
        <w:rPr>
          <w:rFonts w:cs="Calibri"/>
          <w:b/>
          <w:bCs/>
          <w:sz w:val="21"/>
          <w:szCs w:val="21"/>
        </w:rPr>
      </w:pPr>
      <w:r w:rsidRPr="00FA288E">
        <w:rPr>
          <w:rFonts w:cs="Calibri"/>
          <w:sz w:val="21"/>
          <w:szCs w:val="21"/>
        </w:rPr>
        <w:t xml:space="preserve">Given the interest by GoPNG in the teacher development and local and low-cost teaching and learning materials, these </w:t>
      </w:r>
      <w:r w:rsidR="004D6F58" w:rsidRPr="00FA288E">
        <w:rPr>
          <w:rFonts w:cs="Calibri"/>
          <w:sz w:val="21"/>
          <w:szCs w:val="21"/>
        </w:rPr>
        <w:t>interventions (or elements of) have the highest potential for being institutionalised and sustained beyond the projects.</w:t>
      </w:r>
    </w:p>
    <w:p w14:paraId="7248ADC8" w14:textId="74DA0247" w:rsidR="004D6F58" w:rsidRPr="00FA288E" w:rsidRDefault="001A5296" w:rsidP="00FF62CC">
      <w:pPr>
        <w:pStyle w:val="CommentText"/>
        <w:numPr>
          <w:ilvl w:val="0"/>
          <w:numId w:val="86"/>
        </w:numPr>
        <w:spacing w:after="0" w:line="240" w:lineRule="auto"/>
        <w:ind w:left="810"/>
        <w:jc w:val="both"/>
        <w:rPr>
          <w:rFonts w:cs="Calibri"/>
          <w:b/>
          <w:bCs/>
          <w:sz w:val="21"/>
          <w:szCs w:val="21"/>
        </w:rPr>
      </w:pPr>
      <w:r w:rsidRPr="00FA288E">
        <w:rPr>
          <w:rFonts w:cs="Calibri"/>
          <w:sz w:val="21"/>
          <w:szCs w:val="21"/>
        </w:rPr>
        <w:t xml:space="preserve">As part of its work during the extension phase, GoPNG may adopt PPF’s approach to </w:t>
      </w:r>
      <w:r w:rsidR="004D6F58" w:rsidRPr="00FA288E">
        <w:rPr>
          <w:rFonts w:cs="Calibri"/>
          <w:sz w:val="21"/>
          <w:szCs w:val="21"/>
        </w:rPr>
        <w:t xml:space="preserve">school-based management and planning </w:t>
      </w:r>
      <w:r w:rsidRPr="00FA288E">
        <w:rPr>
          <w:rFonts w:cs="Calibri"/>
          <w:sz w:val="21"/>
          <w:szCs w:val="21"/>
        </w:rPr>
        <w:t>by improving</w:t>
      </w:r>
      <w:r w:rsidR="004D6F58" w:rsidRPr="00FA288E">
        <w:rPr>
          <w:rFonts w:cs="Calibri"/>
          <w:sz w:val="21"/>
          <w:szCs w:val="21"/>
        </w:rPr>
        <w:t xml:space="preserve"> School Learning Improvement Plan</w:t>
      </w:r>
      <w:r w:rsidRPr="00FA288E">
        <w:rPr>
          <w:rFonts w:cs="Calibri"/>
          <w:sz w:val="21"/>
          <w:szCs w:val="21"/>
        </w:rPr>
        <w:t>s</w:t>
      </w:r>
      <w:r w:rsidR="004D6F58" w:rsidRPr="00FA288E">
        <w:rPr>
          <w:rFonts w:cs="Calibri"/>
          <w:sz w:val="21"/>
          <w:szCs w:val="21"/>
        </w:rPr>
        <w:t>.</w:t>
      </w:r>
    </w:p>
    <w:p w14:paraId="693FD933" w14:textId="77777777" w:rsidR="004D6F58" w:rsidRPr="00FA288E" w:rsidRDefault="004D6F58" w:rsidP="00FF62CC">
      <w:pPr>
        <w:pStyle w:val="CommentText"/>
        <w:numPr>
          <w:ilvl w:val="0"/>
          <w:numId w:val="86"/>
        </w:numPr>
        <w:spacing w:after="80" w:line="240" w:lineRule="auto"/>
        <w:ind w:left="806"/>
        <w:jc w:val="both"/>
        <w:rPr>
          <w:rFonts w:cs="Calibri"/>
          <w:b/>
          <w:bCs/>
          <w:sz w:val="21"/>
          <w:szCs w:val="21"/>
        </w:rPr>
      </w:pPr>
      <w:r w:rsidRPr="00FA288E">
        <w:rPr>
          <w:rFonts w:cs="Calibri"/>
          <w:sz w:val="21"/>
          <w:szCs w:val="21"/>
        </w:rPr>
        <w:t>In addition, there is a high level of interest by GoPNG and UNICEF in the ECCE pilot program (RISE) as it is trialling the draft GoPNG ECCE curriculum and has developed ECCE facilitators</w:t>
      </w:r>
      <w:r w:rsidR="00E32C6B" w:rsidRPr="00FA288E">
        <w:rPr>
          <w:rFonts w:cs="Calibri"/>
          <w:sz w:val="21"/>
          <w:szCs w:val="21"/>
        </w:rPr>
        <w:t>’</w:t>
      </w:r>
      <w:r w:rsidRPr="00FA288E">
        <w:rPr>
          <w:rFonts w:cs="Calibri"/>
          <w:sz w:val="21"/>
          <w:szCs w:val="21"/>
        </w:rPr>
        <w:t xml:space="preserve"> training</w:t>
      </w:r>
      <w:r w:rsidR="00E32C6B" w:rsidRPr="00FA288E">
        <w:rPr>
          <w:rFonts w:cs="Calibri"/>
          <w:sz w:val="21"/>
          <w:szCs w:val="21"/>
        </w:rPr>
        <w:t xml:space="preserve"> resources</w:t>
      </w:r>
      <w:r w:rsidRPr="00FA288E">
        <w:rPr>
          <w:rFonts w:cs="Calibri"/>
          <w:sz w:val="21"/>
          <w:szCs w:val="21"/>
        </w:rPr>
        <w:t>.</w:t>
      </w:r>
    </w:p>
    <w:p w14:paraId="517C69FE" w14:textId="77777777" w:rsidR="008761EC" w:rsidRPr="00FA288E" w:rsidRDefault="008761EC" w:rsidP="00FF62CC">
      <w:pPr>
        <w:pStyle w:val="CommentText"/>
        <w:numPr>
          <w:ilvl w:val="0"/>
          <w:numId w:val="87"/>
        </w:numPr>
        <w:spacing w:after="80" w:line="240" w:lineRule="auto"/>
        <w:ind w:left="450"/>
        <w:jc w:val="both"/>
        <w:rPr>
          <w:rFonts w:cs="Calibri"/>
          <w:b/>
          <w:bCs/>
          <w:sz w:val="21"/>
          <w:szCs w:val="21"/>
        </w:rPr>
      </w:pPr>
      <w:bookmarkStart w:id="8" w:name="_Hlk33098698"/>
      <w:r w:rsidRPr="00FA288E">
        <w:rPr>
          <w:rFonts w:cs="Calibri"/>
          <w:b/>
          <w:bCs/>
          <w:sz w:val="21"/>
          <w:szCs w:val="21"/>
        </w:rPr>
        <w:t>Lessons learnt from implementation to inform future investments in early grades literacy and numeracy</w:t>
      </w:r>
    </w:p>
    <w:p w14:paraId="2CFB27C4" w14:textId="514F3C9D" w:rsidR="008761EC" w:rsidRPr="00FA288E" w:rsidRDefault="004D6F58" w:rsidP="00FF62CC">
      <w:pPr>
        <w:pStyle w:val="CommentText"/>
        <w:numPr>
          <w:ilvl w:val="0"/>
          <w:numId w:val="86"/>
        </w:numPr>
        <w:spacing w:after="0" w:line="240" w:lineRule="auto"/>
        <w:ind w:left="810"/>
        <w:jc w:val="both"/>
        <w:rPr>
          <w:rFonts w:cs="Calibri"/>
          <w:sz w:val="21"/>
          <w:szCs w:val="21"/>
        </w:rPr>
      </w:pPr>
      <w:bookmarkStart w:id="9" w:name="_Hlk33098872"/>
      <w:bookmarkEnd w:id="8"/>
      <w:r w:rsidRPr="00FA288E">
        <w:rPr>
          <w:rFonts w:cs="Calibri"/>
          <w:sz w:val="21"/>
          <w:szCs w:val="21"/>
        </w:rPr>
        <w:t xml:space="preserve">There continues to be a high level of need for investments in early grades literacy and numeracy, </w:t>
      </w:r>
      <w:bookmarkStart w:id="10" w:name="_Hlk33098645"/>
      <w:r w:rsidRPr="00FA288E">
        <w:rPr>
          <w:rFonts w:cs="Calibri"/>
          <w:sz w:val="21"/>
          <w:szCs w:val="21"/>
        </w:rPr>
        <w:t xml:space="preserve">yet there </w:t>
      </w:r>
      <w:r w:rsidR="000B1D4A" w:rsidRPr="00FA288E">
        <w:rPr>
          <w:rFonts w:cs="Calibri"/>
          <w:sz w:val="21"/>
          <w:szCs w:val="21"/>
        </w:rPr>
        <w:t>remain challenges</w:t>
      </w:r>
      <w:r w:rsidRPr="00FA288E">
        <w:rPr>
          <w:rFonts w:cs="Calibri"/>
          <w:sz w:val="21"/>
          <w:szCs w:val="21"/>
        </w:rPr>
        <w:t xml:space="preserve"> in the </w:t>
      </w:r>
      <w:proofErr w:type="spellStart"/>
      <w:r w:rsidRPr="00FA288E">
        <w:rPr>
          <w:rFonts w:cs="Calibri"/>
          <w:sz w:val="21"/>
          <w:szCs w:val="21"/>
        </w:rPr>
        <w:t>GoPNG’s</w:t>
      </w:r>
      <w:proofErr w:type="spellEnd"/>
      <w:r w:rsidRPr="00FA288E">
        <w:rPr>
          <w:rFonts w:cs="Calibri"/>
          <w:sz w:val="21"/>
          <w:szCs w:val="21"/>
        </w:rPr>
        <w:t xml:space="preserve"> ability to meet </w:t>
      </w:r>
      <w:r w:rsidR="003861B1" w:rsidRPr="00FA288E">
        <w:rPr>
          <w:rFonts w:cs="Calibri"/>
          <w:sz w:val="21"/>
          <w:szCs w:val="21"/>
        </w:rPr>
        <w:t xml:space="preserve">the full financial and capacity </w:t>
      </w:r>
      <w:r w:rsidRPr="00FA288E">
        <w:rPr>
          <w:rFonts w:cs="Calibri"/>
          <w:sz w:val="21"/>
          <w:szCs w:val="21"/>
        </w:rPr>
        <w:t>requirements</w:t>
      </w:r>
      <w:r w:rsidR="003861B1" w:rsidRPr="00FA288E">
        <w:rPr>
          <w:rFonts w:cs="Calibri"/>
          <w:sz w:val="21"/>
          <w:szCs w:val="21"/>
        </w:rPr>
        <w:t xml:space="preserve"> of the </w:t>
      </w:r>
      <w:r w:rsidR="003861B1" w:rsidRPr="00FA288E">
        <w:rPr>
          <w:rFonts w:cs="Calibri"/>
          <w:sz w:val="21"/>
          <w:szCs w:val="21"/>
        </w:rPr>
        <w:lastRenderedPageBreak/>
        <w:t>proposed sector reforms</w:t>
      </w:r>
      <w:r w:rsidRPr="00FA288E">
        <w:rPr>
          <w:rFonts w:cs="Calibri"/>
          <w:sz w:val="21"/>
          <w:szCs w:val="21"/>
        </w:rPr>
        <w:t xml:space="preserve">. </w:t>
      </w:r>
      <w:bookmarkEnd w:id="10"/>
      <w:r w:rsidRPr="00FA288E">
        <w:rPr>
          <w:rFonts w:cs="Calibri"/>
          <w:sz w:val="21"/>
          <w:szCs w:val="21"/>
        </w:rPr>
        <w:t>Support of Australia and other donors will be important in assisting the GoPNG improve literacy and numeracy in the early grades.</w:t>
      </w:r>
    </w:p>
    <w:bookmarkEnd w:id="9"/>
    <w:p w14:paraId="3A3152A9" w14:textId="1D13DC74" w:rsidR="004D6F58" w:rsidRPr="00FA288E" w:rsidRDefault="004D6F58" w:rsidP="00FF62CC">
      <w:pPr>
        <w:pStyle w:val="CommentText"/>
        <w:numPr>
          <w:ilvl w:val="0"/>
          <w:numId w:val="86"/>
        </w:numPr>
        <w:spacing w:after="0" w:line="240" w:lineRule="auto"/>
        <w:ind w:left="806"/>
        <w:jc w:val="both"/>
        <w:rPr>
          <w:rFonts w:cs="Calibri"/>
          <w:sz w:val="21"/>
          <w:szCs w:val="21"/>
        </w:rPr>
      </w:pPr>
      <w:r w:rsidRPr="00FA288E">
        <w:rPr>
          <w:rFonts w:cs="Calibri"/>
          <w:sz w:val="21"/>
          <w:szCs w:val="21"/>
        </w:rPr>
        <w:t xml:space="preserve">There is a need for donor projects to work </w:t>
      </w:r>
      <w:r w:rsidR="00AE75DC" w:rsidRPr="00FA288E">
        <w:rPr>
          <w:rFonts w:cs="Calibri"/>
          <w:sz w:val="21"/>
          <w:szCs w:val="21"/>
        </w:rPr>
        <w:t>through</w:t>
      </w:r>
      <w:r w:rsidRPr="00FA288E">
        <w:rPr>
          <w:rFonts w:cs="Calibri"/>
          <w:sz w:val="21"/>
          <w:szCs w:val="21"/>
        </w:rPr>
        <w:t xml:space="preserve"> existing government systems, engaging government partners early on </w:t>
      </w:r>
      <w:r w:rsidR="008F370F" w:rsidRPr="00FA288E">
        <w:rPr>
          <w:rFonts w:cs="Calibri"/>
          <w:sz w:val="21"/>
          <w:szCs w:val="21"/>
        </w:rPr>
        <w:t xml:space="preserve">in the design and implementation of investments to help build ownership, commitment and improve the likelihood of interventions being institutionalised and sustained. </w:t>
      </w:r>
    </w:p>
    <w:p w14:paraId="113CE9AD" w14:textId="77777777" w:rsidR="009B6902" w:rsidRPr="00FA288E" w:rsidRDefault="009B6902" w:rsidP="00FF62CC">
      <w:pPr>
        <w:pStyle w:val="CommentText"/>
        <w:numPr>
          <w:ilvl w:val="0"/>
          <w:numId w:val="86"/>
        </w:numPr>
        <w:spacing w:after="120" w:line="240" w:lineRule="auto"/>
        <w:ind w:left="805" w:hanging="357"/>
        <w:jc w:val="both"/>
        <w:rPr>
          <w:rFonts w:cs="Calibri"/>
          <w:sz w:val="21"/>
          <w:szCs w:val="21"/>
        </w:rPr>
      </w:pPr>
      <w:r w:rsidRPr="00FA288E">
        <w:rPr>
          <w:rFonts w:cs="Calibri"/>
          <w:sz w:val="21"/>
          <w:szCs w:val="21"/>
        </w:rPr>
        <w:t>Grants to NGO consortia are able to implement quickly</w:t>
      </w:r>
      <w:r w:rsidR="00D90596" w:rsidRPr="00FA288E">
        <w:rPr>
          <w:rFonts w:cs="Calibri"/>
          <w:sz w:val="21"/>
          <w:szCs w:val="21"/>
        </w:rPr>
        <w:t>, particularly in areas where they have worked previously. Consortia offer the potential for increased geographic coverage and benefit from the unique resources and perspectives each consortia member bring to the project.</w:t>
      </w:r>
    </w:p>
    <w:p w14:paraId="68DD41E0" w14:textId="1F89DAB4" w:rsidR="003353AF" w:rsidRPr="00FA288E" w:rsidRDefault="003A0FF1" w:rsidP="008D6077">
      <w:pPr>
        <w:pStyle w:val="CommentText"/>
        <w:jc w:val="both"/>
        <w:rPr>
          <w:rFonts w:cs="Calibri"/>
          <w:szCs w:val="21"/>
        </w:rPr>
      </w:pPr>
      <w:r w:rsidRPr="00FA288E">
        <w:rPr>
          <w:rFonts w:cs="Calibri"/>
          <w:sz w:val="21"/>
          <w:szCs w:val="21"/>
        </w:rPr>
        <w:t>Based on the findings, in particular the stage of implementation and the intention to extend the grant projects,</w:t>
      </w:r>
      <w:r w:rsidR="00693E81" w:rsidRPr="00FA288E">
        <w:rPr>
          <w:rFonts w:cs="Calibri"/>
          <w:sz w:val="21"/>
          <w:szCs w:val="21"/>
        </w:rPr>
        <w:t xml:space="preserve"> the review team </w:t>
      </w:r>
      <w:r w:rsidRPr="00FA288E">
        <w:rPr>
          <w:rFonts w:cs="Calibri"/>
          <w:sz w:val="21"/>
          <w:szCs w:val="21"/>
        </w:rPr>
        <w:t>advocates</w:t>
      </w:r>
      <w:r w:rsidR="00693E81" w:rsidRPr="00FA288E">
        <w:rPr>
          <w:rFonts w:cs="Calibri"/>
          <w:sz w:val="21"/>
          <w:szCs w:val="21"/>
        </w:rPr>
        <w:t xml:space="preserve"> a strategy </w:t>
      </w:r>
      <w:r w:rsidRPr="00FA288E">
        <w:rPr>
          <w:rFonts w:cs="Calibri"/>
          <w:sz w:val="21"/>
          <w:szCs w:val="21"/>
        </w:rPr>
        <w:t>that will</w:t>
      </w:r>
      <w:r w:rsidR="00693E81" w:rsidRPr="00FA288E">
        <w:rPr>
          <w:rFonts w:cs="Calibri"/>
          <w:sz w:val="21"/>
          <w:szCs w:val="21"/>
        </w:rPr>
        <w:t xml:space="preserve"> </w:t>
      </w:r>
      <w:r w:rsidR="00017B94" w:rsidRPr="00FA288E">
        <w:rPr>
          <w:rFonts w:cs="Calibri"/>
          <w:sz w:val="21"/>
          <w:szCs w:val="21"/>
        </w:rPr>
        <w:t>put in place</w:t>
      </w:r>
      <w:r w:rsidR="00693E81" w:rsidRPr="00FA288E">
        <w:rPr>
          <w:rFonts w:cs="Calibri"/>
          <w:sz w:val="21"/>
          <w:szCs w:val="21"/>
        </w:rPr>
        <w:t xml:space="preserve"> </w:t>
      </w:r>
      <w:r w:rsidRPr="00FA288E">
        <w:rPr>
          <w:rFonts w:cs="Calibri"/>
          <w:sz w:val="21"/>
          <w:szCs w:val="21"/>
        </w:rPr>
        <w:t xml:space="preserve">effective </w:t>
      </w:r>
      <w:r w:rsidR="00693E81" w:rsidRPr="00FA288E">
        <w:rPr>
          <w:rFonts w:cs="Calibri"/>
          <w:sz w:val="21"/>
          <w:szCs w:val="21"/>
        </w:rPr>
        <w:t xml:space="preserve">processes </w:t>
      </w:r>
      <w:r w:rsidR="00017B94" w:rsidRPr="00FA288E">
        <w:rPr>
          <w:rFonts w:cs="Calibri"/>
          <w:sz w:val="21"/>
          <w:szCs w:val="21"/>
        </w:rPr>
        <w:t xml:space="preserve">and actions in </w:t>
      </w:r>
      <w:r w:rsidR="00693E81" w:rsidRPr="00FA288E">
        <w:rPr>
          <w:rFonts w:cs="Calibri"/>
          <w:sz w:val="21"/>
          <w:szCs w:val="21"/>
        </w:rPr>
        <w:t>the immediate</w:t>
      </w:r>
      <w:r w:rsidR="00017B94" w:rsidRPr="00FA288E">
        <w:rPr>
          <w:rFonts w:cs="Calibri"/>
          <w:sz w:val="21"/>
          <w:szCs w:val="21"/>
        </w:rPr>
        <w:t xml:space="preserve"> and short-term to guide implementation to April 2022 and inform longer-term investments. </w:t>
      </w:r>
      <w:r w:rsidR="00693E81" w:rsidRPr="00FA288E">
        <w:rPr>
          <w:rFonts w:cs="Calibri"/>
          <w:sz w:val="21"/>
          <w:szCs w:val="21"/>
        </w:rPr>
        <w:t>This strategy is reflected in the recommendations offered by the review team</w:t>
      </w:r>
      <w:r w:rsidR="00991B84" w:rsidRPr="00FA288E">
        <w:rPr>
          <w:rFonts w:cs="Calibri"/>
          <w:sz w:val="21"/>
          <w:szCs w:val="21"/>
        </w:rPr>
        <w:t xml:space="preserve"> in </w:t>
      </w:r>
      <w:hyperlink w:anchor="_Moving_Forward" w:history="1">
        <w:r w:rsidR="00991B84" w:rsidRPr="00FA288E">
          <w:rPr>
            <w:rStyle w:val="Hyperlink"/>
            <w:rFonts w:cs="Calibri"/>
            <w:sz w:val="21"/>
            <w:szCs w:val="21"/>
          </w:rPr>
          <w:t>Section 5</w:t>
        </w:r>
      </w:hyperlink>
      <w:r w:rsidR="00991B84" w:rsidRPr="00FA288E">
        <w:rPr>
          <w:rFonts w:cs="Calibri"/>
          <w:sz w:val="21"/>
          <w:szCs w:val="21"/>
        </w:rPr>
        <w:t xml:space="preserve"> of this report</w:t>
      </w:r>
      <w:r w:rsidR="00693E81" w:rsidRPr="00FA288E">
        <w:rPr>
          <w:rFonts w:cs="Calibri"/>
          <w:sz w:val="21"/>
          <w:szCs w:val="21"/>
        </w:rPr>
        <w:t xml:space="preserve"> </w:t>
      </w:r>
      <w:r w:rsidR="00A024E9" w:rsidRPr="00FA288E">
        <w:rPr>
          <w:rFonts w:cs="Calibri"/>
          <w:sz w:val="21"/>
          <w:szCs w:val="21"/>
        </w:rPr>
        <w:t xml:space="preserve">and </w:t>
      </w:r>
      <w:r w:rsidR="00693E81" w:rsidRPr="00FA288E">
        <w:rPr>
          <w:rFonts w:cs="Calibri"/>
          <w:sz w:val="21"/>
          <w:szCs w:val="21"/>
        </w:rPr>
        <w:t xml:space="preserve">summarised </w:t>
      </w:r>
      <w:r w:rsidR="00CB58F5" w:rsidRPr="00FA288E">
        <w:rPr>
          <w:rFonts w:cs="Calibri"/>
          <w:sz w:val="21"/>
          <w:szCs w:val="21"/>
        </w:rPr>
        <w:t>below</w:t>
      </w:r>
      <w:r w:rsidR="00991B84" w:rsidRPr="00FA288E">
        <w:rPr>
          <w:rFonts w:cs="Calibri"/>
          <w:szCs w:val="21"/>
        </w:rPr>
        <w:t>.</w:t>
      </w:r>
    </w:p>
    <w:p w14:paraId="3C1F639A" w14:textId="77777777" w:rsidR="00AB27DB" w:rsidRDefault="00AB27DB">
      <w:pPr>
        <w:rPr>
          <w:rFonts w:cs="Calibri"/>
          <w:b/>
          <w:bCs/>
          <w:szCs w:val="21"/>
        </w:rPr>
      </w:pPr>
      <w:r>
        <w:rPr>
          <w:rFonts w:cs="Calibri"/>
          <w:b/>
          <w:bCs/>
          <w:szCs w:val="21"/>
        </w:rPr>
        <w:br w:type="page"/>
      </w:r>
    </w:p>
    <w:p w14:paraId="0B3518C7" w14:textId="0E751125" w:rsidR="003353AF" w:rsidRPr="00FA288E" w:rsidRDefault="008F370F" w:rsidP="003353AF">
      <w:pPr>
        <w:spacing w:after="80" w:line="240" w:lineRule="auto"/>
        <w:rPr>
          <w:rFonts w:cs="Calibri"/>
          <w:szCs w:val="21"/>
        </w:rPr>
      </w:pPr>
      <w:r w:rsidRPr="00FA288E">
        <w:rPr>
          <w:rFonts w:cs="Calibri"/>
          <w:b/>
          <w:bCs/>
          <w:szCs w:val="21"/>
        </w:rPr>
        <w:lastRenderedPageBreak/>
        <w:t>Summary of Recommendations of the Mid-Term Review</w:t>
      </w:r>
    </w:p>
    <w:p w14:paraId="0F043B13" w14:textId="77777777" w:rsidR="00693E81" w:rsidRPr="00FA288E" w:rsidRDefault="00693E81" w:rsidP="00A512DF">
      <w:pPr>
        <w:spacing w:after="80" w:line="240" w:lineRule="auto"/>
      </w:pPr>
      <w:r w:rsidRPr="00FA288E">
        <w:rPr>
          <w:rFonts w:cs="Calibri"/>
          <w:b/>
          <w:bCs/>
          <w:szCs w:val="21"/>
        </w:rPr>
        <w:t>Immediate Next Steps</w:t>
      </w:r>
    </w:p>
    <w:tbl>
      <w:tblPr>
        <w:tblStyle w:val="TableGrid"/>
        <w:tblW w:w="0" w:type="auto"/>
        <w:tblInd w:w="0" w:type="dxa"/>
        <w:shd w:val="clear" w:color="auto" w:fill="F2F2F2" w:themeFill="background1" w:themeFillShade="F2"/>
        <w:tblLook w:val="04A0" w:firstRow="1" w:lastRow="0" w:firstColumn="1" w:lastColumn="0" w:noHBand="0" w:noVBand="1"/>
        <w:tblCaption w:val="Immediate Next Steps"/>
        <w:tblDescription w:val="Recommendation 1: The Australian Government should engage the PPF Secretariat to design and facilitate a collaborative process to engage key stakeholders in a review of project progress, including but not limited to, the mid-term review findings. &#10;Recommendation 2: The Australian Government should engage the PPF Secretariat to design and facilitate the conduct of a PPF Education Grants Theory of Change workshop to develop a more integrated program logic and associated results framework to guide all projects during the extension phase to February 2022. &#10;Recommendation 3: The Australian Government should request for a special meeting of the PPF NOC to endorse the agreements and direction resulting from the PPF Education Grants Theory of Change workshop.&#10;"/>
      </w:tblPr>
      <w:tblGrid>
        <w:gridCol w:w="1975"/>
        <w:gridCol w:w="7761"/>
      </w:tblGrid>
      <w:tr w:rsidR="009155D4" w:rsidRPr="00FA288E" w14:paraId="20281127" w14:textId="77777777" w:rsidTr="00EA14BA">
        <w:trPr>
          <w:tblHeader/>
        </w:trPr>
        <w:tc>
          <w:tcPr>
            <w:tcW w:w="1975" w:type="dxa"/>
            <w:shd w:val="clear" w:color="auto" w:fill="262626" w:themeFill="text1" w:themeFillTint="D9"/>
          </w:tcPr>
          <w:p w14:paraId="305B04E5" w14:textId="77777777" w:rsidR="009155D4" w:rsidRPr="00FA288E" w:rsidRDefault="009155D4" w:rsidP="00201DB9">
            <w:pPr>
              <w:tabs>
                <w:tab w:val="left" w:pos="1260"/>
              </w:tabs>
              <w:rPr>
                <w:rFonts w:cs="Calibri"/>
                <w:sz w:val="20"/>
                <w:szCs w:val="20"/>
                <w:lang w:val="en-AU"/>
              </w:rPr>
            </w:pPr>
            <w:r w:rsidRPr="00FA288E">
              <w:rPr>
                <w:rFonts w:cs="Calibri"/>
                <w:sz w:val="20"/>
                <w:szCs w:val="20"/>
                <w:lang w:val="en-AU"/>
              </w:rPr>
              <w:t>Recommendation 1:</w:t>
            </w:r>
          </w:p>
        </w:tc>
        <w:tc>
          <w:tcPr>
            <w:tcW w:w="7761" w:type="dxa"/>
            <w:shd w:val="clear" w:color="auto" w:fill="F2F2F2" w:themeFill="background1" w:themeFillShade="F2"/>
          </w:tcPr>
          <w:p w14:paraId="2ED7997D" w14:textId="5ABCBBE8" w:rsidR="009155D4" w:rsidRPr="00FA288E" w:rsidRDefault="009155D4" w:rsidP="00BD3D38">
            <w:pPr>
              <w:tabs>
                <w:tab w:val="left" w:pos="1260"/>
              </w:tabs>
              <w:rPr>
                <w:rFonts w:cs="Calibri"/>
                <w:sz w:val="20"/>
                <w:szCs w:val="20"/>
                <w:lang w:val="en-AU"/>
              </w:rPr>
            </w:pPr>
            <w:r w:rsidRPr="00FA288E">
              <w:rPr>
                <w:rFonts w:cs="Calibri"/>
                <w:sz w:val="20"/>
                <w:szCs w:val="20"/>
                <w:lang w:val="en-AU"/>
              </w:rPr>
              <w:t xml:space="preserve">The Australian Government should </w:t>
            </w:r>
            <w:r w:rsidR="00BD3D38" w:rsidRPr="00FA288E">
              <w:rPr>
                <w:rFonts w:cs="Calibri"/>
                <w:sz w:val="20"/>
                <w:szCs w:val="20"/>
                <w:lang w:val="en-AU"/>
              </w:rPr>
              <w:t xml:space="preserve">engage </w:t>
            </w:r>
            <w:r w:rsidRPr="00FA288E">
              <w:rPr>
                <w:rFonts w:cs="Calibri"/>
                <w:sz w:val="20"/>
                <w:szCs w:val="20"/>
                <w:lang w:val="en-AU"/>
              </w:rPr>
              <w:t xml:space="preserve">the PPF Secretariat to design and facilitate a </w:t>
            </w:r>
            <w:r w:rsidR="00201DB9" w:rsidRPr="00FA288E">
              <w:rPr>
                <w:rFonts w:cs="Calibri"/>
                <w:sz w:val="20"/>
                <w:szCs w:val="20"/>
                <w:lang w:val="en-AU"/>
              </w:rPr>
              <w:t xml:space="preserve">collaborative </w:t>
            </w:r>
            <w:r w:rsidR="001A3AC0" w:rsidRPr="00FA288E">
              <w:rPr>
                <w:rFonts w:cs="Calibri"/>
                <w:sz w:val="20"/>
                <w:szCs w:val="20"/>
                <w:lang w:val="en-AU"/>
              </w:rPr>
              <w:t>process to engage key stakeholders in a</w:t>
            </w:r>
            <w:r w:rsidRPr="00FA288E">
              <w:rPr>
                <w:rFonts w:cs="Calibri"/>
                <w:sz w:val="20"/>
                <w:szCs w:val="20"/>
                <w:lang w:val="en-AU"/>
              </w:rPr>
              <w:t xml:space="preserve"> review</w:t>
            </w:r>
            <w:r w:rsidR="001A3AC0" w:rsidRPr="00FA288E">
              <w:rPr>
                <w:rFonts w:cs="Calibri"/>
                <w:sz w:val="20"/>
                <w:szCs w:val="20"/>
                <w:lang w:val="en-AU"/>
              </w:rPr>
              <w:t xml:space="preserve"> of</w:t>
            </w:r>
            <w:r w:rsidRPr="00FA288E">
              <w:rPr>
                <w:rFonts w:cs="Calibri"/>
                <w:sz w:val="20"/>
                <w:szCs w:val="20"/>
                <w:lang w:val="en-AU"/>
              </w:rPr>
              <w:t xml:space="preserve"> project progress, including but not limited to, the mid-term review findings. </w:t>
            </w:r>
          </w:p>
        </w:tc>
      </w:tr>
      <w:tr w:rsidR="009155D4" w:rsidRPr="00FA288E" w14:paraId="59DB1AEC" w14:textId="77777777" w:rsidTr="001A68AB">
        <w:tc>
          <w:tcPr>
            <w:tcW w:w="1975" w:type="dxa"/>
            <w:shd w:val="clear" w:color="auto" w:fill="262626" w:themeFill="text1" w:themeFillTint="D9"/>
          </w:tcPr>
          <w:p w14:paraId="3C26B63F" w14:textId="77777777" w:rsidR="009155D4" w:rsidRPr="00FA288E" w:rsidRDefault="009155D4" w:rsidP="00201DB9">
            <w:pPr>
              <w:tabs>
                <w:tab w:val="left" w:pos="1260"/>
              </w:tabs>
              <w:rPr>
                <w:rFonts w:cs="Calibri"/>
                <w:sz w:val="20"/>
                <w:szCs w:val="20"/>
                <w:lang w:val="en-AU"/>
              </w:rPr>
            </w:pPr>
            <w:r w:rsidRPr="00FA288E">
              <w:rPr>
                <w:rFonts w:cs="Calibri"/>
                <w:sz w:val="20"/>
                <w:szCs w:val="20"/>
                <w:lang w:val="en-AU"/>
              </w:rPr>
              <w:t>Recommendation 2:</w:t>
            </w:r>
          </w:p>
        </w:tc>
        <w:tc>
          <w:tcPr>
            <w:tcW w:w="7761" w:type="dxa"/>
            <w:shd w:val="clear" w:color="auto" w:fill="F2F2F2" w:themeFill="background1" w:themeFillShade="F2"/>
          </w:tcPr>
          <w:p w14:paraId="342A67C1" w14:textId="617BACC0" w:rsidR="009155D4" w:rsidRPr="00FA288E" w:rsidRDefault="009155D4" w:rsidP="00BD3D38">
            <w:pPr>
              <w:tabs>
                <w:tab w:val="left" w:pos="1260"/>
              </w:tabs>
              <w:rPr>
                <w:rFonts w:cs="Calibri"/>
                <w:sz w:val="20"/>
                <w:szCs w:val="20"/>
                <w:lang w:val="en-AU"/>
              </w:rPr>
            </w:pPr>
            <w:r w:rsidRPr="00FA288E">
              <w:rPr>
                <w:rFonts w:cs="Calibri"/>
                <w:sz w:val="20"/>
                <w:szCs w:val="20"/>
                <w:lang w:val="en-AU"/>
              </w:rPr>
              <w:t xml:space="preserve">The Australian Government should </w:t>
            </w:r>
            <w:r w:rsidR="00BD3D38" w:rsidRPr="00FA288E">
              <w:rPr>
                <w:rFonts w:cs="Calibri"/>
                <w:sz w:val="20"/>
                <w:szCs w:val="20"/>
                <w:lang w:val="en-AU"/>
              </w:rPr>
              <w:t xml:space="preserve">engage </w:t>
            </w:r>
            <w:r w:rsidRPr="00FA288E">
              <w:rPr>
                <w:rFonts w:cs="Calibri"/>
                <w:sz w:val="20"/>
                <w:szCs w:val="20"/>
                <w:lang w:val="en-AU"/>
              </w:rPr>
              <w:t xml:space="preserve">the PPF Secretariat to design and facilitate the conduct of a PPF Education Grants Theory of Change workshop to develop a more integrated program logic and associated results framework to guide all projects during the extension phase to </w:t>
            </w:r>
            <w:r w:rsidR="00290096" w:rsidRPr="00FA288E">
              <w:rPr>
                <w:rFonts w:cs="Calibri"/>
                <w:sz w:val="20"/>
                <w:szCs w:val="20"/>
                <w:lang w:val="en-AU"/>
              </w:rPr>
              <w:t>February 2022</w:t>
            </w:r>
            <w:r w:rsidRPr="00FA288E">
              <w:rPr>
                <w:rFonts w:cs="Calibri"/>
                <w:sz w:val="20"/>
                <w:szCs w:val="20"/>
                <w:lang w:val="en-AU"/>
              </w:rPr>
              <w:t>.</w:t>
            </w:r>
            <w:r w:rsidR="00077231" w:rsidRPr="00FA288E">
              <w:rPr>
                <w:rStyle w:val="FootnoteReference"/>
                <w:rFonts w:cs="Calibri"/>
                <w:sz w:val="20"/>
                <w:szCs w:val="20"/>
                <w:lang w:val="en-AU"/>
              </w:rPr>
              <w:footnoteReference w:id="7"/>
            </w:r>
          </w:p>
        </w:tc>
      </w:tr>
      <w:tr w:rsidR="009155D4" w:rsidRPr="00FA288E" w14:paraId="552BB4C0" w14:textId="77777777" w:rsidTr="001A68AB">
        <w:tc>
          <w:tcPr>
            <w:tcW w:w="1975" w:type="dxa"/>
            <w:shd w:val="clear" w:color="auto" w:fill="262626" w:themeFill="text1" w:themeFillTint="D9"/>
          </w:tcPr>
          <w:p w14:paraId="45A4B856" w14:textId="77777777" w:rsidR="009155D4" w:rsidRPr="00FA288E" w:rsidRDefault="009155D4" w:rsidP="00201DB9">
            <w:pPr>
              <w:tabs>
                <w:tab w:val="left" w:pos="1260"/>
              </w:tabs>
              <w:rPr>
                <w:rFonts w:cs="Calibri"/>
                <w:sz w:val="20"/>
                <w:szCs w:val="20"/>
                <w:lang w:val="en-AU"/>
              </w:rPr>
            </w:pPr>
            <w:r w:rsidRPr="00FA288E">
              <w:rPr>
                <w:rFonts w:cs="Calibri"/>
                <w:sz w:val="20"/>
                <w:szCs w:val="20"/>
                <w:lang w:val="en-AU"/>
              </w:rPr>
              <w:t>Recommendation 3:</w:t>
            </w:r>
          </w:p>
        </w:tc>
        <w:tc>
          <w:tcPr>
            <w:tcW w:w="7761" w:type="dxa"/>
            <w:shd w:val="clear" w:color="auto" w:fill="F2F2F2" w:themeFill="background1" w:themeFillShade="F2"/>
          </w:tcPr>
          <w:p w14:paraId="5B408498" w14:textId="77777777" w:rsidR="009155D4" w:rsidRPr="00FA288E" w:rsidRDefault="009155D4" w:rsidP="00201DB9">
            <w:pPr>
              <w:tabs>
                <w:tab w:val="left" w:pos="1260"/>
              </w:tabs>
              <w:rPr>
                <w:rFonts w:cs="Calibri"/>
                <w:sz w:val="20"/>
                <w:szCs w:val="20"/>
                <w:lang w:val="en-AU"/>
              </w:rPr>
            </w:pPr>
            <w:r w:rsidRPr="00FA288E">
              <w:rPr>
                <w:rFonts w:cs="Calibri"/>
                <w:sz w:val="20"/>
                <w:szCs w:val="20"/>
                <w:lang w:val="en-AU"/>
              </w:rPr>
              <w:t>The Australian Government should request for a special meeting of the PPF NOC to endorse the agreements and direction resulting from the PPF Education Grants Theory of Change workshop.</w:t>
            </w:r>
          </w:p>
        </w:tc>
      </w:tr>
    </w:tbl>
    <w:p w14:paraId="08C21B6B" w14:textId="77777777" w:rsidR="009155D4" w:rsidRPr="00FA288E" w:rsidRDefault="00693E81" w:rsidP="001E27B2">
      <w:pPr>
        <w:spacing w:before="120" w:after="60" w:line="216" w:lineRule="auto"/>
        <w:rPr>
          <w:szCs w:val="21"/>
        </w:rPr>
      </w:pPr>
      <w:r w:rsidRPr="00FA288E">
        <w:rPr>
          <w:rFonts w:cs="Calibri"/>
          <w:b/>
          <w:bCs/>
          <w:szCs w:val="21"/>
        </w:rPr>
        <w:t>Proposed Actions for the Short-Term (exten</w:t>
      </w:r>
      <w:r w:rsidR="00290096" w:rsidRPr="00FA288E">
        <w:rPr>
          <w:rFonts w:cs="Calibri"/>
          <w:b/>
          <w:bCs/>
          <w:szCs w:val="21"/>
        </w:rPr>
        <w:t>sion of</w:t>
      </w:r>
      <w:r w:rsidR="009155D4" w:rsidRPr="00FA288E">
        <w:rPr>
          <w:rFonts w:cs="Calibri"/>
          <w:b/>
          <w:bCs/>
          <w:szCs w:val="21"/>
        </w:rPr>
        <w:t xml:space="preserve"> </w:t>
      </w:r>
      <w:r w:rsidR="00290096" w:rsidRPr="00FA288E">
        <w:rPr>
          <w:rFonts w:cs="Calibri"/>
          <w:b/>
          <w:bCs/>
          <w:szCs w:val="21"/>
        </w:rPr>
        <w:t>grants</w:t>
      </w:r>
      <w:r w:rsidRPr="00FA288E">
        <w:rPr>
          <w:rFonts w:cs="Calibri"/>
          <w:b/>
          <w:bCs/>
          <w:szCs w:val="21"/>
        </w:rPr>
        <w:t xml:space="preserve"> to </w:t>
      </w:r>
      <w:r w:rsidR="00204D93" w:rsidRPr="00FA288E">
        <w:rPr>
          <w:rFonts w:cs="Calibri"/>
          <w:b/>
          <w:bCs/>
          <w:szCs w:val="21"/>
        </w:rPr>
        <w:t xml:space="preserve">end </w:t>
      </w:r>
      <w:r w:rsidR="00233EE3" w:rsidRPr="00FA288E">
        <w:rPr>
          <w:rFonts w:cs="Calibri"/>
          <w:b/>
          <w:bCs/>
          <w:szCs w:val="21"/>
        </w:rPr>
        <w:t>February 2022</w:t>
      </w:r>
      <w:r w:rsidRPr="00FA288E">
        <w:rPr>
          <w:rFonts w:cs="Calibri"/>
          <w:b/>
          <w:bCs/>
          <w:szCs w:val="21"/>
        </w:rPr>
        <w:t>)</w:t>
      </w:r>
      <w:r w:rsidRPr="00FA288E">
        <w:rPr>
          <w:szCs w:val="21"/>
        </w:rPr>
        <w:t xml:space="preserve"> </w:t>
      </w:r>
    </w:p>
    <w:tbl>
      <w:tblPr>
        <w:tblStyle w:val="TableGrid"/>
        <w:tblW w:w="0" w:type="auto"/>
        <w:tblInd w:w="0" w:type="dxa"/>
        <w:shd w:val="clear" w:color="auto" w:fill="F2F2F2" w:themeFill="background1" w:themeFillShade="F2"/>
        <w:tblLook w:val="04A0" w:firstRow="1" w:lastRow="0" w:firstColumn="1" w:lastColumn="0" w:noHBand="0" w:noVBand="1"/>
        <w:tblCaption w:val="Proposed Actions for Short-term (extension of grants to end February 2022)"/>
        <w:tblDescription w:val="Recommendation 4: The Australian Government should engage the PPF Secretariat to develop clear institutional engagement and communication protocols for the PPF Education Grants that meet Australian Government needs and provide for appropriate and timely engagement and communication between the PPF Secretariat and grantees with GoPNG at different levels.&#10;Recommendation 5: The Australian Government should engage the PPF Secretariat to develop appropriate and cost-effective strategies and processes to strengthen data analysis and knowledge acquisition and sharing, particularly for the end line evaluation study.&#10;Recommendation 6: The Australian Government should review and potentially expand and/or adjust the role, functions and level of effort of the PPF Secretariat.&#10;Recommendation 7: The Australian Government should direct the PPF Secretariat and the three grantees to work towards consolidation of the interventions rather than expand to include additional targets during the extension phase.&#10;"/>
      </w:tblPr>
      <w:tblGrid>
        <w:gridCol w:w="1975"/>
        <w:gridCol w:w="7761"/>
      </w:tblGrid>
      <w:tr w:rsidR="009155D4" w:rsidRPr="00FA288E" w14:paraId="3705E608" w14:textId="77777777" w:rsidTr="00EA14BA">
        <w:trPr>
          <w:tblHeader/>
        </w:trPr>
        <w:tc>
          <w:tcPr>
            <w:tcW w:w="1975" w:type="dxa"/>
            <w:shd w:val="clear" w:color="auto" w:fill="262626" w:themeFill="text1" w:themeFillTint="D9"/>
          </w:tcPr>
          <w:p w14:paraId="19A2A068" w14:textId="77777777" w:rsidR="009155D4" w:rsidRPr="00FA288E" w:rsidRDefault="009155D4" w:rsidP="00A00560">
            <w:pPr>
              <w:tabs>
                <w:tab w:val="left" w:pos="1260"/>
              </w:tabs>
              <w:rPr>
                <w:rFonts w:cs="Calibri"/>
                <w:sz w:val="20"/>
                <w:szCs w:val="20"/>
                <w:lang w:val="en-AU"/>
              </w:rPr>
            </w:pPr>
            <w:r w:rsidRPr="00FA288E">
              <w:rPr>
                <w:rFonts w:cs="Calibri"/>
                <w:sz w:val="20"/>
                <w:szCs w:val="20"/>
                <w:lang w:val="en-AU"/>
              </w:rPr>
              <w:t>Recommendation 4:</w:t>
            </w:r>
          </w:p>
        </w:tc>
        <w:tc>
          <w:tcPr>
            <w:tcW w:w="7761" w:type="dxa"/>
            <w:shd w:val="clear" w:color="auto" w:fill="F2F2F2" w:themeFill="background1" w:themeFillShade="F2"/>
          </w:tcPr>
          <w:p w14:paraId="0EF062AB" w14:textId="43E65AD1" w:rsidR="009155D4" w:rsidRPr="00FA288E" w:rsidRDefault="009155D4" w:rsidP="00BD3D38">
            <w:pPr>
              <w:tabs>
                <w:tab w:val="left" w:pos="1260"/>
              </w:tabs>
              <w:rPr>
                <w:rFonts w:cs="Calibri"/>
                <w:sz w:val="20"/>
                <w:szCs w:val="20"/>
                <w:lang w:val="en-AU"/>
              </w:rPr>
            </w:pPr>
            <w:r w:rsidRPr="00FA288E">
              <w:rPr>
                <w:rFonts w:cs="Calibri"/>
                <w:sz w:val="20"/>
                <w:szCs w:val="20"/>
                <w:lang w:val="en-AU"/>
              </w:rPr>
              <w:t xml:space="preserve">The Australian Government should </w:t>
            </w:r>
            <w:r w:rsidR="00BD3D38" w:rsidRPr="00FA288E">
              <w:rPr>
                <w:rFonts w:cs="Calibri"/>
                <w:sz w:val="20"/>
                <w:szCs w:val="20"/>
                <w:lang w:val="en-AU"/>
              </w:rPr>
              <w:t xml:space="preserve">engage </w:t>
            </w:r>
            <w:r w:rsidRPr="00FA288E">
              <w:rPr>
                <w:rFonts w:cs="Calibri"/>
                <w:sz w:val="20"/>
                <w:szCs w:val="20"/>
                <w:lang w:val="en-AU"/>
              </w:rPr>
              <w:t>the PPF Secretariat to develop clear institutional engagement and communication protocols for the PPF Education Grants that meet Australian Government needs and provide for appropriate and timely engagement and communication between the PPF Secretariat and grantees with GoPNG at different levels.</w:t>
            </w:r>
          </w:p>
        </w:tc>
      </w:tr>
      <w:tr w:rsidR="009155D4" w:rsidRPr="00FA288E" w14:paraId="3EE9C31C" w14:textId="77777777" w:rsidTr="001A68AB">
        <w:tc>
          <w:tcPr>
            <w:tcW w:w="1975" w:type="dxa"/>
            <w:shd w:val="clear" w:color="auto" w:fill="262626" w:themeFill="text1" w:themeFillTint="D9"/>
          </w:tcPr>
          <w:p w14:paraId="78568550" w14:textId="77777777" w:rsidR="009155D4" w:rsidRPr="00FA288E" w:rsidRDefault="009155D4" w:rsidP="00A00560">
            <w:pPr>
              <w:tabs>
                <w:tab w:val="left" w:pos="1260"/>
              </w:tabs>
              <w:rPr>
                <w:rFonts w:cs="Calibri"/>
                <w:sz w:val="20"/>
                <w:szCs w:val="20"/>
                <w:lang w:val="en-AU"/>
              </w:rPr>
            </w:pPr>
            <w:r w:rsidRPr="00FA288E">
              <w:rPr>
                <w:rFonts w:cs="Calibri"/>
                <w:sz w:val="20"/>
                <w:szCs w:val="20"/>
                <w:lang w:val="en-AU"/>
              </w:rPr>
              <w:t>Recommendation 5:</w:t>
            </w:r>
          </w:p>
        </w:tc>
        <w:tc>
          <w:tcPr>
            <w:tcW w:w="7761" w:type="dxa"/>
            <w:shd w:val="clear" w:color="auto" w:fill="F2F2F2" w:themeFill="background1" w:themeFillShade="F2"/>
          </w:tcPr>
          <w:p w14:paraId="2A45480C" w14:textId="08FC562C" w:rsidR="009155D4" w:rsidRPr="00FA288E" w:rsidRDefault="009155D4" w:rsidP="00BD3D38">
            <w:pPr>
              <w:tabs>
                <w:tab w:val="left" w:pos="1260"/>
              </w:tabs>
              <w:rPr>
                <w:rFonts w:cs="Calibri"/>
                <w:sz w:val="20"/>
                <w:szCs w:val="20"/>
                <w:lang w:val="en-AU"/>
              </w:rPr>
            </w:pPr>
            <w:r w:rsidRPr="00FA288E">
              <w:rPr>
                <w:rFonts w:cs="Calibri"/>
                <w:sz w:val="20"/>
                <w:szCs w:val="20"/>
                <w:lang w:val="en-AU"/>
              </w:rPr>
              <w:t xml:space="preserve">The Australian Government should </w:t>
            </w:r>
            <w:r w:rsidR="00BD3D38" w:rsidRPr="00FA288E">
              <w:rPr>
                <w:rFonts w:cs="Calibri"/>
                <w:sz w:val="20"/>
                <w:szCs w:val="20"/>
                <w:lang w:val="en-AU"/>
              </w:rPr>
              <w:t xml:space="preserve">engage </w:t>
            </w:r>
            <w:r w:rsidRPr="00FA288E">
              <w:rPr>
                <w:rFonts w:cs="Calibri"/>
                <w:sz w:val="20"/>
                <w:szCs w:val="20"/>
                <w:lang w:val="en-AU"/>
              </w:rPr>
              <w:t xml:space="preserve">the PPF Secretariat to develop appropriate and cost-effective strategies and processes to strengthen data analysis and knowledge acquisition and sharing, particularly for the </w:t>
            </w:r>
            <w:r w:rsidR="00CB2B3F" w:rsidRPr="00FA288E">
              <w:rPr>
                <w:rFonts w:cs="Calibri"/>
                <w:sz w:val="20"/>
                <w:szCs w:val="20"/>
                <w:lang w:val="en-AU"/>
              </w:rPr>
              <w:t>end line</w:t>
            </w:r>
            <w:r w:rsidRPr="00FA288E">
              <w:rPr>
                <w:rFonts w:cs="Calibri"/>
                <w:sz w:val="20"/>
                <w:szCs w:val="20"/>
                <w:lang w:val="en-AU"/>
              </w:rPr>
              <w:t xml:space="preserve"> evaluation study.</w:t>
            </w:r>
          </w:p>
        </w:tc>
      </w:tr>
      <w:tr w:rsidR="009155D4" w:rsidRPr="00FA288E" w14:paraId="29C0BC97" w14:textId="77777777" w:rsidTr="001A68AB">
        <w:tc>
          <w:tcPr>
            <w:tcW w:w="1975" w:type="dxa"/>
            <w:tcBorders>
              <w:bottom w:val="single" w:sz="4" w:space="0" w:color="auto"/>
            </w:tcBorders>
            <w:shd w:val="clear" w:color="auto" w:fill="262626" w:themeFill="text1" w:themeFillTint="D9"/>
          </w:tcPr>
          <w:p w14:paraId="28EEDF57" w14:textId="77777777" w:rsidR="009155D4" w:rsidRPr="00FA288E" w:rsidRDefault="009155D4" w:rsidP="00A00560">
            <w:pPr>
              <w:tabs>
                <w:tab w:val="left" w:pos="1260"/>
              </w:tabs>
              <w:rPr>
                <w:rFonts w:cs="Calibri"/>
                <w:sz w:val="20"/>
                <w:szCs w:val="20"/>
                <w:lang w:val="en-AU"/>
              </w:rPr>
            </w:pPr>
            <w:r w:rsidRPr="00FA288E">
              <w:rPr>
                <w:rFonts w:cs="Calibri"/>
                <w:sz w:val="20"/>
                <w:szCs w:val="20"/>
                <w:lang w:val="en-AU"/>
              </w:rPr>
              <w:t>Recommendation 6:</w:t>
            </w:r>
          </w:p>
        </w:tc>
        <w:tc>
          <w:tcPr>
            <w:tcW w:w="7761" w:type="dxa"/>
            <w:tcBorders>
              <w:bottom w:val="single" w:sz="4" w:space="0" w:color="auto"/>
            </w:tcBorders>
            <w:shd w:val="clear" w:color="auto" w:fill="F2F2F2" w:themeFill="background1" w:themeFillShade="F2"/>
          </w:tcPr>
          <w:p w14:paraId="6EFAE219" w14:textId="77777777" w:rsidR="009155D4" w:rsidRPr="00FA288E" w:rsidRDefault="009155D4" w:rsidP="00A00560">
            <w:pPr>
              <w:tabs>
                <w:tab w:val="left" w:pos="1260"/>
              </w:tabs>
              <w:rPr>
                <w:rFonts w:cs="Calibri"/>
                <w:sz w:val="20"/>
                <w:szCs w:val="20"/>
                <w:lang w:val="en-AU"/>
              </w:rPr>
            </w:pPr>
            <w:r w:rsidRPr="00FA288E">
              <w:rPr>
                <w:rFonts w:cs="Calibri"/>
                <w:sz w:val="20"/>
                <w:szCs w:val="20"/>
                <w:lang w:val="en-AU"/>
              </w:rPr>
              <w:t>The Australian Government should review and potentially expand and/or adjust the role, functions and level of effort of the PPF Secretariat.</w:t>
            </w:r>
          </w:p>
        </w:tc>
      </w:tr>
      <w:tr w:rsidR="009155D4" w:rsidRPr="00FA288E" w14:paraId="64B1845D" w14:textId="77777777" w:rsidTr="001A68AB">
        <w:tc>
          <w:tcPr>
            <w:tcW w:w="1975" w:type="dxa"/>
            <w:tcBorders>
              <w:bottom w:val="single" w:sz="4" w:space="0" w:color="auto"/>
            </w:tcBorders>
            <w:shd w:val="clear" w:color="auto" w:fill="262626" w:themeFill="text1" w:themeFillTint="D9"/>
          </w:tcPr>
          <w:p w14:paraId="620FA8B9" w14:textId="77777777" w:rsidR="009155D4" w:rsidRPr="00FA288E" w:rsidRDefault="009155D4" w:rsidP="00A00560">
            <w:pPr>
              <w:tabs>
                <w:tab w:val="left" w:pos="1260"/>
              </w:tabs>
              <w:rPr>
                <w:rFonts w:cs="Calibri"/>
                <w:sz w:val="20"/>
                <w:szCs w:val="20"/>
                <w:lang w:val="en-AU"/>
              </w:rPr>
            </w:pPr>
            <w:r w:rsidRPr="00FA288E">
              <w:rPr>
                <w:rFonts w:cs="Calibri"/>
                <w:sz w:val="20"/>
                <w:szCs w:val="20"/>
                <w:lang w:val="en-AU"/>
              </w:rPr>
              <w:t>Recommendation 7:</w:t>
            </w:r>
          </w:p>
        </w:tc>
        <w:tc>
          <w:tcPr>
            <w:tcW w:w="7761" w:type="dxa"/>
            <w:tcBorders>
              <w:bottom w:val="single" w:sz="4" w:space="0" w:color="auto"/>
            </w:tcBorders>
            <w:shd w:val="clear" w:color="auto" w:fill="F2F2F2" w:themeFill="background1" w:themeFillShade="F2"/>
          </w:tcPr>
          <w:p w14:paraId="0DC8A012" w14:textId="77777777" w:rsidR="009155D4" w:rsidRPr="00FA288E" w:rsidRDefault="009155D4" w:rsidP="00A00560">
            <w:pPr>
              <w:tabs>
                <w:tab w:val="left" w:pos="1260"/>
              </w:tabs>
              <w:rPr>
                <w:rFonts w:cs="Calibri"/>
                <w:sz w:val="20"/>
                <w:szCs w:val="20"/>
                <w:lang w:val="en-AU"/>
              </w:rPr>
            </w:pPr>
            <w:r w:rsidRPr="00FA288E">
              <w:rPr>
                <w:rFonts w:cs="Calibri"/>
                <w:sz w:val="20"/>
                <w:szCs w:val="20"/>
                <w:lang w:val="en-AU"/>
              </w:rPr>
              <w:t xml:space="preserve">The Australian Government should direct the PPF Secretariat and the three grantees to work towards consolidation of the interventions rather than expand to </w:t>
            </w:r>
            <w:r w:rsidR="000C2811" w:rsidRPr="00FA288E">
              <w:rPr>
                <w:rFonts w:cs="Calibri"/>
                <w:sz w:val="20"/>
                <w:szCs w:val="20"/>
                <w:lang w:val="en-AU"/>
              </w:rPr>
              <w:t>include additional</w:t>
            </w:r>
            <w:r w:rsidRPr="00FA288E">
              <w:rPr>
                <w:rFonts w:cs="Calibri"/>
                <w:sz w:val="20"/>
                <w:szCs w:val="20"/>
                <w:lang w:val="en-AU"/>
              </w:rPr>
              <w:t xml:space="preserve"> targets </w:t>
            </w:r>
            <w:r w:rsidR="000C2811" w:rsidRPr="00FA288E">
              <w:rPr>
                <w:rFonts w:cs="Calibri"/>
                <w:sz w:val="20"/>
                <w:szCs w:val="20"/>
                <w:lang w:val="en-AU"/>
              </w:rPr>
              <w:t>during</w:t>
            </w:r>
            <w:r w:rsidRPr="00FA288E">
              <w:rPr>
                <w:rFonts w:cs="Calibri"/>
                <w:sz w:val="20"/>
                <w:szCs w:val="20"/>
                <w:lang w:val="en-AU"/>
              </w:rPr>
              <w:t xml:space="preserve"> the extension phase.</w:t>
            </w:r>
          </w:p>
        </w:tc>
      </w:tr>
    </w:tbl>
    <w:p w14:paraId="5385798F" w14:textId="21317E64" w:rsidR="00AE259C" w:rsidRPr="00AE259C" w:rsidRDefault="00AE259C" w:rsidP="00457E86">
      <w:pPr>
        <w:spacing w:before="120" w:after="60" w:line="216" w:lineRule="auto"/>
        <w:rPr>
          <w:b/>
        </w:rPr>
      </w:pPr>
      <w:r w:rsidRPr="00AE259C">
        <w:rPr>
          <w:b/>
        </w:rPr>
        <w:t>Considerations for the Longer-Term (future investments in early grades education)</w:t>
      </w:r>
    </w:p>
    <w:tbl>
      <w:tblPr>
        <w:tblStyle w:val="TableGrid"/>
        <w:tblW w:w="0" w:type="auto"/>
        <w:tblInd w:w="0" w:type="dxa"/>
        <w:shd w:val="clear" w:color="auto" w:fill="F2F2F2" w:themeFill="background1" w:themeFillShade="F2"/>
        <w:tblLook w:val="04A0" w:firstRow="1" w:lastRow="0" w:firstColumn="1" w:lastColumn="0" w:noHBand="0" w:noVBand="1"/>
        <w:tblCaption w:val="Considerations for the Longer-term (future investments in early grades education)"/>
        <w:tblDescription w:val="Recommendation 8: The Australian Government should continue support to improving the quality of basic education, specifically early grades literacy and numeracy, in PNG for the medium to long-term and communicate this intention to the GoPNG.&#10;Recommendation 9: The Australian Government should require the design of future investments in education to deliver technical assistance and delivery support through government institutions, which could be facilitated through a managing contractor.&#10;Recommendation 10: The Australian Government should conduct a ‘value-for-money’ assessment of project interventions and use this information to inform future investments in early grades literacy and numeracy focus in four areas: i) teacher development; ii) teacher supervision, coaching and support; iii) development/provision of low-cost quality supplementary learning resources; and, iv) whole school development.&#10;Recommendation 11: The Australian Government should incorporate an ‘NGO education grant consortia’ modality in future investments in early grade literacy and numeracy and consider engaging a single managing contractor. The managing contractor will be expected to facilitate the delivery of technical assistance and delivery support in a joint decision-making capacity with partner government institutions.&#10;"/>
      </w:tblPr>
      <w:tblGrid>
        <w:gridCol w:w="1975"/>
        <w:gridCol w:w="7761"/>
      </w:tblGrid>
      <w:tr w:rsidR="009155D4" w:rsidRPr="00FA288E" w14:paraId="52DBD1D8" w14:textId="77777777" w:rsidTr="00AB27DB">
        <w:trPr>
          <w:tblHeader/>
        </w:trPr>
        <w:tc>
          <w:tcPr>
            <w:tcW w:w="1975" w:type="dxa"/>
            <w:shd w:val="clear" w:color="auto" w:fill="262626" w:themeFill="text1" w:themeFillTint="D9"/>
          </w:tcPr>
          <w:p w14:paraId="0C16A06C" w14:textId="77777777" w:rsidR="009155D4" w:rsidRPr="00FA288E" w:rsidRDefault="009155D4" w:rsidP="00A00560">
            <w:pPr>
              <w:tabs>
                <w:tab w:val="left" w:pos="1260"/>
              </w:tabs>
              <w:rPr>
                <w:rFonts w:cs="Calibri"/>
                <w:sz w:val="20"/>
                <w:szCs w:val="20"/>
                <w:lang w:val="en-AU"/>
              </w:rPr>
            </w:pPr>
            <w:r w:rsidRPr="00FA288E">
              <w:rPr>
                <w:rFonts w:cs="Calibri"/>
                <w:sz w:val="20"/>
                <w:szCs w:val="20"/>
                <w:lang w:val="en-AU"/>
              </w:rPr>
              <w:t>Recommendation 8:</w:t>
            </w:r>
          </w:p>
        </w:tc>
        <w:tc>
          <w:tcPr>
            <w:tcW w:w="7761" w:type="dxa"/>
            <w:shd w:val="clear" w:color="auto" w:fill="F2F2F2" w:themeFill="background1" w:themeFillShade="F2"/>
          </w:tcPr>
          <w:p w14:paraId="5B151537" w14:textId="77777777" w:rsidR="009155D4" w:rsidRPr="00FA288E" w:rsidRDefault="009155D4" w:rsidP="00A00560">
            <w:pPr>
              <w:tabs>
                <w:tab w:val="left" w:pos="1260"/>
              </w:tabs>
              <w:rPr>
                <w:rFonts w:cs="Calibri"/>
                <w:sz w:val="20"/>
                <w:szCs w:val="20"/>
                <w:lang w:val="en-AU"/>
              </w:rPr>
            </w:pPr>
            <w:r w:rsidRPr="00FA288E">
              <w:rPr>
                <w:rFonts w:cs="Calibri"/>
                <w:sz w:val="20"/>
                <w:szCs w:val="20"/>
                <w:lang w:val="en-AU"/>
              </w:rPr>
              <w:t>The Australian Government should continue support to improving the quality of basic education, specifically early grades literacy and numeracy, in PNG for the medium to long-term and communicate this intention to the GoPNG.</w:t>
            </w:r>
          </w:p>
        </w:tc>
      </w:tr>
      <w:tr w:rsidR="009155D4" w:rsidRPr="00FA288E" w14:paraId="17828B6E" w14:textId="77777777" w:rsidTr="00AE259C">
        <w:tc>
          <w:tcPr>
            <w:tcW w:w="1975" w:type="dxa"/>
            <w:shd w:val="clear" w:color="auto" w:fill="262626" w:themeFill="text1" w:themeFillTint="D9"/>
          </w:tcPr>
          <w:p w14:paraId="560E36C4" w14:textId="77777777" w:rsidR="009155D4" w:rsidRPr="00FA288E" w:rsidRDefault="009155D4" w:rsidP="00A00560">
            <w:pPr>
              <w:tabs>
                <w:tab w:val="left" w:pos="1260"/>
              </w:tabs>
              <w:rPr>
                <w:rFonts w:cs="Calibri"/>
                <w:sz w:val="20"/>
                <w:szCs w:val="20"/>
                <w:lang w:val="en-AU"/>
              </w:rPr>
            </w:pPr>
            <w:r w:rsidRPr="00FA288E">
              <w:rPr>
                <w:rFonts w:cs="Calibri"/>
                <w:sz w:val="20"/>
                <w:szCs w:val="20"/>
                <w:lang w:val="en-AU"/>
              </w:rPr>
              <w:t>Recommendation 9:</w:t>
            </w:r>
          </w:p>
        </w:tc>
        <w:tc>
          <w:tcPr>
            <w:tcW w:w="7761" w:type="dxa"/>
            <w:shd w:val="clear" w:color="auto" w:fill="F2F2F2" w:themeFill="background1" w:themeFillShade="F2"/>
          </w:tcPr>
          <w:p w14:paraId="7A57DB3C" w14:textId="77777777" w:rsidR="009155D4" w:rsidRPr="00FA288E" w:rsidRDefault="009155D4" w:rsidP="00A00560">
            <w:pPr>
              <w:tabs>
                <w:tab w:val="left" w:pos="1260"/>
              </w:tabs>
              <w:rPr>
                <w:rFonts w:cs="Calibri"/>
                <w:sz w:val="20"/>
                <w:szCs w:val="20"/>
                <w:lang w:val="en-AU"/>
              </w:rPr>
            </w:pPr>
            <w:r w:rsidRPr="00FA288E">
              <w:rPr>
                <w:rFonts w:cs="Calibri"/>
                <w:sz w:val="20"/>
                <w:szCs w:val="20"/>
                <w:lang w:val="en-AU"/>
              </w:rPr>
              <w:t>The Australian Government should require the design of future investments in education to deliver technical assistance and delivery support through government institutions</w:t>
            </w:r>
            <w:r w:rsidR="00077231" w:rsidRPr="00FA288E">
              <w:rPr>
                <w:rFonts w:cs="Calibri"/>
                <w:sz w:val="20"/>
                <w:szCs w:val="20"/>
                <w:lang w:val="en-AU"/>
              </w:rPr>
              <w:t xml:space="preserve">, which </w:t>
            </w:r>
            <w:r w:rsidR="00CB58F5" w:rsidRPr="00FA288E">
              <w:rPr>
                <w:rFonts w:cs="Calibri"/>
                <w:sz w:val="20"/>
                <w:szCs w:val="20"/>
                <w:lang w:val="en-AU"/>
              </w:rPr>
              <w:t>could</w:t>
            </w:r>
            <w:r w:rsidR="00077231" w:rsidRPr="00FA288E">
              <w:rPr>
                <w:rFonts w:cs="Calibri"/>
                <w:sz w:val="20"/>
                <w:szCs w:val="20"/>
                <w:lang w:val="en-AU"/>
              </w:rPr>
              <w:t xml:space="preserve"> be facilitated through a managing contractor</w:t>
            </w:r>
            <w:r w:rsidRPr="00FA288E">
              <w:rPr>
                <w:rFonts w:cs="Calibri"/>
                <w:sz w:val="20"/>
                <w:szCs w:val="20"/>
                <w:lang w:val="en-AU"/>
              </w:rPr>
              <w:t>.</w:t>
            </w:r>
          </w:p>
        </w:tc>
      </w:tr>
      <w:tr w:rsidR="009155D4" w:rsidRPr="00FA288E" w14:paraId="182C3C20" w14:textId="77777777" w:rsidTr="00AE259C">
        <w:tc>
          <w:tcPr>
            <w:tcW w:w="1975" w:type="dxa"/>
            <w:shd w:val="clear" w:color="auto" w:fill="262626" w:themeFill="text1" w:themeFillTint="D9"/>
          </w:tcPr>
          <w:p w14:paraId="062BAD8B" w14:textId="77777777" w:rsidR="009155D4" w:rsidRPr="00FA288E" w:rsidRDefault="009155D4" w:rsidP="00A00560">
            <w:pPr>
              <w:tabs>
                <w:tab w:val="left" w:pos="1260"/>
              </w:tabs>
              <w:rPr>
                <w:rFonts w:cs="Calibri"/>
                <w:sz w:val="20"/>
                <w:szCs w:val="20"/>
                <w:lang w:val="en-AU"/>
              </w:rPr>
            </w:pPr>
            <w:r w:rsidRPr="00FA288E">
              <w:rPr>
                <w:rFonts w:cs="Calibri"/>
                <w:sz w:val="20"/>
                <w:szCs w:val="20"/>
                <w:lang w:val="en-AU"/>
              </w:rPr>
              <w:t>Recommendation 10:</w:t>
            </w:r>
          </w:p>
        </w:tc>
        <w:tc>
          <w:tcPr>
            <w:tcW w:w="7761" w:type="dxa"/>
            <w:shd w:val="clear" w:color="auto" w:fill="F2F2F2" w:themeFill="background1" w:themeFillShade="F2"/>
          </w:tcPr>
          <w:p w14:paraId="54AD51E9" w14:textId="77777777" w:rsidR="009155D4" w:rsidRPr="00FA288E" w:rsidRDefault="009155D4" w:rsidP="00A00560">
            <w:pPr>
              <w:tabs>
                <w:tab w:val="left" w:pos="1260"/>
              </w:tabs>
              <w:rPr>
                <w:rFonts w:cs="Calibri"/>
                <w:sz w:val="20"/>
                <w:szCs w:val="20"/>
                <w:lang w:val="en-AU"/>
              </w:rPr>
            </w:pPr>
            <w:r w:rsidRPr="00FA288E">
              <w:rPr>
                <w:rFonts w:cs="Calibri"/>
                <w:sz w:val="20"/>
                <w:szCs w:val="20"/>
                <w:lang w:val="en-AU"/>
              </w:rPr>
              <w:t xml:space="preserve">The Australian Government should conduct a ‘value-for-money’ assessment of project interventions and use this information to inform future investments in early grades literacy and numeracy focus in four areas: </w:t>
            </w:r>
            <w:proofErr w:type="spellStart"/>
            <w:r w:rsidRPr="00FA288E">
              <w:rPr>
                <w:rFonts w:cs="Calibri"/>
                <w:sz w:val="20"/>
                <w:szCs w:val="20"/>
                <w:lang w:val="en-AU"/>
              </w:rPr>
              <w:t>i</w:t>
            </w:r>
            <w:proofErr w:type="spellEnd"/>
            <w:r w:rsidRPr="00FA288E">
              <w:rPr>
                <w:rFonts w:cs="Calibri"/>
                <w:sz w:val="20"/>
                <w:szCs w:val="20"/>
                <w:lang w:val="en-AU"/>
              </w:rPr>
              <w:t>) teacher development; ii) teacher supervision, coaching and support; iii) development/provision of low-cost quality supplementary learning resources; and, iv) whole school development.</w:t>
            </w:r>
          </w:p>
        </w:tc>
      </w:tr>
      <w:tr w:rsidR="009155D4" w:rsidRPr="00FA288E" w14:paraId="433B8FE4" w14:textId="77777777" w:rsidTr="00AE259C">
        <w:tc>
          <w:tcPr>
            <w:tcW w:w="1975" w:type="dxa"/>
            <w:shd w:val="clear" w:color="auto" w:fill="262626" w:themeFill="text1" w:themeFillTint="D9"/>
          </w:tcPr>
          <w:p w14:paraId="740B615A" w14:textId="77777777" w:rsidR="009155D4" w:rsidRPr="00FA288E" w:rsidRDefault="009155D4" w:rsidP="00A00560">
            <w:pPr>
              <w:tabs>
                <w:tab w:val="left" w:pos="1260"/>
              </w:tabs>
              <w:rPr>
                <w:rFonts w:cs="Calibri"/>
                <w:sz w:val="20"/>
                <w:szCs w:val="20"/>
                <w:lang w:val="en-AU"/>
              </w:rPr>
            </w:pPr>
            <w:r w:rsidRPr="00FA288E">
              <w:rPr>
                <w:rFonts w:cs="Calibri"/>
                <w:sz w:val="20"/>
                <w:szCs w:val="20"/>
                <w:lang w:val="en-AU"/>
              </w:rPr>
              <w:t>Recommendation 11:</w:t>
            </w:r>
          </w:p>
        </w:tc>
        <w:tc>
          <w:tcPr>
            <w:tcW w:w="7761" w:type="dxa"/>
            <w:shd w:val="clear" w:color="auto" w:fill="F2F2F2" w:themeFill="background1" w:themeFillShade="F2"/>
          </w:tcPr>
          <w:p w14:paraId="73A2AFB4" w14:textId="36EE19EB" w:rsidR="009155D4" w:rsidRPr="00FA288E" w:rsidRDefault="009155D4" w:rsidP="00A00560">
            <w:pPr>
              <w:tabs>
                <w:tab w:val="left" w:pos="1260"/>
              </w:tabs>
              <w:rPr>
                <w:rFonts w:cs="Calibri"/>
                <w:sz w:val="20"/>
                <w:szCs w:val="20"/>
                <w:lang w:val="en-AU"/>
              </w:rPr>
            </w:pPr>
            <w:r w:rsidRPr="00FA288E">
              <w:rPr>
                <w:rFonts w:cs="Calibri"/>
                <w:sz w:val="20"/>
                <w:szCs w:val="20"/>
                <w:lang w:val="en-AU"/>
              </w:rPr>
              <w:t xml:space="preserve">The Australian Government should incorporate an ‘NGO education grant consortia’ modality in future investments in early grade literacy and numeracy </w:t>
            </w:r>
            <w:r w:rsidR="00A512DF" w:rsidRPr="00FA288E">
              <w:rPr>
                <w:rFonts w:cs="Calibri"/>
                <w:sz w:val="20"/>
                <w:szCs w:val="20"/>
                <w:lang w:val="en-AU"/>
              </w:rPr>
              <w:t>and consider engaging</w:t>
            </w:r>
            <w:r w:rsidRPr="00FA288E">
              <w:rPr>
                <w:rFonts w:cs="Calibri"/>
                <w:sz w:val="20"/>
                <w:szCs w:val="20"/>
                <w:lang w:val="en-AU"/>
              </w:rPr>
              <w:t xml:space="preserve"> a</w:t>
            </w:r>
            <w:r w:rsidR="00A512DF" w:rsidRPr="00FA288E">
              <w:rPr>
                <w:rFonts w:cs="Calibri"/>
                <w:sz w:val="20"/>
                <w:szCs w:val="20"/>
                <w:lang w:val="en-AU"/>
              </w:rPr>
              <w:t xml:space="preserve"> single</w:t>
            </w:r>
            <w:r w:rsidRPr="00FA288E">
              <w:rPr>
                <w:rFonts w:cs="Calibri"/>
                <w:sz w:val="20"/>
                <w:szCs w:val="20"/>
                <w:lang w:val="en-AU"/>
              </w:rPr>
              <w:t xml:space="preserve"> managing contractor.</w:t>
            </w:r>
            <w:r w:rsidR="00077231" w:rsidRPr="00FA288E">
              <w:rPr>
                <w:rFonts w:cs="Calibri"/>
                <w:sz w:val="20"/>
                <w:szCs w:val="20"/>
                <w:lang w:val="en-AU"/>
              </w:rPr>
              <w:t xml:space="preserve"> The managing contractor will</w:t>
            </w:r>
            <w:r w:rsidR="00725D9F" w:rsidRPr="00FA288E">
              <w:rPr>
                <w:rFonts w:cs="Calibri"/>
                <w:sz w:val="20"/>
                <w:szCs w:val="20"/>
                <w:lang w:val="en-AU"/>
              </w:rPr>
              <w:t xml:space="preserve"> be expected to</w:t>
            </w:r>
            <w:r w:rsidR="00077231" w:rsidRPr="00FA288E">
              <w:rPr>
                <w:rFonts w:cs="Calibri"/>
                <w:sz w:val="20"/>
                <w:szCs w:val="20"/>
                <w:lang w:val="en-AU"/>
              </w:rPr>
              <w:t xml:space="preserve"> facilitate the delivery of technical assistance and delivery support </w:t>
            </w:r>
            <w:r w:rsidR="003664DF" w:rsidRPr="00FA288E">
              <w:rPr>
                <w:sz w:val="20"/>
                <w:szCs w:val="20"/>
              </w:rPr>
              <w:t xml:space="preserve">in a joint decision-making capacity with </w:t>
            </w:r>
            <w:r w:rsidR="00FA288E" w:rsidRPr="00FA288E">
              <w:rPr>
                <w:sz w:val="20"/>
                <w:szCs w:val="20"/>
              </w:rPr>
              <w:t xml:space="preserve">partner </w:t>
            </w:r>
            <w:r w:rsidR="00FA288E" w:rsidRPr="00FA288E">
              <w:rPr>
                <w:rFonts w:cs="Calibri"/>
                <w:sz w:val="20"/>
                <w:szCs w:val="20"/>
                <w:lang w:val="en-AU"/>
              </w:rPr>
              <w:t>government</w:t>
            </w:r>
            <w:r w:rsidR="00077231" w:rsidRPr="00FA288E">
              <w:rPr>
                <w:rFonts w:cs="Calibri"/>
                <w:sz w:val="20"/>
                <w:szCs w:val="20"/>
                <w:lang w:val="en-AU"/>
              </w:rPr>
              <w:t xml:space="preserve"> institutions.</w:t>
            </w:r>
          </w:p>
        </w:tc>
      </w:tr>
    </w:tbl>
    <w:p w14:paraId="5F0BEF46" w14:textId="77777777" w:rsidR="009155D4" w:rsidRPr="00FA288E" w:rsidRDefault="009155D4" w:rsidP="00A00560">
      <w:pPr>
        <w:pStyle w:val="Bullets"/>
        <w:numPr>
          <w:ilvl w:val="0"/>
          <w:numId w:val="0"/>
        </w:numPr>
        <w:spacing w:after="0" w:line="24" w:lineRule="auto"/>
        <w:jc w:val="both"/>
        <w:rPr>
          <w:rFonts w:ascii="Calibri" w:hAnsi="Calibri" w:cs="Calibri"/>
          <w:sz w:val="21"/>
          <w:szCs w:val="21"/>
        </w:rPr>
      </w:pPr>
    </w:p>
    <w:p w14:paraId="67E73B46" w14:textId="77777777" w:rsidR="009155D4" w:rsidRPr="00FA288E" w:rsidRDefault="009155D4" w:rsidP="00A00560">
      <w:pPr>
        <w:tabs>
          <w:tab w:val="left" w:pos="3709"/>
        </w:tabs>
        <w:spacing w:after="0" w:line="24" w:lineRule="auto"/>
        <w:rPr>
          <w:rFonts w:cs="Calibri"/>
          <w:szCs w:val="21"/>
        </w:rPr>
        <w:sectPr w:rsidR="009155D4" w:rsidRPr="00FA288E" w:rsidSect="00087333">
          <w:pgSz w:w="11906" w:h="16838"/>
          <w:pgMar w:top="1440" w:right="1008" w:bottom="1008" w:left="1152" w:header="720" w:footer="720" w:gutter="0"/>
          <w:pgNumType w:fmt="lowerRoman" w:chapSep="colon"/>
          <w:cols w:space="720"/>
          <w:docGrid w:linePitch="360"/>
        </w:sectPr>
      </w:pPr>
    </w:p>
    <w:p w14:paraId="2CD9ED62" w14:textId="77777777" w:rsidR="00156A60" w:rsidRPr="00FA288E" w:rsidRDefault="00B47574" w:rsidP="00881A2E">
      <w:pPr>
        <w:pStyle w:val="Heading2"/>
        <w:numPr>
          <w:ilvl w:val="0"/>
          <w:numId w:val="9"/>
        </w:numPr>
        <w:spacing w:before="0" w:after="80" w:line="240" w:lineRule="auto"/>
        <w:ind w:left="360"/>
        <w:rPr>
          <w:b w:val="0"/>
          <w:bCs w:val="0"/>
          <w:sz w:val="32"/>
          <w:szCs w:val="32"/>
        </w:rPr>
      </w:pPr>
      <w:bookmarkStart w:id="11" w:name="_Background_and_Context"/>
      <w:bookmarkStart w:id="12" w:name="_Toc31625578"/>
      <w:bookmarkStart w:id="13" w:name="_Toc42075959"/>
      <w:bookmarkEnd w:id="11"/>
      <w:r w:rsidRPr="00FA288E">
        <w:rPr>
          <w:b w:val="0"/>
          <w:bCs w:val="0"/>
          <w:sz w:val="32"/>
          <w:szCs w:val="32"/>
        </w:rPr>
        <w:lastRenderedPageBreak/>
        <w:t>Background and Context</w:t>
      </w:r>
      <w:bookmarkEnd w:id="12"/>
      <w:bookmarkEnd w:id="13"/>
    </w:p>
    <w:p w14:paraId="3F74933B" w14:textId="77777777" w:rsidR="00DA5591" w:rsidRPr="00FA288E" w:rsidRDefault="00DA5591" w:rsidP="00466656">
      <w:pPr>
        <w:pStyle w:val="Heading1"/>
        <w:spacing w:before="0" w:after="80" w:line="240" w:lineRule="auto"/>
        <w:ind w:left="540" w:hanging="522"/>
      </w:pPr>
      <w:bookmarkStart w:id="14" w:name="_Toc31625579"/>
      <w:bookmarkStart w:id="15" w:name="_Toc42075960"/>
      <w:r w:rsidRPr="00FA288E">
        <w:t xml:space="preserve">The </w:t>
      </w:r>
      <w:r w:rsidR="006033E1" w:rsidRPr="00FA288E">
        <w:t xml:space="preserve">Mid-Term Review </w:t>
      </w:r>
      <w:r w:rsidRPr="00FA288E">
        <w:t>Assignment</w:t>
      </w:r>
      <w:bookmarkEnd w:id="14"/>
      <w:bookmarkEnd w:id="15"/>
    </w:p>
    <w:p w14:paraId="764114F9" w14:textId="7872F693" w:rsidR="00156A60" w:rsidRPr="00FA288E" w:rsidRDefault="006033E1" w:rsidP="006A4429">
      <w:pPr>
        <w:pStyle w:val="BodyText"/>
        <w:spacing w:after="80" w:line="240" w:lineRule="auto"/>
        <w:rPr>
          <w:rFonts w:ascii="Calibri" w:hAnsi="Calibri" w:cs="Calibri"/>
          <w:sz w:val="21"/>
          <w:szCs w:val="21"/>
        </w:rPr>
      </w:pPr>
      <w:r w:rsidRPr="00FA288E">
        <w:rPr>
          <w:rFonts w:ascii="Calibri" w:hAnsi="Calibri" w:cs="Calibri"/>
          <w:sz w:val="21"/>
          <w:szCs w:val="21"/>
        </w:rPr>
        <w:t>The Australian Government co</w:t>
      </w:r>
      <w:r w:rsidR="00E06FB0">
        <w:rPr>
          <w:rFonts w:ascii="Calibri" w:hAnsi="Calibri" w:cs="Calibri"/>
          <w:sz w:val="21"/>
          <w:szCs w:val="21"/>
        </w:rPr>
        <w:t>mmissioned</w:t>
      </w:r>
      <w:r w:rsidRPr="00FA288E">
        <w:rPr>
          <w:rFonts w:ascii="Calibri" w:hAnsi="Calibri" w:cs="Calibri"/>
          <w:sz w:val="21"/>
          <w:szCs w:val="21"/>
        </w:rPr>
        <w:t xml:space="preserve"> the Human Development Monitoring and Evaluation Services (HDMES) to conduct an i</w:t>
      </w:r>
      <w:r w:rsidR="00156A60" w:rsidRPr="00FA288E">
        <w:rPr>
          <w:rFonts w:ascii="Calibri" w:hAnsi="Calibri" w:cs="Calibri"/>
          <w:sz w:val="21"/>
          <w:szCs w:val="21"/>
        </w:rPr>
        <w:t>ndependent mid-term review of the Papua New Guinea Partnership Fund (PPF) Education Grants</w:t>
      </w:r>
      <w:r w:rsidRPr="00FA288E">
        <w:rPr>
          <w:rFonts w:ascii="Calibri" w:hAnsi="Calibri" w:cs="Calibri"/>
          <w:sz w:val="21"/>
          <w:szCs w:val="21"/>
        </w:rPr>
        <w:t>. The review</w:t>
      </w:r>
      <w:r w:rsidR="00156A60" w:rsidRPr="00FA288E">
        <w:rPr>
          <w:rFonts w:ascii="Calibri" w:hAnsi="Calibri" w:cs="Calibri"/>
          <w:sz w:val="21"/>
          <w:szCs w:val="21"/>
        </w:rPr>
        <w:t xml:space="preserve"> was conducted between October 2019 and December 2019 with an in-country field mission from 5 to 26 November 2019. The </w:t>
      </w:r>
      <w:r w:rsidR="00BD3D38" w:rsidRPr="00FA288E">
        <w:rPr>
          <w:rFonts w:ascii="Calibri" w:hAnsi="Calibri" w:cs="Calibri"/>
          <w:sz w:val="21"/>
          <w:szCs w:val="21"/>
        </w:rPr>
        <w:t xml:space="preserve">review </w:t>
      </w:r>
      <w:r w:rsidR="00993B0A" w:rsidRPr="00FA288E">
        <w:rPr>
          <w:rFonts w:ascii="Calibri" w:hAnsi="Calibri" w:cs="Calibri"/>
          <w:sz w:val="21"/>
          <w:szCs w:val="21"/>
        </w:rPr>
        <w:t xml:space="preserve">objective </w:t>
      </w:r>
      <w:r w:rsidR="00757932" w:rsidRPr="00FA288E">
        <w:rPr>
          <w:rFonts w:ascii="Calibri" w:hAnsi="Calibri" w:cs="Calibri"/>
          <w:sz w:val="21"/>
          <w:szCs w:val="21"/>
        </w:rPr>
        <w:t>wa</w:t>
      </w:r>
      <w:r w:rsidR="00993B0A" w:rsidRPr="00FA288E">
        <w:rPr>
          <w:rFonts w:ascii="Calibri" w:hAnsi="Calibri" w:cs="Calibri"/>
          <w:sz w:val="21"/>
          <w:szCs w:val="21"/>
        </w:rPr>
        <w:t>s</w:t>
      </w:r>
      <w:r w:rsidR="00156A60" w:rsidRPr="00FA288E">
        <w:rPr>
          <w:rFonts w:ascii="Calibri" w:hAnsi="Calibri" w:cs="Calibri"/>
          <w:sz w:val="21"/>
          <w:szCs w:val="21"/>
        </w:rPr>
        <w:t xml:space="preserve"> </w:t>
      </w:r>
      <w:r w:rsidR="0074257D" w:rsidRPr="00FA288E">
        <w:rPr>
          <w:rFonts w:ascii="Calibri" w:hAnsi="Calibri" w:cs="Calibri"/>
          <w:sz w:val="21"/>
          <w:szCs w:val="21"/>
        </w:rPr>
        <w:t>to assess the effectiveness and efficiency of three education grants</w:t>
      </w:r>
      <w:r w:rsidRPr="00FA288E">
        <w:rPr>
          <w:rFonts w:ascii="Calibri" w:hAnsi="Calibri" w:cs="Calibri"/>
          <w:sz w:val="21"/>
          <w:szCs w:val="21"/>
        </w:rPr>
        <w:t xml:space="preserve"> in order to</w:t>
      </w:r>
      <w:r w:rsidR="00156A60" w:rsidRPr="00FA288E">
        <w:rPr>
          <w:rFonts w:ascii="Calibri" w:hAnsi="Calibri" w:cs="Calibri"/>
          <w:sz w:val="21"/>
          <w:szCs w:val="21"/>
        </w:rPr>
        <w:t xml:space="preserve">: </w:t>
      </w:r>
    </w:p>
    <w:p w14:paraId="39CE8CCB" w14:textId="77777777" w:rsidR="00156A60" w:rsidRPr="00FA288E" w:rsidRDefault="003B2009" w:rsidP="006A4429">
      <w:pPr>
        <w:pStyle w:val="CommentText"/>
        <w:numPr>
          <w:ilvl w:val="0"/>
          <w:numId w:val="4"/>
        </w:numPr>
        <w:spacing w:after="0" w:line="240" w:lineRule="auto"/>
        <w:jc w:val="both"/>
        <w:rPr>
          <w:rFonts w:ascii="Calibri" w:hAnsi="Calibri" w:cs="Calibri"/>
          <w:sz w:val="21"/>
          <w:szCs w:val="21"/>
        </w:rPr>
      </w:pPr>
      <w:r w:rsidRPr="00FA288E">
        <w:rPr>
          <w:rFonts w:ascii="Calibri" w:hAnsi="Calibri" w:cs="Calibri"/>
          <w:sz w:val="21"/>
          <w:szCs w:val="21"/>
        </w:rPr>
        <w:t>I</w:t>
      </w:r>
      <w:r w:rsidR="0074257D" w:rsidRPr="00FA288E">
        <w:rPr>
          <w:rFonts w:ascii="Calibri" w:hAnsi="Calibri" w:cs="Calibri"/>
          <w:sz w:val="21"/>
          <w:szCs w:val="21"/>
        </w:rPr>
        <w:t>dentify</w:t>
      </w:r>
      <w:r w:rsidR="006033E1" w:rsidRPr="00FA288E">
        <w:rPr>
          <w:rFonts w:ascii="Calibri" w:hAnsi="Calibri" w:cs="Calibri"/>
          <w:sz w:val="21"/>
          <w:szCs w:val="21"/>
        </w:rPr>
        <w:t xml:space="preserve"> and recommend</w:t>
      </w:r>
      <w:r w:rsidR="00156A60" w:rsidRPr="00FA288E">
        <w:rPr>
          <w:rFonts w:ascii="Calibri" w:hAnsi="Calibri" w:cs="Calibri"/>
          <w:sz w:val="21"/>
          <w:szCs w:val="21"/>
        </w:rPr>
        <w:t xml:space="preserve"> actions to improve the grants for the</w:t>
      </w:r>
      <w:r w:rsidR="00DB6600" w:rsidRPr="00FA288E">
        <w:rPr>
          <w:rFonts w:ascii="Calibri" w:hAnsi="Calibri" w:cs="Calibri"/>
          <w:sz w:val="21"/>
          <w:szCs w:val="21"/>
        </w:rPr>
        <w:t xml:space="preserve"> proposed</w:t>
      </w:r>
      <w:r w:rsidR="00156A60" w:rsidRPr="00FA288E">
        <w:rPr>
          <w:rFonts w:ascii="Calibri" w:hAnsi="Calibri" w:cs="Calibri"/>
          <w:sz w:val="21"/>
          <w:szCs w:val="21"/>
        </w:rPr>
        <w:t xml:space="preserve"> two-year extension (</w:t>
      </w:r>
      <w:r w:rsidR="00BD3D38" w:rsidRPr="00FA288E">
        <w:rPr>
          <w:rFonts w:ascii="Calibri" w:hAnsi="Calibri" w:cs="Calibri"/>
          <w:sz w:val="21"/>
          <w:szCs w:val="21"/>
        </w:rPr>
        <w:t xml:space="preserve">June 2020 </w:t>
      </w:r>
      <w:r w:rsidR="00DB6600" w:rsidRPr="00FA288E">
        <w:rPr>
          <w:rFonts w:ascii="Calibri" w:hAnsi="Calibri" w:cs="Calibri"/>
          <w:sz w:val="21"/>
          <w:szCs w:val="21"/>
        </w:rPr>
        <w:t xml:space="preserve">to February 2022); </w:t>
      </w:r>
      <w:r w:rsidR="00843ADB" w:rsidRPr="00FA288E">
        <w:rPr>
          <w:rFonts w:ascii="Calibri" w:hAnsi="Calibri" w:cs="Calibri"/>
          <w:sz w:val="21"/>
          <w:szCs w:val="21"/>
        </w:rPr>
        <w:t>and</w:t>
      </w:r>
    </w:p>
    <w:p w14:paraId="43FC16CC" w14:textId="77777777" w:rsidR="00156A60" w:rsidRPr="00FA288E" w:rsidRDefault="003B2009" w:rsidP="006A4429">
      <w:pPr>
        <w:pStyle w:val="CommentText"/>
        <w:numPr>
          <w:ilvl w:val="0"/>
          <w:numId w:val="4"/>
        </w:numPr>
        <w:spacing w:after="80" w:line="240" w:lineRule="auto"/>
        <w:jc w:val="both"/>
        <w:rPr>
          <w:rFonts w:ascii="Calibri" w:hAnsi="Calibri" w:cs="Calibri"/>
          <w:sz w:val="21"/>
          <w:szCs w:val="21"/>
        </w:rPr>
      </w:pPr>
      <w:r w:rsidRPr="00FA288E">
        <w:rPr>
          <w:rFonts w:ascii="Calibri" w:hAnsi="Calibri" w:cs="Calibri"/>
          <w:sz w:val="21"/>
          <w:szCs w:val="21"/>
        </w:rPr>
        <w:t>I</w:t>
      </w:r>
      <w:r w:rsidR="00156A60" w:rsidRPr="00FA288E">
        <w:rPr>
          <w:rFonts w:ascii="Calibri" w:hAnsi="Calibri" w:cs="Calibri"/>
          <w:sz w:val="21"/>
          <w:szCs w:val="21"/>
        </w:rPr>
        <w:t>nform the design of a future investment in education in Papua New Guinea, including recommendations on approaches to improv</w:t>
      </w:r>
      <w:r w:rsidR="006033E1" w:rsidRPr="00FA288E">
        <w:rPr>
          <w:rFonts w:ascii="Calibri" w:hAnsi="Calibri" w:cs="Calibri"/>
          <w:sz w:val="21"/>
          <w:szCs w:val="21"/>
        </w:rPr>
        <w:t>e</w:t>
      </w:r>
      <w:r w:rsidR="00156A60" w:rsidRPr="00FA288E">
        <w:rPr>
          <w:rFonts w:ascii="Calibri" w:hAnsi="Calibri" w:cs="Calibri"/>
          <w:sz w:val="21"/>
          <w:szCs w:val="21"/>
        </w:rPr>
        <w:t xml:space="preserve"> basic literacy and numeracy </w:t>
      </w:r>
      <w:r w:rsidR="006033E1" w:rsidRPr="00FA288E">
        <w:rPr>
          <w:rFonts w:ascii="Calibri" w:hAnsi="Calibri" w:cs="Calibri"/>
          <w:sz w:val="21"/>
          <w:szCs w:val="21"/>
        </w:rPr>
        <w:t xml:space="preserve">acquisition in the early grades </w:t>
      </w:r>
      <w:r w:rsidR="00156A60" w:rsidRPr="00FA288E">
        <w:rPr>
          <w:rFonts w:ascii="Calibri" w:hAnsi="Calibri" w:cs="Calibri"/>
          <w:sz w:val="21"/>
          <w:szCs w:val="21"/>
        </w:rPr>
        <w:t>and what delivery modalities may be most effective</w:t>
      </w:r>
      <w:r w:rsidR="006033E1" w:rsidRPr="00FA288E">
        <w:rPr>
          <w:rFonts w:ascii="Calibri" w:hAnsi="Calibri" w:cs="Calibri"/>
          <w:sz w:val="21"/>
          <w:szCs w:val="21"/>
        </w:rPr>
        <w:t xml:space="preserve"> to do so</w:t>
      </w:r>
      <w:r w:rsidR="00DB6600" w:rsidRPr="00FA288E">
        <w:rPr>
          <w:rFonts w:ascii="Calibri" w:hAnsi="Calibri" w:cs="Calibri"/>
          <w:sz w:val="21"/>
          <w:szCs w:val="21"/>
        </w:rPr>
        <w:t>.</w:t>
      </w:r>
    </w:p>
    <w:p w14:paraId="39035BCA" w14:textId="126B3AEE" w:rsidR="00D27C07" w:rsidRPr="00FA288E" w:rsidRDefault="00156A60" w:rsidP="006A4429">
      <w:pPr>
        <w:pStyle w:val="BodyText"/>
        <w:spacing w:after="80" w:line="240" w:lineRule="auto"/>
        <w:rPr>
          <w:rFonts w:ascii="Calibri" w:hAnsi="Calibri" w:cs="Calibri"/>
          <w:sz w:val="21"/>
          <w:szCs w:val="21"/>
        </w:rPr>
      </w:pPr>
      <w:r w:rsidRPr="00FA288E">
        <w:rPr>
          <w:rFonts w:ascii="Calibri" w:hAnsi="Calibri" w:cs="Calibri"/>
          <w:sz w:val="21"/>
          <w:szCs w:val="21"/>
        </w:rPr>
        <w:t xml:space="preserve">The review </w:t>
      </w:r>
      <w:r w:rsidR="00993B0A" w:rsidRPr="00FA288E">
        <w:rPr>
          <w:rFonts w:ascii="Calibri" w:hAnsi="Calibri" w:cs="Calibri"/>
          <w:sz w:val="21"/>
          <w:szCs w:val="21"/>
        </w:rPr>
        <w:t>was</w:t>
      </w:r>
      <w:r w:rsidRPr="00FA288E">
        <w:rPr>
          <w:rFonts w:ascii="Calibri" w:hAnsi="Calibri" w:cs="Calibri"/>
          <w:sz w:val="21"/>
          <w:szCs w:val="21"/>
        </w:rPr>
        <w:t xml:space="preserve"> primarily concerned with assessing progress towards achieving</w:t>
      </w:r>
      <w:r w:rsidR="006033E1" w:rsidRPr="00FA288E">
        <w:rPr>
          <w:rFonts w:ascii="Calibri" w:hAnsi="Calibri" w:cs="Calibri"/>
          <w:sz w:val="21"/>
          <w:szCs w:val="21"/>
        </w:rPr>
        <w:t xml:space="preserve"> the</w:t>
      </w:r>
      <w:r w:rsidRPr="00FA288E">
        <w:rPr>
          <w:rFonts w:ascii="Calibri" w:hAnsi="Calibri" w:cs="Calibri"/>
          <w:sz w:val="21"/>
          <w:szCs w:val="21"/>
        </w:rPr>
        <w:t xml:space="preserve"> agreed outcomes</w:t>
      </w:r>
      <w:r w:rsidR="006033E1" w:rsidRPr="00FA288E">
        <w:rPr>
          <w:rFonts w:ascii="Calibri" w:hAnsi="Calibri" w:cs="Calibri"/>
          <w:sz w:val="21"/>
          <w:szCs w:val="21"/>
        </w:rPr>
        <w:t xml:space="preserve"> of the grants</w:t>
      </w:r>
      <w:r w:rsidR="00DB6097" w:rsidRPr="00FA288E">
        <w:rPr>
          <w:rFonts w:ascii="Calibri" w:hAnsi="Calibri" w:cs="Calibri"/>
          <w:sz w:val="21"/>
          <w:szCs w:val="21"/>
        </w:rPr>
        <w:t>.</w:t>
      </w:r>
      <w:r w:rsidR="006033E1" w:rsidRPr="00FA288E">
        <w:rPr>
          <w:rFonts w:ascii="Calibri" w:hAnsi="Calibri" w:cs="Calibri"/>
          <w:sz w:val="21"/>
          <w:szCs w:val="21"/>
        </w:rPr>
        <w:t xml:space="preserve"> </w:t>
      </w:r>
      <w:r w:rsidR="00993B0A" w:rsidRPr="00FA288E">
        <w:rPr>
          <w:rFonts w:ascii="Calibri" w:hAnsi="Calibri" w:cs="Calibri"/>
          <w:sz w:val="21"/>
          <w:szCs w:val="21"/>
        </w:rPr>
        <w:t>All</w:t>
      </w:r>
      <w:r w:rsidR="007A1972" w:rsidRPr="00FA288E">
        <w:rPr>
          <w:rFonts w:ascii="Calibri" w:hAnsi="Calibri" w:cs="Calibri"/>
          <w:sz w:val="21"/>
          <w:szCs w:val="21"/>
        </w:rPr>
        <w:t xml:space="preserve"> grants are </w:t>
      </w:r>
      <w:r w:rsidR="00993B0A" w:rsidRPr="00FA288E">
        <w:rPr>
          <w:rFonts w:ascii="Calibri" w:hAnsi="Calibri" w:cs="Calibri"/>
          <w:sz w:val="21"/>
          <w:szCs w:val="21"/>
        </w:rPr>
        <w:t>expected to</w:t>
      </w:r>
      <w:r w:rsidR="007A1972" w:rsidRPr="00FA288E">
        <w:rPr>
          <w:rFonts w:ascii="Calibri" w:hAnsi="Calibri" w:cs="Calibri"/>
          <w:sz w:val="21"/>
          <w:szCs w:val="21"/>
        </w:rPr>
        <w:t xml:space="preserve"> </w:t>
      </w:r>
      <w:r w:rsidR="007A1972" w:rsidRPr="00FA288E">
        <w:rPr>
          <w:rFonts w:ascii="Calibri" w:hAnsi="Calibri" w:cs="Calibri"/>
          <w:b/>
          <w:bCs/>
          <w:sz w:val="21"/>
          <w:szCs w:val="21"/>
        </w:rPr>
        <w:t>improv</w:t>
      </w:r>
      <w:r w:rsidR="00993B0A" w:rsidRPr="00FA288E">
        <w:rPr>
          <w:rFonts w:ascii="Calibri" w:hAnsi="Calibri" w:cs="Calibri"/>
          <w:b/>
          <w:bCs/>
          <w:sz w:val="21"/>
          <w:szCs w:val="21"/>
        </w:rPr>
        <w:t>e</w:t>
      </w:r>
      <w:r w:rsidR="007A1972" w:rsidRPr="00FA288E">
        <w:rPr>
          <w:rFonts w:ascii="Calibri" w:hAnsi="Calibri" w:cs="Calibri"/>
          <w:b/>
          <w:bCs/>
          <w:sz w:val="21"/>
          <w:szCs w:val="21"/>
        </w:rPr>
        <w:t xml:space="preserve"> access to quality elementary education</w:t>
      </w:r>
      <w:r w:rsidR="007A1972" w:rsidRPr="00FA288E">
        <w:rPr>
          <w:rFonts w:ascii="Calibri" w:hAnsi="Calibri" w:cs="Calibri"/>
          <w:sz w:val="21"/>
          <w:szCs w:val="21"/>
        </w:rPr>
        <w:t xml:space="preserve">, </w:t>
      </w:r>
      <w:r w:rsidR="007A1972" w:rsidRPr="00FA288E">
        <w:rPr>
          <w:rFonts w:ascii="Calibri" w:hAnsi="Calibri" w:cs="Calibri"/>
          <w:b/>
          <w:bCs/>
          <w:sz w:val="21"/>
          <w:szCs w:val="21"/>
        </w:rPr>
        <w:t>improv</w:t>
      </w:r>
      <w:r w:rsidR="00993B0A" w:rsidRPr="00FA288E">
        <w:rPr>
          <w:rFonts w:ascii="Calibri" w:hAnsi="Calibri" w:cs="Calibri"/>
          <w:b/>
          <w:bCs/>
          <w:sz w:val="21"/>
          <w:szCs w:val="21"/>
        </w:rPr>
        <w:t>e</w:t>
      </w:r>
      <w:r w:rsidR="007A1972" w:rsidRPr="00FA288E">
        <w:rPr>
          <w:rFonts w:ascii="Calibri" w:hAnsi="Calibri" w:cs="Calibri"/>
          <w:b/>
          <w:bCs/>
          <w:sz w:val="21"/>
          <w:szCs w:val="21"/>
        </w:rPr>
        <w:t xml:space="preserve"> the quality of learning outcomes</w:t>
      </w:r>
      <w:r w:rsidR="007A1972" w:rsidRPr="00FA288E">
        <w:rPr>
          <w:rFonts w:ascii="Calibri" w:hAnsi="Calibri" w:cs="Calibri"/>
          <w:sz w:val="21"/>
          <w:szCs w:val="21"/>
        </w:rPr>
        <w:t xml:space="preserve"> and / or </w:t>
      </w:r>
      <w:r w:rsidR="007A1972" w:rsidRPr="00FA288E">
        <w:rPr>
          <w:rFonts w:ascii="Calibri" w:hAnsi="Calibri" w:cs="Calibri"/>
          <w:b/>
          <w:bCs/>
          <w:sz w:val="21"/>
          <w:szCs w:val="21"/>
        </w:rPr>
        <w:t>improv</w:t>
      </w:r>
      <w:r w:rsidR="00993B0A" w:rsidRPr="00FA288E">
        <w:rPr>
          <w:rFonts w:ascii="Calibri" w:hAnsi="Calibri" w:cs="Calibri"/>
          <w:b/>
          <w:bCs/>
          <w:sz w:val="21"/>
          <w:szCs w:val="21"/>
        </w:rPr>
        <w:t>e</w:t>
      </w:r>
      <w:r w:rsidR="007A1972" w:rsidRPr="00FA288E">
        <w:rPr>
          <w:rFonts w:ascii="Calibri" w:hAnsi="Calibri" w:cs="Calibri"/>
          <w:b/>
          <w:bCs/>
          <w:sz w:val="21"/>
          <w:szCs w:val="21"/>
        </w:rPr>
        <w:t xml:space="preserve"> completion of elementary education</w:t>
      </w:r>
      <w:r w:rsidRPr="00FA288E">
        <w:rPr>
          <w:rFonts w:ascii="Calibri" w:hAnsi="Calibri" w:cs="Calibri"/>
          <w:sz w:val="21"/>
          <w:szCs w:val="21"/>
        </w:rPr>
        <w:t xml:space="preserve">. </w:t>
      </w:r>
      <w:r w:rsidR="00616A73" w:rsidRPr="00FA288E">
        <w:rPr>
          <w:rFonts w:ascii="Calibri" w:hAnsi="Calibri" w:cs="Calibri"/>
          <w:sz w:val="21"/>
          <w:szCs w:val="21"/>
        </w:rPr>
        <w:t xml:space="preserve">While the review considers </w:t>
      </w:r>
      <w:r w:rsidR="00DB6600" w:rsidRPr="00FA288E">
        <w:rPr>
          <w:rFonts w:ascii="Calibri" w:hAnsi="Calibri" w:cs="Calibri"/>
          <w:sz w:val="21"/>
          <w:szCs w:val="21"/>
        </w:rPr>
        <w:t xml:space="preserve">whether </w:t>
      </w:r>
      <w:r w:rsidR="00993B0A" w:rsidRPr="00FA288E">
        <w:rPr>
          <w:rFonts w:ascii="Calibri" w:hAnsi="Calibri" w:cs="Calibri"/>
          <w:sz w:val="21"/>
          <w:szCs w:val="21"/>
        </w:rPr>
        <w:t xml:space="preserve">or not </w:t>
      </w:r>
      <w:r w:rsidR="00DB6600" w:rsidRPr="00FA288E">
        <w:rPr>
          <w:rFonts w:ascii="Calibri" w:hAnsi="Calibri" w:cs="Calibri"/>
          <w:sz w:val="21"/>
          <w:szCs w:val="21"/>
        </w:rPr>
        <w:t>the intervention/project is doing the right things in light of PNG’s needs and Australia’s interests (</w:t>
      </w:r>
      <w:r w:rsidR="00616A73" w:rsidRPr="00FA288E">
        <w:rPr>
          <w:rFonts w:ascii="Calibri" w:hAnsi="Calibri" w:cs="Calibri"/>
          <w:sz w:val="21"/>
          <w:szCs w:val="21"/>
        </w:rPr>
        <w:t xml:space="preserve">i.e. </w:t>
      </w:r>
      <w:r w:rsidR="00DB6600" w:rsidRPr="00FA288E">
        <w:rPr>
          <w:rFonts w:ascii="Calibri" w:hAnsi="Calibri" w:cs="Calibri"/>
          <w:sz w:val="21"/>
          <w:szCs w:val="21"/>
        </w:rPr>
        <w:t>Relevance</w:t>
      </w:r>
      <w:r w:rsidR="0030439A" w:rsidRPr="00FA288E">
        <w:rPr>
          <w:rFonts w:ascii="Calibri" w:hAnsi="Calibri" w:cs="Calibri"/>
          <w:sz w:val="21"/>
          <w:szCs w:val="21"/>
        </w:rPr>
        <w:t>)</w:t>
      </w:r>
      <w:r w:rsidR="00616A73" w:rsidRPr="00FA288E">
        <w:rPr>
          <w:rFonts w:ascii="Calibri" w:hAnsi="Calibri" w:cs="Calibri"/>
          <w:sz w:val="21"/>
          <w:szCs w:val="21"/>
        </w:rPr>
        <w:t xml:space="preserve">, the review </w:t>
      </w:r>
      <w:r w:rsidR="0093340C" w:rsidRPr="00FA288E">
        <w:rPr>
          <w:rFonts w:ascii="Calibri" w:hAnsi="Calibri" w:cs="Calibri"/>
          <w:sz w:val="21"/>
          <w:szCs w:val="21"/>
        </w:rPr>
        <w:t>focuses more on</w:t>
      </w:r>
      <w:r w:rsidR="00DB6600" w:rsidRPr="00FA288E">
        <w:rPr>
          <w:rFonts w:ascii="Calibri" w:hAnsi="Calibri" w:cs="Calibri"/>
          <w:sz w:val="21"/>
          <w:szCs w:val="21"/>
        </w:rPr>
        <w:t xml:space="preserve"> </w:t>
      </w:r>
      <w:r w:rsidR="007A1972" w:rsidRPr="00FA288E">
        <w:rPr>
          <w:rFonts w:ascii="Calibri" w:hAnsi="Calibri" w:cs="Calibri"/>
          <w:sz w:val="21"/>
          <w:szCs w:val="21"/>
        </w:rPr>
        <w:t>the degree to which</w:t>
      </w:r>
      <w:r w:rsidR="00DB6600" w:rsidRPr="00FA288E">
        <w:rPr>
          <w:rFonts w:ascii="Calibri" w:hAnsi="Calibri" w:cs="Calibri"/>
          <w:sz w:val="21"/>
          <w:szCs w:val="21"/>
        </w:rPr>
        <w:t xml:space="preserve"> the project is achieving its objectives</w:t>
      </w:r>
      <w:r w:rsidR="0030439A" w:rsidRPr="00FA288E">
        <w:rPr>
          <w:rFonts w:ascii="Calibri" w:hAnsi="Calibri" w:cs="Calibri"/>
          <w:sz w:val="21"/>
          <w:szCs w:val="21"/>
        </w:rPr>
        <w:t xml:space="preserve"> (</w:t>
      </w:r>
      <w:r w:rsidR="00616A73" w:rsidRPr="00FA288E">
        <w:rPr>
          <w:rFonts w:ascii="Calibri" w:hAnsi="Calibri" w:cs="Calibri"/>
          <w:sz w:val="21"/>
          <w:szCs w:val="21"/>
        </w:rPr>
        <w:t xml:space="preserve">i.e. </w:t>
      </w:r>
      <w:r w:rsidR="0030439A" w:rsidRPr="00FA288E">
        <w:rPr>
          <w:rFonts w:ascii="Calibri" w:hAnsi="Calibri" w:cs="Calibri"/>
          <w:sz w:val="21"/>
          <w:szCs w:val="21"/>
        </w:rPr>
        <w:t xml:space="preserve">Effectiveness) and </w:t>
      </w:r>
      <w:r w:rsidR="00DB6600" w:rsidRPr="00FA288E">
        <w:rPr>
          <w:rFonts w:ascii="Calibri" w:hAnsi="Calibri" w:cs="Calibri"/>
          <w:sz w:val="21"/>
          <w:szCs w:val="21"/>
        </w:rPr>
        <w:t>how well resources are being used</w:t>
      </w:r>
      <w:r w:rsidR="0030439A" w:rsidRPr="00FA288E">
        <w:rPr>
          <w:rFonts w:ascii="Calibri" w:hAnsi="Calibri" w:cs="Calibri"/>
          <w:sz w:val="21"/>
          <w:szCs w:val="21"/>
        </w:rPr>
        <w:t xml:space="preserve"> to achieve those objectives (</w:t>
      </w:r>
      <w:r w:rsidR="00616A73" w:rsidRPr="00FA288E">
        <w:rPr>
          <w:rFonts w:ascii="Calibri" w:hAnsi="Calibri" w:cs="Calibri"/>
          <w:sz w:val="21"/>
          <w:szCs w:val="21"/>
        </w:rPr>
        <w:t xml:space="preserve">i.e. </w:t>
      </w:r>
      <w:r w:rsidR="0030439A" w:rsidRPr="00FA288E">
        <w:rPr>
          <w:rFonts w:ascii="Calibri" w:hAnsi="Calibri" w:cs="Calibri"/>
          <w:sz w:val="21"/>
          <w:szCs w:val="21"/>
        </w:rPr>
        <w:t xml:space="preserve">Efficiency). Although the review is </w:t>
      </w:r>
      <w:r w:rsidR="00616A73" w:rsidRPr="00FA288E">
        <w:rPr>
          <w:rFonts w:ascii="Calibri" w:hAnsi="Calibri" w:cs="Calibri"/>
          <w:sz w:val="21"/>
          <w:szCs w:val="21"/>
        </w:rPr>
        <w:t xml:space="preserve">being </w:t>
      </w:r>
      <w:r w:rsidR="0030439A" w:rsidRPr="00FA288E">
        <w:rPr>
          <w:rFonts w:ascii="Calibri" w:hAnsi="Calibri" w:cs="Calibri"/>
          <w:sz w:val="21"/>
          <w:szCs w:val="21"/>
        </w:rPr>
        <w:t xml:space="preserve">conducted at an early stage of implementation, it </w:t>
      </w:r>
      <w:r w:rsidR="007A1972" w:rsidRPr="00FA288E">
        <w:rPr>
          <w:rFonts w:ascii="Calibri" w:hAnsi="Calibri" w:cs="Calibri"/>
          <w:sz w:val="21"/>
          <w:szCs w:val="21"/>
        </w:rPr>
        <w:t xml:space="preserve">does seek to assess </w:t>
      </w:r>
      <w:r w:rsidR="00DB6600" w:rsidRPr="00FA288E">
        <w:rPr>
          <w:rFonts w:ascii="Calibri" w:hAnsi="Calibri" w:cs="Calibri"/>
          <w:sz w:val="21"/>
          <w:szCs w:val="21"/>
        </w:rPr>
        <w:t>what difference the project is making</w:t>
      </w:r>
      <w:r w:rsidR="0030439A" w:rsidRPr="00FA288E">
        <w:rPr>
          <w:rFonts w:ascii="Calibri" w:hAnsi="Calibri" w:cs="Calibri"/>
          <w:sz w:val="21"/>
          <w:szCs w:val="21"/>
        </w:rPr>
        <w:t xml:space="preserve"> (</w:t>
      </w:r>
      <w:r w:rsidR="00616A73" w:rsidRPr="00FA288E">
        <w:rPr>
          <w:rFonts w:ascii="Calibri" w:hAnsi="Calibri" w:cs="Calibri"/>
          <w:sz w:val="21"/>
          <w:szCs w:val="21"/>
        </w:rPr>
        <w:t xml:space="preserve">i.e. </w:t>
      </w:r>
      <w:r w:rsidR="0030439A" w:rsidRPr="00FA288E">
        <w:rPr>
          <w:rFonts w:ascii="Calibri" w:hAnsi="Calibri" w:cs="Calibri"/>
          <w:sz w:val="21"/>
          <w:szCs w:val="21"/>
        </w:rPr>
        <w:t xml:space="preserve">Impact) and </w:t>
      </w:r>
      <w:r w:rsidR="00DB6600" w:rsidRPr="00FA288E">
        <w:rPr>
          <w:rFonts w:ascii="Calibri" w:hAnsi="Calibri" w:cs="Calibri"/>
          <w:sz w:val="21"/>
          <w:szCs w:val="21"/>
        </w:rPr>
        <w:t xml:space="preserve">the likelihood of the benefits </w:t>
      </w:r>
      <w:r w:rsidR="007A1972" w:rsidRPr="00FA288E">
        <w:rPr>
          <w:rFonts w:ascii="Calibri" w:hAnsi="Calibri" w:cs="Calibri"/>
          <w:sz w:val="21"/>
          <w:szCs w:val="21"/>
        </w:rPr>
        <w:t>being continued</w:t>
      </w:r>
      <w:r w:rsidR="00DB6600" w:rsidRPr="00FA288E">
        <w:rPr>
          <w:rFonts w:ascii="Calibri" w:hAnsi="Calibri" w:cs="Calibri"/>
          <w:sz w:val="21"/>
          <w:szCs w:val="21"/>
        </w:rPr>
        <w:t xml:space="preserve"> beyond the </w:t>
      </w:r>
      <w:r w:rsidR="007A1972" w:rsidRPr="00FA288E">
        <w:rPr>
          <w:rFonts w:ascii="Calibri" w:hAnsi="Calibri" w:cs="Calibri"/>
          <w:sz w:val="21"/>
          <w:szCs w:val="21"/>
        </w:rPr>
        <w:t xml:space="preserve">end of the </w:t>
      </w:r>
      <w:r w:rsidR="00616A73" w:rsidRPr="00FA288E">
        <w:rPr>
          <w:rFonts w:ascii="Calibri" w:hAnsi="Calibri" w:cs="Calibri"/>
          <w:sz w:val="21"/>
          <w:szCs w:val="21"/>
        </w:rPr>
        <w:t>grant</w:t>
      </w:r>
      <w:r w:rsidR="007A1972" w:rsidRPr="00FA288E">
        <w:rPr>
          <w:rFonts w:ascii="Calibri" w:hAnsi="Calibri" w:cs="Calibri"/>
          <w:sz w:val="21"/>
          <w:szCs w:val="21"/>
        </w:rPr>
        <w:t>s</w:t>
      </w:r>
      <w:r w:rsidR="0030439A" w:rsidRPr="00FA288E">
        <w:rPr>
          <w:rFonts w:ascii="Calibri" w:hAnsi="Calibri" w:cs="Calibri"/>
          <w:sz w:val="21"/>
          <w:szCs w:val="21"/>
        </w:rPr>
        <w:t xml:space="preserve"> (</w:t>
      </w:r>
      <w:r w:rsidR="00616A73" w:rsidRPr="00FA288E">
        <w:rPr>
          <w:rFonts w:ascii="Calibri" w:hAnsi="Calibri" w:cs="Calibri"/>
          <w:sz w:val="21"/>
          <w:szCs w:val="21"/>
        </w:rPr>
        <w:t xml:space="preserve">i.e. </w:t>
      </w:r>
      <w:r w:rsidR="0030439A" w:rsidRPr="00FA288E">
        <w:rPr>
          <w:rFonts w:ascii="Calibri" w:hAnsi="Calibri" w:cs="Calibri"/>
          <w:sz w:val="21"/>
          <w:szCs w:val="21"/>
        </w:rPr>
        <w:t>Sustainability</w:t>
      </w:r>
      <w:r w:rsidR="00BD3D38" w:rsidRPr="00FA288E">
        <w:rPr>
          <w:rFonts w:ascii="Calibri" w:hAnsi="Calibri" w:cs="Calibri"/>
          <w:sz w:val="21"/>
          <w:szCs w:val="21"/>
        </w:rPr>
        <w:t xml:space="preserve"> following the extension phase</w:t>
      </w:r>
      <w:r w:rsidR="0030439A" w:rsidRPr="00FA288E">
        <w:rPr>
          <w:rFonts w:ascii="Calibri" w:hAnsi="Calibri" w:cs="Calibri"/>
          <w:sz w:val="21"/>
          <w:szCs w:val="21"/>
        </w:rPr>
        <w:t>)</w:t>
      </w:r>
      <w:r w:rsidR="007A1972" w:rsidRPr="00FA288E">
        <w:rPr>
          <w:rFonts w:ascii="Calibri" w:hAnsi="Calibri" w:cs="Calibri"/>
          <w:sz w:val="21"/>
          <w:szCs w:val="21"/>
        </w:rPr>
        <w:t xml:space="preserve">. </w:t>
      </w:r>
      <w:r w:rsidRPr="00FA288E">
        <w:rPr>
          <w:rFonts w:ascii="Calibri" w:hAnsi="Calibri" w:cs="Calibri"/>
          <w:sz w:val="21"/>
          <w:szCs w:val="21"/>
        </w:rPr>
        <w:t xml:space="preserve">The review </w:t>
      </w:r>
      <w:r w:rsidR="0030439A" w:rsidRPr="00FA288E">
        <w:rPr>
          <w:rFonts w:ascii="Calibri" w:hAnsi="Calibri" w:cs="Calibri"/>
          <w:sz w:val="21"/>
          <w:szCs w:val="21"/>
        </w:rPr>
        <w:t xml:space="preserve">takes into </w:t>
      </w:r>
      <w:r w:rsidRPr="00FA288E">
        <w:rPr>
          <w:rFonts w:ascii="Calibri" w:hAnsi="Calibri" w:cs="Calibri"/>
          <w:sz w:val="21"/>
          <w:szCs w:val="21"/>
        </w:rPr>
        <w:t>consider</w:t>
      </w:r>
      <w:r w:rsidR="0030439A" w:rsidRPr="00FA288E">
        <w:rPr>
          <w:rFonts w:ascii="Calibri" w:hAnsi="Calibri" w:cs="Calibri"/>
          <w:sz w:val="21"/>
          <w:szCs w:val="21"/>
        </w:rPr>
        <w:t>ation</w:t>
      </w:r>
      <w:r w:rsidRPr="00FA288E">
        <w:rPr>
          <w:rFonts w:ascii="Calibri" w:hAnsi="Calibri" w:cs="Calibri"/>
          <w:sz w:val="21"/>
          <w:szCs w:val="21"/>
        </w:rPr>
        <w:t xml:space="preserve"> the vari</w:t>
      </w:r>
      <w:r w:rsidR="00616A73" w:rsidRPr="00FA288E">
        <w:rPr>
          <w:rFonts w:ascii="Calibri" w:hAnsi="Calibri" w:cs="Calibri"/>
          <w:sz w:val="21"/>
          <w:szCs w:val="21"/>
        </w:rPr>
        <w:t xml:space="preserve">ation </w:t>
      </w:r>
      <w:r w:rsidRPr="00FA288E">
        <w:rPr>
          <w:rFonts w:ascii="Calibri" w:hAnsi="Calibri" w:cs="Calibri"/>
          <w:sz w:val="21"/>
          <w:szCs w:val="21"/>
        </w:rPr>
        <w:t xml:space="preserve">in the different approaches </w:t>
      </w:r>
      <w:r w:rsidR="00DB6097" w:rsidRPr="00FA288E">
        <w:rPr>
          <w:rFonts w:ascii="Calibri" w:hAnsi="Calibri" w:cs="Calibri"/>
          <w:sz w:val="21"/>
          <w:szCs w:val="21"/>
        </w:rPr>
        <w:t>used</w:t>
      </w:r>
      <w:r w:rsidRPr="00FA288E">
        <w:rPr>
          <w:rFonts w:ascii="Calibri" w:hAnsi="Calibri" w:cs="Calibri"/>
          <w:sz w:val="21"/>
          <w:szCs w:val="21"/>
        </w:rPr>
        <w:t xml:space="preserve"> by each of the grant</w:t>
      </w:r>
      <w:r w:rsidR="00DB6097" w:rsidRPr="00FA288E">
        <w:rPr>
          <w:rFonts w:ascii="Calibri" w:hAnsi="Calibri" w:cs="Calibri"/>
          <w:sz w:val="21"/>
          <w:szCs w:val="21"/>
        </w:rPr>
        <w:t>ees</w:t>
      </w:r>
      <w:r w:rsidR="0030439A" w:rsidRPr="00FA288E">
        <w:rPr>
          <w:rFonts w:ascii="Calibri" w:hAnsi="Calibri" w:cs="Calibri"/>
          <w:sz w:val="21"/>
          <w:szCs w:val="21"/>
        </w:rPr>
        <w:t>.</w:t>
      </w:r>
      <w:r w:rsidR="007A1972" w:rsidRPr="00FA288E">
        <w:rPr>
          <w:rFonts w:ascii="Calibri" w:hAnsi="Calibri" w:cs="Calibri"/>
          <w:sz w:val="21"/>
          <w:szCs w:val="21"/>
        </w:rPr>
        <w:t xml:space="preserve"> </w:t>
      </w:r>
    </w:p>
    <w:p w14:paraId="50E51964" w14:textId="112CE150" w:rsidR="00D27C07" w:rsidRPr="00FA288E" w:rsidRDefault="007A1972" w:rsidP="006A4429">
      <w:pPr>
        <w:pStyle w:val="BodyText"/>
        <w:spacing w:after="80" w:line="240" w:lineRule="auto"/>
        <w:rPr>
          <w:rFonts w:ascii="Calibri" w:hAnsi="Calibri" w:cs="Calibri"/>
          <w:sz w:val="21"/>
          <w:szCs w:val="21"/>
        </w:rPr>
      </w:pPr>
      <w:r w:rsidRPr="00FA288E">
        <w:rPr>
          <w:rFonts w:ascii="Calibri" w:hAnsi="Calibri" w:cs="Calibri"/>
          <w:sz w:val="21"/>
          <w:szCs w:val="21"/>
        </w:rPr>
        <w:t xml:space="preserve">The Terms of Reference for the Mid-Term Review are in </w:t>
      </w:r>
      <w:hyperlink w:anchor="_Annex_A:_Terms" w:history="1">
        <w:r w:rsidRPr="00FA288E">
          <w:rPr>
            <w:rStyle w:val="Hyperlink"/>
            <w:rFonts w:ascii="Calibri" w:hAnsi="Calibri" w:cs="Calibri"/>
            <w:b/>
            <w:bCs/>
            <w:i/>
            <w:iCs/>
            <w:sz w:val="21"/>
            <w:szCs w:val="21"/>
          </w:rPr>
          <w:t>Annex A</w:t>
        </w:r>
      </w:hyperlink>
      <w:r w:rsidRPr="00FA288E">
        <w:rPr>
          <w:rFonts w:ascii="Calibri" w:hAnsi="Calibri" w:cs="Calibri"/>
          <w:sz w:val="21"/>
          <w:szCs w:val="21"/>
        </w:rPr>
        <w:t>.</w:t>
      </w:r>
      <w:r w:rsidR="00D27C07" w:rsidRPr="00FA288E">
        <w:rPr>
          <w:rFonts w:ascii="Calibri" w:hAnsi="Calibri" w:cs="Calibri"/>
          <w:b/>
          <w:sz w:val="21"/>
          <w:szCs w:val="21"/>
        </w:rPr>
        <w:t xml:space="preserve"> </w:t>
      </w:r>
      <w:r w:rsidR="00D27C07" w:rsidRPr="00FA288E">
        <w:rPr>
          <w:rFonts w:ascii="Calibri" w:hAnsi="Calibri" w:cs="Calibri"/>
          <w:sz w:val="21"/>
          <w:szCs w:val="21"/>
        </w:rPr>
        <w:t xml:space="preserve">The six Key Review Questions (KRQs) and related sub-questions identified in the Terms of Reference </w:t>
      </w:r>
      <w:r w:rsidR="00AD32A3" w:rsidRPr="00FA288E">
        <w:rPr>
          <w:rFonts w:ascii="Calibri" w:hAnsi="Calibri" w:cs="Calibri"/>
          <w:sz w:val="21"/>
          <w:szCs w:val="21"/>
        </w:rPr>
        <w:t>were</w:t>
      </w:r>
      <w:r w:rsidR="00D27C07" w:rsidRPr="00FA288E">
        <w:rPr>
          <w:rFonts w:ascii="Calibri" w:hAnsi="Calibri" w:cs="Calibri"/>
          <w:sz w:val="21"/>
          <w:szCs w:val="21"/>
        </w:rPr>
        <w:t xml:space="preserve"> adjusted </w:t>
      </w:r>
      <w:r w:rsidR="000143AA" w:rsidRPr="00FA288E">
        <w:rPr>
          <w:rFonts w:ascii="Calibri" w:hAnsi="Calibri" w:cs="Calibri"/>
          <w:sz w:val="21"/>
          <w:szCs w:val="21"/>
        </w:rPr>
        <w:t xml:space="preserve">to prepare </w:t>
      </w:r>
      <w:r w:rsidR="00616A73" w:rsidRPr="00FA288E">
        <w:rPr>
          <w:rFonts w:ascii="Calibri" w:hAnsi="Calibri" w:cs="Calibri"/>
          <w:sz w:val="21"/>
          <w:szCs w:val="21"/>
        </w:rPr>
        <w:t xml:space="preserve">a review plan that </w:t>
      </w:r>
      <w:r w:rsidR="00D27C07" w:rsidRPr="00FA288E">
        <w:rPr>
          <w:rFonts w:ascii="Calibri" w:hAnsi="Calibri" w:cs="Calibri"/>
          <w:sz w:val="21"/>
          <w:szCs w:val="21"/>
        </w:rPr>
        <w:t>reflect</w:t>
      </w:r>
      <w:r w:rsidR="00993B0A" w:rsidRPr="00FA288E">
        <w:rPr>
          <w:rFonts w:ascii="Calibri" w:hAnsi="Calibri" w:cs="Calibri"/>
          <w:sz w:val="21"/>
          <w:szCs w:val="21"/>
        </w:rPr>
        <w:t>ed</w:t>
      </w:r>
      <w:r w:rsidR="00D27C07" w:rsidRPr="00FA288E">
        <w:rPr>
          <w:rFonts w:ascii="Calibri" w:hAnsi="Calibri" w:cs="Calibri"/>
          <w:sz w:val="21"/>
          <w:szCs w:val="21"/>
        </w:rPr>
        <w:t xml:space="preserve"> a shared understanding of the requirements of the review</w:t>
      </w:r>
      <w:r w:rsidR="00AD32A3" w:rsidRPr="00FA288E">
        <w:rPr>
          <w:rFonts w:ascii="Calibri" w:hAnsi="Calibri" w:cs="Calibri"/>
          <w:sz w:val="21"/>
          <w:szCs w:val="21"/>
        </w:rPr>
        <w:t xml:space="preserve"> (see </w:t>
      </w:r>
      <w:hyperlink w:anchor="_Annex_B:_Key" w:history="1">
        <w:r w:rsidR="00AD32A3" w:rsidRPr="00FA288E">
          <w:rPr>
            <w:rStyle w:val="Hyperlink"/>
            <w:rFonts w:ascii="Calibri" w:hAnsi="Calibri" w:cs="Calibri"/>
            <w:b/>
            <w:bCs/>
            <w:i/>
            <w:iCs/>
            <w:sz w:val="21"/>
            <w:szCs w:val="21"/>
          </w:rPr>
          <w:t>Annex B</w:t>
        </w:r>
      </w:hyperlink>
      <w:r w:rsidR="00AD32A3" w:rsidRPr="00FA288E">
        <w:rPr>
          <w:rFonts w:ascii="Calibri" w:hAnsi="Calibri" w:cs="Calibri"/>
          <w:sz w:val="21"/>
          <w:szCs w:val="21"/>
        </w:rPr>
        <w:t>)</w:t>
      </w:r>
      <w:r w:rsidR="00D27C07" w:rsidRPr="00FA288E">
        <w:rPr>
          <w:rFonts w:ascii="Calibri" w:hAnsi="Calibri" w:cs="Calibri"/>
          <w:sz w:val="21"/>
          <w:szCs w:val="21"/>
        </w:rPr>
        <w:t xml:space="preserve">. The revised KRQs </w:t>
      </w:r>
      <w:r w:rsidR="00AD32A3" w:rsidRPr="00FA288E">
        <w:rPr>
          <w:rFonts w:ascii="Calibri" w:hAnsi="Calibri" w:cs="Calibri"/>
          <w:sz w:val="21"/>
          <w:szCs w:val="21"/>
        </w:rPr>
        <w:t>were</w:t>
      </w:r>
      <w:r w:rsidR="00D27C07" w:rsidRPr="00FA288E">
        <w:rPr>
          <w:rFonts w:ascii="Calibri" w:hAnsi="Calibri" w:cs="Calibri"/>
          <w:sz w:val="21"/>
          <w:szCs w:val="21"/>
        </w:rPr>
        <w:t>:</w:t>
      </w:r>
    </w:p>
    <w:p w14:paraId="000BF656" w14:textId="77777777" w:rsidR="00D27C07" w:rsidRPr="00FA288E" w:rsidRDefault="00D27C07" w:rsidP="006A4429">
      <w:pPr>
        <w:pStyle w:val="Bullets"/>
        <w:numPr>
          <w:ilvl w:val="0"/>
          <w:numId w:val="5"/>
        </w:numPr>
        <w:spacing w:after="0" w:line="240" w:lineRule="auto"/>
        <w:ind w:left="714" w:hanging="357"/>
        <w:jc w:val="both"/>
        <w:rPr>
          <w:rFonts w:ascii="Calibri" w:hAnsi="Calibri" w:cs="Calibri"/>
          <w:sz w:val="21"/>
          <w:szCs w:val="21"/>
        </w:rPr>
      </w:pPr>
      <w:r w:rsidRPr="00FA288E">
        <w:rPr>
          <w:rFonts w:ascii="Calibri" w:hAnsi="Calibri" w:cs="Calibri"/>
          <w:sz w:val="21"/>
          <w:szCs w:val="21"/>
        </w:rPr>
        <w:t xml:space="preserve">KRQ 1 - </w:t>
      </w:r>
      <w:r w:rsidRPr="00FA288E">
        <w:rPr>
          <w:rFonts w:ascii="Calibri" w:hAnsi="Calibri" w:cs="Calibri"/>
          <w:b/>
          <w:bCs/>
          <w:sz w:val="21"/>
          <w:szCs w:val="21"/>
        </w:rPr>
        <w:t>Effectiveness</w:t>
      </w:r>
      <w:r w:rsidRPr="00FA288E">
        <w:rPr>
          <w:rFonts w:ascii="Calibri" w:hAnsi="Calibri" w:cs="Calibri"/>
          <w:sz w:val="21"/>
          <w:szCs w:val="21"/>
        </w:rPr>
        <w:t>: How effective have the grants been in improving literacy and numeracy against the agreed outcomes and targets for girls and boys and children with disabilities?</w:t>
      </w:r>
    </w:p>
    <w:p w14:paraId="65F5EF05" w14:textId="77777777" w:rsidR="00D27C07" w:rsidRPr="00FA288E" w:rsidRDefault="00D27C07" w:rsidP="006A4429">
      <w:pPr>
        <w:pStyle w:val="Bullets"/>
        <w:numPr>
          <w:ilvl w:val="0"/>
          <w:numId w:val="5"/>
        </w:numPr>
        <w:spacing w:after="0" w:line="240" w:lineRule="auto"/>
        <w:jc w:val="both"/>
        <w:rPr>
          <w:rFonts w:ascii="Calibri" w:hAnsi="Calibri" w:cs="Calibri"/>
          <w:sz w:val="21"/>
          <w:szCs w:val="21"/>
        </w:rPr>
      </w:pPr>
      <w:r w:rsidRPr="00FA288E">
        <w:rPr>
          <w:rFonts w:ascii="Calibri" w:hAnsi="Calibri" w:cs="Calibri"/>
          <w:sz w:val="21"/>
          <w:szCs w:val="21"/>
        </w:rPr>
        <w:t xml:space="preserve">KRQ 2 – </w:t>
      </w:r>
      <w:r w:rsidRPr="00FA288E">
        <w:rPr>
          <w:rFonts w:ascii="Calibri" w:hAnsi="Calibri" w:cs="Calibri"/>
          <w:b/>
          <w:bCs/>
          <w:sz w:val="21"/>
          <w:szCs w:val="21"/>
        </w:rPr>
        <w:t>Effectiveness</w:t>
      </w:r>
      <w:r w:rsidRPr="00FA288E">
        <w:rPr>
          <w:rFonts w:ascii="Calibri" w:hAnsi="Calibri" w:cs="Calibri"/>
          <w:sz w:val="21"/>
          <w:szCs w:val="21"/>
        </w:rPr>
        <w:t xml:space="preserve"> (</w:t>
      </w:r>
      <w:r w:rsidRPr="00FA288E">
        <w:rPr>
          <w:rFonts w:ascii="Calibri" w:hAnsi="Calibri" w:cs="Calibri"/>
          <w:i/>
          <w:iCs/>
          <w:sz w:val="21"/>
          <w:szCs w:val="21"/>
        </w:rPr>
        <w:t>including through influence</w:t>
      </w:r>
      <w:r w:rsidRPr="00FA288E">
        <w:rPr>
          <w:rFonts w:ascii="Calibri" w:hAnsi="Calibri" w:cs="Calibri"/>
          <w:sz w:val="21"/>
          <w:szCs w:val="21"/>
        </w:rPr>
        <w:t>): To what extent have the grant approaches been successful in directly or indirectly influencing GoPNG policies?</w:t>
      </w:r>
    </w:p>
    <w:p w14:paraId="26DF9259" w14:textId="77777777" w:rsidR="00D27C07" w:rsidRPr="00FA288E" w:rsidRDefault="00D27C07" w:rsidP="006A4429">
      <w:pPr>
        <w:pStyle w:val="Bullets"/>
        <w:numPr>
          <w:ilvl w:val="0"/>
          <w:numId w:val="5"/>
        </w:numPr>
        <w:spacing w:after="0" w:line="240" w:lineRule="auto"/>
        <w:jc w:val="both"/>
        <w:rPr>
          <w:rFonts w:ascii="Calibri" w:hAnsi="Calibri" w:cs="Calibri"/>
          <w:sz w:val="21"/>
          <w:szCs w:val="21"/>
        </w:rPr>
      </w:pPr>
      <w:r w:rsidRPr="00FA288E">
        <w:rPr>
          <w:rFonts w:ascii="Calibri" w:hAnsi="Calibri" w:cs="Calibri"/>
          <w:sz w:val="21"/>
          <w:szCs w:val="21"/>
        </w:rPr>
        <w:t xml:space="preserve">KRQ 3 - </w:t>
      </w:r>
      <w:r w:rsidRPr="00FA288E">
        <w:rPr>
          <w:rFonts w:ascii="Calibri" w:hAnsi="Calibri" w:cs="Calibri"/>
          <w:b/>
          <w:bCs/>
          <w:sz w:val="21"/>
          <w:szCs w:val="21"/>
        </w:rPr>
        <w:t>Monitoring and Evaluation</w:t>
      </w:r>
      <w:r w:rsidRPr="00FA288E">
        <w:rPr>
          <w:rFonts w:ascii="Calibri" w:hAnsi="Calibri" w:cs="Calibri"/>
          <w:sz w:val="21"/>
          <w:szCs w:val="21"/>
        </w:rPr>
        <w:t>: To what extent are the grant’s monitoring and evaluation systems adequately measuring implementation progress towards outcomes and supporting reporting and learning?</w:t>
      </w:r>
    </w:p>
    <w:p w14:paraId="69FE2749" w14:textId="77777777" w:rsidR="00D27C07" w:rsidRPr="00FA288E" w:rsidRDefault="00D27C07" w:rsidP="006A4429">
      <w:pPr>
        <w:pStyle w:val="Bullets"/>
        <w:numPr>
          <w:ilvl w:val="0"/>
          <w:numId w:val="5"/>
        </w:numPr>
        <w:spacing w:after="0" w:line="240" w:lineRule="auto"/>
        <w:jc w:val="both"/>
        <w:rPr>
          <w:rFonts w:ascii="Calibri" w:hAnsi="Calibri" w:cs="Calibri"/>
          <w:sz w:val="21"/>
          <w:szCs w:val="21"/>
        </w:rPr>
      </w:pPr>
      <w:r w:rsidRPr="00FA288E">
        <w:rPr>
          <w:rFonts w:ascii="Calibri" w:hAnsi="Calibri" w:cs="Calibri"/>
          <w:sz w:val="21"/>
          <w:szCs w:val="21"/>
        </w:rPr>
        <w:t>KRQ 4 -</w:t>
      </w:r>
      <w:r w:rsidRPr="00FA288E">
        <w:rPr>
          <w:rFonts w:ascii="Calibri" w:hAnsi="Calibri" w:cs="Calibri"/>
          <w:b/>
          <w:bCs/>
          <w:sz w:val="21"/>
          <w:szCs w:val="21"/>
        </w:rPr>
        <w:t xml:space="preserve"> Efficiency</w:t>
      </w:r>
      <w:r w:rsidRPr="00FA288E">
        <w:rPr>
          <w:rFonts w:ascii="Calibri" w:hAnsi="Calibri" w:cs="Calibri"/>
          <w:sz w:val="21"/>
          <w:szCs w:val="21"/>
        </w:rPr>
        <w:t>: To what extent are the grant projects being implemented efficiently?</w:t>
      </w:r>
    </w:p>
    <w:p w14:paraId="56361C3F" w14:textId="77777777" w:rsidR="00D27C07" w:rsidRPr="00FA288E" w:rsidRDefault="00D27C07" w:rsidP="006A4429">
      <w:pPr>
        <w:pStyle w:val="Bullets"/>
        <w:numPr>
          <w:ilvl w:val="0"/>
          <w:numId w:val="5"/>
        </w:numPr>
        <w:spacing w:after="0" w:line="240" w:lineRule="auto"/>
        <w:jc w:val="both"/>
        <w:rPr>
          <w:rFonts w:ascii="Calibri" w:hAnsi="Calibri" w:cs="Calibri"/>
          <w:sz w:val="21"/>
          <w:szCs w:val="21"/>
        </w:rPr>
      </w:pPr>
      <w:r w:rsidRPr="00FA288E">
        <w:rPr>
          <w:rFonts w:ascii="Calibri" w:hAnsi="Calibri" w:cs="Calibri"/>
          <w:sz w:val="21"/>
          <w:szCs w:val="21"/>
        </w:rPr>
        <w:t xml:space="preserve">KRQ 5 - </w:t>
      </w:r>
      <w:r w:rsidRPr="00FA288E">
        <w:rPr>
          <w:rFonts w:ascii="Calibri" w:hAnsi="Calibri" w:cs="Calibri"/>
          <w:b/>
          <w:bCs/>
          <w:sz w:val="21"/>
          <w:szCs w:val="21"/>
        </w:rPr>
        <w:t>Sustainability</w:t>
      </w:r>
      <w:r w:rsidRPr="00FA288E">
        <w:rPr>
          <w:rFonts w:ascii="Calibri" w:hAnsi="Calibri" w:cs="Calibri"/>
          <w:sz w:val="21"/>
          <w:szCs w:val="21"/>
        </w:rPr>
        <w:t>: To what extent have the approaches and practices advocated by the grants been institutionalised / are likely to be sustainable?</w:t>
      </w:r>
    </w:p>
    <w:p w14:paraId="74E678F8" w14:textId="77777777" w:rsidR="00D27C07" w:rsidRPr="00FA288E" w:rsidRDefault="00D27C07" w:rsidP="006A4429">
      <w:pPr>
        <w:pStyle w:val="Bullets"/>
        <w:numPr>
          <w:ilvl w:val="0"/>
          <w:numId w:val="5"/>
        </w:numPr>
        <w:spacing w:after="80" w:line="240" w:lineRule="auto"/>
        <w:jc w:val="both"/>
        <w:rPr>
          <w:rFonts w:ascii="Calibri" w:hAnsi="Calibri" w:cs="Calibri"/>
          <w:sz w:val="21"/>
          <w:szCs w:val="21"/>
        </w:rPr>
      </w:pPr>
      <w:r w:rsidRPr="00FA288E">
        <w:rPr>
          <w:rFonts w:ascii="Calibri" w:hAnsi="Calibri" w:cs="Calibri"/>
          <w:sz w:val="21"/>
          <w:szCs w:val="21"/>
        </w:rPr>
        <w:t xml:space="preserve">KRQ 6 - </w:t>
      </w:r>
      <w:r w:rsidRPr="00FA288E">
        <w:rPr>
          <w:rFonts w:ascii="Calibri" w:hAnsi="Calibri" w:cs="Calibri"/>
          <w:b/>
          <w:bCs/>
          <w:sz w:val="21"/>
          <w:szCs w:val="21"/>
        </w:rPr>
        <w:t>Model / strategy</w:t>
      </w:r>
      <w:r w:rsidRPr="00FA288E">
        <w:rPr>
          <w:rFonts w:ascii="Calibri" w:hAnsi="Calibri" w:cs="Calibri"/>
          <w:sz w:val="21"/>
          <w:szCs w:val="21"/>
        </w:rPr>
        <w:t>: What implementation lessons from the PPF grants can contribute to future DFAT programming in foundational education in PNG?</w:t>
      </w:r>
    </w:p>
    <w:p w14:paraId="48BBCB5D" w14:textId="59A7168C" w:rsidR="00D27C07" w:rsidRPr="00FA288E" w:rsidRDefault="00D27C07" w:rsidP="006A4429">
      <w:pPr>
        <w:pStyle w:val="BodyText"/>
        <w:spacing w:after="80" w:line="240" w:lineRule="auto"/>
        <w:rPr>
          <w:rFonts w:ascii="Calibri" w:hAnsi="Calibri" w:cs="Calibri"/>
          <w:sz w:val="21"/>
          <w:szCs w:val="21"/>
        </w:rPr>
      </w:pPr>
      <w:r w:rsidRPr="00FA288E">
        <w:rPr>
          <w:rFonts w:ascii="Calibri" w:hAnsi="Calibri" w:cs="Calibri"/>
          <w:sz w:val="21"/>
          <w:szCs w:val="21"/>
        </w:rPr>
        <w:t>The review</w:t>
      </w:r>
      <w:r w:rsidR="00AD32A3" w:rsidRPr="00FA288E">
        <w:rPr>
          <w:rFonts w:ascii="Calibri" w:hAnsi="Calibri" w:cs="Calibri"/>
          <w:sz w:val="21"/>
          <w:szCs w:val="21"/>
        </w:rPr>
        <w:t xml:space="preserve">’s scope was </w:t>
      </w:r>
      <w:r w:rsidR="008F450F" w:rsidRPr="00FA288E">
        <w:rPr>
          <w:rFonts w:ascii="Calibri" w:hAnsi="Calibri" w:cs="Calibri"/>
          <w:sz w:val="21"/>
          <w:szCs w:val="21"/>
        </w:rPr>
        <w:t>limited</w:t>
      </w:r>
      <w:r w:rsidRPr="00FA288E">
        <w:rPr>
          <w:rFonts w:ascii="Calibri" w:hAnsi="Calibri" w:cs="Calibri"/>
          <w:sz w:val="21"/>
          <w:szCs w:val="21"/>
        </w:rPr>
        <w:t xml:space="preserve"> to </w:t>
      </w:r>
      <w:r w:rsidR="00BD3D38" w:rsidRPr="00FA288E">
        <w:rPr>
          <w:rFonts w:ascii="Calibri" w:hAnsi="Calibri" w:cs="Calibri"/>
          <w:sz w:val="21"/>
          <w:szCs w:val="21"/>
        </w:rPr>
        <w:t>investigating</w:t>
      </w:r>
      <w:r w:rsidRPr="00FA288E">
        <w:rPr>
          <w:rFonts w:ascii="Calibri" w:hAnsi="Calibri" w:cs="Calibri"/>
          <w:sz w:val="21"/>
          <w:szCs w:val="21"/>
        </w:rPr>
        <w:t xml:space="preserve"> the three PPF Education Grants</w:t>
      </w:r>
      <w:r w:rsidR="00BD3D38" w:rsidRPr="00FA288E">
        <w:rPr>
          <w:rFonts w:ascii="Calibri" w:hAnsi="Calibri" w:cs="Calibri"/>
          <w:sz w:val="21"/>
          <w:szCs w:val="21"/>
        </w:rPr>
        <w:t xml:space="preserve"> (not the PPF Health Grants)</w:t>
      </w:r>
      <w:r w:rsidRPr="00FA288E">
        <w:rPr>
          <w:rFonts w:ascii="Calibri" w:hAnsi="Calibri" w:cs="Calibri"/>
          <w:sz w:val="21"/>
          <w:szCs w:val="21"/>
        </w:rPr>
        <w:t xml:space="preserve">. The review </w:t>
      </w:r>
      <w:r w:rsidR="008F450F" w:rsidRPr="00FA288E">
        <w:rPr>
          <w:rFonts w:ascii="Calibri" w:hAnsi="Calibri" w:cs="Calibri"/>
          <w:sz w:val="21"/>
          <w:szCs w:val="21"/>
        </w:rPr>
        <w:t>did not</w:t>
      </w:r>
      <w:r w:rsidRPr="00FA288E">
        <w:rPr>
          <w:rFonts w:ascii="Calibri" w:hAnsi="Calibri" w:cs="Calibri"/>
          <w:sz w:val="21"/>
          <w:szCs w:val="21"/>
        </w:rPr>
        <w:t xml:space="preserve"> </w:t>
      </w:r>
      <w:r w:rsidR="00BD3D38" w:rsidRPr="00FA288E">
        <w:rPr>
          <w:rFonts w:ascii="Calibri" w:hAnsi="Calibri" w:cs="Calibri"/>
          <w:sz w:val="21"/>
          <w:szCs w:val="21"/>
        </w:rPr>
        <w:t>compare</w:t>
      </w:r>
      <w:r w:rsidRPr="00FA288E">
        <w:rPr>
          <w:rFonts w:ascii="Calibri" w:hAnsi="Calibri" w:cs="Calibri"/>
          <w:sz w:val="21"/>
          <w:szCs w:val="21"/>
        </w:rPr>
        <w:t xml:space="preserve"> global education systems and delivery modalities. While the review </w:t>
      </w:r>
      <w:r w:rsidR="00616A73" w:rsidRPr="00FA288E">
        <w:rPr>
          <w:rFonts w:ascii="Calibri" w:hAnsi="Calibri" w:cs="Calibri"/>
          <w:sz w:val="21"/>
          <w:szCs w:val="21"/>
        </w:rPr>
        <w:t>considers</w:t>
      </w:r>
      <w:r w:rsidRPr="00FA288E">
        <w:rPr>
          <w:rFonts w:ascii="Calibri" w:hAnsi="Calibri" w:cs="Calibri"/>
          <w:sz w:val="21"/>
          <w:szCs w:val="21"/>
        </w:rPr>
        <w:t xml:space="preserve"> aspects of implementation efficiency, it </w:t>
      </w:r>
      <w:r w:rsidR="00616A73" w:rsidRPr="00FA288E">
        <w:rPr>
          <w:rFonts w:ascii="Calibri" w:hAnsi="Calibri" w:cs="Calibri"/>
          <w:sz w:val="21"/>
          <w:szCs w:val="21"/>
        </w:rPr>
        <w:t>does not</w:t>
      </w:r>
      <w:r w:rsidRPr="00FA288E">
        <w:rPr>
          <w:rFonts w:ascii="Calibri" w:hAnsi="Calibri" w:cs="Calibri"/>
          <w:sz w:val="21"/>
          <w:szCs w:val="21"/>
        </w:rPr>
        <w:t xml:space="preserve"> include in-depth assessments of </w:t>
      </w:r>
      <w:r w:rsidR="00BD3D38" w:rsidRPr="00FA288E">
        <w:rPr>
          <w:rFonts w:ascii="Calibri" w:hAnsi="Calibri" w:cs="Calibri"/>
          <w:sz w:val="21"/>
          <w:szCs w:val="21"/>
        </w:rPr>
        <w:t xml:space="preserve">grantees’ </w:t>
      </w:r>
      <w:r w:rsidRPr="00FA288E">
        <w:rPr>
          <w:rFonts w:ascii="Calibri" w:hAnsi="Calibri" w:cs="Calibri"/>
          <w:sz w:val="21"/>
          <w:szCs w:val="21"/>
        </w:rPr>
        <w:t xml:space="preserve">organisational capacity /financial management. </w:t>
      </w:r>
      <w:r w:rsidR="00616A73" w:rsidRPr="00FA288E">
        <w:rPr>
          <w:rFonts w:ascii="Calibri" w:hAnsi="Calibri" w:cs="Calibri"/>
          <w:sz w:val="21"/>
          <w:szCs w:val="21"/>
        </w:rPr>
        <w:t>T</w:t>
      </w:r>
      <w:r w:rsidRPr="00FA288E">
        <w:rPr>
          <w:rFonts w:ascii="Calibri" w:hAnsi="Calibri" w:cs="Calibri"/>
          <w:sz w:val="21"/>
          <w:szCs w:val="21"/>
        </w:rPr>
        <w:t xml:space="preserve">his area may be the focus of a separate review of the PPF mechanism itself to be undertaken by Australian Government.  </w:t>
      </w:r>
    </w:p>
    <w:p w14:paraId="67757FA1" w14:textId="77777777" w:rsidR="00D27C07" w:rsidRPr="00FA288E" w:rsidRDefault="00993B0A" w:rsidP="006A4429">
      <w:pPr>
        <w:pStyle w:val="BodyText"/>
        <w:spacing w:after="80" w:line="240" w:lineRule="auto"/>
        <w:rPr>
          <w:rFonts w:ascii="Calibri" w:hAnsi="Calibri" w:cs="Calibri"/>
          <w:sz w:val="21"/>
          <w:szCs w:val="21"/>
        </w:rPr>
      </w:pPr>
      <w:r w:rsidRPr="00FA288E">
        <w:rPr>
          <w:rFonts w:ascii="Calibri" w:hAnsi="Calibri" w:cs="Calibri"/>
          <w:sz w:val="21"/>
          <w:szCs w:val="21"/>
        </w:rPr>
        <w:t>Considering time limitations, t</w:t>
      </w:r>
      <w:r w:rsidR="00D27C07" w:rsidRPr="00FA288E">
        <w:rPr>
          <w:rFonts w:ascii="Calibri" w:hAnsi="Calibri" w:cs="Calibri"/>
          <w:sz w:val="21"/>
          <w:szCs w:val="21"/>
        </w:rPr>
        <w:t xml:space="preserve">he review </w:t>
      </w:r>
      <w:r w:rsidRPr="00FA288E">
        <w:rPr>
          <w:rFonts w:ascii="Calibri" w:hAnsi="Calibri" w:cs="Calibri"/>
          <w:sz w:val="21"/>
          <w:szCs w:val="21"/>
        </w:rPr>
        <w:t>limited</w:t>
      </w:r>
      <w:r w:rsidR="00D27C07" w:rsidRPr="00FA288E">
        <w:rPr>
          <w:rFonts w:ascii="Calibri" w:hAnsi="Calibri" w:cs="Calibri"/>
          <w:sz w:val="21"/>
          <w:szCs w:val="21"/>
        </w:rPr>
        <w:t xml:space="preserve"> fieldwork to three </w:t>
      </w:r>
      <w:r w:rsidR="008F450F" w:rsidRPr="00FA288E">
        <w:rPr>
          <w:rFonts w:ascii="Calibri" w:hAnsi="Calibri" w:cs="Calibri"/>
          <w:sz w:val="21"/>
          <w:szCs w:val="21"/>
        </w:rPr>
        <w:t>p</w:t>
      </w:r>
      <w:r w:rsidR="00D27C07" w:rsidRPr="00FA288E">
        <w:rPr>
          <w:rFonts w:ascii="Calibri" w:hAnsi="Calibri" w:cs="Calibri"/>
          <w:sz w:val="21"/>
          <w:szCs w:val="21"/>
        </w:rPr>
        <w:t>rovinces, namely East Sepik (RISE), Central (T4E) and Western Highlands (PKS).</w:t>
      </w:r>
      <w:r w:rsidR="00D27C07" w:rsidRPr="00FA288E">
        <w:rPr>
          <w:rStyle w:val="FootnoteReference"/>
          <w:rFonts w:ascii="Calibri" w:hAnsi="Calibri" w:cs="Calibri"/>
          <w:sz w:val="21"/>
          <w:szCs w:val="21"/>
        </w:rPr>
        <w:footnoteReference w:id="8"/>
      </w:r>
      <w:r w:rsidR="00D27C07" w:rsidRPr="00FA288E">
        <w:rPr>
          <w:rFonts w:ascii="Calibri" w:hAnsi="Calibri" w:cs="Calibri"/>
          <w:sz w:val="21"/>
          <w:szCs w:val="21"/>
        </w:rPr>
        <w:t xml:space="preserve"> Th</w:t>
      </w:r>
      <w:r w:rsidRPr="00FA288E">
        <w:rPr>
          <w:rFonts w:ascii="Calibri" w:hAnsi="Calibri" w:cs="Calibri"/>
          <w:sz w:val="21"/>
          <w:szCs w:val="21"/>
        </w:rPr>
        <w:t xml:space="preserve">is </w:t>
      </w:r>
      <w:r w:rsidR="00D27C07" w:rsidRPr="00FA288E">
        <w:rPr>
          <w:rFonts w:ascii="Calibri" w:hAnsi="Calibri" w:cs="Calibri"/>
          <w:sz w:val="21"/>
          <w:szCs w:val="21"/>
        </w:rPr>
        <w:t xml:space="preserve">allowed for </w:t>
      </w:r>
      <w:r w:rsidRPr="00FA288E">
        <w:rPr>
          <w:rFonts w:ascii="Calibri" w:hAnsi="Calibri" w:cs="Calibri"/>
          <w:sz w:val="21"/>
          <w:szCs w:val="21"/>
        </w:rPr>
        <w:t xml:space="preserve">a </w:t>
      </w:r>
      <w:r w:rsidR="00D27C07" w:rsidRPr="00FA288E">
        <w:rPr>
          <w:rFonts w:ascii="Calibri" w:hAnsi="Calibri" w:cs="Calibri"/>
          <w:sz w:val="21"/>
          <w:szCs w:val="21"/>
        </w:rPr>
        <w:t>basic exploration of the contexts, mechanisms and approaches used by each grantee to contribute to the attainment of their respective outcomes.</w:t>
      </w:r>
    </w:p>
    <w:p w14:paraId="21AE4351" w14:textId="7A12D380" w:rsidR="00DB6600" w:rsidRPr="00FA288E" w:rsidRDefault="00BD3D38" w:rsidP="006A4429">
      <w:pPr>
        <w:pStyle w:val="BodyText"/>
        <w:spacing w:after="80" w:line="240" w:lineRule="auto"/>
        <w:rPr>
          <w:rFonts w:ascii="Calibri" w:hAnsi="Calibri" w:cs="Calibri"/>
          <w:sz w:val="21"/>
          <w:szCs w:val="21"/>
        </w:rPr>
      </w:pPr>
      <w:r w:rsidRPr="00FA288E">
        <w:rPr>
          <w:rFonts w:ascii="Calibri" w:hAnsi="Calibri" w:cs="Calibri"/>
          <w:sz w:val="21"/>
          <w:szCs w:val="21"/>
        </w:rPr>
        <w:t>HDMES conducted a</w:t>
      </w:r>
      <w:r w:rsidR="00D11615" w:rsidRPr="00FA288E">
        <w:rPr>
          <w:rFonts w:ascii="Calibri" w:hAnsi="Calibri" w:cs="Calibri"/>
          <w:sz w:val="21"/>
          <w:szCs w:val="21"/>
        </w:rPr>
        <w:t xml:space="preserve"> workshop to validate the preliminary review findings and a presentation of the draft Aide-Memoire </w:t>
      </w:r>
      <w:r w:rsidR="003C1678" w:rsidRPr="00FA288E">
        <w:rPr>
          <w:rFonts w:ascii="Calibri" w:hAnsi="Calibri" w:cs="Calibri"/>
          <w:sz w:val="21"/>
          <w:szCs w:val="21"/>
        </w:rPr>
        <w:t>(</w:t>
      </w:r>
      <w:hyperlink w:anchor="_Annex_C:_Aide-Memoire" w:history="1">
        <w:r w:rsidR="003C1678" w:rsidRPr="00FA288E">
          <w:rPr>
            <w:rStyle w:val="Hyperlink"/>
            <w:rFonts w:ascii="Calibri" w:hAnsi="Calibri" w:cs="Calibri"/>
            <w:b/>
            <w:bCs/>
            <w:i/>
            <w:iCs/>
            <w:sz w:val="21"/>
            <w:szCs w:val="21"/>
          </w:rPr>
          <w:t>Annex C</w:t>
        </w:r>
      </w:hyperlink>
      <w:r w:rsidR="003C1678" w:rsidRPr="00FA288E">
        <w:rPr>
          <w:rFonts w:ascii="Calibri" w:hAnsi="Calibri" w:cs="Calibri"/>
          <w:sz w:val="21"/>
          <w:szCs w:val="21"/>
        </w:rPr>
        <w:t xml:space="preserve">) </w:t>
      </w:r>
      <w:r w:rsidR="00D11615" w:rsidRPr="00FA288E">
        <w:rPr>
          <w:rFonts w:ascii="Calibri" w:hAnsi="Calibri" w:cs="Calibri"/>
          <w:sz w:val="21"/>
          <w:szCs w:val="21"/>
        </w:rPr>
        <w:t xml:space="preserve">on 25 November 2019. </w:t>
      </w:r>
      <w:r w:rsidR="00D27C07" w:rsidRPr="00FA288E">
        <w:rPr>
          <w:rFonts w:ascii="Calibri" w:hAnsi="Calibri" w:cs="Calibri"/>
          <w:sz w:val="21"/>
          <w:szCs w:val="21"/>
        </w:rPr>
        <w:t xml:space="preserve">The </w:t>
      </w:r>
      <w:r w:rsidRPr="00FA288E">
        <w:rPr>
          <w:rFonts w:ascii="Calibri" w:hAnsi="Calibri" w:cs="Calibri"/>
          <w:sz w:val="21"/>
          <w:szCs w:val="21"/>
        </w:rPr>
        <w:t xml:space="preserve">review </w:t>
      </w:r>
      <w:r w:rsidR="00AC247A" w:rsidRPr="00FA288E">
        <w:rPr>
          <w:rFonts w:ascii="Calibri" w:hAnsi="Calibri" w:cs="Calibri"/>
          <w:sz w:val="21"/>
          <w:szCs w:val="21"/>
        </w:rPr>
        <w:t>findings are discussed</w:t>
      </w:r>
      <w:r w:rsidR="00D27C07" w:rsidRPr="00FA288E">
        <w:rPr>
          <w:rFonts w:ascii="Calibri" w:hAnsi="Calibri" w:cs="Calibri"/>
          <w:sz w:val="21"/>
          <w:szCs w:val="21"/>
        </w:rPr>
        <w:t xml:space="preserve"> in Section 3</w:t>
      </w:r>
      <w:r w:rsidR="00AC247A" w:rsidRPr="00FA288E">
        <w:rPr>
          <w:rFonts w:ascii="Calibri" w:hAnsi="Calibri" w:cs="Calibri"/>
          <w:sz w:val="21"/>
          <w:szCs w:val="21"/>
        </w:rPr>
        <w:t xml:space="preserve"> of this report.</w:t>
      </w:r>
    </w:p>
    <w:p w14:paraId="35594F9F" w14:textId="77777777" w:rsidR="00C53B7C" w:rsidRPr="00FA288E" w:rsidRDefault="00C53B7C" w:rsidP="00FF62CC">
      <w:pPr>
        <w:pStyle w:val="ListParagraph"/>
        <w:keepNext/>
        <w:keepLines/>
        <w:numPr>
          <w:ilvl w:val="0"/>
          <w:numId w:val="60"/>
        </w:numPr>
        <w:spacing w:after="80" w:line="240" w:lineRule="auto"/>
        <w:contextualSpacing w:val="0"/>
        <w:outlineLvl w:val="0"/>
        <w:rPr>
          <w:rFonts w:ascii="Calibri" w:eastAsiaTheme="majorEastAsia" w:hAnsi="Calibri" w:cstheme="majorBidi"/>
          <w:vanish/>
          <w:color w:val="000000" w:themeColor="text1"/>
          <w:sz w:val="28"/>
          <w:szCs w:val="30"/>
          <w:lang w:val="en-AU" w:eastAsia="en-US"/>
        </w:rPr>
      </w:pPr>
      <w:bookmarkStart w:id="16" w:name="_Toc26998565"/>
      <w:bookmarkStart w:id="17" w:name="_Toc27048783"/>
      <w:bookmarkStart w:id="18" w:name="_Toc27049439"/>
      <w:bookmarkStart w:id="19" w:name="_Toc27049529"/>
      <w:bookmarkStart w:id="20" w:name="_Toc27049588"/>
      <w:bookmarkStart w:id="21" w:name="_Toc27049641"/>
      <w:bookmarkStart w:id="22" w:name="_Toc30914656"/>
      <w:bookmarkStart w:id="23" w:name="_Toc31274032"/>
      <w:bookmarkStart w:id="24" w:name="_Toc31274491"/>
      <w:bookmarkStart w:id="25" w:name="_Toc31291230"/>
      <w:bookmarkStart w:id="26" w:name="_Toc31291282"/>
      <w:bookmarkStart w:id="27" w:name="_Toc31291334"/>
      <w:bookmarkStart w:id="28" w:name="_Toc31606235"/>
      <w:bookmarkStart w:id="29" w:name="_Toc31626907"/>
      <w:bookmarkStart w:id="30" w:name="_Toc31635580"/>
      <w:bookmarkStart w:id="31" w:name="_Toc31635656"/>
      <w:bookmarkStart w:id="32" w:name="_Toc31625580"/>
      <w:bookmarkStart w:id="33" w:name="_Toc42075961"/>
      <w:bookmarkStart w:id="34" w:name="_Toc2691435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E504E65" w14:textId="77777777" w:rsidR="00156A60" w:rsidRPr="00FA288E" w:rsidRDefault="00C44925" w:rsidP="00466656">
      <w:pPr>
        <w:pStyle w:val="Heading1"/>
        <w:spacing w:before="0" w:after="80" w:line="240" w:lineRule="auto"/>
        <w:ind w:left="540" w:hanging="522"/>
      </w:pPr>
      <w:bookmarkStart w:id="35" w:name="_Toc31625581"/>
      <w:bookmarkStart w:id="36" w:name="_Toc42075962"/>
      <w:r w:rsidRPr="00FA288E">
        <w:t>Context</w:t>
      </w:r>
      <w:bookmarkEnd w:id="34"/>
      <w:bookmarkEnd w:id="35"/>
      <w:bookmarkEnd w:id="36"/>
    </w:p>
    <w:p w14:paraId="29DC450C" w14:textId="41D12819" w:rsidR="00046165" w:rsidRPr="00FA288E" w:rsidRDefault="00156A60" w:rsidP="006A4429">
      <w:pPr>
        <w:pStyle w:val="BodyText"/>
        <w:spacing w:after="80" w:line="240" w:lineRule="auto"/>
        <w:rPr>
          <w:rFonts w:ascii="Calibri" w:hAnsi="Calibri" w:cs="Calibri"/>
          <w:sz w:val="21"/>
          <w:szCs w:val="21"/>
        </w:rPr>
      </w:pPr>
      <w:r w:rsidRPr="00FA288E">
        <w:rPr>
          <w:rFonts w:ascii="Calibri" w:hAnsi="Calibri" w:cs="Calibri"/>
          <w:sz w:val="21"/>
          <w:szCs w:val="21"/>
        </w:rPr>
        <w:t xml:space="preserve">Papua New Guinea </w:t>
      </w:r>
      <w:r w:rsidR="008F450F" w:rsidRPr="00FA288E">
        <w:rPr>
          <w:rFonts w:ascii="Calibri" w:hAnsi="Calibri" w:cs="Calibri"/>
          <w:sz w:val="21"/>
          <w:szCs w:val="21"/>
        </w:rPr>
        <w:t xml:space="preserve">(PNG) </w:t>
      </w:r>
      <w:r w:rsidRPr="00FA288E">
        <w:rPr>
          <w:rFonts w:ascii="Calibri" w:hAnsi="Calibri" w:cs="Calibri"/>
          <w:sz w:val="21"/>
          <w:szCs w:val="21"/>
        </w:rPr>
        <w:t>and Australia have a long history in development cooperation. Australia’s Foreign Policy White Paper (2017) emphasise</w:t>
      </w:r>
      <w:r w:rsidR="00C44925" w:rsidRPr="00FA288E">
        <w:rPr>
          <w:rFonts w:ascii="Calibri" w:hAnsi="Calibri" w:cs="Calibri"/>
          <w:sz w:val="21"/>
          <w:szCs w:val="21"/>
        </w:rPr>
        <w:t>s</w:t>
      </w:r>
      <w:r w:rsidRPr="00FA288E">
        <w:rPr>
          <w:rFonts w:ascii="Calibri" w:hAnsi="Calibri" w:cs="Calibri"/>
          <w:sz w:val="21"/>
          <w:szCs w:val="21"/>
        </w:rPr>
        <w:t xml:space="preserve"> the importance of working with partner government’s policy frameworks and systems and t</w:t>
      </w:r>
      <w:r w:rsidR="00C44925" w:rsidRPr="00FA288E">
        <w:rPr>
          <w:rFonts w:ascii="Calibri" w:hAnsi="Calibri" w:cs="Calibri"/>
          <w:sz w:val="21"/>
          <w:szCs w:val="21"/>
        </w:rPr>
        <w:t xml:space="preserve">o </w:t>
      </w:r>
      <w:r w:rsidRPr="00FA288E">
        <w:rPr>
          <w:rFonts w:ascii="Calibri" w:hAnsi="Calibri" w:cs="Calibri"/>
          <w:sz w:val="21"/>
          <w:szCs w:val="21"/>
        </w:rPr>
        <w:t>strengthen people</w:t>
      </w:r>
      <w:r w:rsidR="00A23D29" w:rsidRPr="00FA288E">
        <w:rPr>
          <w:rFonts w:ascii="Calibri" w:hAnsi="Calibri" w:cs="Calibri"/>
          <w:sz w:val="21"/>
          <w:szCs w:val="21"/>
        </w:rPr>
        <w:t>-</w:t>
      </w:r>
      <w:r w:rsidRPr="00FA288E">
        <w:rPr>
          <w:rFonts w:ascii="Calibri" w:hAnsi="Calibri" w:cs="Calibri"/>
          <w:sz w:val="21"/>
          <w:szCs w:val="21"/>
        </w:rPr>
        <w:t>to</w:t>
      </w:r>
      <w:r w:rsidR="00A23D29" w:rsidRPr="00FA288E">
        <w:rPr>
          <w:rFonts w:ascii="Calibri" w:hAnsi="Calibri" w:cs="Calibri"/>
          <w:sz w:val="21"/>
          <w:szCs w:val="21"/>
        </w:rPr>
        <w:t>-</w:t>
      </w:r>
      <w:r w:rsidRPr="00FA288E">
        <w:rPr>
          <w:rFonts w:ascii="Calibri" w:hAnsi="Calibri" w:cs="Calibri"/>
          <w:sz w:val="21"/>
          <w:szCs w:val="21"/>
        </w:rPr>
        <w:t xml:space="preserve">people links, leadership </w:t>
      </w:r>
      <w:r w:rsidR="00340801" w:rsidRPr="00FA288E">
        <w:rPr>
          <w:rFonts w:ascii="Calibri" w:hAnsi="Calibri" w:cs="Calibri"/>
          <w:sz w:val="21"/>
          <w:szCs w:val="21"/>
        </w:rPr>
        <w:t>ability</w:t>
      </w:r>
      <w:r w:rsidRPr="00FA288E">
        <w:rPr>
          <w:rFonts w:ascii="Calibri" w:hAnsi="Calibri" w:cs="Calibri"/>
          <w:sz w:val="21"/>
          <w:szCs w:val="21"/>
        </w:rPr>
        <w:t xml:space="preserve">, and </w:t>
      </w:r>
      <w:r w:rsidR="00F02803" w:rsidRPr="00FA288E">
        <w:rPr>
          <w:rFonts w:ascii="Calibri" w:hAnsi="Calibri" w:cs="Calibri"/>
          <w:sz w:val="21"/>
          <w:szCs w:val="21"/>
        </w:rPr>
        <w:t>enhance skills</w:t>
      </w:r>
      <w:r w:rsidRPr="00FA288E">
        <w:rPr>
          <w:rFonts w:ascii="Calibri" w:hAnsi="Calibri" w:cs="Calibri"/>
          <w:sz w:val="21"/>
          <w:szCs w:val="21"/>
        </w:rPr>
        <w:t xml:space="preserve"> to support human development</w:t>
      </w:r>
      <w:r w:rsidR="00BD3D38" w:rsidRPr="00FA288E">
        <w:rPr>
          <w:rFonts w:ascii="Calibri" w:hAnsi="Calibri" w:cs="Calibri"/>
          <w:sz w:val="21"/>
          <w:szCs w:val="21"/>
        </w:rPr>
        <w:t xml:space="preserve"> outcomes</w:t>
      </w:r>
      <w:r w:rsidRPr="00FA288E">
        <w:rPr>
          <w:rFonts w:ascii="Calibri" w:hAnsi="Calibri" w:cs="Calibri"/>
          <w:sz w:val="21"/>
          <w:szCs w:val="21"/>
        </w:rPr>
        <w:t>. Both countries have an interest in maximising PNG’s human and economic potential</w:t>
      </w:r>
      <w:r w:rsidR="00C44925" w:rsidRPr="00FA288E">
        <w:rPr>
          <w:rFonts w:ascii="Calibri" w:hAnsi="Calibri" w:cs="Calibri"/>
          <w:sz w:val="21"/>
          <w:szCs w:val="21"/>
        </w:rPr>
        <w:t xml:space="preserve"> and </w:t>
      </w:r>
      <w:r w:rsidR="00A23D29" w:rsidRPr="00FA288E">
        <w:rPr>
          <w:rFonts w:ascii="Calibri" w:hAnsi="Calibri" w:cs="Calibri"/>
          <w:sz w:val="21"/>
          <w:szCs w:val="21"/>
        </w:rPr>
        <w:t xml:space="preserve">in </w:t>
      </w:r>
      <w:r w:rsidRPr="00FA288E">
        <w:rPr>
          <w:rFonts w:ascii="Calibri" w:hAnsi="Calibri" w:cs="Calibri"/>
          <w:sz w:val="21"/>
          <w:szCs w:val="21"/>
        </w:rPr>
        <w:t>i</w:t>
      </w:r>
      <w:r w:rsidR="00C44925" w:rsidRPr="00FA288E">
        <w:rPr>
          <w:rFonts w:ascii="Calibri" w:hAnsi="Calibri" w:cs="Calibri"/>
          <w:sz w:val="21"/>
          <w:szCs w:val="21"/>
        </w:rPr>
        <w:t>mproving PNG’s</w:t>
      </w:r>
      <w:r w:rsidRPr="00FA288E">
        <w:rPr>
          <w:rFonts w:ascii="Calibri" w:hAnsi="Calibri" w:cs="Calibri"/>
          <w:sz w:val="21"/>
          <w:szCs w:val="21"/>
        </w:rPr>
        <w:t xml:space="preserve"> </w:t>
      </w:r>
      <w:r w:rsidRPr="00FA288E">
        <w:rPr>
          <w:rFonts w:ascii="Calibri" w:hAnsi="Calibri" w:cs="Calibri"/>
          <w:i/>
          <w:sz w:val="21"/>
          <w:szCs w:val="21"/>
        </w:rPr>
        <w:t xml:space="preserve">Human Development Index </w:t>
      </w:r>
      <w:r w:rsidRPr="00FA288E">
        <w:rPr>
          <w:rFonts w:ascii="Calibri" w:hAnsi="Calibri" w:cs="Calibri"/>
          <w:sz w:val="21"/>
          <w:szCs w:val="21"/>
        </w:rPr>
        <w:t>ranking</w:t>
      </w:r>
      <w:r w:rsidR="00A23D29" w:rsidRPr="00FA288E">
        <w:rPr>
          <w:rFonts w:ascii="Calibri" w:hAnsi="Calibri" w:cs="Calibri"/>
          <w:sz w:val="21"/>
          <w:szCs w:val="21"/>
        </w:rPr>
        <w:t>.</w:t>
      </w:r>
      <w:r w:rsidRPr="00FA288E">
        <w:rPr>
          <w:rStyle w:val="FootnoteReference"/>
          <w:rFonts w:ascii="Calibri" w:hAnsi="Calibri" w:cs="Calibri"/>
          <w:sz w:val="21"/>
          <w:szCs w:val="21"/>
        </w:rPr>
        <w:footnoteReference w:id="9"/>
      </w:r>
      <w:r w:rsidRPr="00FA288E">
        <w:rPr>
          <w:rFonts w:ascii="Calibri" w:hAnsi="Calibri" w:cs="Calibri"/>
          <w:sz w:val="21"/>
          <w:szCs w:val="21"/>
        </w:rPr>
        <w:t xml:space="preserve"> </w:t>
      </w:r>
    </w:p>
    <w:p w14:paraId="0251945C" w14:textId="77777777" w:rsidR="00156A60" w:rsidRPr="00FA288E" w:rsidRDefault="00156A60" w:rsidP="006A4429">
      <w:pPr>
        <w:pStyle w:val="BodyText"/>
        <w:spacing w:after="80" w:line="240" w:lineRule="auto"/>
        <w:rPr>
          <w:rFonts w:ascii="Calibri" w:hAnsi="Calibri" w:cs="Calibri"/>
          <w:sz w:val="21"/>
          <w:szCs w:val="21"/>
        </w:rPr>
      </w:pPr>
      <w:r w:rsidRPr="00FA288E">
        <w:rPr>
          <w:rFonts w:ascii="Calibri" w:hAnsi="Calibri" w:cs="Calibri"/>
          <w:sz w:val="21"/>
          <w:szCs w:val="21"/>
        </w:rPr>
        <w:t>Among other investment</w:t>
      </w:r>
      <w:r w:rsidR="00C44925" w:rsidRPr="00FA288E">
        <w:rPr>
          <w:rFonts w:ascii="Calibri" w:hAnsi="Calibri" w:cs="Calibri"/>
          <w:sz w:val="21"/>
          <w:szCs w:val="21"/>
        </w:rPr>
        <w:t>s</w:t>
      </w:r>
      <w:r w:rsidRPr="00FA288E">
        <w:rPr>
          <w:rFonts w:ascii="Calibri" w:hAnsi="Calibri" w:cs="Calibri"/>
          <w:sz w:val="21"/>
          <w:szCs w:val="21"/>
        </w:rPr>
        <w:t xml:space="preserve">, Australia is assisting PNG to improve </w:t>
      </w:r>
      <w:r w:rsidR="002844A9" w:rsidRPr="00FA288E">
        <w:rPr>
          <w:rFonts w:ascii="Calibri" w:hAnsi="Calibri" w:cs="Calibri"/>
          <w:sz w:val="21"/>
          <w:szCs w:val="21"/>
        </w:rPr>
        <w:t xml:space="preserve">its </w:t>
      </w:r>
      <w:r w:rsidRPr="00FA288E">
        <w:rPr>
          <w:rFonts w:ascii="Calibri" w:hAnsi="Calibri" w:cs="Calibri"/>
          <w:sz w:val="21"/>
          <w:szCs w:val="21"/>
        </w:rPr>
        <w:t>education system and leadership capa</w:t>
      </w:r>
      <w:r w:rsidR="0064493A" w:rsidRPr="00FA288E">
        <w:rPr>
          <w:rFonts w:ascii="Calibri" w:hAnsi="Calibri" w:cs="Calibri"/>
          <w:sz w:val="21"/>
          <w:szCs w:val="21"/>
        </w:rPr>
        <w:t>cit</w:t>
      </w:r>
      <w:r w:rsidRPr="00FA288E">
        <w:rPr>
          <w:rFonts w:ascii="Calibri" w:hAnsi="Calibri" w:cs="Calibri"/>
          <w:sz w:val="21"/>
          <w:szCs w:val="21"/>
        </w:rPr>
        <w:t xml:space="preserve">y </w:t>
      </w:r>
      <w:r w:rsidR="00C44925" w:rsidRPr="00FA288E">
        <w:rPr>
          <w:rFonts w:ascii="Calibri" w:hAnsi="Calibri" w:cs="Calibri"/>
          <w:sz w:val="21"/>
          <w:szCs w:val="21"/>
        </w:rPr>
        <w:t xml:space="preserve">to </w:t>
      </w:r>
      <w:r w:rsidRPr="00FA288E">
        <w:rPr>
          <w:rFonts w:ascii="Calibri" w:hAnsi="Calibri" w:cs="Calibri"/>
          <w:sz w:val="21"/>
          <w:szCs w:val="21"/>
        </w:rPr>
        <w:t>enabl</w:t>
      </w:r>
      <w:r w:rsidR="00C44925" w:rsidRPr="00FA288E">
        <w:rPr>
          <w:rFonts w:ascii="Calibri" w:hAnsi="Calibri" w:cs="Calibri"/>
          <w:sz w:val="21"/>
          <w:szCs w:val="21"/>
        </w:rPr>
        <w:t>e</w:t>
      </w:r>
      <w:r w:rsidR="002844A9" w:rsidRPr="00FA288E">
        <w:rPr>
          <w:rFonts w:ascii="Calibri" w:hAnsi="Calibri" w:cs="Calibri"/>
          <w:sz w:val="21"/>
          <w:szCs w:val="21"/>
        </w:rPr>
        <w:t xml:space="preserve"> all Papua New Guinean people</w:t>
      </w:r>
      <w:r w:rsidRPr="00FA288E">
        <w:rPr>
          <w:rFonts w:ascii="Calibri" w:hAnsi="Calibri" w:cs="Calibri"/>
          <w:sz w:val="21"/>
          <w:szCs w:val="21"/>
        </w:rPr>
        <w:t xml:space="preserve"> to participate more effectively in a modern economy</w:t>
      </w:r>
      <w:r w:rsidR="00CC26E1" w:rsidRPr="00FA288E">
        <w:rPr>
          <w:rFonts w:ascii="Calibri" w:hAnsi="Calibri" w:cs="Calibri"/>
          <w:sz w:val="21"/>
          <w:szCs w:val="21"/>
        </w:rPr>
        <w:t xml:space="preserve"> and </w:t>
      </w:r>
      <w:r w:rsidR="00A23D29" w:rsidRPr="00FA288E">
        <w:rPr>
          <w:rFonts w:ascii="Calibri" w:hAnsi="Calibri" w:cs="Calibri"/>
          <w:sz w:val="21"/>
          <w:szCs w:val="21"/>
        </w:rPr>
        <w:t xml:space="preserve">to </w:t>
      </w:r>
      <w:r w:rsidRPr="00FA288E">
        <w:rPr>
          <w:rFonts w:ascii="Calibri" w:hAnsi="Calibri" w:cs="Calibri"/>
          <w:sz w:val="21"/>
          <w:szCs w:val="21"/>
        </w:rPr>
        <w:t xml:space="preserve">enjoy the </w:t>
      </w:r>
      <w:r w:rsidR="004A7BF2" w:rsidRPr="00FA288E">
        <w:rPr>
          <w:rFonts w:ascii="Calibri" w:hAnsi="Calibri" w:cs="Calibri"/>
          <w:sz w:val="21"/>
          <w:szCs w:val="21"/>
        </w:rPr>
        <w:t>b</w:t>
      </w:r>
      <w:r w:rsidRPr="00FA288E">
        <w:rPr>
          <w:rFonts w:ascii="Calibri" w:hAnsi="Calibri" w:cs="Calibri"/>
          <w:sz w:val="21"/>
          <w:szCs w:val="21"/>
        </w:rPr>
        <w:t>enefits of improved education opportunities.</w:t>
      </w:r>
    </w:p>
    <w:p w14:paraId="0EB54D57" w14:textId="77777777" w:rsidR="00156A60" w:rsidRPr="00FA288E" w:rsidRDefault="00156A60" w:rsidP="006A4429">
      <w:pPr>
        <w:pStyle w:val="BodyText"/>
        <w:spacing w:after="80" w:line="240" w:lineRule="auto"/>
        <w:rPr>
          <w:rFonts w:ascii="Calibri" w:hAnsi="Calibri" w:cs="Calibri"/>
          <w:sz w:val="21"/>
          <w:szCs w:val="21"/>
        </w:rPr>
      </w:pPr>
      <w:r w:rsidRPr="00FA288E">
        <w:rPr>
          <w:rFonts w:ascii="Calibri" w:hAnsi="Calibri" w:cs="Calibri"/>
          <w:sz w:val="21"/>
          <w:szCs w:val="21"/>
        </w:rPr>
        <w:t xml:space="preserve">To strengthen the education sector, the PNG government has embarked on </w:t>
      </w:r>
      <w:r w:rsidR="00CC26E1" w:rsidRPr="00FA288E">
        <w:rPr>
          <w:rFonts w:ascii="Calibri" w:hAnsi="Calibri" w:cs="Calibri"/>
          <w:sz w:val="21"/>
          <w:szCs w:val="21"/>
        </w:rPr>
        <w:t xml:space="preserve">several </w:t>
      </w:r>
      <w:r w:rsidRPr="00FA288E">
        <w:rPr>
          <w:rFonts w:ascii="Calibri" w:hAnsi="Calibri" w:cs="Calibri"/>
          <w:sz w:val="21"/>
          <w:szCs w:val="21"/>
        </w:rPr>
        <w:t>reforms</w:t>
      </w:r>
      <w:r w:rsidR="00CC26E1" w:rsidRPr="00FA288E">
        <w:rPr>
          <w:rFonts w:ascii="Calibri" w:hAnsi="Calibri" w:cs="Calibri"/>
          <w:sz w:val="21"/>
          <w:szCs w:val="21"/>
        </w:rPr>
        <w:t xml:space="preserve"> in recent years</w:t>
      </w:r>
      <w:r w:rsidRPr="00FA288E">
        <w:rPr>
          <w:rFonts w:ascii="Calibri" w:hAnsi="Calibri" w:cs="Calibri"/>
          <w:sz w:val="21"/>
          <w:szCs w:val="21"/>
        </w:rPr>
        <w:t>, including:</w:t>
      </w:r>
      <w:r w:rsidR="00CC26E1" w:rsidRPr="00FA288E">
        <w:rPr>
          <w:rStyle w:val="FootnoteReference"/>
          <w:rFonts w:ascii="Calibri" w:hAnsi="Calibri" w:cs="Calibri"/>
          <w:sz w:val="21"/>
          <w:szCs w:val="21"/>
        </w:rPr>
        <w:footnoteReference w:id="10"/>
      </w:r>
    </w:p>
    <w:p w14:paraId="5C64B3C2" w14:textId="77777777" w:rsidR="00156A60" w:rsidRPr="00FA288E" w:rsidRDefault="00156A60" w:rsidP="006A4429">
      <w:pPr>
        <w:pStyle w:val="Bullets"/>
        <w:numPr>
          <w:ilvl w:val="0"/>
          <w:numId w:val="6"/>
        </w:numPr>
        <w:spacing w:after="0" w:line="240" w:lineRule="auto"/>
        <w:ind w:left="714" w:hanging="357"/>
        <w:rPr>
          <w:rFonts w:ascii="Calibri" w:hAnsi="Calibri" w:cs="Calibri"/>
          <w:sz w:val="21"/>
          <w:szCs w:val="21"/>
        </w:rPr>
      </w:pPr>
      <w:r w:rsidRPr="00FA288E">
        <w:rPr>
          <w:rFonts w:ascii="Calibri" w:hAnsi="Calibri" w:cs="Calibri"/>
          <w:sz w:val="21"/>
          <w:szCs w:val="21"/>
        </w:rPr>
        <w:t>Enabling all children to attend school, fee-free, through to grade 12</w:t>
      </w:r>
      <w:r w:rsidR="004A7BF2" w:rsidRPr="00FA288E">
        <w:rPr>
          <w:rStyle w:val="FootnoteReference"/>
          <w:rFonts w:ascii="Calibri" w:hAnsi="Calibri" w:cs="Calibri"/>
          <w:sz w:val="21"/>
          <w:szCs w:val="21"/>
        </w:rPr>
        <w:footnoteReference w:id="11"/>
      </w:r>
    </w:p>
    <w:p w14:paraId="1E511051" w14:textId="77777777" w:rsidR="00156A60" w:rsidRPr="00FA288E" w:rsidRDefault="00156A60" w:rsidP="006A4429">
      <w:pPr>
        <w:pStyle w:val="Bullets"/>
        <w:numPr>
          <w:ilvl w:val="0"/>
          <w:numId w:val="6"/>
        </w:numPr>
        <w:spacing w:after="0" w:line="240" w:lineRule="auto"/>
        <w:rPr>
          <w:rFonts w:ascii="Calibri" w:hAnsi="Calibri" w:cs="Calibri"/>
          <w:sz w:val="21"/>
          <w:szCs w:val="21"/>
        </w:rPr>
      </w:pPr>
      <w:r w:rsidRPr="00FA288E">
        <w:rPr>
          <w:rFonts w:ascii="Calibri" w:hAnsi="Calibri" w:cs="Calibri"/>
          <w:sz w:val="21"/>
          <w:szCs w:val="21"/>
        </w:rPr>
        <w:t>Restructuring the school system from a ‘3-6-4’ system of grade levels to a ‘1-6-6’ system</w:t>
      </w:r>
      <w:r w:rsidRPr="00FA288E">
        <w:rPr>
          <w:rStyle w:val="FootnoteReference"/>
          <w:rFonts w:ascii="Calibri" w:hAnsi="Calibri" w:cs="Calibri"/>
          <w:sz w:val="21"/>
          <w:szCs w:val="21"/>
        </w:rPr>
        <w:footnoteReference w:id="12"/>
      </w:r>
    </w:p>
    <w:p w14:paraId="26EBAA0D" w14:textId="77777777" w:rsidR="00156A60" w:rsidRPr="00FA288E" w:rsidRDefault="00156A60" w:rsidP="006A4429">
      <w:pPr>
        <w:pStyle w:val="Bullets"/>
        <w:numPr>
          <w:ilvl w:val="0"/>
          <w:numId w:val="6"/>
        </w:numPr>
        <w:spacing w:after="0" w:line="240" w:lineRule="auto"/>
        <w:rPr>
          <w:rFonts w:ascii="Calibri" w:hAnsi="Calibri" w:cs="Calibri"/>
          <w:sz w:val="21"/>
          <w:szCs w:val="21"/>
        </w:rPr>
      </w:pPr>
      <w:r w:rsidRPr="00FA288E">
        <w:rPr>
          <w:rFonts w:ascii="Calibri" w:hAnsi="Calibri" w:cs="Calibri"/>
          <w:sz w:val="21"/>
          <w:szCs w:val="21"/>
        </w:rPr>
        <w:t>Shifting from an outcomes-based to a standards-based curriculum</w:t>
      </w:r>
    </w:p>
    <w:p w14:paraId="39E77829" w14:textId="77777777" w:rsidR="00156A60" w:rsidRPr="00FA288E" w:rsidRDefault="004A7BF2" w:rsidP="006A4429">
      <w:pPr>
        <w:pStyle w:val="Bullets"/>
        <w:numPr>
          <w:ilvl w:val="0"/>
          <w:numId w:val="6"/>
        </w:numPr>
        <w:spacing w:after="0" w:line="240" w:lineRule="auto"/>
        <w:rPr>
          <w:rFonts w:ascii="Calibri" w:hAnsi="Calibri" w:cs="Calibri"/>
          <w:sz w:val="21"/>
          <w:szCs w:val="21"/>
        </w:rPr>
      </w:pPr>
      <w:r w:rsidRPr="00FA288E">
        <w:rPr>
          <w:rFonts w:ascii="Calibri" w:hAnsi="Calibri" w:cs="Calibri"/>
          <w:sz w:val="21"/>
          <w:szCs w:val="21"/>
        </w:rPr>
        <w:t>Increas</w:t>
      </w:r>
      <w:r w:rsidR="00156A60" w:rsidRPr="00FA288E">
        <w:rPr>
          <w:rFonts w:ascii="Calibri" w:hAnsi="Calibri" w:cs="Calibri"/>
          <w:sz w:val="21"/>
          <w:szCs w:val="21"/>
        </w:rPr>
        <w:t>ing the number of qualified teachers, especially in maths and science</w:t>
      </w:r>
      <w:r w:rsidR="00843ADB" w:rsidRPr="00FA288E">
        <w:rPr>
          <w:rFonts w:ascii="Calibri" w:hAnsi="Calibri" w:cs="Calibri"/>
          <w:sz w:val="21"/>
          <w:szCs w:val="21"/>
        </w:rPr>
        <w:t>,</w:t>
      </w:r>
      <w:r w:rsidR="00156A60" w:rsidRPr="00FA288E">
        <w:rPr>
          <w:rFonts w:ascii="Calibri" w:hAnsi="Calibri" w:cs="Calibri"/>
          <w:sz w:val="21"/>
          <w:szCs w:val="21"/>
        </w:rPr>
        <w:t xml:space="preserve"> and</w:t>
      </w:r>
    </w:p>
    <w:p w14:paraId="7FF982A6" w14:textId="77777777" w:rsidR="00156A60" w:rsidRPr="00FA288E" w:rsidRDefault="00156A60" w:rsidP="006A4429">
      <w:pPr>
        <w:pStyle w:val="Bullets"/>
        <w:numPr>
          <w:ilvl w:val="0"/>
          <w:numId w:val="6"/>
        </w:numPr>
        <w:spacing w:after="80" w:line="240" w:lineRule="auto"/>
        <w:rPr>
          <w:rFonts w:ascii="Calibri" w:hAnsi="Calibri" w:cs="Calibri"/>
          <w:sz w:val="21"/>
          <w:szCs w:val="21"/>
        </w:rPr>
      </w:pPr>
      <w:r w:rsidRPr="00FA288E">
        <w:rPr>
          <w:rFonts w:ascii="Calibri" w:hAnsi="Calibri" w:cs="Calibri"/>
          <w:sz w:val="21"/>
          <w:szCs w:val="21"/>
        </w:rPr>
        <w:t>Establishing ‘schools of excellence’</w:t>
      </w:r>
    </w:p>
    <w:p w14:paraId="22161EA1" w14:textId="77777777" w:rsidR="00156A60" w:rsidRPr="00FA288E" w:rsidRDefault="00D12A26" w:rsidP="006A4429">
      <w:pPr>
        <w:pStyle w:val="BodyText"/>
        <w:spacing w:after="80" w:line="240" w:lineRule="auto"/>
        <w:rPr>
          <w:rFonts w:ascii="Calibri" w:hAnsi="Calibri" w:cs="Calibri"/>
          <w:sz w:val="21"/>
          <w:szCs w:val="21"/>
        </w:rPr>
      </w:pPr>
      <w:r w:rsidRPr="00FA288E">
        <w:rPr>
          <w:rFonts w:ascii="Calibri" w:hAnsi="Calibri" w:cs="Calibri"/>
          <w:sz w:val="21"/>
          <w:szCs w:val="21"/>
        </w:rPr>
        <w:t>In spite of these reforms</w:t>
      </w:r>
      <w:r w:rsidR="008F450F" w:rsidRPr="00FA288E">
        <w:rPr>
          <w:rFonts w:ascii="Calibri" w:hAnsi="Calibri" w:cs="Calibri"/>
          <w:sz w:val="21"/>
          <w:szCs w:val="21"/>
        </w:rPr>
        <w:t>’</w:t>
      </w:r>
      <w:r w:rsidR="00156A60" w:rsidRPr="00FA288E">
        <w:rPr>
          <w:rFonts w:ascii="Calibri" w:hAnsi="Calibri" w:cs="Calibri"/>
          <w:sz w:val="21"/>
          <w:szCs w:val="21"/>
        </w:rPr>
        <w:t xml:space="preserve"> education outcomes</w:t>
      </w:r>
      <w:r w:rsidR="00A23D29" w:rsidRPr="00FA288E">
        <w:rPr>
          <w:rFonts w:ascii="Calibri" w:hAnsi="Calibri" w:cs="Calibri"/>
          <w:sz w:val="21"/>
          <w:szCs w:val="21"/>
        </w:rPr>
        <w:t>,</w:t>
      </w:r>
      <w:r w:rsidR="00156A60" w:rsidRPr="00FA288E">
        <w:rPr>
          <w:rFonts w:ascii="Calibri" w:hAnsi="Calibri" w:cs="Calibri"/>
          <w:sz w:val="21"/>
          <w:szCs w:val="21"/>
        </w:rPr>
        <w:t xml:space="preserve"> basic literacy and numeracy proficiency</w:t>
      </w:r>
      <w:r w:rsidR="00CC26E1" w:rsidRPr="00FA288E">
        <w:rPr>
          <w:rFonts w:ascii="Calibri" w:hAnsi="Calibri" w:cs="Calibri"/>
          <w:sz w:val="21"/>
          <w:szCs w:val="21"/>
        </w:rPr>
        <w:t xml:space="preserve"> remain </w:t>
      </w:r>
      <w:r w:rsidRPr="00FA288E">
        <w:rPr>
          <w:rFonts w:ascii="Calibri" w:hAnsi="Calibri" w:cs="Calibri"/>
          <w:sz w:val="21"/>
          <w:szCs w:val="21"/>
        </w:rPr>
        <w:t>low</w:t>
      </w:r>
      <w:r w:rsidR="00156A60" w:rsidRPr="00FA288E">
        <w:rPr>
          <w:rFonts w:ascii="Calibri" w:hAnsi="Calibri" w:cs="Calibri"/>
          <w:sz w:val="21"/>
          <w:szCs w:val="21"/>
        </w:rPr>
        <w:t>.</w:t>
      </w:r>
      <w:r w:rsidR="00156A60" w:rsidRPr="00FA288E">
        <w:rPr>
          <w:rStyle w:val="FootnoteReference"/>
          <w:rFonts w:ascii="Calibri" w:hAnsi="Calibri" w:cs="Calibri"/>
          <w:sz w:val="21"/>
          <w:szCs w:val="21"/>
        </w:rPr>
        <w:footnoteReference w:id="13"/>
      </w:r>
      <w:r w:rsidR="00156A60" w:rsidRPr="00FA288E">
        <w:rPr>
          <w:rFonts w:ascii="Calibri" w:hAnsi="Calibri" w:cs="Calibri"/>
          <w:sz w:val="21"/>
          <w:szCs w:val="21"/>
        </w:rPr>
        <w:t xml:space="preserve"> Th</w:t>
      </w:r>
      <w:r w:rsidRPr="00FA288E">
        <w:rPr>
          <w:rFonts w:ascii="Calibri" w:hAnsi="Calibri" w:cs="Calibri"/>
          <w:sz w:val="21"/>
          <w:szCs w:val="21"/>
        </w:rPr>
        <w:t xml:space="preserve">e </w:t>
      </w:r>
      <w:r w:rsidR="00285142" w:rsidRPr="00FA288E">
        <w:rPr>
          <w:rFonts w:ascii="Calibri" w:hAnsi="Calibri" w:cs="Calibri"/>
          <w:sz w:val="21"/>
          <w:szCs w:val="21"/>
        </w:rPr>
        <w:t xml:space="preserve">reach and quality of </w:t>
      </w:r>
      <w:r w:rsidR="00CC26E1" w:rsidRPr="00FA288E">
        <w:rPr>
          <w:rFonts w:ascii="Calibri" w:hAnsi="Calibri" w:cs="Calibri"/>
          <w:sz w:val="21"/>
          <w:szCs w:val="21"/>
        </w:rPr>
        <w:t xml:space="preserve">basic </w:t>
      </w:r>
      <w:r w:rsidR="00285142" w:rsidRPr="00FA288E">
        <w:rPr>
          <w:rFonts w:ascii="Calibri" w:hAnsi="Calibri" w:cs="Calibri"/>
          <w:sz w:val="21"/>
          <w:szCs w:val="21"/>
        </w:rPr>
        <w:t>e</w:t>
      </w:r>
      <w:r w:rsidR="00156A60" w:rsidRPr="00FA288E">
        <w:rPr>
          <w:rFonts w:ascii="Calibri" w:hAnsi="Calibri" w:cs="Calibri"/>
          <w:sz w:val="21"/>
          <w:szCs w:val="21"/>
        </w:rPr>
        <w:t xml:space="preserve">ducation in PNG </w:t>
      </w:r>
      <w:r w:rsidR="00A23D29" w:rsidRPr="00FA288E">
        <w:rPr>
          <w:rFonts w:ascii="Calibri" w:hAnsi="Calibri" w:cs="Calibri"/>
          <w:sz w:val="21"/>
          <w:szCs w:val="21"/>
        </w:rPr>
        <w:t>are</w:t>
      </w:r>
      <w:r w:rsidR="00156A60" w:rsidRPr="00FA288E">
        <w:rPr>
          <w:rFonts w:ascii="Calibri" w:hAnsi="Calibri" w:cs="Calibri"/>
          <w:sz w:val="21"/>
          <w:szCs w:val="21"/>
        </w:rPr>
        <w:t xml:space="preserve"> ongoing challenge</w:t>
      </w:r>
      <w:r w:rsidR="00A23D29" w:rsidRPr="00FA288E">
        <w:rPr>
          <w:rFonts w:ascii="Calibri" w:hAnsi="Calibri" w:cs="Calibri"/>
          <w:sz w:val="21"/>
          <w:szCs w:val="21"/>
        </w:rPr>
        <w:t>s</w:t>
      </w:r>
      <w:r w:rsidR="00156A60" w:rsidRPr="00FA288E">
        <w:rPr>
          <w:rFonts w:ascii="Calibri" w:hAnsi="Calibri" w:cs="Calibri"/>
          <w:sz w:val="21"/>
          <w:szCs w:val="21"/>
        </w:rPr>
        <w:t xml:space="preserve"> as public funding to deliver core </w:t>
      </w:r>
      <w:r w:rsidR="00285142" w:rsidRPr="00FA288E">
        <w:rPr>
          <w:rFonts w:ascii="Calibri" w:hAnsi="Calibri" w:cs="Calibri"/>
          <w:sz w:val="21"/>
          <w:szCs w:val="21"/>
        </w:rPr>
        <w:t xml:space="preserve">education </w:t>
      </w:r>
      <w:r w:rsidR="00156A60" w:rsidRPr="00FA288E">
        <w:rPr>
          <w:rFonts w:ascii="Calibri" w:hAnsi="Calibri" w:cs="Calibri"/>
          <w:sz w:val="21"/>
          <w:szCs w:val="21"/>
        </w:rPr>
        <w:t>services is insufficient.</w:t>
      </w:r>
      <w:r w:rsidR="00156A60" w:rsidRPr="00FA288E">
        <w:rPr>
          <w:rStyle w:val="FootnoteReference"/>
          <w:rFonts w:ascii="Calibri" w:hAnsi="Calibri" w:cs="Calibri"/>
          <w:sz w:val="21"/>
          <w:szCs w:val="21"/>
        </w:rPr>
        <w:footnoteReference w:id="14"/>
      </w:r>
      <w:r w:rsidR="00156A60" w:rsidRPr="00FA288E">
        <w:rPr>
          <w:rFonts w:ascii="Calibri" w:hAnsi="Calibri" w:cs="Calibri"/>
          <w:sz w:val="21"/>
          <w:szCs w:val="21"/>
        </w:rPr>
        <w:t xml:space="preserve"> The </w:t>
      </w:r>
      <w:r w:rsidR="00CC26E1" w:rsidRPr="00FA288E">
        <w:rPr>
          <w:rFonts w:ascii="Calibri" w:hAnsi="Calibri" w:cs="Calibri"/>
          <w:sz w:val="21"/>
          <w:szCs w:val="21"/>
        </w:rPr>
        <w:t>government</w:t>
      </w:r>
      <w:r w:rsidR="00156A60" w:rsidRPr="00FA288E">
        <w:rPr>
          <w:rFonts w:ascii="Calibri" w:hAnsi="Calibri" w:cs="Calibri"/>
          <w:sz w:val="21"/>
          <w:szCs w:val="21"/>
        </w:rPr>
        <w:t xml:space="preserve"> continues to struggle to provide adequate facilities, sufficient learning materials, competent teachers,</w:t>
      </w:r>
      <w:r w:rsidR="00CC26E1" w:rsidRPr="00FA288E">
        <w:rPr>
          <w:rFonts w:ascii="Calibri" w:hAnsi="Calibri" w:cs="Calibri"/>
          <w:sz w:val="21"/>
          <w:szCs w:val="21"/>
        </w:rPr>
        <w:t xml:space="preserve"> </w:t>
      </w:r>
      <w:r w:rsidR="00156A60" w:rsidRPr="00FA288E">
        <w:rPr>
          <w:rFonts w:ascii="Calibri" w:hAnsi="Calibri" w:cs="Calibri"/>
          <w:sz w:val="21"/>
          <w:szCs w:val="21"/>
        </w:rPr>
        <w:t xml:space="preserve">and </w:t>
      </w:r>
      <w:r w:rsidR="00CC26E1" w:rsidRPr="00FA288E">
        <w:rPr>
          <w:rFonts w:ascii="Calibri" w:hAnsi="Calibri" w:cs="Calibri"/>
          <w:sz w:val="21"/>
          <w:szCs w:val="21"/>
        </w:rPr>
        <w:t xml:space="preserve">effective </w:t>
      </w:r>
      <w:r w:rsidR="00156A60" w:rsidRPr="00FA288E">
        <w:rPr>
          <w:rFonts w:ascii="Calibri" w:hAnsi="Calibri" w:cs="Calibri"/>
          <w:sz w:val="21"/>
          <w:szCs w:val="21"/>
        </w:rPr>
        <w:t>management and supervision.</w:t>
      </w:r>
      <w:r w:rsidR="00CC26E1" w:rsidRPr="00FA288E">
        <w:rPr>
          <w:rStyle w:val="FootnoteReference"/>
          <w:rFonts w:ascii="Calibri" w:hAnsi="Calibri" w:cs="Calibri"/>
          <w:sz w:val="21"/>
          <w:szCs w:val="21"/>
        </w:rPr>
        <w:footnoteReference w:id="15"/>
      </w:r>
    </w:p>
    <w:p w14:paraId="45A1D7EF" w14:textId="77777777" w:rsidR="00156A60" w:rsidRPr="00FA288E" w:rsidRDefault="00156A60" w:rsidP="006A4429">
      <w:pPr>
        <w:pStyle w:val="BodyText"/>
        <w:spacing w:after="80" w:line="240" w:lineRule="auto"/>
        <w:rPr>
          <w:rFonts w:ascii="Calibri" w:hAnsi="Calibri" w:cs="Calibri"/>
          <w:sz w:val="21"/>
          <w:szCs w:val="21"/>
        </w:rPr>
      </w:pPr>
      <w:r w:rsidRPr="00FA288E">
        <w:rPr>
          <w:rFonts w:ascii="Calibri" w:hAnsi="Calibri" w:cs="Calibri"/>
          <w:sz w:val="21"/>
          <w:szCs w:val="21"/>
        </w:rPr>
        <w:t xml:space="preserve">Realistic and sustainable solutions to these challenges require innovative and evidence-based approaches particularly in the provision of </w:t>
      </w:r>
      <w:r w:rsidR="00A97D3C" w:rsidRPr="00FA288E">
        <w:rPr>
          <w:rFonts w:ascii="Calibri" w:hAnsi="Calibri" w:cs="Calibri"/>
          <w:sz w:val="21"/>
          <w:szCs w:val="21"/>
        </w:rPr>
        <w:t xml:space="preserve">basic </w:t>
      </w:r>
      <w:r w:rsidRPr="00FA288E">
        <w:rPr>
          <w:rFonts w:ascii="Calibri" w:hAnsi="Calibri" w:cs="Calibri"/>
          <w:sz w:val="21"/>
          <w:szCs w:val="21"/>
        </w:rPr>
        <w:t xml:space="preserve">skills in literacy and numeracy in the early years of education </w:t>
      </w:r>
      <w:r w:rsidR="00A23D29" w:rsidRPr="00FA288E">
        <w:rPr>
          <w:rFonts w:ascii="Calibri" w:hAnsi="Calibri" w:cs="Calibri"/>
          <w:sz w:val="21"/>
          <w:szCs w:val="21"/>
        </w:rPr>
        <w:t>for</w:t>
      </w:r>
      <w:r w:rsidRPr="00FA288E">
        <w:rPr>
          <w:rFonts w:ascii="Calibri" w:hAnsi="Calibri" w:cs="Calibri"/>
          <w:sz w:val="21"/>
          <w:szCs w:val="21"/>
        </w:rPr>
        <w:t xml:space="preserve"> girls and </w:t>
      </w:r>
      <w:r w:rsidR="00A23D29" w:rsidRPr="00FA288E">
        <w:rPr>
          <w:rFonts w:ascii="Calibri" w:hAnsi="Calibri" w:cs="Calibri"/>
          <w:sz w:val="21"/>
          <w:szCs w:val="21"/>
        </w:rPr>
        <w:t xml:space="preserve">for </w:t>
      </w:r>
      <w:r w:rsidRPr="00FA288E">
        <w:rPr>
          <w:rFonts w:ascii="Calibri" w:hAnsi="Calibri" w:cs="Calibri"/>
          <w:sz w:val="21"/>
          <w:szCs w:val="21"/>
        </w:rPr>
        <w:t xml:space="preserve">boys and the </w:t>
      </w:r>
      <w:r w:rsidR="00A23D29" w:rsidRPr="00FA288E">
        <w:rPr>
          <w:rFonts w:ascii="Calibri" w:hAnsi="Calibri" w:cs="Calibri"/>
          <w:sz w:val="21"/>
          <w:szCs w:val="21"/>
        </w:rPr>
        <w:t xml:space="preserve">learning </w:t>
      </w:r>
      <w:r w:rsidRPr="00FA288E">
        <w:rPr>
          <w:rFonts w:ascii="Calibri" w:hAnsi="Calibri" w:cs="Calibri"/>
          <w:sz w:val="21"/>
          <w:szCs w:val="21"/>
        </w:rPr>
        <w:t>needs of children with disabilities.</w:t>
      </w:r>
      <w:r w:rsidRPr="00FA288E">
        <w:rPr>
          <w:rStyle w:val="FootnoteReference"/>
          <w:rFonts w:ascii="Calibri" w:hAnsi="Calibri" w:cs="Calibri"/>
          <w:sz w:val="21"/>
          <w:szCs w:val="21"/>
        </w:rPr>
        <w:footnoteReference w:id="16"/>
      </w:r>
      <w:r w:rsidRPr="00FA288E">
        <w:rPr>
          <w:rFonts w:ascii="Calibri" w:hAnsi="Calibri" w:cs="Calibri"/>
          <w:sz w:val="21"/>
          <w:szCs w:val="21"/>
        </w:rPr>
        <w:t xml:space="preserve"> Children who do not reach the required literacy and numeracy standards by the third year of school</w:t>
      </w:r>
      <w:r w:rsidR="00CC26E1" w:rsidRPr="00FA288E">
        <w:rPr>
          <w:rFonts w:ascii="Calibri" w:hAnsi="Calibri" w:cs="Calibri"/>
          <w:sz w:val="21"/>
          <w:szCs w:val="21"/>
        </w:rPr>
        <w:t>ing</w:t>
      </w:r>
      <w:r w:rsidRPr="00FA288E">
        <w:rPr>
          <w:rFonts w:ascii="Calibri" w:hAnsi="Calibri" w:cs="Calibri"/>
          <w:sz w:val="21"/>
          <w:szCs w:val="21"/>
        </w:rPr>
        <w:t xml:space="preserve"> are </w:t>
      </w:r>
      <w:r w:rsidR="00A23D29" w:rsidRPr="00FA288E">
        <w:rPr>
          <w:rFonts w:ascii="Calibri" w:hAnsi="Calibri" w:cs="Calibri"/>
          <w:sz w:val="21"/>
          <w:szCs w:val="21"/>
        </w:rPr>
        <w:t xml:space="preserve">less </w:t>
      </w:r>
      <w:r w:rsidRPr="00FA288E">
        <w:rPr>
          <w:rFonts w:ascii="Calibri" w:hAnsi="Calibri" w:cs="Calibri"/>
          <w:sz w:val="21"/>
          <w:szCs w:val="21"/>
        </w:rPr>
        <w:t xml:space="preserve">likely to maximise the education they receive in subsequent years and are less likely to enjoy economic and social benefits from </w:t>
      </w:r>
      <w:r w:rsidR="00A23D29" w:rsidRPr="00FA288E">
        <w:rPr>
          <w:rFonts w:ascii="Calibri" w:hAnsi="Calibri" w:cs="Calibri"/>
          <w:sz w:val="21"/>
          <w:szCs w:val="21"/>
        </w:rPr>
        <w:t>higher levels of education.</w:t>
      </w:r>
    </w:p>
    <w:p w14:paraId="6CE5D6AB" w14:textId="77777777" w:rsidR="00CC26E1" w:rsidRPr="00FA288E" w:rsidRDefault="00156A60" w:rsidP="006A4429">
      <w:pPr>
        <w:pStyle w:val="BodyText"/>
        <w:spacing w:after="80" w:line="240" w:lineRule="auto"/>
        <w:rPr>
          <w:rFonts w:ascii="Calibri" w:hAnsi="Calibri" w:cs="Calibri"/>
          <w:sz w:val="21"/>
          <w:szCs w:val="21"/>
        </w:rPr>
      </w:pPr>
      <w:r w:rsidRPr="00FA288E">
        <w:rPr>
          <w:rFonts w:ascii="Calibri" w:hAnsi="Calibri" w:cs="Calibri"/>
          <w:sz w:val="21"/>
          <w:szCs w:val="21"/>
        </w:rPr>
        <w:t>T</w:t>
      </w:r>
      <w:r w:rsidR="00CC26E1" w:rsidRPr="00FA288E">
        <w:rPr>
          <w:rFonts w:ascii="Calibri" w:hAnsi="Calibri" w:cs="Calibri"/>
          <w:sz w:val="21"/>
          <w:szCs w:val="21"/>
        </w:rPr>
        <w:t>o address the challenges, t</w:t>
      </w:r>
      <w:r w:rsidRPr="00FA288E">
        <w:rPr>
          <w:rFonts w:ascii="Calibri" w:hAnsi="Calibri" w:cs="Calibri"/>
          <w:sz w:val="21"/>
          <w:szCs w:val="21"/>
        </w:rPr>
        <w:t>he N</w:t>
      </w:r>
      <w:r w:rsidR="002838E9" w:rsidRPr="00FA288E">
        <w:rPr>
          <w:rFonts w:ascii="Calibri" w:hAnsi="Calibri" w:cs="Calibri"/>
          <w:sz w:val="21"/>
          <w:szCs w:val="21"/>
        </w:rPr>
        <w:t>ational Department of Education (NDOE)</w:t>
      </w:r>
      <w:r w:rsidRPr="00FA288E">
        <w:rPr>
          <w:rFonts w:ascii="Calibri" w:hAnsi="Calibri" w:cs="Calibri"/>
          <w:sz w:val="21"/>
          <w:szCs w:val="21"/>
        </w:rPr>
        <w:t xml:space="preserve"> has </w:t>
      </w:r>
      <w:r w:rsidR="00FD2DE4" w:rsidRPr="00FA288E">
        <w:rPr>
          <w:rFonts w:ascii="Calibri" w:hAnsi="Calibri" w:cs="Calibri"/>
          <w:sz w:val="21"/>
          <w:szCs w:val="21"/>
        </w:rPr>
        <w:t>recently</w:t>
      </w:r>
      <w:r w:rsidRPr="00FA288E">
        <w:rPr>
          <w:rFonts w:ascii="Calibri" w:hAnsi="Calibri" w:cs="Calibri"/>
          <w:sz w:val="21"/>
          <w:szCs w:val="21"/>
        </w:rPr>
        <w:t xml:space="preserve"> released the draft of its </w:t>
      </w:r>
      <w:r w:rsidRPr="00FA288E">
        <w:rPr>
          <w:rFonts w:ascii="Calibri" w:hAnsi="Calibri" w:cs="Calibri"/>
          <w:b/>
          <w:sz w:val="21"/>
          <w:szCs w:val="21"/>
        </w:rPr>
        <w:t>National Education Plan 2020-2029 (NEP</w:t>
      </w:r>
      <w:r w:rsidRPr="00FA288E">
        <w:rPr>
          <w:rFonts w:ascii="Calibri" w:hAnsi="Calibri" w:cs="Calibri"/>
          <w:sz w:val="21"/>
          <w:szCs w:val="21"/>
        </w:rPr>
        <w:t>) for the next</w:t>
      </w:r>
      <w:r w:rsidR="00D8244E" w:rsidRPr="00FA288E">
        <w:rPr>
          <w:rFonts w:ascii="Calibri" w:hAnsi="Calibri" w:cs="Calibri"/>
          <w:sz w:val="21"/>
          <w:szCs w:val="21"/>
        </w:rPr>
        <w:t xml:space="preserve"> </w:t>
      </w:r>
      <w:r w:rsidRPr="00FA288E">
        <w:rPr>
          <w:rFonts w:ascii="Calibri" w:hAnsi="Calibri" w:cs="Calibri"/>
          <w:sz w:val="21"/>
          <w:szCs w:val="21"/>
        </w:rPr>
        <w:t>decade – presenting a timely opportunity for donor partners to contribute to the evidence base about what works to improve educational outcomes in PNG.</w:t>
      </w:r>
    </w:p>
    <w:p w14:paraId="3E1FB211" w14:textId="77777777" w:rsidR="00D6701C" w:rsidRDefault="00D6701C" w:rsidP="006A4429">
      <w:pPr>
        <w:pStyle w:val="BodyText"/>
        <w:spacing w:after="80" w:line="240" w:lineRule="auto"/>
        <w:rPr>
          <w:rFonts w:ascii="Calibri" w:hAnsi="Calibri" w:cs="Calibri"/>
          <w:sz w:val="21"/>
          <w:szCs w:val="21"/>
        </w:rPr>
      </w:pPr>
    </w:p>
    <w:p w14:paraId="32D169BD" w14:textId="77777777" w:rsidR="00D6701C" w:rsidRDefault="00D6701C" w:rsidP="006A4429">
      <w:pPr>
        <w:pStyle w:val="BodyText"/>
        <w:spacing w:after="80" w:line="240" w:lineRule="auto"/>
        <w:rPr>
          <w:rFonts w:ascii="Calibri" w:hAnsi="Calibri" w:cs="Calibri"/>
          <w:sz w:val="21"/>
          <w:szCs w:val="21"/>
        </w:rPr>
      </w:pPr>
    </w:p>
    <w:p w14:paraId="48695F13" w14:textId="60FF078C" w:rsidR="00156A60" w:rsidRPr="00FA288E" w:rsidRDefault="00156A60" w:rsidP="006A4429">
      <w:pPr>
        <w:pStyle w:val="BodyText"/>
        <w:spacing w:after="80" w:line="240" w:lineRule="auto"/>
        <w:rPr>
          <w:rFonts w:ascii="Calibri" w:hAnsi="Calibri" w:cs="Calibri"/>
          <w:sz w:val="21"/>
          <w:szCs w:val="21"/>
        </w:rPr>
      </w:pPr>
      <w:r w:rsidRPr="00FA288E">
        <w:rPr>
          <w:rFonts w:ascii="Calibri" w:hAnsi="Calibri" w:cs="Calibri"/>
          <w:sz w:val="21"/>
          <w:szCs w:val="21"/>
        </w:rPr>
        <w:t>In support of PNG’s vision to improve its human capital, the A</w:t>
      </w:r>
      <w:r w:rsidR="000F311A" w:rsidRPr="00FA288E">
        <w:rPr>
          <w:rFonts w:ascii="Calibri" w:hAnsi="Calibri" w:cs="Calibri"/>
          <w:sz w:val="21"/>
          <w:szCs w:val="21"/>
        </w:rPr>
        <w:t xml:space="preserve">ustralian </w:t>
      </w:r>
      <w:r w:rsidR="001444CE" w:rsidRPr="00FA288E">
        <w:rPr>
          <w:rFonts w:ascii="Calibri" w:hAnsi="Calibri" w:cs="Calibri"/>
          <w:sz w:val="21"/>
          <w:szCs w:val="21"/>
        </w:rPr>
        <w:t>G</w:t>
      </w:r>
      <w:r w:rsidR="000F311A" w:rsidRPr="00FA288E">
        <w:rPr>
          <w:rFonts w:ascii="Calibri" w:hAnsi="Calibri" w:cs="Calibri"/>
          <w:sz w:val="21"/>
          <w:szCs w:val="21"/>
        </w:rPr>
        <w:t>overnment</w:t>
      </w:r>
      <w:r w:rsidRPr="00FA288E">
        <w:rPr>
          <w:rFonts w:ascii="Calibri" w:hAnsi="Calibri" w:cs="Calibri"/>
          <w:sz w:val="21"/>
          <w:szCs w:val="21"/>
        </w:rPr>
        <w:t xml:space="preserve">’s </w:t>
      </w:r>
      <w:r w:rsidRPr="00FA288E">
        <w:rPr>
          <w:rFonts w:ascii="Calibri" w:hAnsi="Calibri" w:cs="Calibri"/>
          <w:b/>
          <w:sz w:val="21"/>
          <w:szCs w:val="21"/>
        </w:rPr>
        <w:t>Education and Leadership Portfolio Plan 2018 – 2022</w:t>
      </w:r>
      <w:r w:rsidRPr="00FA288E">
        <w:rPr>
          <w:rFonts w:ascii="Calibri" w:hAnsi="Calibri" w:cs="Calibri"/>
          <w:sz w:val="21"/>
          <w:szCs w:val="21"/>
        </w:rPr>
        <w:t xml:space="preserve"> sets out three priority areas for Australia’s investments in education</w:t>
      </w:r>
      <w:r w:rsidR="00285142" w:rsidRPr="00FA288E">
        <w:rPr>
          <w:rFonts w:ascii="Calibri" w:hAnsi="Calibri" w:cs="Calibri"/>
          <w:sz w:val="21"/>
          <w:szCs w:val="21"/>
        </w:rPr>
        <w:t xml:space="preserve"> in PNG</w:t>
      </w:r>
      <w:r w:rsidRPr="00FA288E">
        <w:rPr>
          <w:rFonts w:ascii="Calibri" w:hAnsi="Calibri" w:cs="Calibri"/>
          <w:sz w:val="21"/>
          <w:szCs w:val="21"/>
        </w:rPr>
        <w:t>:</w:t>
      </w:r>
    </w:p>
    <w:p w14:paraId="0D71269C" w14:textId="77777777" w:rsidR="00156A60" w:rsidRPr="00FA288E" w:rsidRDefault="00156A60" w:rsidP="006A4429">
      <w:pPr>
        <w:pStyle w:val="ListParagraph"/>
        <w:numPr>
          <w:ilvl w:val="0"/>
          <w:numId w:val="7"/>
        </w:numPr>
        <w:spacing w:after="80" w:line="240" w:lineRule="auto"/>
        <w:ind w:left="896" w:hanging="357"/>
        <w:jc w:val="both"/>
        <w:rPr>
          <w:rFonts w:ascii="Calibri" w:hAnsi="Calibri" w:cs="Calibri"/>
          <w:sz w:val="21"/>
          <w:szCs w:val="21"/>
          <w:lang w:val="en-AU"/>
        </w:rPr>
      </w:pPr>
      <w:r w:rsidRPr="00FA288E">
        <w:rPr>
          <w:rFonts w:ascii="Calibri" w:hAnsi="Calibri" w:cs="Calibri"/>
          <w:b/>
          <w:bCs/>
          <w:sz w:val="21"/>
          <w:szCs w:val="21"/>
          <w:lang w:val="en-AU"/>
        </w:rPr>
        <w:t>Outcome 1 – Foundations</w:t>
      </w:r>
      <w:r w:rsidRPr="00FA288E">
        <w:rPr>
          <w:rFonts w:ascii="Calibri" w:hAnsi="Calibri" w:cs="Calibri"/>
          <w:sz w:val="21"/>
          <w:szCs w:val="21"/>
          <w:lang w:val="en-AU"/>
        </w:rPr>
        <w:t>: more girls and boys in targeted provinces/schools have improved early grade literacy and numeracy</w:t>
      </w:r>
    </w:p>
    <w:p w14:paraId="48E2E5D2" w14:textId="77777777" w:rsidR="00156A60" w:rsidRPr="00FA288E" w:rsidRDefault="00156A60" w:rsidP="006A4429">
      <w:pPr>
        <w:pStyle w:val="ListParagraph"/>
        <w:numPr>
          <w:ilvl w:val="0"/>
          <w:numId w:val="7"/>
        </w:numPr>
        <w:spacing w:after="80" w:line="240" w:lineRule="auto"/>
        <w:jc w:val="both"/>
        <w:rPr>
          <w:rFonts w:ascii="Calibri" w:hAnsi="Calibri" w:cs="Calibri"/>
          <w:sz w:val="21"/>
          <w:szCs w:val="21"/>
          <w:lang w:val="en-AU"/>
        </w:rPr>
      </w:pPr>
      <w:r w:rsidRPr="00FA288E">
        <w:rPr>
          <w:rFonts w:ascii="Calibri" w:hAnsi="Calibri" w:cs="Calibri"/>
          <w:b/>
          <w:bCs/>
          <w:sz w:val="21"/>
          <w:szCs w:val="21"/>
          <w:lang w:val="en-AU"/>
        </w:rPr>
        <w:t>Outcome 2 – Skills and Productivity</w:t>
      </w:r>
      <w:r w:rsidRPr="00FA288E">
        <w:rPr>
          <w:rFonts w:ascii="Calibri" w:hAnsi="Calibri" w:cs="Calibri"/>
          <w:sz w:val="21"/>
          <w:szCs w:val="21"/>
          <w:lang w:val="en-AU"/>
        </w:rPr>
        <w:t>: more women and men gain appropriate skills in priority sectors</w:t>
      </w:r>
    </w:p>
    <w:p w14:paraId="43977724" w14:textId="77777777" w:rsidR="00156A60" w:rsidRPr="00FA288E" w:rsidRDefault="00156A60" w:rsidP="006A4429">
      <w:pPr>
        <w:pStyle w:val="ListParagraph"/>
        <w:numPr>
          <w:ilvl w:val="0"/>
          <w:numId w:val="7"/>
        </w:numPr>
        <w:spacing w:after="80" w:line="240" w:lineRule="auto"/>
        <w:ind w:left="896" w:hanging="357"/>
        <w:jc w:val="both"/>
        <w:rPr>
          <w:rFonts w:ascii="Calibri" w:hAnsi="Calibri" w:cs="Calibri"/>
          <w:sz w:val="21"/>
          <w:szCs w:val="21"/>
          <w:lang w:val="en-AU"/>
        </w:rPr>
      </w:pPr>
      <w:r w:rsidRPr="00FA288E">
        <w:rPr>
          <w:rFonts w:ascii="Calibri" w:hAnsi="Calibri" w:cs="Calibri"/>
          <w:b/>
          <w:bCs/>
          <w:sz w:val="21"/>
          <w:szCs w:val="21"/>
          <w:lang w:val="en-AU"/>
        </w:rPr>
        <w:t>Outcome 3 – Leadership</w:t>
      </w:r>
      <w:r w:rsidRPr="00FA288E">
        <w:rPr>
          <w:rFonts w:ascii="Calibri" w:hAnsi="Calibri" w:cs="Calibri"/>
          <w:sz w:val="21"/>
          <w:szCs w:val="21"/>
          <w:lang w:val="en-AU"/>
        </w:rPr>
        <w:t>: more women and men are able to apply leadership skills and attributes towards the development of PNG</w:t>
      </w:r>
    </w:p>
    <w:p w14:paraId="24C26F5B" w14:textId="3E444B45" w:rsidR="00FA5397" w:rsidRPr="00FA288E" w:rsidRDefault="00156A60" w:rsidP="006A4429">
      <w:pPr>
        <w:pStyle w:val="BodyText"/>
        <w:spacing w:after="80" w:line="240" w:lineRule="auto"/>
        <w:rPr>
          <w:rFonts w:ascii="Calibri" w:hAnsi="Calibri" w:cs="Calibri"/>
          <w:sz w:val="21"/>
          <w:szCs w:val="21"/>
        </w:rPr>
      </w:pPr>
      <w:r w:rsidRPr="00FA288E">
        <w:rPr>
          <w:rFonts w:ascii="Calibri" w:hAnsi="Calibri" w:cs="Calibri"/>
          <w:sz w:val="21"/>
          <w:szCs w:val="21"/>
        </w:rPr>
        <w:t xml:space="preserve">The PPF </w:t>
      </w:r>
      <w:r w:rsidR="00285142" w:rsidRPr="00FA288E">
        <w:rPr>
          <w:rFonts w:ascii="Calibri" w:hAnsi="Calibri" w:cs="Calibri"/>
          <w:sz w:val="21"/>
          <w:szCs w:val="21"/>
        </w:rPr>
        <w:t>E</w:t>
      </w:r>
      <w:r w:rsidRPr="00FA288E">
        <w:rPr>
          <w:rFonts w:ascii="Calibri" w:hAnsi="Calibri" w:cs="Calibri"/>
          <w:sz w:val="21"/>
          <w:szCs w:val="21"/>
        </w:rPr>
        <w:t xml:space="preserve">ducation </w:t>
      </w:r>
      <w:r w:rsidR="00285142" w:rsidRPr="00FA288E">
        <w:rPr>
          <w:rFonts w:ascii="Calibri" w:hAnsi="Calibri" w:cs="Calibri"/>
          <w:sz w:val="21"/>
          <w:szCs w:val="21"/>
        </w:rPr>
        <w:t>G</w:t>
      </w:r>
      <w:r w:rsidRPr="00FA288E">
        <w:rPr>
          <w:rFonts w:ascii="Calibri" w:hAnsi="Calibri" w:cs="Calibri"/>
          <w:sz w:val="21"/>
          <w:szCs w:val="21"/>
        </w:rPr>
        <w:t>rants – the subject of th</w:t>
      </w:r>
      <w:r w:rsidR="00FA5397" w:rsidRPr="00FA288E">
        <w:rPr>
          <w:rFonts w:ascii="Calibri" w:hAnsi="Calibri" w:cs="Calibri"/>
          <w:sz w:val="21"/>
          <w:szCs w:val="21"/>
        </w:rPr>
        <w:t xml:space="preserve">e mid-term </w:t>
      </w:r>
      <w:r w:rsidRPr="00FA288E">
        <w:rPr>
          <w:rFonts w:ascii="Calibri" w:hAnsi="Calibri" w:cs="Calibri"/>
          <w:sz w:val="21"/>
          <w:szCs w:val="21"/>
        </w:rPr>
        <w:t xml:space="preserve">review, </w:t>
      </w:r>
      <w:r w:rsidR="00226474" w:rsidRPr="00FA288E">
        <w:rPr>
          <w:rFonts w:ascii="Calibri" w:hAnsi="Calibri" w:cs="Calibri"/>
          <w:sz w:val="21"/>
          <w:szCs w:val="21"/>
        </w:rPr>
        <w:t>contribute</w:t>
      </w:r>
      <w:r w:rsidR="00E7377F" w:rsidRPr="00FA288E">
        <w:rPr>
          <w:rFonts w:ascii="Calibri" w:hAnsi="Calibri" w:cs="Calibri"/>
          <w:sz w:val="21"/>
          <w:szCs w:val="21"/>
        </w:rPr>
        <w:t>s</w:t>
      </w:r>
      <w:r w:rsidR="00226474" w:rsidRPr="00FA288E">
        <w:rPr>
          <w:rFonts w:ascii="Calibri" w:hAnsi="Calibri" w:cs="Calibri"/>
          <w:sz w:val="21"/>
          <w:szCs w:val="21"/>
        </w:rPr>
        <w:t xml:space="preserve"> </w:t>
      </w:r>
      <w:r w:rsidRPr="00FA288E">
        <w:rPr>
          <w:rFonts w:ascii="Calibri" w:hAnsi="Calibri" w:cs="Calibri"/>
          <w:sz w:val="21"/>
          <w:szCs w:val="21"/>
        </w:rPr>
        <w:t xml:space="preserve">to </w:t>
      </w:r>
      <w:r w:rsidR="00E7377F" w:rsidRPr="00FA288E">
        <w:rPr>
          <w:rFonts w:ascii="Calibri" w:hAnsi="Calibri" w:cs="Calibri"/>
          <w:sz w:val="21"/>
          <w:szCs w:val="21"/>
        </w:rPr>
        <w:t>achieving</w:t>
      </w:r>
      <w:r w:rsidRPr="00FA288E">
        <w:rPr>
          <w:rFonts w:ascii="Calibri" w:hAnsi="Calibri" w:cs="Calibri"/>
          <w:sz w:val="21"/>
          <w:szCs w:val="21"/>
        </w:rPr>
        <w:t xml:space="preserve"> Outcome 1</w:t>
      </w:r>
      <w:r w:rsidR="00E7377F" w:rsidRPr="00FA288E">
        <w:rPr>
          <w:rFonts w:ascii="Calibri" w:hAnsi="Calibri" w:cs="Calibri"/>
          <w:sz w:val="21"/>
          <w:szCs w:val="21"/>
        </w:rPr>
        <w:t>, Foundations</w:t>
      </w:r>
      <w:r w:rsidRPr="00FA288E">
        <w:rPr>
          <w:rFonts w:ascii="Calibri" w:hAnsi="Calibri" w:cs="Calibri"/>
          <w:sz w:val="21"/>
          <w:szCs w:val="21"/>
        </w:rPr>
        <w:t xml:space="preserve">. </w:t>
      </w:r>
    </w:p>
    <w:p w14:paraId="5236B047" w14:textId="77777777" w:rsidR="00156A60" w:rsidRPr="00FA288E" w:rsidRDefault="00FA5397" w:rsidP="00466656">
      <w:pPr>
        <w:pStyle w:val="Heading1"/>
        <w:spacing w:before="0" w:after="80" w:line="240" w:lineRule="auto"/>
        <w:ind w:left="540" w:hanging="522"/>
      </w:pPr>
      <w:bookmarkStart w:id="37" w:name="_The_PPF_Education"/>
      <w:bookmarkStart w:id="38" w:name="_Toc26914358"/>
      <w:bookmarkStart w:id="39" w:name="_Toc31625582"/>
      <w:bookmarkStart w:id="40" w:name="_Toc42075963"/>
      <w:bookmarkEnd w:id="37"/>
      <w:r w:rsidRPr="00FA288E">
        <w:t>The PPF Education Grants</w:t>
      </w:r>
      <w:bookmarkEnd w:id="38"/>
      <w:bookmarkEnd w:id="39"/>
      <w:bookmarkEnd w:id="40"/>
    </w:p>
    <w:p w14:paraId="171572CE" w14:textId="6CEF6DDB" w:rsidR="00FA5397" w:rsidRPr="00FA288E" w:rsidRDefault="00FA5397" w:rsidP="006A4429">
      <w:pPr>
        <w:pStyle w:val="BodyText"/>
        <w:spacing w:after="80" w:line="240" w:lineRule="auto"/>
        <w:rPr>
          <w:rFonts w:ascii="Calibri" w:hAnsi="Calibri" w:cs="Calibri"/>
          <w:sz w:val="21"/>
          <w:szCs w:val="21"/>
        </w:rPr>
      </w:pPr>
      <w:r w:rsidRPr="00FA288E">
        <w:rPr>
          <w:rFonts w:ascii="Calibri" w:hAnsi="Calibri" w:cs="Calibri"/>
          <w:sz w:val="21"/>
          <w:szCs w:val="21"/>
        </w:rPr>
        <w:t xml:space="preserve">The PPF Education Grants </w:t>
      </w:r>
      <w:r w:rsidR="00046165" w:rsidRPr="00FA288E">
        <w:rPr>
          <w:rFonts w:ascii="Calibri" w:hAnsi="Calibri" w:cs="Calibri"/>
          <w:sz w:val="21"/>
          <w:szCs w:val="21"/>
        </w:rPr>
        <w:t>intend</w:t>
      </w:r>
      <w:r w:rsidRPr="00FA288E">
        <w:rPr>
          <w:rFonts w:ascii="Calibri" w:hAnsi="Calibri" w:cs="Calibri"/>
          <w:sz w:val="21"/>
          <w:szCs w:val="21"/>
        </w:rPr>
        <w:t xml:space="preserve"> to</w:t>
      </w:r>
      <w:r w:rsidR="00E7377F" w:rsidRPr="00FA288E">
        <w:rPr>
          <w:rFonts w:ascii="Calibri" w:hAnsi="Calibri" w:cs="Calibri"/>
          <w:sz w:val="21"/>
          <w:szCs w:val="21"/>
        </w:rPr>
        <w:t xml:space="preserve"> encourage</w:t>
      </w:r>
      <w:r w:rsidRPr="00FA288E">
        <w:rPr>
          <w:rFonts w:ascii="Calibri" w:hAnsi="Calibri" w:cs="Calibri"/>
          <w:sz w:val="21"/>
          <w:szCs w:val="21"/>
        </w:rPr>
        <w:t>:</w:t>
      </w:r>
    </w:p>
    <w:p w14:paraId="2CE2089A" w14:textId="440E434D" w:rsidR="00FA5397" w:rsidRPr="00FA288E" w:rsidRDefault="00E7377F" w:rsidP="006A4429">
      <w:pPr>
        <w:pStyle w:val="Bullets"/>
        <w:numPr>
          <w:ilvl w:val="0"/>
          <w:numId w:val="3"/>
        </w:numPr>
        <w:spacing w:after="0" w:line="240" w:lineRule="auto"/>
        <w:ind w:left="720" w:hanging="357"/>
        <w:jc w:val="both"/>
        <w:rPr>
          <w:rFonts w:ascii="Calibri" w:hAnsi="Calibri" w:cs="Calibri"/>
          <w:sz w:val="21"/>
          <w:szCs w:val="21"/>
        </w:rPr>
      </w:pPr>
      <w:r w:rsidRPr="00FA288E">
        <w:rPr>
          <w:rFonts w:ascii="Calibri" w:hAnsi="Calibri" w:cs="Calibri"/>
          <w:sz w:val="21"/>
          <w:szCs w:val="21"/>
        </w:rPr>
        <w:t>I</w:t>
      </w:r>
      <w:r w:rsidR="00FA5397" w:rsidRPr="00FA288E">
        <w:rPr>
          <w:rFonts w:ascii="Calibri" w:hAnsi="Calibri" w:cs="Calibri"/>
          <w:sz w:val="21"/>
          <w:szCs w:val="21"/>
        </w:rPr>
        <w:t>nnovative approaches that support a focus on achieving results</w:t>
      </w:r>
    </w:p>
    <w:p w14:paraId="7670C586" w14:textId="77777777" w:rsidR="00FA5397" w:rsidRPr="00FA288E" w:rsidRDefault="00FA5397" w:rsidP="006A4429">
      <w:pPr>
        <w:pStyle w:val="Bullets"/>
        <w:numPr>
          <w:ilvl w:val="0"/>
          <w:numId w:val="3"/>
        </w:numPr>
        <w:spacing w:after="0" w:line="240" w:lineRule="auto"/>
        <w:ind w:left="720"/>
        <w:jc w:val="both"/>
        <w:rPr>
          <w:rFonts w:ascii="Calibri" w:hAnsi="Calibri" w:cs="Calibri"/>
          <w:sz w:val="21"/>
          <w:szCs w:val="21"/>
        </w:rPr>
      </w:pPr>
      <w:r w:rsidRPr="00FA288E">
        <w:rPr>
          <w:rFonts w:ascii="Calibri" w:hAnsi="Calibri" w:cs="Calibri"/>
          <w:sz w:val="21"/>
          <w:szCs w:val="21"/>
        </w:rPr>
        <w:t>Competitive funding, with the best proposals chosen from a range of proposals designed to achieve results</w:t>
      </w:r>
    </w:p>
    <w:p w14:paraId="5F568DC1" w14:textId="77777777" w:rsidR="00FA5397" w:rsidRPr="00FA288E" w:rsidRDefault="00FA5397" w:rsidP="006A4429">
      <w:pPr>
        <w:pStyle w:val="Bullets"/>
        <w:numPr>
          <w:ilvl w:val="0"/>
          <w:numId w:val="3"/>
        </w:numPr>
        <w:spacing w:after="0" w:line="240" w:lineRule="auto"/>
        <w:ind w:left="720"/>
        <w:jc w:val="both"/>
        <w:rPr>
          <w:rFonts w:ascii="Calibri" w:hAnsi="Calibri" w:cs="Calibri"/>
          <w:sz w:val="21"/>
          <w:szCs w:val="21"/>
        </w:rPr>
      </w:pPr>
      <w:r w:rsidRPr="00FA288E">
        <w:rPr>
          <w:rFonts w:ascii="Calibri" w:hAnsi="Calibri" w:cs="Calibri"/>
          <w:sz w:val="21"/>
          <w:szCs w:val="21"/>
        </w:rPr>
        <w:t>Partnerships of different entities, each with their own strengths and skills to contribute to achieving results</w:t>
      </w:r>
    </w:p>
    <w:p w14:paraId="16890A7E" w14:textId="77777777" w:rsidR="00FA5397" w:rsidRPr="00FA288E" w:rsidRDefault="00FA5397" w:rsidP="006A4429">
      <w:pPr>
        <w:pStyle w:val="Bullets"/>
        <w:numPr>
          <w:ilvl w:val="0"/>
          <w:numId w:val="3"/>
        </w:numPr>
        <w:spacing w:after="80" w:line="240" w:lineRule="auto"/>
        <w:ind w:left="720"/>
        <w:jc w:val="both"/>
        <w:rPr>
          <w:rFonts w:ascii="Calibri" w:hAnsi="Calibri" w:cs="Calibri"/>
          <w:sz w:val="21"/>
          <w:szCs w:val="21"/>
        </w:rPr>
      </w:pPr>
      <w:r w:rsidRPr="00FA288E">
        <w:rPr>
          <w:rFonts w:ascii="Calibri" w:hAnsi="Calibri" w:cs="Calibri"/>
          <w:sz w:val="21"/>
          <w:szCs w:val="21"/>
        </w:rPr>
        <w:t>Large-scale interventions, facilitating extensive and substantive reach in service delivery with Australian Government financing</w:t>
      </w:r>
    </w:p>
    <w:p w14:paraId="22645466" w14:textId="77777777" w:rsidR="006A4429" w:rsidRPr="00FA288E" w:rsidRDefault="006A4429" w:rsidP="006A4429">
      <w:pPr>
        <w:pStyle w:val="BodyText"/>
        <w:spacing w:after="80" w:line="240" w:lineRule="auto"/>
        <w:rPr>
          <w:rFonts w:ascii="Calibri" w:hAnsi="Calibri" w:cs="Calibri"/>
          <w:sz w:val="21"/>
          <w:szCs w:val="21"/>
        </w:rPr>
      </w:pPr>
      <w:r w:rsidRPr="00FA288E">
        <w:rPr>
          <w:rFonts w:ascii="Calibri" w:hAnsi="Calibri" w:cs="Calibri"/>
          <w:sz w:val="21"/>
          <w:szCs w:val="21"/>
        </w:rPr>
        <w:t>The PPF Education Grants are being implemented by three consortia – each led by an international NGO: Save the Children (</w:t>
      </w:r>
      <w:proofErr w:type="spellStart"/>
      <w:r w:rsidRPr="00FA288E">
        <w:rPr>
          <w:rFonts w:ascii="Calibri" w:hAnsi="Calibri" w:cs="Calibri"/>
          <w:sz w:val="21"/>
          <w:szCs w:val="21"/>
        </w:rPr>
        <w:t>StC</w:t>
      </w:r>
      <w:proofErr w:type="spellEnd"/>
      <w:r w:rsidRPr="00FA288E">
        <w:rPr>
          <w:rFonts w:ascii="Calibri" w:hAnsi="Calibri" w:cs="Calibri"/>
          <w:sz w:val="21"/>
          <w:szCs w:val="21"/>
        </w:rPr>
        <w:t xml:space="preserve">); World Vision (WV); and CARE-Australia (CARE) - across 10 provinces and 31 districts. The projects, consortia partners, budget allocations and geographic implementation locations are provided in </w:t>
      </w:r>
      <w:hyperlink w:anchor="_Annex_D:_Consortia" w:history="1">
        <w:r w:rsidRPr="00FA288E">
          <w:rPr>
            <w:rStyle w:val="Hyperlink"/>
            <w:rFonts w:ascii="Calibri" w:hAnsi="Calibri" w:cs="Calibri"/>
            <w:b/>
            <w:bCs/>
            <w:i/>
            <w:iCs/>
            <w:sz w:val="21"/>
            <w:szCs w:val="21"/>
          </w:rPr>
          <w:t xml:space="preserve">Annex </w:t>
        </w:r>
        <w:r w:rsidR="003C1678" w:rsidRPr="00FA288E">
          <w:rPr>
            <w:rStyle w:val="Hyperlink"/>
            <w:rFonts w:ascii="Calibri" w:hAnsi="Calibri" w:cs="Calibri"/>
            <w:b/>
            <w:bCs/>
            <w:i/>
            <w:iCs/>
            <w:sz w:val="21"/>
            <w:szCs w:val="21"/>
          </w:rPr>
          <w:t>D</w:t>
        </w:r>
      </w:hyperlink>
      <w:r w:rsidRPr="00FA288E">
        <w:rPr>
          <w:rFonts w:ascii="Calibri" w:hAnsi="Calibri" w:cs="Calibri"/>
          <w:sz w:val="21"/>
          <w:szCs w:val="21"/>
        </w:rPr>
        <w:t>.</w:t>
      </w:r>
    </w:p>
    <w:p w14:paraId="7E06919C" w14:textId="77777777" w:rsidR="006A4429" w:rsidRPr="00FA288E" w:rsidRDefault="006A4429" w:rsidP="006A4429">
      <w:pPr>
        <w:pStyle w:val="BodyText"/>
        <w:spacing w:after="80" w:line="240" w:lineRule="auto"/>
        <w:rPr>
          <w:rFonts w:ascii="Calibri" w:hAnsi="Calibri" w:cs="Calibri"/>
          <w:sz w:val="21"/>
          <w:szCs w:val="21"/>
        </w:rPr>
      </w:pPr>
      <w:r w:rsidRPr="00FA288E">
        <w:rPr>
          <w:rFonts w:ascii="Calibri" w:hAnsi="Calibri" w:cs="Calibri"/>
          <w:sz w:val="21"/>
          <w:szCs w:val="21"/>
        </w:rPr>
        <w:t xml:space="preserve">Two of three grants were awarded in June 2017 - </w:t>
      </w:r>
      <w:proofErr w:type="spellStart"/>
      <w:r w:rsidRPr="00FA288E">
        <w:rPr>
          <w:rFonts w:ascii="Calibri" w:hAnsi="Calibri" w:cs="Calibri"/>
          <w:sz w:val="21"/>
          <w:szCs w:val="21"/>
        </w:rPr>
        <w:t>StC</w:t>
      </w:r>
      <w:proofErr w:type="spellEnd"/>
      <w:r w:rsidRPr="00FA288E">
        <w:rPr>
          <w:rFonts w:ascii="Calibri" w:hAnsi="Calibri" w:cs="Calibri"/>
          <w:sz w:val="21"/>
          <w:szCs w:val="21"/>
        </w:rPr>
        <w:t xml:space="preserve"> for the Rapidly Improving Standards in Elementary (RISE) project and WV for the Together for Education (T4E) project – with implementation beginning in January 2018. The third grant to CARE, for the </w:t>
      </w:r>
      <w:proofErr w:type="spellStart"/>
      <w:r w:rsidRPr="00FA288E">
        <w:rPr>
          <w:rFonts w:ascii="Calibri" w:hAnsi="Calibri" w:cs="Calibri"/>
          <w:sz w:val="21"/>
          <w:szCs w:val="21"/>
        </w:rPr>
        <w:t>Pikinini</w:t>
      </w:r>
      <w:proofErr w:type="spellEnd"/>
      <w:r w:rsidRPr="00FA288E">
        <w:rPr>
          <w:rFonts w:ascii="Calibri" w:hAnsi="Calibri" w:cs="Calibri"/>
          <w:sz w:val="21"/>
          <w:szCs w:val="21"/>
        </w:rPr>
        <w:t xml:space="preserve"> </w:t>
      </w:r>
      <w:proofErr w:type="spellStart"/>
      <w:r w:rsidRPr="00FA288E">
        <w:rPr>
          <w:rFonts w:ascii="Calibri" w:hAnsi="Calibri" w:cs="Calibri"/>
          <w:sz w:val="21"/>
          <w:szCs w:val="21"/>
        </w:rPr>
        <w:t>Kisim</w:t>
      </w:r>
      <w:proofErr w:type="spellEnd"/>
      <w:r w:rsidRPr="00FA288E">
        <w:rPr>
          <w:rFonts w:ascii="Calibri" w:hAnsi="Calibri" w:cs="Calibri"/>
          <w:sz w:val="21"/>
          <w:szCs w:val="21"/>
        </w:rPr>
        <w:t xml:space="preserve"> Save (PKS) project was awarded in March 2018 with implementation beginning in September 2018.</w:t>
      </w:r>
      <w:r w:rsidR="008C75DB" w:rsidRPr="00FA288E">
        <w:rPr>
          <w:rFonts w:ascii="Calibri" w:hAnsi="Calibri" w:cs="Calibri"/>
          <w:sz w:val="21"/>
          <w:szCs w:val="21"/>
        </w:rPr>
        <w:t xml:space="preserve"> All grants were originally to conclude April 2020, but were later extended to June 2020 to allow implementation activity to April 2020.</w:t>
      </w:r>
      <w:r w:rsidR="00046165" w:rsidRPr="00FA288E">
        <w:rPr>
          <w:rFonts w:ascii="Calibri" w:hAnsi="Calibri" w:cs="Calibri"/>
          <w:sz w:val="21"/>
          <w:szCs w:val="21"/>
        </w:rPr>
        <w:t xml:space="preserve"> They have since been extended to February 2022 (with additional funding).</w:t>
      </w:r>
    </w:p>
    <w:p w14:paraId="5D0D1597" w14:textId="18CC1993" w:rsidR="00046165" w:rsidRPr="00FA288E" w:rsidRDefault="000F4F1D" w:rsidP="006A4429">
      <w:pPr>
        <w:pStyle w:val="BodyText"/>
        <w:spacing w:after="80" w:line="240" w:lineRule="auto"/>
        <w:rPr>
          <w:rFonts w:ascii="Calibri" w:hAnsi="Calibri" w:cs="Calibri"/>
          <w:sz w:val="21"/>
          <w:szCs w:val="21"/>
        </w:rPr>
      </w:pPr>
      <w:proofErr w:type="spellStart"/>
      <w:r w:rsidRPr="00FA288E">
        <w:t>Abt</w:t>
      </w:r>
      <w:proofErr w:type="spellEnd"/>
      <w:r w:rsidRPr="00FA288E">
        <w:t xml:space="preserve"> Associates, through the PPF Secretariat, is contracted by the Australian Government to provide management oversight and quality assurance of the grants</w:t>
      </w:r>
      <w:r w:rsidR="00046165" w:rsidRPr="00FA288E">
        <w:t xml:space="preserve">, and </w:t>
      </w:r>
      <w:r w:rsidRPr="00FA288E">
        <w:rPr>
          <w:rFonts w:ascii="Calibri" w:hAnsi="Calibri" w:cs="Calibri"/>
          <w:sz w:val="21"/>
          <w:szCs w:val="21"/>
        </w:rPr>
        <w:t>process ma</w:t>
      </w:r>
      <w:r w:rsidR="006A4429" w:rsidRPr="00FA288E">
        <w:rPr>
          <w:rFonts w:ascii="Calibri" w:hAnsi="Calibri" w:cs="Calibri"/>
          <w:sz w:val="21"/>
          <w:szCs w:val="21"/>
        </w:rPr>
        <w:t>t</w:t>
      </w:r>
      <w:r w:rsidRPr="00FA288E">
        <w:rPr>
          <w:rFonts w:ascii="Calibri" w:hAnsi="Calibri" w:cs="Calibri"/>
          <w:sz w:val="21"/>
          <w:szCs w:val="21"/>
        </w:rPr>
        <w:t>ters</w:t>
      </w:r>
      <w:r w:rsidR="006A4429" w:rsidRPr="00FA288E">
        <w:rPr>
          <w:rFonts w:ascii="Calibri" w:hAnsi="Calibri" w:cs="Calibri"/>
          <w:sz w:val="21"/>
          <w:szCs w:val="21"/>
        </w:rPr>
        <w:t>.</w:t>
      </w:r>
      <w:r w:rsidR="006A4429" w:rsidRPr="00FA288E">
        <w:rPr>
          <w:rStyle w:val="FootnoteReference"/>
          <w:rFonts w:cs="Calibri"/>
          <w:szCs w:val="21"/>
        </w:rPr>
        <w:footnoteReference w:id="17"/>
      </w:r>
      <w:r w:rsidR="006A4429" w:rsidRPr="00FA288E">
        <w:rPr>
          <w:rFonts w:ascii="Calibri" w:hAnsi="Calibri" w:cs="Calibri"/>
          <w:sz w:val="21"/>
          <w:szCs w:val="21"/>
        </w:rPr>
        <w:t xml:space="preserve"> </w:t>
      </w:r>
    </w:p>
    <w:p w14:paraId="5A022EE0" w14:textId="1302DE3E" w:rsidR="006A4429" w:rsidRPr="00FA288E" w:rsidRDefault="00226474" w:rsidP="006A4429">
      <w:pPr>
        <w:pStyle w:val="BodyText"/>
        <w:spacing w:after="80" w:line="240" w:lineRule="auto"/>
        <w:rPr>
          <w:rFonts w:ascii="Calibri" w:hAnsi="Calibri" w:cs="Calibri"/>
          <w:sz w:val="21"/>
          <w:szCs w:val="21"/>
        </w:rPr>
      </w:pPr>
      <w:r w:rsidRPr="00FA288E">
        <w:rPr>
          <w:rFonts w:ascii="Calibri" w:hAnsi="Calibri" w:cs="Calibri"/>
          <w:sz w:val="21"/>
          <w:szCs w:val="21"/>
        </w:rPr>
        <w:t>T</w:t>
      </w:r>
      <w:r w:rsidR="006A4429" w:rsidRPr="00FA288E">
        <w:rPr>
          <w:rFonts w:ascii="Calibri" w:hAnsi="Calibri" w:cs="Calibri"/>
          <w:sz w:val="21"/>
          <w:szCs w:val="21"/>
        </w:rPr>
        <w:t>he Australian Government maintains engagement with grantees, the Government of PNG (GoPNG) and PNG stakeholders through participation on committees</w:t>
      </w:r>
      <w:r w:rsidR="00046165" w:rsidRPr="00FA288E">
        <w:rPr>
          <w:rFonts w:ascii="Calibri" w:hAnsi="Calibri" w:cs="Calibri"/>
          <w:sz w:val="21"/>
          <w:szCs w:val="21"/>
        </w:rPr>
        <w:t>, communications,</w:t>
      </w:r>
      <w:r w:rsidR="006A4429" w:rsidRPr="00FA288E">
        <w:rPr>
          <w:rFonts w:ascii="Calibri" w:hAnsi="Calibri" w:cs="Calibri"/>
          <w:sz w:val="21"/>
          <w:szCs w:val="21"/>
        </w:rPr>
        <w:t xml:space="preserve"> and workshops and meetings on key policy and programming matters. The Australian Government also engages with PNG’s national and sub-national (provincial and district) stakeholders through forums such as the Senior Education Officials</w:t>
      </w:r>
      <w:r w:rsidR="000F4F1D" w:rsidRPr="00FA288E">
        <w:rPr>
          <w:rFonts w:ascii="Calibri" w:hAnsi="Calibri" w:cs="Calibri"/>
          <w:sz w:val="21"/>
          <w:szCs w:val="21"/>
        </w:rPr>
        <w:t>’</w:t>
      </w:r>
      <w:r w:rsidR="006A4429" w:rsidRPr="00FA288E">
        <w:rPr>
          <w:rFonts w:ascii="Calibri" w:hAnsi="Calibri" w:cs="Calibri"/>
          <w:sz w:val="21"/>
          <w:szCs w:val="21"/>
        </w:rPr>
        <w:t xml:space="preserve"> conference, and through the PPF National Oversight Committee (NOC).</w:t>
      </w:r>
      <w:r w:rsidR="006A4429" w:rsidRPr="00FA288E">
        <w:rPr>
          <w:rStyle w:val="FootnoteReference"/>
        </w:rPr>
        <w:footnoteReference w:id="18"/>
      </w:r>
      <w:r w:rsidR="006A4429" w:rsidRPr="00FA288E">
        <w:rPr>
          <w:rStyle w:val="FootnoteReference"/>
        </w:rPr>
        <w:t xml:space="preserve"> </w:t>
      </w:r>
    </w:p>
    <w:p w14:paraId="20CD2C3B" w14:textId="477B2C96" w:rsidR="006A4429" w:rsidRPr="00FA288E" w:rsidRDefault="000F4F1D" w:rsidP="00881A2E">
      <w:pPr>
        <w:spacing w:after="80" w:line="240" w:lineRule="auto"/>
        <w:rPr>
          <w:rFonts w:eastAsiaTheme="minorHAnsi" w:cs="Calibri"/>
          <w:szCs w:val="21"/>
        </w:rPr>
      </w:pPr>
      <w:r w:rsidRPr="00FA288E">
        <w:t>The NoC was established to guide, oversee and learn from the results of the three education grants. It brings together representatives from NDOE, AHC, DNPM, grantees, provincial education officers and the PPF Secretariat</w:t>
      </w:r>
      <w:r w:rsidR="006A4429" w:rsidRPr="00FA288E">
        <w:rPr>
          <w:rFonts w:eastAsiaTheme="minorHAnsi" w:cs="Calibri"/>
          <w:szCs w:val="21"/>
        </w:rPr>
        <w:t xml:space="preserve">. The NOC plans to meet twice a year, </w:t>
      </w:r>
      <w:r w:rsidR="00881A2E" w:rsidRPr="00FA288E">
        <w:rPr>
          <w:rFonts w:eastAsiaTheme="minorHAnsi" w:cs="Calibri"/>
          <w:szCs w:val="21"/>
        </w:rPr>
        <w:t>following its first meeting on 13 December</w:t>
      </w:r>
      <w:r w:rsidR="006A4429" w:rsidRPr="00FA288E">
        <w:rPr>
          <w:rFonts w:eastAsiaTheme="minorHAnsi" w:cs="Calibri"/>
          <w:szCs w:val="21"/>
        </w:rPr>
        <w:t xml:space="preserve"> 2019.</w:t>
      </w:r>
    </w:p>
    <w:p w14:paraId="7A2699A3" w14:textId="77777777" w:rsidR="00881A2E" w:rsidRPr="00FA288E" w:rsidRDefault="00881A2E" w:rsidP="00881A2E">
      <w:pPr>
        <w:pStyle w:val="BodyText"/>
        <w:spacing w:after="80" w:line="240" w:lineRule="auto"/>
        <w:rPr>
          <w:rFonts w:ascii="Calibri" w:hAnsi="Calibri" w:cs="Calibri"/>
          <w:sz w:val="21"/>
          <w:szCs w:val="21"/>
        </w:rPr>
      </w:pPr>
      <w:r w:rsidRPr="00FA288E">
        <w:rPr>
          <w:rFonts w:ascii="Calibri" w:hAnsi="Calibri" w:cs="Calibri"/>
          <w:sz w:val="21"/>
          <w:szCs w:val="21"/>
        </w:rPr>
        <w:t xml:space="preserve">The PPF Education Grants have the potential to contribute to system-wide improvements. Examples include: </w:t>
      </w:r>
    </w:p>
    <w:p w14:paraId="35E109FC" w14:textId="77777777" w:rsidR="00881A2E" w:rsidRPr="00FA288E" w:rsidRDefault="00881A2E" w:rsidP="00466656">
      <w:pPr>
        <w:pStyle w:val="Bullets"/>
        <w:numPr>
          <w:ilvl w:val="0"/>
          <w:numId w:val="8"/>
        </w:numPr>
        <w:spacing w:after="0" w:line="240" w:lineRule="auto"/>
        <w:ind w:left="630" w:hanging="357"/>
        <w:jc w:val="both"/>
        <w:rPr>
          <w:rFonts w:ascii="Calibri" w:hAnsi="Calibri" w:cs="Calibri"/>
          <w:sz w:val="21"/>
          <w:szCs w:val="21"/>
        </w:rPr>
      </w:pPr>
      <w:r w:rsidRPr="00FA288E">
        <w:rPr>
          <w:rFonts w:ascii="Calibri" w:hAnsi="Calibri" w:cs="Calibri"/>
          <w:sz w:val="21"/>
          <w:szCs w:val="21"/>
        </w:rPr>
        <w:t>Fostering models of in-service teacher training. The model has been adopted by the Global Partnership for Education’s Boosting Education Standards Together program to guide the in-service training of primary teachers in preparation for implementation of the 1-6-6 structure</w:t>
      </w:r>
      <w:r w:rsidR="00226474" w:rsidRPr="00FA288E">
        <w:rPr>
          <w:rFonts w:ascii="Calibri" w:hAnsi="Calibri" w:cs="Calibri"/>
          <w:sz w:val="21"/>
          <w:szCs w:val="21"/>
        </w:rPr>
        <w:t>;</w:t>
      </w:r>
    </w:p>
    <w:p w14:paraId="1548E77C" w14:textId="77777777" w:rsidR="00881A2E" w:rsidRPr="00FA288E" w:rsidRDefault="00881A2E" w:rsidP="00466656">
      <w:pPr>
        <w:pStyle w:val="Bullets"/>
        <w:numPr>
          <w:ilvl w:val="0"/>
          <w:numId w:val="8"/>
        </w:numPr>
        <w:spacing w:after="0" w:line="240" w:lineRule="auto"/>
        <w:ind w:left="630"/>
        <w:jc w:val="both"/>
        <w:rPr>
          <w:rFonts w:ascii="Calibri" w:hAnsi="Calibri" w:cs="Calibri"/>
          <w:sz w:val="21"/>
          <w:szCs w:val="21"/>
        </w:rPr>
      </w:pPr>
      <w:r w:rsidRPr="00FA288E">
        <w:rPr>
          <w:rFonts w:ascii="Calibri" w:hAnsi="Calibri" w:cs="Calibri"/>
          <w:sz w:val="21"/>
          <w:szCs w:val="21"/>
        </w:rPr>
        <w:t>The NDOE has expressed interest to utilise aspects of the in-service teacher training packages developed through the grant and encourage teacher training colleges to utilise the packages to inform their own pre-service and in-service teacher training programs</w:t>
      </w:r>
      <w:r w:rsidR="00226474" w:rsidRPr="00FA288E">
        <w:rPr>
          <w:rFonts w:ascii="Calibri" w:hAnsi="Calibri" w:cs="Calibri"/>
          <w:sz w:val="21"/>
          <w:szCs w:val="21"/>
        </w:rPr>
        <w:t>;</w:t>
      </w:r>
    </w:p>
    <w:p w14:paraId="28E538D8" w14:textId="45C36F40" w:rsidR="00881A2E" w:rsidRPr="00FA288E" w:rsidRDefault="00046165" w:rsidP="00466656">
      <w:pPr>
        <w:pStyle w:val="Bullets"/>
        <w:numPr>
          <w:ilvl w:val="0"/>
          <w:numId w:val="8"/>
        </w:numPr>
        <w:spacing w:after="0" w:line="240" w:lineRule="auto"/>
        <w:ind w:left="630"/>
        <w:jc w:val="both"/>
        <w:rPr>
          <w:rFonts w:ascii="Calibri" w:hAnsi="Calibri" w:cs="Calibri"/>
          <w:sz w:val="21"/>
          <w:szCs w:val="21"/>
        </w:rPr>
      </w:pPr>
      <w:r w:rsidRPr="00FA288E">
        <w:rPr>
          <w:rFonts w:ascii="Calibri" w:hAnsi="Calibri" w:cs="Calibri"/>
          <w:sz w:val="21"/>
          <w:szCs w:val="21"/>
        </w:rPr>
        <w:t>Piloting</w:t>
      </w:r>
      <w:r w:rsidR="00881A2E" w:rsidRPr="00FA288E">
        <w:rPr>
          <w:rFonts w:ascii="Calibri" w:hAnsi="Calibri" w:cs="Calibri"/>
          <w:sz w:val="21"/>
          <w:szCs w:val="21"/>
        </w:rPr>
        <w:t xml:space="preserve"> the draft ECCE curriculum in 3 provinces as part of the RISE project is providing evidence that may inform national policy and ECCE initiatives</w:t>
      </w:r>
      <w:r w:rsidR="00226474" w:rsidRPr="00FA288E">
        <w:rPr>
          <w:rFonts w:ascii="Calibri" w:hAnsi="Calibri" w:cs="Calibri"/>
          <w:sz w:val="21"/>
          <w:szCs w:val="21"/>
        </w:rPr>
        <w:t>;</w:t>
      </w:r>
      <w:r w:rsidR="00881A2E" w:rsidRPr="00FA288E">
        <w:rPr>
          <w:rFonts w:ascii="Calibri" w:hAnsi="Calibri" w:cs="Calibri"/>
          <w:sz w:val="21"/>
          <w:szCs w:val="21"/>
        </w:rPr>
        <w:t xml:space="preserve"> and</w:t>
      </w:r>
      <w:r w:rsidR="00226474" w:rsidRPr="00FA288E">
        <w:rPr>
          <w:rFonts w:ascii="Calibri" w:hAnsi="Calibri" w:cs="Calibri"/>
          <w:sz w:val="21"/>
          <w:szCs w:val="21"/>
        </w:rPr>
        <w:t>,</w:t>
      </w:r>
      <w:r w:rsidR="00881A2E" w:rsidRPr="00FA288E">
        <w:rPr>
          <w:rFonts w:ascii="Calibri" w:hAnsi="Calibri" w:cs="Calibri"/>
          <w:sz w:val="21"/>
          <w:szCs w:val="21"/>
        </w:rPr>
        <w:t xml:space="preserve"> </w:t>
      </w:r>
    </w:p>
    <w:p w14:paraId="7CC2842A" w14:textId="6DB8553B" w:rsidR="00881A2E" w:rsidRPr="00FA288E" w:rsidRDefault="00881A2E" w:rsidP="00466656">
      <w:pPr>
        <w:pStyle w:val="Bullets"/>
        <w:numPr>
          <w:ilvl w:val="0"/>
          <w:numId w:val="8"/>
        </w:numPr>
        <w:spacing w:after="80" w:line="240" w:lineRule="auto"/>
        <w:ind w:left="630"/>
        <w:jc w:val="both"/>
        <w:rPr>
          <w:rFonts w:ascii="Calibri" w:hAnsi="Calibri" w:cs="Calibri"/>
          <w:sz w:val="21"/>
          <w:szCs w:val="21"/>
        </w:rPr>
      </w:pPr>
      <w:r w:rsidRPr="00FA288E">
        <w:rPr>
          <w:rFonts w:ascii="Calibri" w:hAnsi="Calibri" w:cs="Calibri"/>
          <w:sz w:val="21"/>
          <w:szCs w:val="21"/>
        </w:rPr>
        <w:lastRenderedPageBreak/>
        <w:t xml:space="preserve">The lessons learned through supporting elementary schools to develop School Learning Improvement Plans (SLIP) provide insights into the effectiveness of training materials developed to support SLIP training, which may inform </w:t>
      </w:r>
      <w:r w:rsidR="00226474" w:rsidRPr="00FA288E">
        <w:rPr>
          <w:rFonts w:ascii="Calibri" w:hAnsi="Calibri" w:cs="Calibri"/>
          <w:sz w:val="21"/>
          <w:szCs w:val="21"/>
        </w:rPr>
        <w:t>NDOE</w:t>
      </w:r>
      <w:r w:rsidRPr="00FA288E">
        <w:rPr>
          <w:rFonts w:ascii="Calibri" w:hAnsi="Calibri" w:cs="Calibri"/>
          <w:sz w:val="21"/>
          <w:szCs w:val="21"/>
        </w:rPr>
        <w:t xml:space="preserve"> guidance for SLIP Training.     </w:t>
      </w:r>
    </w:p>
    <w:p w14:paraId="4D554D52" w14:textId="2AD2F415" w:rsidR="006A4429" w:rsidRPr="00FA288E" w:rsidRDefault="006A4429" w:rsidP="00881A2E">
      <w:pPr>
        <w:pStyle w:val="BodyText"/>
        <w:spacing w:after="80" w:line="240" w:lineRule="auto"/>
        <w:rPr>
          <w:rFonts w:ascii="Calibri" w:hAnsi="Calibri" w:cs="Calibri"/>
          <w:sz w:val="21"/>
          <w:szCs w:val="21"/>
        </w:rPr>
      </w:pPr>
      <w:r w:rsidRPr="00FA288E">
        <w:rPr>
          <w:rFonts w:ascii="Calibri" w:hAnsi="Calibri" w:cs="Calibri"/>
          <w:sz w:val="21"/>
          <w:szCs w:val="21"/>
        </w:rPr>
        <w:t>All three PPF Education Grants are well underway and progress reporting indicates they are on track with their activity level implementation</w:t>
      </w:r>
      <w:r w:rsidR="00F02803" w:rsidRPr="00FA288E">
        <w:rPr>
          <w:rFonts w:ascii="Calibri" w:hAnsi="Calibri" w:cs="Calibri"/>
          <w:sz w:val="21"/>
          <w:szCs w:val="21"/>
        </w:rPr>
        <w:t xml:space="preserve"> where in 70% of the targets are on track (35% achieved plus 35% on track) and 30% not likely to be achieved</w:t>
      </w:r>
      <w:r w:rsidRPr="00FA288E">
        <w:rPr>
          <w:rFonts w:ascii="Calibri" w:hAnsi="Calibri" w:cs="Calibri"/>
          <w:sz w:val="21"/>
          <w:szCs w:val="21"/>
        </w:rPr>
        <w:t xml:space="preserve">. Two projects (RISE and T4E) </w:t>
      </w:r>
      <w:r w:rsidR="00046165" w:rsidRPr="00FA288E">
        <w:rPr>
          <w:rFonts w:ascii="Calibri" w:hAnsi="Calibri" w:cs="Calibri"/>
          <w:sz w:val="21"/>
          <w:szCs w:val="21"/>
        </w:rPr>
        <w:t>conducted</w:t>
      </w:r>
      <w:r w:rsidRPr="00FA288E">
        <w:rPr>
          <w:rFonts w:ascii="Calibri" w:hAnsi="Calibri" w:cs="Calibri"/>
          <w:sz w:val="21"/>
          <w:szCs w:val="21"/>
        </w:rPr>
        <w:t xml:space="preserve"> midline data collection</w:t>
      </w:r>
      <w:r w:rsidR="00E06FB0">
        <w:rPr>
          <w:rFonts w:ascii="Calibri" w:hAnsi="Calibri" w:cs="Calibri"/>
          <w:sz w:val="21"/>
          <w:szCs w:val="21"/>
        </w:rPr>
        <w:t xml:space="preserve"> with</w:t>
      </w:r>
      <w:r w:rsidRPr="00FA288E">
        <w:rPr>
          <w:rFonts w:ascii="Calibri" w:hAnsi="Calibri" w:cs="Calibri"/>
          <w:sz w:val="21"/>
          <w:szCs w:val="21"/>
        </w:rPr>
        <w:t xml:space="preserve"> promising results</w:t>
      </w:r>
      <w:r w:rsidR="00881A2E" w:rsidRPr="00FA288E">
        <w:rPr>
          <w:rFonts w:ascii="Calibri" w:hAnsi="Calibri" w:cs="Calibri"/>
          <w:sz w:val="21"/>
          <w:szCs w:val="21"/>
        </w:rPr>
        <w:t xml:space="preserve"> and </w:t>
      </w:r>
      <w:r w:rsidR="0012661B" w:rsidRPr="00FA288E">
        <w:rPr>
          <w:rFonts w:ascii="Calibri" w:hAnsi="Calibri" w:cs="Calibri"/>
          <w:sz w:val="21"/>
          <w:szCs w:val="21"/>
        </w:rPr>
        <w:t xml:space="preserve">that </w:t>
      </w:r>
      <w:r w:rsidR="00881A2E" w:rsidRPr="00FA288E">
        <w:rPr>
          <w:rFonts w:ascii="Calibri" w:hAnsi="Calibri" w:cs="Calibri"/>
          <w:sz w:val="21"/>
          <w:szCs w:val="21"/>
        </w:rPr>
        <w:t xml:space="preserve">will be discussed in </w:t>
      </w:r>
      <w:r w:rsidR="000F4F1D" w:rsidRPr="00FA288E">
        <w:rPr>
          <w:rFonts w:ascii="Calibri" w:hAnsi="Calibri" w:cs="Calibri"/>
          <w:sz w:val="21"/>
          <w:szCs w:val="21"/>
        </w:rPr>
        <w:t>Sub</w:t>
      </w:r>
      <w:r w:rsidR="00881A2E" w:rsidRPr="00FA288E">
        <w:rPr>
          <w:rFonts w:ascii="Calibri" w:hAnsi="Calibri" w:cs="Calibri"/>
          <w:sz w:val="21"/>
          <w:szCs w:val="21"/>
        </w:rPr>
        <w:t>section</w:t>
      </w:r>
      <w:r w:rsidR="000F4F1D" w:rsidRPr="00FA288E">
        <w:rPr>
          <w:rFonts w:ascii="Calibri" w:hAnsi="Calibri" w:cs="Calibri"/>
          <w:sz w:val="21"/>
          <w:szCs w:val="21"/>
        </w:rPr>
        <w:t xml:space="preserve"> 3.1.1</w:t>
      </w:r>
      <w:r w:rsidRPr="00FA288E">
        <w:rPr>
          <w:rFonts w:ascii="Calibri" w:hAnsi="Calibri" w:cs="Calibri"/>
          <w:sz w:val="21"/>
          <w:szCs w:val="21"/>
        </w:rPr>
        <w:t xml:space="preserve">. </w:t>
      </w:r>
      <w:r w:rsidR="0012661B" w:rsidRPr="00FA288E">
        <w:rPr>
          <w:rFonts w:ascii="Calibri" w:hAnsi="Calibri" w:cs="Calibri"/>
          <w:sz w:val="21"/>
          <w:szCs w:val="21"/>
        </w:rPr>
        <w:t>The</w:t>
      </w:r>
      <w:r w:rsidRPr="00FA288E">
        <w:rPr>
          <w:rFonts w:ascii="Calibri" w:hAnsi="Calibri" w:cs="Calibri"/>
          <w:sz w:val="21"/>
          <w:szCs w:val="21"/>
        </w:rPr>
        <w:t xml:space="preserve"> Australian Government </w:t>
      </w:r>
      <w:r w:rsidR="0012661B" w:rsidRPr="00FA288E">
        <w:rPr>
          <w:rFonts w:ascii="Calibri" w:hAnsi="Calibri" w:cs="Calibri"/>
          <w:sz w:val="21"/>
          <w:szCs w:val="21"/>
        </w:rPr>
        <w:t xml:space="preserve">indicated it would </w:t>
      </w:r>
      <w:r w:rsidRPr="00FA288E">
        <w:rPr>
          <w:rFonts w:ascii="Calibri" w:hAnsi="Calibri" w:cs="Calibri"/>
          <w:sz w:val="21"/>
          <w:szCs w:val="21"/>
        </w:rPr>
        <w:t>extend the implementation of the grants t</w:t>
      </w:r>
      <w:r w:rsidR="00226474" w:rsidRPr="00FA288E">
        <w:rPr>
          <w:rFonts w:ascii="Calibri" w:hAnsi="Calibri" w:cs="Calibri"/>
          <w:sz w:val="21"/>
          <w:szCs w:val="21"/>
        </w:rPr>
        <w:t>hrough</w:t>
      </w:r>
      <w:r w:rsidRPr="00FA288E">
        <w:rPr>
          <w:rFonts w:ascii="Calibri" w:hAnsi="Calibri" w:cs="Calibri"/>
          <w:sz w:val="21"/>
          <w:szCs w:val="21"/>
        </w:rPr>
        <w:t xml:space="preserve"> February 2022. </w:t>
      </w:r>
      <w:r w:rsidR="0012661B" w:rsidRPr="00FA288E">
        <w:rPr>
          <w:rFonts w:ascii="Calibri" w:hAnsi="Calibri" w:cs="Calibri"/>
          <w:sz w:val="21"/>
          <w:szCs w:val="21"/>
        </w:rPr>
        <w:t>This was accompanied by</w:t>
      </w:r>
      <w:r w:rsidRPr="00FA288E">
        <w:rPr>
          <w:rFonts w:ascii="Calibri" w:hAnsi="Calibri" w:cs="Calibri"/>
          <w:sz w:val="21"/>
          <w:szCs w:val="21"/>
        </w:rPr>
        <w:t xml:space="preserve"> approval of an extension to the contract with </w:t>
      </w:r>
      <w:proofErr w:type="spellStart"/>
      <w:r w:rsidRPr="00FA288E">
        <w:rPr>
          <w:rFonts w:ascii="Calibri" w:hAnsi="Calibri" w:cs="Calibri"/>
          <w:sz w:val="21"/>
          <w:szCs w:val="21"/>
        </w:rPr>
        <w:t>Abt</w:t>
      </w:r>
      <w:proofErr w:type="spellEnd"/>
      <w:r w:rsidRPr="00FA288E">
        <w:rPr>
          <w:rFonts w:ascii="Calibri" w:hAnsi="Calibri" w:cs="Calibri"/>
          <w:sz w:val="21"/>
          <w:szCs w:val="21"/>
        </w:rPr>
        <w:t xml:space="preserve"> Associates to continue the PPF Secretariat function.</w:t>
      </w:r>
    </w:p>
    <w:p w14:paraId="5C842B9D" w14:textId="77777777" w:rsidR="00B96B0C" w:rsidRPr="00FA288E" w:rsidRDefault="00D12893" w:rsidP="00466656">
      <w:pPr>
        <w:pStyle w:val="Heading2"/>
        <w:numPr>
          <w:ilvl w:val="0"/>
          <w:numId w:val="9"/>
        </w:numPr>
        <w:spacing w:before="0" w:after="80" w:line="240" w:lineRule="auto"/>
        <w:ind w:left="540" w:hanging="540"/>
        <w:rPr>
          <w:b w:val="0"/>
          <w:bCs w:val="0"/>
          <w:sz w:val="32"/>
          <w:szCs w:val="32"/>
        </w:rPr>
      </w:pPr>
      <w:bookmarkStart w:id="41" w:name="_Review_Methodology"/>
      <w:bookmarkStart w:id="42" w:name="_Toc31625583"/>
      <w:bookmarkStart w:id="43" w:name="_Toc42075964"/>
      <w:bookmarkEnd w:id="41"/>
      <w:r w:rsidRPr="00FA288E">
        <w:rPr>
          <w:b w:val="0"/>
          <w:bCs w:val="0"/>
          <w:sz w:val="32"/>
          <w:szCs w:val="32"/>
        </w:rPr>
        <w:t>Review Methodology</w:t>
      </w:r>
      <w:bookmarkEnd w:id="42"/>
      <w:bookmarkEnd w:id="43"/>
      <w:r w:rsidRPr="00FA288E">
        <w:rPr>
          <w:b w:val="0"/>
          <w:bCs w:val="0"/>
          <w:sz w:val="32"/>
          <w:szCs w:val="32"/>
        </w:rPr>
        <w:t xml:space="preserve"> </w:t>
      </w:r>
    </w:p>
    <w:p w14:paraId="558A044B" w14:textId="2A81AFD9" w:rsidR="00B96B0C" w:rsidRPr="00FA288E" w:rsidRDefault="00726C1C" w:rsidP="00C35D04">
      <w:pPr>
        <w:pStyle w:val="BodyText"/>
        <w:spacing w:after="80" w:line="240" w:lineRule="auto"/>
        <w:rPr>
          <w:rFonts w:cstheme="minorHAnsi"/>
          <w:sz w:val="21"/>
          <w:szCs w:val="21"/>
        </w:rPr>
      </w:pPr>
      <w:r w:rsidRPr="00FA288E">
        <w:rPr>
          <w:rFonts w:cstheme="minorHAnsi"/>
          <w:sz w:val="21"/>
          <w:szCs w:val="21"/>
        </w:rPr>
        <w:t xml:space="preserve">A </w:t>
      </w:r>
      <w:r w:rsidR="00C736FE" w:rsidRPr="00FA288E">
        <w:rPr>
          <w:rFonts w:cstheme="minorHAnsi"/>
          <w:sz w:val="21"/>
          <w:szCs w:val="21"/>
        </w:rPr>
        <w:t>p</w:t>
      </w:r>
      <w:r w:rsidR="00B96B0C" w:rsidRPr="00FA288E">
        <w:rPr>
          <w:rFonts w:cstheme="minorHAnsi"/>
          <w:sz w:val="21"/>
          <w:szCs w:val="21"/>
        </w:rPr>
        <w:t xml:space="preserve">reliminary document review took place </w:t>
      </w:r>
      <w:r w:rsidR="002A5FE6" w:rsidRPr="00FA288E">
        <w:rPr>
          <w:rFonts w:cstheme="minorHAnsi"/>
          <w:sz w:val="21"/>
          <w:szCs w:val="21"/>
        </w:rPr>
        <w:t>from</w:t>
      </w:r>
      <w:r w:rsidR="00B96B0C" w:rsidRPr="00FA288E">
        <w:rPr>
          <w:rFonts w:cstheme="minorHAnsi"/>
          <w:sz w:val="21"/>
          <w:szCs w:val="21"/>
        </w:rPr>
        <w:t xml:space="preserve"> mid-October to inform the </w:t>
      </w:r>
      <w:r w:rsidR="002A5FE6" w:rsidRPr="00FA288E">
        <w:rPr>
          <w:rFonts w:cstheme="minorHAnsi"/>
          <w:sz w:val="21"/>
          <w:szCs w:val="21"/>
        </w:rPr>
        <w:t>r</w:t>
      </w:r>
      <w:r w:rsidR="00B96B0C" w:rsidRPr="00FA288E">
        <w:rPr>
          <w:rFonts w:cstheme="minorHAnsi"/>
          <w:sz w:val="21"/>
          <w:szCs w:val="21"/>
        </w:rPr>
        <w:t xml:space="preserve">eview </w:t>
      </w:r>
      <w:r w:rsidR="002A5FE6" w:rsidRPr="00FA288E">
        <w:rPr>
          <w:rFonts w:cstheme="minorHAnsi"/>
          <w:sz w:val="21"/>
          <w:szCs w:val="21"/>
        </w:rPr>
        <w:t>p</w:t>
      </w:r>
      <w:r w:rsidR="00B96B0C" w:rsidRPr="00FA288E">
        <w:rPr>
          <w:rFonts w:cstheme="minorHAnsi"/>
          <w:sz w:val="21"/>
          <w:szCs w:val="21"/>
        </w:rPr>
        <w:t>lan</w:t>
      </w:r>
      <w:r w:rsidR="0012661B" w:rsidRPr="00FA288E">
        <w:rPr>
          <w:rFonts w:cstheme="minorHAnsi"/>
          <w:sz w:val="21"/>
          <w:szCs w:val="21"/>
        </w:rPr>
        <w:t xml:space="preserve"> development</w:t>
      </w:r>
      <w:r w:rsidR="00B96B0C" w:rsidRPr="00FA288E">
        <w:rPr>
          <w:rFonts w:cstheme="minorHAnsi"/>
          <w:sz w:val="21"/>
          <w:szCs w:val="21"/>
        </w:rPr>
        <w:t xml:space="preserve">. </w:t>
      </w:r>
      <w:r w:rsidR="002A5FE6" w:rsidRPr="00FA288E">
        <w:rPr>
          <w:rFonts w:cstheme="minorHAnsi"/>
          <w:sz w:val="21"/>
          <w:szCs w:val="21"/>
        </w:rPr>
        <w:t>A</w:t>
      </w:r>
      <w:r w:rsidR="00B96B0C" w:rsidRPr="00FA288E">
        <w:rPr>
          <w:rFonts w:cstheme="minorHAnsi"/>
          <w:sz w:val="21"/>
          <w:szCs w:val="21"/>
        </w:rPr>
        <w:t xml:space="preserve">n in-country mission </w:t>
      </w:r>
      <w:r w:rsidR="007D47A9" w:rsidRPr="00FA288E">
        <w:rPr>
          <w:rFonts w:cstheme="minorHAnsi"/>
          <w:sz w:val="21"/>
          <w:szCs w:val="21"/>
        </w:rPr>
        <w:t xml:space="preserve">took </w:t>
      </w:r>
      <w:proofErr w:type="gramStart"/>
      <w:r w:rsidR="007D47A9" w:rsidRPr="00FA288E">
        <w:rPr>
          <w:rFonts w:cstheme="minorHAnsi"/>
          <w:sz w:val="21"/>
          <w:szCs w:val="21"/>
        </w:rPr>
        <w:t xml:space="preserve">place </w:t>
      </w:r>
      <w:r w:rsidR="00B96B0C" w:rsidRPr="00FA288E">
        <w:rPr>
          <w:rFonts w:cstheme="minorHAnsi"/>
          <w:sz w:val="21"/>
          <w:szCs w:val="21"/>
        </w:rPr>
        <w:t xml:space="preserve"> 4</w:t>
      </w:r>
      <w:proofErr w:type="gramEnd"/>
      <w:r w:rsidR="00B96B0C" w:rsidRPr="00FA288E">
        <w:rPr>
          <w:rFonts w:cstheme="minorHAnsi"/>
          <w:sz w:val="21"/>
          <w:szCs w:val="21"/>
        </w:rPr>
        <w:t xml:space="preserve">-26 November 2019, </w:t>
      </w:r>
      <w:r w:rsidR="002A5FE6" w:rsidRPr="00FA288E">
        <w:rPr>
          <w:rFonts w:cstheme="minorHAnsi"/>
          <w:sz w:val="21"/>
          <w:szCs w:val="21"/>
        </w:rPr>
        <w:t>ending with the</w:t>
      </w:r>
      <w:r w:rsidR="00B96B0C" w:rsidRPr="00FA288E">
        <w:rPr>
          <w:rFonts w:cstheme="minorHAnsi"/>
          <w:sz w:val="21"/>
          <w:szCs w:val="21"/>
        </w:rPr>
        <w:t xml:space="preserve"> validation workshop with stakeholders and presentation of </w:t>
      </w:r>
      <w:r w:rsidR="002A5FE6" w:rsidRPr="00FA288E">
        <w:rPr>
          <w:rFonts w:cstheme="minorHAnsi"/>
          <w:sz w:val="21"/>
          <w:szCs w:val="21"/>
        </w:rPr>
        <w:t>the</w:t>
      </w:r>
      <w:r w:rsidR="00B96B0C" w:rsidRPr="00FA288E">
        <w:rPr>
          <w:rFonts w:cstheme="minorHAnsi"/>
          <w:sz w:val="21"/>
          <w:szCs w:val="21"/>
        </w:rPr>
        <w:t xml:space="preserve"> Aide Memoire. </w:t>
      </w:r>
    </w:p>
    <w:p w14:paraId="2AD39E6B" w14:textId="77777777" w:rsidR="00614C93" w:rsidRPr="00FA288E" w:rsidRDefault="00614C93" w:rsidP="00C35D04">
      <w:pPr>
        <w:pStyle w:val="BodyText"/>
        <w:spacing w:after="80" w:line="240" w:lineRule="auto"/>
        <w:rPr>
          <w:rFonts w:ascii="Calibri" w:hAnsi="Calibri" w:cs="Calibri"/>
          <w:sz w:val="21"/>
          <w:szCs w:val="21"/>
        </w:rPr>
      </w:pPr>
      <w:r w:rsidRPr="00FA288E">
        <w:rPr>
          <w:rFonts w:ascii="Calibri" w:hAnsi="Calibri" w:cs="Calibri"/>
          <w:sz w:val="21"/>
          <w:szCs w:val="21"/>
        </w:rPr>
        <w:t xml:space="preserve">The </w:t>
      </w:r>
      <w:r w:rsidR="002A5FE6" w:rsidRPr="00FA288E">
        <w:rPr>
          <w:rFonts w:ascii="Calibri" w:hAnsi="Calibri" w:cs="Calibri"/>
          <w:sz w:val="21"/>
          <w:szCs w:val="21"/>
        </w:rPr>
        <w:t>methodology</w:t>
      </w:r>
      <w:r w:rsidRPr="00FA288E">
        <w:rPr>
          <w:rFonts w:ascii="Calibri" w:hAnsi="Calibri" w:cs="Calibri"/>
          <w:sz w:val="21"/>
          <w:szCs w:val="21"/>
        </w:rPr>
        <w:t xml:space="preserve"> relied principally on document review, interviews with key informants, </w:t>
      </w:r>
      <w:r w:rsidR="002A5FE6" w:rsidRPr="00FA288E">
        <w:rPr>
          <w:rFonts w:ascii="Calibri" w:hAnsi="Calibri" w:cs="Calibri"/>
          <w:sz w:val="21"/>
          <w:szCs w:val="21"/>
        </w:rPr>
        <w:t>discussions</w:t>
      </w:r>
      <w:r w:rsidR="004344DC" w:rsidRPr="00FA288E">
        <w:rPr>
          <w:rFonts w:ascii="Calibri" w:hAnsi="Calibri" w:cs="Calibri"/>
          <w:sz w:val="21"/>
          <w:szCs w:val="21"/>
        </w:rPr>
        <w:t xml:space="preserve"> with stakeholder groups</w:t>
      </w:r>
      <w:r w:rsidR="002A5FE6" w:rsidRPr="00FA288E">
        <w:rPr>
          <w:rFonts w:ascii="Calibri" w:hAnsi="Calibri" w:cs="Calibri"/>
          <w:sz w:val="21"/>
          <w:szCs w:val="21"/>
        </w:rPr>
        <w:t xml:space="preserve"> </w:t>
      </w:r>
      <w:r w:rsidRPr="00FA288E">
        <w:rPr>
          <w:rFonts w:ascii="Calibri" w:hAnsi="Calibri" w:cs="Calibri"/>
          <w:sz w:val="21"/>
          <w:szCs w:val="21"/>
        </w:rPr>
        <w:t>and observations of teaching practice</w:t>
      </w:r>
      <w:r w:rsidR="002A5FE6" w:rsidRPr="00FA288E">
        <w:rPr>
          <w:rFonts w:ascii="Calibri" w:hAnsi="Calibri" w:cs="Calibri"/>
          <w:sz w:val="21"/>
          <w:szCs w:val="21"/>
        </w:rPr>
        <w:t>. This included</w:t>
      </w:r>
      <w:r w:rsidRPr="00FA288E">
        <w:rPr>
          <w:rFonts w:ascii="Calibri" w:hAnsi="Calibri" w:cs="Calibri"/>
          <w:sz w:val="21"/>
          <w:szCs w:val="21"/>
        </w:rPr>
        <w:t>:</w:t>
      </w:r>
    </w:p>
    <w:p w14:paraId="13713B4D" w14:textId="77777777" w:rsidR="00614C93" w:rsidRPr="00FA288E" w:rsidRDefault="002A5FE6" w:rsidP="00FF62CC">
      <w:pPr>
        <w:pStyle w:val="ListParagraph"/>
        <w:numPr>
          <w:ilvl w:val="0"/>
          <w:numId w:val="65"/>
        </w:numPr>
        <w:spacing w:after="80" w:line="240" w:lineRule="auto"/>
        <w:jc w:val="both"/>
        <w:rPr>
          <w:rFonts w:cs="Calibri"/>
          <w:sz w:val="21"/>
          <w:szCs w:val="21"/>
          <w:lang w:val="en-AU"/>
        </w:rPr>
      </w:pPr>
      <w:r w:rsidRPr="00FA288E">
        <w:rPr>
          <w:rFonts w:cs="Calibri"/>
          <w:sz w:val="21"/>
          <w:szCs w:val="21"/>
          <w:lang w:val="en-AU"/>
        </w:rPr>
        <w:t xml:space="preserve">Development of </w:t>
      </w:r>
      <w:r w:rsidR="00614C93" w:rsidRPr="00FA288E">
        <w:rPr>
          <w:rFonts w:cs="Calibri"/>
          <w:sz w:val="21"/>
          <w:szCs w:val="21"/>
          <w:lang w:val="en-AU"/>
        </w:rPr>
        <w:t xml:space="preserve">initial </w:t>
      </w:r>
      <w:r w:rsidR="0023516B" w:rsidRPr="00FA288E">
        <w:rPr>
          <w:rFonts w:cs="Calibri"/>
          <w:sz w:val="21"/>
          <w:szCs w:val="21"/>
          <w:lang w:val="en-AU"/>
        </w:rPr>
        <w:t xml:space="preserve">key informant </w:t>
      </w:r>
      <w:r w:rsidRPr="00FA288E">
        <w:rPr>
          <w:rFonts w:cs="Calibri"/>
          <w:sz w:val="21"/>
          <w:szCs w:val="21"/>
          <w:lang w:val="en-AU"/>
        </w:rPr>
        <w:t xml:space="preserve">and </w:t>
      </w:r>
      <w:r w:rsidR="0023516B" w:rsidRPr="00FA288E">
        <w:rPr>
          <w:rFonts w:cs="Calibri"/>
          <w:sz w:val="21"/>
          <w:szCs w:val="21"/>
          <w:lang w:val="en-AU"/>
        </w:rPr>
        <w:t xml:space="preserve">focus group </w:t>
      </w:r>
      <w:r w:rsidRPr="00FA288E">
        <w:rPr>
          <w:rFonts w:cs="Calibri"/>
          <w:sz w:val="21"/>
          <w:szCs w:val="21"/>
          <w:lang w:val="en-AU"/>
        </w:rPr>
        <w:t>discussion</w:t>
      </w:r>
      <w:r w:rsidR="00614C93" w:rsidRPr="00FA288E">
        <w:rPr>
          <w:rFonts w:cs="Calibri"/>
          <w:sz w:val="21"/>
          <w:szCs w:val="21"/>
          <w:lang w:val="en-AU"/>
        </w:rPr>
        <w:t xml:space="preserve"> guides</w:t>
      </w:r>
      <w:r w:rsidR="0023516B" w:rsidRPr="00FA288E">
        <w:rPr>
          <w:rFonts w:cs="Calibri"/>
          <w:sz w:val="21"/>
          <w:szCs w:val="21"/>
          <w:lang w:val="en-AU"/>
        </w:rPr>
        <w:t xml:space="preserve"> to collect and organise information from individuals interviewed;</w:t>
      </w:r>
    </w:p>
    <w:p w14:paraId="79FCB6EF" w14:textId="77777777" w:rsidR="00614C93" w:rsidRPr="00FA288E" w:rsidRDefault="00614C93" w:rsidP="00FF62CC">
      <w:pPr>
        <w:pStyle w:val="ListParagraph"/>
        <w:numPr>
          <w:ilvl w:val="0"/>
          <w:numId w:val="65"/>
        </w:numPr>
        <w:spacing w:after="80" w:line="240" w:lineRule="auto"/>
        <w:jc w:val="both"/>
        <w:rPr>
          <w:rFonts w:cs="Calibri"/>
          <w:sz w:val="21"/>
          <w:szCs w:val="21"/>
          <w:lang w:val="en-AU"/>
        </w:rPr>
      </w:pPr>
      <w:r w:rsidRPr="00FA288E">
        <w:rPr>
          <w:rFonts w:cs="Calibri"/>
          <w:sz w:val="21"/>
          <w:szCs w:val="21"/>
          <w:lang w:val="en-AU"/>
        </w:rPr>
        <w:t>Document</w:t>
      </w:r>
      <w:r w:rsidR="004344DC" w:rsidRPr="00FA288E">
        <w:rPr>
          <w:rFonts w:cs="Calibri"/>
          <w:sz w:val="21"/>
          <w:szCs w:val="21"/>
          <w:lang w:val="en-AU"/>
        </w:rPr>
        <w:t>ation</w:t>
      </w:r>
      <w:r w:rsidRPr="00FA288E">
        <w:rPr>
          <w:rFonts w:cs="Calibri"/>
          <w:sz w:val="21"/>
          <w:szCs w:val="21"/>
          <w:lang w:val="en-AU"/>
        </w:rPr>
        <w:t xml:space="preserve"> review and synthesis was conducted throughout the review period as information gaps were identified. </w:t>
      </w:r>
      <w:r w:rsidR="004344DC" w:rsidRPr="00FA288E">
        <w:rPr>
          <w:rFonts w:cs="Calibri"/>
          <w:sz w:val="21"/>
          <w:szCs w:val="21"/>
          <w:lang w:val="en-AU"/>
        </w:rPr>
        <w:t>D</w:t>
      </w:r>
      <w:r w:rsidRPr="00FA288E">
        <w:rPr>
          <w:rFonts w:cs="Calibri"/>
          <w:sz w:val="21"/>
          <w:szCs w:val="21"/>
          <w:lang w:val="en-AU"/>
        </w:rPr>
        <w:t xml:space="preserve">ocuments were reviewed against the KRQs to triangulate existing data. Grantee monitoring and evaluation systems and progress reports were assessed against </w:t>
      </w:r>
      <w:r w:rsidR="004344DC" w:rsidRPr="00FA288E">
        <w:rPr>
          <w:rFonts w:cs="Calibri"/>
          <w:sz w:val="21"/>
          <w:szCs w:val="21"/>
          <w:lang w:val="en-AU"/>
        </w:rPr>
        <w:t xml:space="preserve">the </w:t>
      </w:r>
      <w:r w:rsidRPr="00FA288E">
        <w:rPr>
          <w:rFonts w:cs="Calibri"/>
          <w:sz w:val="21"/>
          <w:szCs w:val="21"/>
          <w:lang w:val="en-AU"/>
        </w:rPr>
        <w:t>DFAT M</w:t>
      </w:r>
      <w:r w:rsidR="00C628BA" w:rsidRPr="00FA288E">
        <w:rPr>
          <w:rFonts w:cs="Calibri"/>
          <w:sz w:val="21"/>
          <w:szCs w:val="21"/>
          <w:lang w:val="en-AU"/>
        </w:rPr>
        <w:t xml:space="preserve">onitoring and </w:t>
      </w:r>
      <w:r w:rsidRPr="00FA288E">
        <w:rPr>
          <w:rFonts w:cs="Calibri"/>
          <w:sz w:val="21"/>
          <w:szCs w:val="21"/>
          <w:lang w:val="en-AU"/>
        </w:rPr>
        <w:t>E</w:t>
      </w:r>
      <w:r w:rsidR="00C628BA" w:rsidRPr="00FA288E">
        <w:rPr>
          <w:rFonts w:cs="Calibri"/>
          <w:sz w:val="21"/>
          <w:szCs w:val="21"/>
          <w:lang w:val="en-AU"/>
        </w:rPr>
        <w:t>valuation (M&amp;E)</w:t>
      </w:r>
      <w:r w:rsidRPr="00FA288E">
        <w:rPr>
          <w:rFonts w:cs="Calibri"/>
          <w:sz w:val="21"/>
          <w:szCs w:val="21"/>
          <w:lang w:val="en-AU"/>
        </w:rPr>
        <w:t xml:space="preserve"> Standards</w:t>
      </w:r>
      <w:r w:rsidR="0023516B" w:rsidRPr="00FA288E">
        <w:rPr>
          <w:rFonts w:cs="Calibri"/>
          <w:sz w:val="21"/>
          <w:szCs w:val="21"/>
          <w:lang w:val="en-AU"/>
        </w:rPr>
        <w:t>;</w:t>
      </w:r>
    </w:p>
    <w:p w14:paraId="6F02F757" w14:textId="3A34E925" w:rsidR="004344DC" w:rsidRPr="00FA288E" w:rsidRDefault="00614C93" w:rsidP="00FF62CC">
      <w:pPr>
        <w:pStyle w:val="ListParagraph"/>
        <w:numPr>
          <w:ilvl w:val="0"/>
          <w:numId w:val="65"/>
        </w:numPr>
        <w:spacing w:after="80" w:line="240" w:lineRule="auto"/>
        <w:jc w:val="both"/>
        <w:rPr>
          <w:rFonts w:cs="Calibri"/>
          <w:sz w:val="21"/>
          <w:szCs w:val="21"/>
          <w:lang w:val="en-AU"/>
        </w:rPr>
      </w:pPr>
      <w:r w:rsidRPr="00FA288E">
        <w:rPr>
          <w:rFonts w:cs="Calibri"/>
          <w:sz w:val="21"/>
          <w:szCs w:val="21"/>
          <w:lang w:val="en-AU"/>
        </w:rPr>
        <w:t>Initial meetings and interviews with the A</w:t>
      </w:r>
      <w:r w:rsidR="00D54281" w:rsidRPr="00FA288E">
        <w:rPr>
          <w:rFonts w:cs="Calibri"/>
          <w:sz w:val="21"/>
          <w:szCs w:val="21"/>
          <w:lang w:val="en-AU"/>
        </w:rPr>
        <w:t xml:space="preserve">ustralian </w:t>
      </w:r>
      <w:r w:rsidR="001444CE" w:rsidRPr="00FA288E">
        <w:rPr>
          <w:rFonts w:cs="Calibri"/>
          <w:sz w:val="21"/>
          <w:szCs w:val="21"/>
          <w:lang w:val="en-AU"/>
        </w:rPr>
        <w:t>G</w:t>
      </w:r>
      <w:r w:rsidR="00D54281" w:rsidRPr="00FA288E">
        <w:rPr>
          <w:rFonts w:cs="Calibri"/>
          <w:sz w:val="21"/>
          <w:szCs w:val="21"/>
          <w:lang w:val="en-AU"/>
        </w:rPr>
        <w:t>overnment</w:t>
      </w:r>
      <w:r w:rsidRPr="00FA288E">
        <w:rPr>
          <w:rFonts w:cs="Calibri"/>
          <w:sz w:val="21"/>
          <w:szCs w:val="21"/>
          <w:lang w:val="en-AU"/>
        </w:rPr>
        <w:t xml:space="preserve">, the NDOE and DNPM </w:t>
      </w:r>
      <w:r w:rsidR="004344DC" w:rsidRPr="00FA288E">
        <w:rPr>
          <w:rFonts w:cs="Calibri"/>
          <w:sz w:val="21"/>
          <w:szCs w:val="21"/>
          <w:lang w:val="en-AU"/>
        </w:rPr>
        <w:t>(23 ind</w:t>
      </w:r>
      <w:r w:rsidR="0023516B" w:rsidRPr="00FA288E">
        <w:rPr>
          <w:rFonts w:cs="Calibri"/>
          <w:sz w:val="21"/>
          <w:szCs w:val="21"/>
          <w:lang w:val="en-AU"/>
        </w:rPr>
        <w:t>i</w:t>
      </w:r>
      <w:r w:rsidR="004344DC" w:rsidRPr="00FA288E">
        <w:rPr>
          <w:rFonts w:cs="Calibri"/>
          <w:sz w:val="21"/>
          <w:szCs w:val="21"/>
          <w:lang w:val="en-AU"/>
        </w:rPr>
        <w:t xml:space="preserve">viduals of which 13 were women) </w:t>
      </w:r>
      <w:r w:rsidRPr="00FA288E">
        <w:rPr>
          <w:rFonts w:cs="Calibri"/>
          <w:sz w:val="21"/>
          <w:szCs w:val="21"/>
          <w:lang w:val="en-AU"/>
        </w:rPr>
        <w:t>to provide the review team with Australian and PNG government perspectives</w:t>
      </w:r>
      <w:r w:rsidR="0023516B" w:rsidRPr="00FA288E">
        <w:rPr>
          <w:rFonts w:cs="Calibri"/>
          <w:sz w:val="21"/>
          <w:szCs w:val="21"/>
          <w:lang w:val="en-AU"/>
        </w:rPr>
        <w:t>;</w:t>
      </w:r>
    </w:p>
    <w:p w14:paraId="5FD7C302" w14:textId="68725694" w:rsidR="004344DC" w:rsidRPr="00FA288E" w:rsidRDefault="00614C93" w:rsidP="00FF62CC">
      <w:pPr>
        <w:pStyle w:val="ListParagraph"/>
        <w:numPr>
          <w:ilvl w:val="0"/>
          <w:numId w:val="65"/>
        </w:numPr>
        <w:spacing w:after="80" w:line="240" w:lineRule="auto"/>
        <w:jc w:val="both"/>
        <w:rPr>
          <w:rFonts w:cs="Calibri"/>
          <w:sz w:val="21"/>
          <w:szCs w:val="21"/>
          <w:lang w:val="en-AU"/>
        </w:rPr>
      </w:pPr>
      <w:r w:rsidRPr="00FA288E">
        <w:rPr>
          <w:rFonts w:cs="Calibri"/>
          <w:sz w:val="21"/>
          <w:szCs w:val="21"/>
          <w:lang w:val="en-AU"/>
        </w:rPr>
        <w:t>Field visits between 11 – 20 November 2019 to the provinces of Central (</w:t>
      </w:r>
      <w:proofErr w:type="spellStart"/>
      <w:r w:rsidRPr="00FA288E">
        <w:rPr>
          <w:rFonts w:cs="Calibri"/>
          <w:sz w:val="21"/>
          <w:szCs w:val="21"/>
          <w:lang w:val="en-AU"/>
        </w:rPr>
        <w:t>Rigo</w:t>
      </w:r>
      <w:proofErr w:type="spellEnd"/>
      <w:r w:rsidRPr="00FA288E">
        <w:rPr>
          <w:rFonts w:cs="Calibri"/>
          <w:sz w:val="21"/>
          <w:szCs w:val="21"/>
          <w:lang w:val="en-AU"/>
        </w:rPr>
        <w:t xml:space="preserve"> Distric</w:t>
      </w:r>
      <w:r w:rsidR="00B121A7">
        <w:rPr>
          <w:rFonts w:cs="Calibri"/>
          <w:sz w:val="21"/>
          <w:szCs w:val="21"/>
          <w:lang w:val="en-AU"/>
        </w:rPr>
        <w:t>t), Western Highlands (</w:t>
      </w:r>
      <w:proofErr w:type="spellStart"/>
      <w:r w:rsidR="00B121A7">
        <w:rPr>
          <w:rFonts w:cs="Calibri"/>
          <w:sz w:val="21"/>
          <w:szCs w:val="21"/>
          <w:lang w:val="en-AU"/>
        </w:rPr>
        <w:t>Tambul</w:t>
      </w:r>
      <w:proofErr w:type="spellEnd"/>
      <w:r w:rsidR="00B121A7">
        <w:rPr>
          <w:rFonts w:cs="Calibri"/>
          <w:sz w:val="21"/>
          <w:szCs w:val="21"/>
          <w:lang w:val="en-AU"/>
        </w:rPr>
        <w:t xml:space="preserve"> </w:t>
      </w:r>
      <w:proofErr w:type="spellStart"/>
      <w:r w:rsidR="00B121A7">
        <w:rPr>
          <w:rFonts w:cs="Calibri"/>
          <w:sz w:val="21"/>
          <w:szCs w:val="21"/>
          <w:lang w:val="en-AU"/>
        </w:rPr>
        <w:t>Ne</w:t>
      </w:r>
      <w:r w:rsidRPr="00FA288E">
        <w:rPr>
          <w:rFonts w:cs="Calibri"/>
          <w:sz w:val="21"/>
          <w:szCs w:val="21"/>
          <w:lang w:val="en-AU"/>
        </w:rPr>
        <w:t>bilyer</w:t>
      </w:r>
      <w:proofErr w:type="spellEnd"/>
      <w:r w:rsidRPr="00FA288E">
        <w:rPr>
          <w:rFonts w:cs="Calibri"/>
          <w:sz w:val="21"/>
          <w:szCs w:val="21"/>
          <w:lang w:val="en-AU"/>
        </w:rPr>
        <w:t xml:space="preserve"> District) and East Sepik (</w:t>
      </w:r>
      <w:proofErr w:type="spellStart"/>
      <w:r w:rsidRPr="00FA288E">
        <w:rPr>
          <w:rFonts w:cs="Calibri"/>
          <w:sz w:val="21"/>
          <w:szCs w:val="21"/>
          <w:lang w:val="en-AU"/>
        </w:rPr>
        <w:t>Yangorrou</w:t>
      </w:r>
      <w:proofErr w:type="spellEnd"/>
      <w:r w:rsidRPr="00FA288E">
        <w:rPr>
          <w:rFonts w:cs="Calibri"/>
          <w:sz w:val="21"/>
          <w:szCs w:val="21"/>
          <w:lang w:val="en-AU"/>
        </w:rPr>
        <w:t xml:space="preserve"> </w:t>
      </w:r>
      <w:proofErr w:type="spellStart"/>
      <w:r w:rsidRPr="00FA288E">
        <w:rPr>
          <w:rFonts w:cs="Calibri"/>
          <w:sz w:val="21"/>
          <w:szCs w:val="21"/>
          <w:lang w:val="en-AU"/>
        </w:rPr>
        <w:t>Sausia</w:t>
      </w:r>
      <w:proofErr w:type="spellEnd"/>
      <w:r w:rsidRPr="00FA288E">
        <w:rPr>
          <w:rFonts w:cs="Calibri"/>
          <w:sz w:val="21"/>
          <w:szCs w:val="21"/>
          <w:lang w:val="en-AU"/>
        </w:rPr>
        <w:t xml:space="preserve"> and Wewak </w:t>
      </w:r>
      <w:r w:rsidR="00FD183C" w:rsidRPr="00FA288E">
        <w:rPr>
          <w:rFonts w:cs="Calibri"/>
          <w:sz w:val="21"/>
          <w:szCs w:val="21"/>
          <w:lang w:val="en-AU"/>
        </w:rPr>
        <w:t>District</w:t>
      </w:r>
      <w:r w:rsidR="004344DC" w:rsidRPr="00FA288E">
        <w:rPr>
          <w:rFonts w:cs="Calibri"/>
          <w:sz w:val="21"/>
          <w:szCs w:val="21"/>
          <w:lang w:val="en-AU"/>
        </w:rPr>
        <w:t>s</w:t>
      </w:r>
      <w:r w:rsidRPr="00FA288E">
        <w:rPr>
          <w:rFonts w:cs="Calibri"/>
          <w:sz w:val="21"/>
          <w:szCs w:val="21"/>
          <w:lang w:val="en-AU"/>
        </w:rPr>
        <w:t>)</w:t>
      </w:r>
      <w:r w:rsidR="0023516B" w:rsidRPr="00FA288E">
        <w:rPr>
          <w:rFonts w:cs="Calibri"/>
          <w:sz w:val="21"/>
          <w:szCs w:val="21"/>
          <w:lang w:val="en-AU"/>
        </w:rPr>
        <w:t>;</w:t>
      </w:r>
    </w:p>
    <w:p w14:paraId="73610E0C" w14:textId="77777777" w:rsidR="00AE4C40" w:rsidRPr="00FA288E" w:rsidRDefault="00614C93" w:rsidP="00FF62CC">
      <w:pPr>
        <w:pStyle w:val="ListParagraph"/>
        <w:numPr>
          <w:ilvl w:val="0"/>
          <w:numId w:val="65"/>
        </w:numPr>
        <w:spacing w:after="80" w:line="240" w:lineRule="auto"/>
        <w:jc w:val="both"/>
        <w:rPr>
          <w:rFonts w:cs="Calibri"/>
          <w:sz w:val="21"/>
          <w:szCs w:val="21"/>
          <w:lang w:val="en-AU"/>
        </w:rPr>
      </w:pPr>
      <w:r w:rsidRPr="00FA288E">
        <w:rPr>
          <w:rFonts w:cs="Calibri"/>
          <w:sz w:val="21"/>
          <w:szCs w:val="21"/>
          <w:lang w:val="en-AU"/>
        </w:rPr>
        <w:t xml:space="preserve">Classroom observations </w:t>
      </w:r>
      <w:r w:rsidR="00E17C61" w:rsidRPr="00FA288E">
        <w:rPr>
          <w:rFonts w:cs="Calibri"/>
          <w:sz w:val="21"/>
          <w:szCs w:val="21"/>
          <w:lang w:val="en-AU"/>
        </w:rPr>
        <w:t xml:space="preserve">were conducted </w:t>
      </w:r>
      <w:r w:rsidRPr="00FA288E">
        <w:rPr>
          <w:rFonts w:cs="Calibri"/>
          <w:sz w:val="21"/>
          <w:szCs w:val="21"/>
          <w:lang w:val="en-AU"/>
        </w:rPr>
        <w:t>in seven schools and two E</w:t>
      </w:r>
      <w:r w:rsidR="00CA1CCF" w:rsidRPr="00FA288E">
        <w:rPr>
          <w:rFonts w:cs="Calibri"/>
          <w:sz w:val="21"/>
          <w:szCs w:val="21"/>
          <w:lang w:val="en-AU"/>
        </w:rPr>
        <w:t>CCE cent</w:t>
      </w:r>
      <w:r w:rsidR="006B0B89" w:rsidRPr="00FA288E">
        <w:rPr>
          <w:rFonts w:cs="Calibri"/>
          <w:sz w:val="21"/>
          <w:szCs w:val="21"/>
          <w:lang w:val="en-AU"/>
        </w:rPr>
        <w:t>re</w:t>
      </w:r>
      <w:r w:rsidR="00CA1CCF" w:rsidRPr="00FA288E">
        <w:rPr>
          <w:rFonts w:cs="Calibri"/>
          <w:sz w:val="21"/>
          <w:szCs w:val="21"/>
          <w:lang w:val="en-AU"/>
        </w:rPr>
        <w:t>s</w:t>
      </w:r>
      <w:r w:rsidRPr="00FA288E">
        <w:rPr>
          <w:rFonts w:cs="Calibri"/>
          <w:sz w:val="21"/>
          <w:szCs w:val="21"/>
          <w:lang w:val="en-AU"/>
        </w:rPr>
        <w:t xml:space="preserve">. </w:t>
      </w:r>
      <w:r w:rsidR="002C612A" w:rsidRPr="00FA288E">
        <w:rPr>
          <w:rFonts w:cs="Calibri"/>
          <w:sz w:val="21"/>
          <w:szCs w:val="21"/>
          <w:lang w:val="en-AU"/>
        </w:rPr>
        <w:t xml:space="preserve">Key Informant Interviews and Focus Group Discussions </w:t>
      </w:r>
      <w:r w:rsidRPr="00FA288E">
        <w:rPr>
          <w:rFonts w:cs="Calibri"/>
          <w:sz w:val="21"/>
          <w:szCs w:val="21"/>
          <w:lang w:val="en-AU"/>
        </w:rPr>
        <w:t xml:space="preserve">included: officials of the provincial and district </w:t>
      </w:r>
      <w:r w:rsidR="004344DC" w:rsidRPr="00FA288E">
        <w:rPr>
          <w:rFonts w:cs="Calibri"/>
          <w:sz w:val="21"/>
          <w:szCs w:val="21"/>
          <w:lang w:val="en-AU"/>
        </w:rPr>
        <w:t>education offices</w:t>
      </w:r>
      <w:r w:rsidRPr="00FA288E">
        <w:rPr>
          <w:rFonts w:cs="Calibri"/>
          <w:sz w:val="21"/>
          <w:szCs w:val="21"/>
          <w:lang w:val="en-AU"/>
        </w:rPr>
        <w:t xml:space="preserve">; four </w:t>
      </w:r>
      <w:r w:rsidR="00E923B6" w:rsidRPr="00FA288E">
        <w:rPr>
          <w:rFonts w:cs="Calibri"/>
          <w:sz w:val="21"/>
          <w:szCs w:val="21"/>
          <w:lang w:val="en-AU"/>
        </w:rPr>
        <w:t>S</w:t>
      </w:r>
      <w:r w:rsidRPr="00FA288E">
        <w:rPr>
          <w:rFonts w:cs="Calibri"/>
          <w:sz w:val="21"/>
          <w:szCs w:val="21"/>
          <w:lang w:val="en-AU"/>
        </w:rPr>
        <w:t>chool Boards of Management (</w:t>
      </w:r>
      <w:proofErr w:type="spellStart"/>
      <w:r w:rsidRPr="00FA288E">
        <w:rPr>
          <w:rFonts w:cs="Calibri"/>
          <w:sz w:val="21"/>
          <w:szCs w:val="21"/>
          <w:lang w:val="en-AU"/>
        </w:rPr>
        <w:t>SBoM</w:t>
      </w:r>
      <w:proofErr w:type="spellEnd"/>
      <w:r w:rsidRPr="00FA288E">
        <w:rPr>
          <w:rFonts w:cs="Calibri"/>
          <w:sz w:val="21"/>
          <w:szCs w:val="21"/>
          <w:lang w:val="en-AU"/>
        </w:rPr>
        <w:t>); Teachers-in-charge (</w:t>
      </w:r>
      <w:proofErr w:type="spellStart"/>
      <w:r w:rsidRPr="00FA288E">
        <w:rPr>
          <w:rFonts w:cs="Calibri"/>
          <w:sz w:val="21"/>
          <w:szCs w:val="21"/>
          <w:lang w:val="en-AU"/>
        </w:rPr>
        <w:t>TiCs</w:t>
      </w:r>
      <w:proofErr w:type="spellEnd"/>
      <w:r w:rsidRPr="00FA288E">
        <w:rPr>
          <w:rFonts w:cs="Calibri"/>
          <w:sz w:val="21"/>
          <w:szCs w:val="21"/>
          <w:lang w:val="en-AU"/>
        </w:rPr>
        <w:t xml:space="preserve">); teachers; parents; reading club volunteers; Community Literacy Volunteers (CLV); </w:t>
      </w:r>
      <w:r w:rsidR="002C612A" w:rsidRPr="00FA288E">
        <w:rPr>
          <w:rFonts w:cs="Calibri"/>
          <w:sz w:val="21"/>
          <w:szCs w:val="21"/>
          <w:lang w:val="en-AU"/>
        </w:rPr>
        <w:t xml:space="preserve">and </w:t>
      </w:r>
      <w:r w:rsidRPr="00FA288E">
        <w:rPr>
          <w:rFonts w:cs="Calibri"/>
          <w:sz w:val="21"/>
          <w:szCs w:val="21"/>
          <w:lang w:val="en-AU"/>
        </w:rPr>
        <w:t>community members</w:t>
      </w:r>
      <w:r w:rsidR="002C612A" w:rsidRPr="00FA288E">
        <w:rPr>
          <w:rFonts w:cs="Calibri"/>
          <w:sz w:val="21"/>
          <w:szCs w:val="21"/>
          <w:lang w:val="en-AU"/>
        </w:rPr>
        <w:t xml:space="preserve"> (126 of which 74 were women). Consortia </w:t>
      </w:r>
      <w:r w:rsidR="00316757" w:rsidRPr="00FA288E">
        <w:rPr>
          <w:rFonts w:cs="Calibri"/>
          <w:sz w:val="21"/>
          <w:szCs w:val="21"/>
          <w:lang w:val="en-AU"/>
        </w:rPr>
        <w:t>m</w:t>
      </w:r>
      <w:r w:rsidRPr="00FA288E">
        <w:rPr>
          <w:rFonts w:cs="Calibri"/>
          <w:sz w:val="21"/>
          <w:szCs w:val="21"/>
          <w:lang w:val="en-AU"/>
        </w:rPr>
        <w:t xml:space="preserve">anagement and staff </w:t>
      </w:r>
      <w:r w:rsidR="002C612A" w:rsidRPr="00FA288E">
        <w:rPr>
          <w:rFonts w:cs="Calibri"/>
          <w:sz w:val="21"/>
          <w:szCs w:val="21"/>
          <w:lang w:val="en-AU"/>
        </w:rPr>
        <w:t xml:space="preserve">were also interviewed </w:t>
      </w:r>
      <w:r w:rsidRPr="00FA288E">
        <w:rPr>
          <w:rFonts w:cs="Calibri"/>
          <w:sz w:val="21"/>
          <w:szCs w:val="21"/>
          <w:lang w:val="en-AU"/>
        </w:rPr>
        <w:t xml:space="preserve">(75 of which 31 were women). </w:t>
      </w:r>
      <w:hyperlink w:anchor="_Annex_E:_List" w:history="1">
        <w:r w:rsidRPr="00FA288E">
          <w:rPr>
            <w:rStyle w:val="Hyperlink"/>
            <w:rFonts w:cs="Calibri"/>
            <w:b/>
            <w:bCs/>
            <w:i/>
            <w:iCs/>
            <w:sz w:val="21"/>
            <w:szCs w:val="21"/>
            <w:lang w:val="en-AU"/>
          </w:rPr>
          <w:t>A</w:t>
        </w:r>
        <w:r w:rsidR="004344DC" w:rsidRPr="00FA288E">
          <w:rPr>
            <w:rStyle w:val="Hyperlink"/>
            <w:rFonts w:cs="Calibri"/>
            <w:b/>
            <w:bCs/>
            <w:i/>
            <w:iCs/>
            <w:sz w:val="21"/>
            <w:szCs w:val="21"/>
            <w:lang w:val="en-AU"/>
          </w:rPr>
          <w:t>nnex E</w:t>
        </w:r>
      </w:hyperlink>
      <w:r w:rsidR="004344DC" w:rsidRPr="00FA288E">
        <w:rPr>
          <w:rFonts w:cs="Calibri"/>
          <w:sz w:val="21"/>
          <w:szCs w:val="21"/>
          <w:lang w:val="en-AU"/>
        </w:rPr>
        <w:t xml:space="preserve"> provides the</w:t>
      </w:r>
      <w:r w:rsidRPr="00FA288E">
        <w:rPr>
          <w:rFonts w:cs="Calibri"/>
          <w:sz w:val="21"/>
          <w:szCs w:val="21"/>
          <w:lang w:val="en-AU"/>
        </w:rPr>
        <w:t xml:space="preserve"> list of individuals and agencies</w:t>
      </w:r>
      <w:r w:rsidR="002C612A" w:rsidRPr="00FA288E">
        <w:rPr>
          <w:rFonts w:cs="Calibri"/>
          <w:sz w:val="21"/>
          <w:szCs w:val="21"/>
          <w:lang w:val="en-AU"/>
        </w:rPr>
        <w:t xml:space="preserve"> interviewed and includes the</w:t>
      </w:r>
      <w:r w:rsidRPr="00FA288E">
        <w:rPr>
          <w:rFonts w:cs="Calibri"/>
          <w:sz w:val="21"/>
          <w:szCs w:val="21"/>
          <w:lang w:val="en-AU"/>
        </w:rPr>
        <w:t xml:space="preserve"> observers who participate</w:t>
      </w:r>
      <w:r w:rsidR="002C612A" w:rsidRPr="00FA288E">
        <w:rPr>
          <w:rFonts w:cs="Calibri"/>
          <w:sz w:val="21"/>
          <w:szCs w:val="21"/>
          <w:lang w:val="en-AU"/>
        </w:rPr>
        <w:t>d in the field visits</w:t>
      </w:r>
      <w:r w:rsidR="0023516B" w:rsidRPr="00FA288E">
        <w:rPr>
          <w:rFonts w:cs="Calibri"/>
          <w:sz w:val="21"/>
          <w:szCs w:val="21"/>
          <w:lang w:val="en-AU"/>
        </w:rPr>
        <w:t>;</w:t>
      </w:r>
    </w:p>
    <w:p w14:paraId="6D64D8E5" w14:textId="0E3DEDF7" w:rsidR="002C612A" w:rsidRPr="00FA288E" w:rsidRDefault="002C612A" w:rsidP="00FF62CC">
      <w:pPr>
        <w:pStyle w:val="ListParagraph"/>
        <w:numPr>
          <w:ilvl w:val="0"/>
          <w:numId w:val="65"/>
        </w:numPr>
        <w:tabs>
          <w:tab w:val="left" w:pos="855"/>
        </w:tabs>
        <w:spacing w:after="80" w:line="240" w:lineRule="auto"/>
        <w:jc w:val="both"/>
        <w:rPr>
          <w:rFonts w:cs="Calibri"/>
          <w:sz w:val="21"/>
          <w:szCs w:val="21"/>
          <w:lang w:val="en-AU"/>
        </w:rPr>
      </w:pPr>
      <w:r w:rsidRPr="00FA288E">
        <w:rPr>
          <w:rFonts w:cs="Calibri"/>
          <w:sz w:val="21"/>
          <w:szCs w:val="21"/>
          <w:lang w:val="en-AU"/>
        </w:rPr>
        <w:t>I</w:t>
      </w:r>
      <w:r w:rsidR="00AE4C40" w:rsidRPr="00FA288E">
        <w:rPr>
          <w:rFonts w:cs="Calibri"/>
          <w:sz w:val="21"/>
          <w:szCs w:val="21"/>
          <w:lang w:val="en-AU"/>
        </w:rPr>
        <w:t>nterview notes were organi</w:t>
      </w:r>
      <w:r w:rsidR="00621E63" w:rsidRPr="00FA288E">
        <w:rPr>
          <w:rFonts w:cs="Calibri"/>
          <w:sz w:val="21"/>
          <w:szCs w:val="21"/>
          <w:lang w:val="en-AU"/>
        </w:rPr>
        <w:t>s</w:t>
      </w:r>
      <w:r w:rsidR="00AE4C40" w:rsidRPr="00FA288E">
        <w:rPr>
          <w:rFonts w:cs="Calibri"/>
          <w:sz w:val="21"/>
          <w:szCs w:val="21"/>
          <w:lang w:val="en-AU"/>
        </w:rPr>
        <w:t xml:space="preserve">ed against </w:t>
      </w:r>
      <w:r w:rsidRPr="00FA288E">
        <w:rPr>
          <w:rFonts w:cs="Calibri"/>
          <w:sz w:val="21"/>
          <w:szCs w:val="21"/>
          <w:lang w:val="en-AU"/>
        </w:rPr>
        <w:t>the review</w:t>
      </w:r>
      <w:r w:rsidR="00AE4C40" w:rsidRPr="00FA288E">
        <w:rPr>
          <w:rFonts w:cs="Calibri"/>
          <w:sz w:val="21"/>
          <w:szCs w:val="21"/>
          <w:lang w:val="en-AU"/>
        </w:rPr>
        <w:t xml:space="preserve"> analysis framework to </w:t>
      </w:r>
      <w:r w:rsidRPr="00FA288E">
        <w:rPr>
          <w:rFonts w:cs="Calibri"/>
          <w:sz w:val="21"/>
          <w:szCs w:val="21"/>
          <w:lang w:val="en-AU"/>
        </w:rPr>
        <w:t>identify</w:t>
      </w:r>
      <w:r w:rsidR="00AE4C40" w:rsidRPr="00FA288E">
        <w:rPr>
          <w:rFonts w:cs="Calibri"/>
          <w:sz w:val="21"/>
          <w:szCs w:val="21"/>
          <w:lang w:val="en-AU"/>
        </w:rPr>
        <w:t xml:space="preserve"> themes. This information formed the basis for the stakeholder validation workshop and key findings </w:t>
      </w:r>
      <w:r w:rsidRPr="00FA288E">
        <w:rPr>
          <w:rFonts w:cs="Calibri"/>
          <w:sz w:val="21"/>
          <w:szCs w:val="21"/>
          <w:lang w:val="en-AU"/>
        </w:rPr>
        <w:t xml:space="preserve">in the Aide-Memoire presented </w:t>
      </w:r>
      <w:r w:rsidR="00AE4C40" w:rsidRPr="00FA288E">
        <w:rPr>
          <w:rFonts w:cs="Calibri"/>
          <w:sz w:val="21"/>
          <w:szCs w:val="21"/>
          <w:lang w:val="en-AU"/>
        </w:rPr>
        <w:t>on 25 November 2019.</w:t>
      </w:r>
      <w:r w:rsidR="00621E63" w:rsidRPr="00FA288E">
        <w:rPr>
          <w:rStyle w:val="FootnoteReference"/>
          <w:rFonts w:cstheme="minorHAnsi"/>
          <w:sz w:val="21"/>
          <w:szCs w:val="21"/>
        </w:rPr>
        <w:t xml:space="preserve"> </w:t>
      </w:r>
      <w:r w:rsidR="00621E63" w:rsidRPr="00FA288E">
        <w:rPr>
          <w:rStyle w:val="FootnoteReference"/>
          <w:rFonts w:cstheme="minorHAnsi"/>
          <w:sz w:val="21"/>
          <w:szCs w:val="21"/>
        </w:rPr>
        <w:footnoteReference w:id="19"/>
      </w:r>
      <w:r w:rsidR="00AE4C40" w:rsidRPr="00FA288E">
        <w:rPr>
          <w:rFonts w:cs="Calibri"/>
          <w:sz w:val="21"/>
          <w:szCs w:val="21"/>
          <w:lang w:val="en-AU"/>
        </w:rPr>
        <w:t xml:space="preserve"> </w:t>
      </w:r>
      <w:r w:rsidR="0012661B" w:rsidRPr="00FA288E">
        <w:rPr>
          <w:rFonts w:cs="Calibri"/>
          <w:sz w:val="21"/>
          <w:szCs w:val="21"/>
          <w:lang w:val="en-AU"/>
        </w:rPr>
        <w:t xml:space="preserve">Two </w:t>
      </w:r>
      <w:r w:rsidR="00AE4C40" w:rsidRPr="00FA288E">
        <w:rPr>
          <w:rFonts w:cs="Calibri"/>
          <w:sz w:val="21"/>
          <w:szCs w:val="21"/>
          <w:lang w:val="en-AU"/>
        </w:rPr>
        <w:t xml:space="preserve">Australian </w:t>
      </w:r>
      <w:r w:rsidR="001444CE" w:rsidRPr="00FA288E">
        <w:rPr>
          <w:rFonts w:cs="Calibri"/>
          <w:sz w:val="21"/>
          <w:szCs w:val="21"/>
          <w:lang w:val="en-AU"/>
        </w:rPr>
        <w:t>G</w:t>
      </w:r>
      <w:r w:rsidR="00AE4C40" w:rsidRPr="00FA288E">
        <w:rPr>
          <w:rFonts w:cs="Calibri"/>
          <w:sz w:val="21"/>
          <w:szCs w:val="21"/>
          <w:lang w:val="en-AU"/>
        </w:rPr>
        <w:t>overnment and eight consortia representatives</w:t>
      </w:r>
      <w:r w:rsidR="0012661B" w:rsidRPr="00FA288E">
        <w:rPr>
          <w:rFonts w:cs="Calibri"/>
          <w:sz w:val="21"/>
          <w:szCs w:val="21"/>
          <w:lang w:val="en-AU"/>
        </w:rPr>
        <w:t xml:space="preserve"> participated in the validation workshop</w:t>
      </w:r>
      <w:r w:rsidR="00AE4C40" w:rsidRPr="00FA288E">
        <w:rPr>
          <w:rFonts w:cs="Calibri"/>
          <w:sz w:val="21"/>
          <w:szCs w:val="21"/>
          <w:lang w:val="en-AU"/>
        </w:rPr>
        <w:t xml:space="preserve">. The presentation of key findings </w:t>
      </w:r>
      <w:r w:rsidR="001913DC" w:rsidRPr="00FA288E">
        <w:rPr>
          <w:rFonts w:cs="Calibri"/>
          <w:sz w:val="21"/>
          <w:szCs w:val="21"/>
          <w:lang w:val="en-AU"/>
        </w:rPr>
        <w:t xml:space="preserve">(through </w:t>
      </w:r>
      <w:r w:rsidRPr="00FA288E">
        <w:rPr>
          <w:rFonts w:cs="Calibri"/>
          <w:sz w:val="21"/>
          <w:szCs w:val="21"/>
          <w:lang w:val="en-AU"/>
        </w:rPr>
        <w:t xml:space="preserve">the </w:t>
      </w:r>
      <w:r w:rsidR="001913DC" w:rsidRPr="00FA288E">
        <w:rPr>
          <w:rFonts w:cs="Calibri"/>
          <w:sz w:val="21"/>
          <w:szCs w:val="21"/>
          <w:lang w:val="en-AU"/>
        </w:rPr>
        <w:t xml:space="preserve">Aide-Memoire – see </w:t>
      </w:r>
      <w:hyperlink w:anchor="_Annex_C:_Aide-Memoire" w:history="1">
        <w:r w:rsidR="001913DC" w:rsidRPr="00FA288E">
          <w:rPr>
            <w:rStyle w:val="Hyperlink"/>
            <w:rFonts w:cs="Calibri"/>
            <w:b/>
            <w:bCs/>
            <w:i/>
            <w:iCs/>
            <w:sz w:val="21"/>
            <w:szCs w:val="21"/>
            <w:lang w:val="en-AU"/>
          </w:rPr>
          <w:t xml:space="preserve">Annex </w:t>
        </w:r>
        <w:r w:rsidR="003C1678" w:rsidRPr="00FA288E">
          <w:rPr>
            <w:rStyle w:val="Hyperlink"/>
            <w:rFonts w:cs="Calibri"/>
            <w:b/>
            <w:bCs/>
            <w:i/>
            <w:iCs/>
            <w:sz w:val="21"/>
            <w:szCs w:val="21"/>
            <w:lang w:val="en-AU"/>
          </w:rPr>
          <w:t>C</w:t>
        </w:r>
      </w:hyperlink>
      <w:r w:rsidR="001913DC" w:rsidRPr="00FA288E">
        <w:rPr>
          <w:rFonts w:cs="Calibri"/>
          <w:sz w:val="21"/>
          <w:szCs w:val="21"/>
          <w:lang w:val="en-AU"/>
        </w:rPr>
        <w:t xml:space="preserve">) was attended by five Australian </w:t>
      </w:r>
      <w:r w:rsidR="001444CE" w:rsidRPr="00FA288E">
        <w:rPr>
          <w:rFonts w:cs="Calibri"/>
          <w:sz w:val="21"/>
          <w:szCs w:val="21"/>
          <w:lang w:val="en-AU"/>
        </w:rPr>
        <w:t>G</w:t>
      </w:r>
      <w:r w:rsidR="001913DC" w:rsidRPr="00FA288E">
        <w:rPr>
          <w:rFonts w:cs="Calibri"/>
          <w:sz w:val="21"/>
          <w:szCs w:val="21"/>
          <w:lang w:val="en-AU"/>
        </w:rPr>
        <w:t>overnment, nine NDOE and one NDPM representative</w:t>
      </w:r>
      <w:r w:rsidR="0023516B" w:rsidRPr="00FA288E">
        <w:rPr>
          <w:rFonts w:cs="Calibri"/>
          <w:sz w:val="21"/>
          <w:szCs w:val="21"/>
          <w:lang w:val="en-AU"/>
        </w:rPr>
        <w:t>; and</w:t>
      </w:r>
    </w:p>
    <w:p w14:paraId="50E1B0D1" w14:textId="7093C30D" w:rsidR="00AE4C40" w:rsidRPr="00FA288E" w:rsidRDefault="0012661B" w:rsidP="00FF62CC">
      <w:pPr>
        <w:pStyle w:val="ListParagraph"/>
        <w:numPr>
          <w:ilvl w:val="0"/>
          <w:numId w:val="65"/>
        </w:numPr>
        <w:tabs>
          <w:tab w:val="left" w:pos="855"/>
        </w:tabs>
        <w:spacing w:after="80" w:line="240" w:lineRule="auto"/>
        <w:jc w:val="both"/>
        <w:rPr>
          <w:rFonts w:cs="Calibri"/>
          <w:sz w:val="21"/>
          <w:szCs w:val="21"/>
          <w:lang w:val="en-AU"/>
        </w:rPr>
      </w:pPr>
      <w:r w:rsidRPr="00FA288E">
        <w:rPr>
          <w:rFonts w:cs="Calibri"/>
          <w:sz w:val="21"/>
          <w:szCs w:val="21"/>
          <w:lang w:val="en-AU"/>
        </w:rPr>
        <w:t xml:space="preserve">HDMES prepared the </w:t>
      </w:r>
      <w:r w:rsidR="002C612A" w:rsidRPr="00FA288E">
        <w:rPr>
          <w:rFonts w:cs="Calibri"/>
          <w:sz w:val="21"/>
          <w:szCs w:val="21"/>
          <w:lang w:val="en-AU"/>
        </w:rPr>
        <w:t xml:space="preserve">first draft </w:t>
      </w:r>
      <w:r w:rsidR="001913DC" w:rsidRPr="00FA288E">
        <w:rPr>
          <w:rFonts w:cs="Calibri"/>
          <w:sz w:val="21"/>
          <w:szCs w:val="21"/>
          <w:lang w:val="en-AU"/>
        </w:rPr>
        <w:t>review report following feedback from the validation workshop, the presentation of key findings and further analysis conducted following the field visi</w:t>
      </w:r>
      <w:r w:rsidR="002C612A" w:rsidRPr="00FA288E">
        <w:rPr>
          <w:rFonts w:cs="Calibri"/>
          <w:sz w:val="21"/>
          <w:szCs w:val="21"/>
          <w:lang w:val="en-AU"/>
        </w:rPr>
        <w:t>t.</w:t>
      </w:r>
    </w:p>
    <w:p w14:paraId="7D4923DB" w14:textId="77777777" w:rsidR="00614C93" w:rsidRPr="00FA288E" w:rsidRDefault="001913DC" w:rsidP="002C612A">
      <w:pPr>
        <w:pStyle w:val="Heading1"/>
        <w:numPr>
          <w:ilvl w:val="1"/>
          <w:numId w:val="9"/>
        </w:numPr>
        <w:spacing w:before="0" w:after="80" w:line="240" w:lineRule="auto"/>
        <w:ind w:left="540" w:hanging="540"/>
      </w:pPr>
      <w:bookmarkStart w:id="44" w:name="_Toc31625585"/>
      <w:bookmarkStart w:id="45" w:name="_Toc42075965"/>
      <w:r w:rsidRPr="00FA288E">
        <w:t>Li</w:t>
      </w:r>
      <w:r w:rsidR="00614C93" w:rsidRPr="00FA288E">
        <w:t>mitations</w:t>
      </w:r>
      <w:bookmarkEnd w:id="44"/>
      <w:bookmarkEnd w:id="45"/>
    </w:p>
    <w:p w14:paraId="79F171E8" w14:textId="77777777" w:rsidR="00C736FE" w:rsidRPr="00FA288E" w:rsidRDefault="00C736FE" w:rsidP="00C35D04">
      <w:pPr>
        <w:pStyle w:val="BodyText"/>
        <w:spacing w:after="80" w:line="240" w:lineRule="auto"/>
        <w:rPr>
          <w:rFonts w:ascii="Calibri" w:hAnsi="Calibri" w:cs="Calibri"/>
          <w:sz w:val="21"/>
          <w:szCs w:val="21"/>
        </w:rPr>
      </w:pPr>
      <w:r w:rsidRPr="00FA288E">
        <w:rPr>
          <w:rFonts w:cstheme="minorHAnsi"/>
          <w:sz w:val="21"/>
          <w:szCs w:val="21"/>
        </w:rPr>
        <w:t>The review methodology was influenced by the challenge of determining progress towards achieving outcomes of three different, large and complex grantee projects at a relatively early stage of implementation.</w:t>
      </w:r>
      <w:r w:rsidRPr="00FA288E">
        <w:rPr>
          <w:rStyle w:val="FootnoteReference"/>
          <w:rFonts w:cstheme="minorHAnsi"/>
          <w:sz w:val="21"/>
          <w:szCs w:val="21"/>
        </w:rPr>
        <w:footnoteReference w:id="20"/>
      </w:r>
      <w:r w:rsidRPr="00FA288E">
        <w:rPr>
          <w:rFonts w:cstheme="minorHAnsi"/>
          <w:sz w:val="21"/>
          <w:szCs w:val="21"/>
        </w:rPr>
        <w:t xml:space="preserve">  Reviewing and synthesising a large volume of documentation, as well as consulting an estimated 200 individuals took more time and effort than was anticipated (see </w:t>
      </w:r>
      <w:hyperlink w:anchor="_Annex_E:_List" w:history="1">
        <w:r w:rsidRPr="00FA288E">
          <w:rPr>
            <w:rStyle w:val="Hyperlink"/>
            <w:rFonts w:cstheme="minorHAnsi"/>
            <w:b/>
            <w:bCs/>
            <w:i/>
            <w:iCs/>
            <w:sz w:val="21"/>
            <w:szCs w:val="21"/>
          </w:rPr>
          <w:t>Annex E</w:t>
        </w:r>
      </w:hyperlink>
      <w:r w:rsidRPr="00FA288E">
        <w:rPr>
          <w:rFonts w:cstheme="minorHAnsi"/>
          <w:b/>
          <w:bCs/>
          <w:i/>
          <w:iCs/>
          <w:sz w:val="21"/>
          <w:szCs w:val="21"/>
        </w:rPr>
        <w:t xml:space="preserve"> </w:t>
      </w:r>
      <w:r w:rsidRPr="00FA288E">
        <w:rPr>
          <w:rFonts w:cstheme="minorHAnsi"/>
          <w:i/>
          <w:iCs/>
          <w:sz w:val="21"/>
          <w:szCs w:val="21"/>
        </w:rPr>
        <w:t>and</w:t>
      </w:r>
      <w:r w:rsidRPr="00FA288E">
        <w:rPr>
          <w:rFonts w:cstheme="minorHAnsi"/>
          <w:b/>
          <w:bCs/>
          <w:i/>
          <w:iCs/>
          <w:sz w:val="21"/>
          <w:szCs w:val="21"/>
        </w:rPr>
        <w:t xml:space="preserve"> </w:t>
      </w:r>
      <w:hyperlink w:anchor="_Annex_G:_Documents" w:history="1">
        <w:r w:rsidRPr="00FA288E">
          <w:rPr>
            <w:rStyle w:val="Hyperlink"/>
            <w:rFonts w:cstheme="minorHAnsi"/>
            <w:b/>
            <w:bCs/>
            <w:i/>
            <w:iCs/>
            <w:sz w:val="21"/>
            <w:szCs w:val="21"/>
          </w:rPr>
          <w:t>G</w:t>
        </w:r>
      </w:hyperlink>
      <w:r w:rsidRPr="00FA288E">
        <w:rPr>
          <w:rFonts w:cstheme="minorHAnsi"/>
          <w:sz w:val="21"/>
          <w:szCs w:val="21"/>
        </w:rPr>
        <w:t>).</w:t>
      </w:r>
    </w:p>
    <w:p w14:paraId="3EABBA1B" w14:textId="4EB864BF" w:rsidR="0012661B" w:rsidRPr="00FA288E" w:rsidRDefault="00614C93" w:rsidP="00C35D04">
      <w:pPr>
        <w:pStyle w:val="BodyText"/>
        <w:spacing w:after="80" w:line="240" w:lineRule="auto"/>
        <w:rPr>
          <w:rFonts w:ascii="Calibri" w:hAnsi="Calibri" w:cs="Calibri"/>
          <w:sz w:val="21"/>
          <w:szCs w:val="21"/>
        </w:rPr>
      </w:pPr>
      <w:r w:rsidRPr="00FA288E">
        <w:rPr>
          <w:rFonts w:ascii="Calibri" w:hAnsi="Calibri" w:cs="Calibri"/>
          <w:sz w:val="21"/>
          <w:szCs w:val="21"/>
        </w:rPr>
        <w:lastRenderedPageBreak/>
        <w:t>The review was constrained in the development of findings a</w:t>
      </w:r>
      <w:r w:rsidR="002C612A" w:rsidRPr="00FA288E">
        <w:rPr>
          <w:rFonts w:ascii="Calibri" w:hAnsi="Calibri" w:cs="Calibri"/>
          <w:sz w:val="21"/>
          <w:szCs w:val="21"/>
        </w:rPr>
        <w:t>s to</w:t>
      </w:r>
      <w:r w:rsidRPr="00FA288E">
        <w:rPr>
          <w:rFonts w:ascii="Calibri" w:hAnsi="Calibri" w:cs="Calibri"/>
          <w:sz w:val="21"/>
          <w:szCs w:val="21"/>
        </w:rPr>
        <w:t xml:space="preserve"> ‘what works’, as</w:t>
      </w:r>
      <w:r w:rsidR="001913DC" w:rsidRPr="00FA288E">
        <w:rPr>
          <w:rFonts w:ascii="Calibri" w:hAnsi="Calibri" w:cs="Calibri"/>
          <w:sz w:val="21"/>
          <w:szCs w:val="21"/>
        </w:rPr>
        <w:t xml:space="preserve"> </w:t>
      </w:r>
      <w:r w:rsidR="003929D6" w:rsidRPr="00FA288E">
        <w:rPr>
          <w:rFonts w:ascii="Calibri" w:hAnsi="Calibri" w:cs="Calibri"/>
          <w:sz w:val="21"/>
          <w:szCs w:val="21"/>
        </w:rPr>
        <w:t xml:space="preserve">it occurred </w:t>
      </w:r>
      <w:r w:rsidR="001913DC" w:rsidRPr="00FA288E">
        <w:rPr>
          <w:rFonts w:ascii="Calibri" w:hAnsi="Calibri" w:cs="Calibri"/>
          <w:sz w:val="21"/>
          <w:szCs w:val="21"/>
        </w:rPr>
        <w:t>less than</w:t>
      </w:r>
      <w:r w:rsidRPr="00FA288E">
        <w:rPr>
          <w:rFonts w:ascii="Calibri" w:hAnsi="Calibri" w:cs="Calibri"/>
          <w:sz w:val="21"/>
          <w:szCs w:val="21"/>
        </w:rPr>
        <w:t xml:space="preserve"> two years into implementation</w:t>
      </w:r>
      <w:r w:rsidR="002C612A" w:rsidRPr="00FA288E">
        <w:rPr>
          <w:rFonts w:ascii="Calibri" w:hAnsi="Calibri" w:cs="Calibri"/>
          <w:sz w:val="21"/>
          <w:szCs w:val="21"/>
        </w:rPr>
        <w:t xml:space="preserve"> for two of the grantees</w:t>
      </w:r>
      <w:r w:rsidR="0023516B" w:rsidRPr="00FA288E">
        <w:rPr>
          <w:rFonts w:ascii="Calibri" w:hAnsi="Calibri" w:cs="Calibri"/>
          <w:sz w:val="21"/>
          <w:szCs w:val="21"/>
        </w:rPr>
        <w:t>.</w:t>
      </w:r>
      <w:r w:rsidRPr="00FA288E">
        <w:rPr>
          <w:rFonts w:ascii="Calibri" w:hAnsi="Calibri" w:cs="Calibri"/>
          <w:sz w:val="21"/>
          <w:szCs w:val="21"/>
        </w:rPr>
        <w:t xml:space="preserve"> </w:t>
      </w:r>
      <w:r w:rsidR="0023516B" w:rsidRPr="00FA288E">
        <w:rPr>
          <w:rFonts w:ascii="Calibri" w:hAnsi="Calibri" w:cs="Calibri"/>
          <w:sz w:val="21"/>
          <w:szCs w:val="21"/>
        </w:rPr>
        <w:t>M</w:t>
      </w:r>
      <w:r w:rsidRPr="00FA288E">
        <w:rPr>
          <w:rFonts w:ascii="Calibri" w:hAnsi="Calibri" w:cs="Calibri"/>
          <w:sz w:val="21"/>
          <w:szCs w:val="21"/>
        </w:rPr>
        <w:t xml:space="preserve">any activities were either not </w:t>
      </w:r>
      <w:r w:rsidR="000F4F1D" w:rsidRPr="00FA288E">
        <w:rPr>
          <w:rFonts w:ascii="Calibri" w:hAnsi="Calibri" w:cs="Calibri"/>
          <w:sz w:val="21"/>
          <w:szCs w:val="21"/>
        </w:rPr>
        <w:t>at a stage of implementation</w:t>
      </w:r>
      <w:r w:rsidR="002C612A" w:rsidRPr="00FA288E">
        <w:rPr>
          <w:rFonts w:ascii="Calibri" w:hAnsi="Calibri" w:cs="Calibri"/>
          <w:sz w:val="21"/>
          <w:szCs w:val="21"/>
        </w:rPr>
        <w:t xml:space="preserve"> to provide </w:t>
      </w:r>
      <w:r w:rsidR="0075568E" w:rsidRPr="00FA288E">
        <w:rPr>
          <w:rFonts w:ascii="Calibri" w:hAnsi="Calibri" w:cs="Calibri"/>
          <w:sz w:val="21"/>
          <w:szCs w:val="21"/>
        </w:rPr>
        <w:t xml:space="preserve">data to form an assessment or </w:t>
      </w:r>
      <w:r w:rsidRPr="00FA288E">
        <w:rPr>
          <w:rFonts w:ascii="Calibri" w:hAnsi="Calibri" w:cs="Calibri"/>
          <w:sz w:val="21"/>
          <w:szCs w:val="21"/>
        </w:rPr>
        <w:t>had undergone significant revisions</w:t>
      </w:r>
      <w:r w:rsidR="001913DC" w:rsidRPr="00FA288E">
        <w:rPr>
          <w:rFonts w:ascii="Calibri" w:hAnsi="Calibri" w:cs="Calibri"/>
          <w:sz w:val="21"/>
          <w:szCs w:val="21"/>
        </w:rPr>
        <w:t xml:space="preserve"> after the first year of implementati</w:t>
      </w:r>
      <w:r w:rsidR="0075568E" w:rsidRPr="00FA288E">
        <w:rPr>
          <w:rFonts w:ascii="Calibri" w:hAnsi="Calibri" w:cs="Calibri"/>
          <w:sz w:val="21"/>
          <w:szCs w:val="21"/>
        </w:rPr>
        <w:t>on</w:t>
      </w:r>
      <w:r w:rsidRPr="00FA288E">
        <w:rPr>
          <w:rFonts w:ascii="Calibri" w:hAnsi="Calibri" w:cs="Calibri"/>
          <w:sz w:val="21"/>
          <w:szCs w:val="21"/>
        </w:rPr>
        <w:t>.</w:t>
      </w:r>
      <w:r w:rsidR="0075568E" w:rsidRPr="00FA288E">
        <w:rPr>
          <w:rStyle w:val="FootnoteReference"/>
          <w:rFonts w:ascii="Calibri" w:hAnsi="Calibri" w:cs="Calibri"/>
          <w:sz w:val="21"/>
          <w:szCs w:val="21"/>
        </w:rPr>
        <w:footnoteReference w:id="21"/>
      </w:r>
      <w:r w:rsidRPr="00FA288E">
        <w:rPr>
          <w:rFonts w:ascii="Calibri" w:hAnsi="Calibri" w:cs="Calibri"/>
          <w:sz w:val="21"/>
          <w:szCs w:val="21"/>
        </w:rPr>
        <w:t xml:space="preserve"> </w:t>
      </w:r>
    </w:p>
    <w:p w14:paraId="5D0F7C24" w14:textId="213AF5C2" w:rsidR="0012661B" w:rsidRPr="00FA288E" w:rsidRDefault="00614C93" w:rsidP="00C35D04">
      <w:pPr>
        <w:pStyle w:val="BodyText"/>
        <w:spacing w:after="80" w:line="240" w:lineRule="auto"/>
        <w:rPr>
          <w:rFonts w:ascii="Calibri" w:hAnsi="Calibri" w:cs="Calibri"/>
          <w:sz w:val="21"/>
          <w:szCs w:val="21"/>
        </w:rPr>
      </w:pPr>
      <w:r w:rsidRPr="00FA288E">
        <w:rPr>
          <w:rFonts w:ascii="Calibri" w:hAnsi="Calibri" w:cs="Calibri"/>
          <w:sz w:val="21"/>
          <w:szCs w:val="21"/>
        </w:rPr>
        <w:t>The midline data, collected after 12 months of implementation</w:t>
      </w:r>
      <w:r w:rsidR="0075568E" w:rsidRPr="00FA288E">
        <w:rPr>
          <w:rFonts w:ascii="Calibri" w:hAnsi="Calibri" w:cs="Calibri"/>
          <w:sz w:val="21"/>
          <w:szCs w:val="21"/>
        </w:rPr>
        <w:t xml:space="preserve"> of RISE and T4E</w:t>
      </w:r>
      <w:r w:rsidRPr="00FA288E">
        <w:rPr>
          <w:rFonts w:ascii="Calibri" w:hAnsi="Calibri" w:cs="Calibri"/>
          <w:sz w:val="21"/>
          <w:szCs w:val="21"/>
        </w:rPr>
        <w:t xml:space="preserve">, although </w:t>
      </w:r>
      <w:r w:rsidR="009338E4" w:rsidRPr="00FA288E">
        <w:rPr>
          <w:rFonts w:ascii="Calibri" w:hAnsi="Calibri" w:cs="Calibri"/>
          <w:sz w:val="21"/>
          <w:szCs w:val="21"/>
        </w:rPr>
        <w:t xml:space="preserve">useful in providing some evidence of </w:t>
      </w:r>
      <w:r w:rsidRPr="00FA288E">
        <w:rPr>
          <w:rFonts w:ascii="Calibri" w:hAnsi="Calibri" w:cs="Calibri"/>
          <w:sz w:val="21"/>
          <w:szCs w:val="21"/>
        </w:rPr>
        <w:t xml:space="preserve">initial </w:t>
      </w:r>
      <w:r w:rsidR="00C52CD9" w:rsidRPr="00FA288E">
        <w:rPr>
          <w:rFonts w:ascii="Calibri" w:hAnsi="Calibri" w:cs="Calibri"/>
          <w:sz w:val="21"/>
          <w:szCs w:val="21"/>
        </w:rPr>
        <w:t>improvement</w:t>
      </w:r>
      <w:r w:rsidR="007E4393" w:rsidRPr="00FA288E">
        <w:rPr>
          <w:rFonts w:ascii="Calibri" w:hAnsi="Calibri" w:cs="Calibri"/>
          <w:sz w:val="21"/>
          <w:szCs w:val="21"/>
        </w:rPr>
        <w:t>, raised</w:t>
      </w:r>
      <w:r w:rsidRPr="00FA288E">
        <w:rPr>
          <w:rFonts w:ascii="Calibri" w:hAnsi="Calibri" w:cs="Calibri"/>
          <w:sz w:val="21"/>
          <w:szCs w:val="21"/>
        </w:rPr>
        <w:t xml:space="preserve"> questions around how or why changes (or lack of them) </w:t>
      </w:r>
      <w:r w:rsidR="0075568E" w:rsidRPr="00FA288E">
        <w:rPr>
          <w:rFonts w:ascii="Calibri" w:hAnsi="Calibri" w:cs="Calibri"/>
          <w:sz w:val="21"/>
          <w:szCs w:val="21"/>
        </w:rPr>
        <w:t>are happening independent from project interventions</w:t>
      </w:r>
      <w:r w:rsidRPr="00FA288E">
        <w:rPr>
          <w:rFonts w:ascii="Calibri" w:hAnsi="Calibri" w:cs="Calibri"/>
          <w:sz w:val="21"/>
          <w:szCs w:val="21"/>
        </w:rPr>
        <w:t xml:space="preserve">. </w:t>
      </w:r>
      <w:r w:rsidR="0075568E" w:rsidRPr="00FA288E">
        <w:rPr>
          <w:rFonts w:ascii="Calibri" w:hAnsi="Calibri" w:cs="Calibri"/>
          <w:sz w:val="21"/>
          <w:szCs w:val="21"/>
        </w:rPr>
        <w:t xml:space="preserve">With midline data </w:t>
      </w:r>
      <w:r w:rsidRPr="00FA288E">
        <w:rPr>
          <w:rFonts w:ascii="Calibri" w:hAnsi="Calibri" w:cs="Calibri"/>
          <w:sz w:val="21"/>
          <w:szCs w:val="21"/>
        </w:rPr>
        <w:t xml:space="preserve">only available for two </w:t>
      </w:r>
      <w:r w:rsidR="0075568E" w:rsidRPr="00FA288E">
        <w:rPr>
          <w:rFonts w:ascii="Calibri" w:hAnsi="Calibri" w:cs="Calibri"/>
          <w:sz w:val="21"/>
          <w:szCs w:val="21"/>
        </w:rPr>
        <w:t>projects</w:t>
      </w:r>
      <w:r w:rsidR="007E4393" w:rsidRPr="00FA288E">
        <w:rPr>
          <w:rFonts w:ascii="Calibri" w:hAnsi="Calibri" w:cs="Calibri"/>
          <w:sz w:val="21"/>
          <w:szCs w:val="21"/>
        </w:rPr>
        <w:t xml:space="preserve"> as the third project had a shorter implementation period</w:t>
      </w:r>
      <w:r w:rsidR="0075568E" w:rsidRPr="00FA288E">
        <w:rPr>
          <w:rFonts w:ascii="Calibri" w:hAnsi="Calibri" w:cs="Calibri"/>
          <w:sz w:val="21"/>
          <w:szCs w:val="21"/>
        </w:rPr>
        <w:t xml:space="preserve">, </w:t>
      </w:r>
      <w:r w:rsidRPr="00FA288E">
        <w:rPr>
          <w:rFonts w:ascii="Calibri" w:hAnsi="Calibri" w:cs="Calibri"/>
          <w:sz w:val="21"/>
          <w:szCs w:val="21"/>
        </w:rPr>
        <w:t xml:space="preserve">comparability </w:t>
      </w:r>
      <w:r w:rsidR="0075568E" w:rsidRPr="00FA288E">
        <w:rPr>
          <w:rFonts w:ascii="Calibri" w:hAnsi="Calibri" w:cs="Calibri"/>
          <w:sz w:val="21"/>
          <w:szCs w:val="21"/>
        </w:rPr>
        <w:t xml:space="preserve">of progress </w:t>
      </w:r>
      <w:r w:rsidRPr="00FA288E">
        <w:rPr>
          <w:rFonts w:ascii="Calibri" w:hAnsi="Calibri" w:cs="Calibri"/>
          <w:sz w:val="21"/>
          <w:szCs w:val="21"/>
        </w:rPr>
        <w:t>acros</w:t>
      </w:r>
      <w:r w:rsidR="0075568E" w:rsidRPr="00FA288E">
        <w:rPr>
          <w:rFonts w:ascii="Calibri" w:hAnsi="Calibri" w:cs="Calibri"/>
          <w:sz w:val="21"/>
          <w:szCs w:val="21"/>
        </w:rPr>
        <w:t>s</w:t>
      </w:r>
      <w:r w:rsidRPr="00FA288E">
        <w:rPr>
          <w:rFonts w:ascii="Calibri" w:hAnsi="Calibri" w:cs="Calibri"/>
          <w:sz w:val="21"/>
          <w:szCs w:val="21"/>
        </w:rPr>
        <w:t xml:space="preserve"> the three </w:t>
      </w:r>
      <w:r w:rsidR="0075568E" w:rsidRPr="00FA288E">
        <w:rPr>
          <w:rFonts w:ascii="Calibri" w:hAnsi="Calibri" w:cs="Calibri"/>
          <w:sz w:val="21"/>
          <w:szCs w:val="21"/>
        </w:rPr>
        <w:t>projects is difficult</w:t>
      </w:r>
      <w:r w:rsidRPr="00FA288E">
        <w:rPr>
          <w:rFonts w:ascii="Calibri" w:hAnsi="Calibri" w:cs="Calibri"/>
          <w:sz w:val="21"/>
          <w:szCs w:val="21"/>
        </w:rPr>
        <w:t xml:space="preserve">. In addition, the number of different intervention variations (e.g. nine different variables in teacher training approaches and eight in reading initiatives) made analysis of </w:t>
      </w:r>
      <w:r w:rsidR="009338E4" w:rsidRPr="00FA288E">
        <w:rPr>
          <w:rFonts w:ascii="Calibri" w:hAnsi="Calibri" w:cs="Calibri"/>
          <w:sz w:val="21"/>
          <w:szCs w:val="21"/>
        </w:rPr>
        <w:t>effects</w:t>
      </w:r>
      <w:r w:rsidRPr="00FA288E">
        <w:rPr>
          <w:rFonts w:ascii="Calibri" w:hAnsi="Calibri" w:cs="Calibri"/>
          <w:sz w:val="21"/>
          <w:szCs w:val="21"/>
        </w:rPr>
        <w:t xml:space="preserve"> </w:t>
      </w:r>
      <w:r w:rsidR="0075568E" w:rsidRPr="00FA288E">
        <w:rPr>
          <w:rFonts w:ascii="Calibri" w:hAnsi="Calibri" w:cs="Calibri"/>
          <w:sz w:val="21"/>
          <w:szCs w:val="21"/>
        </w:rPr>
        <w:t>challenging</w:t>
      </w:r>
      <w:r w:rsidRPr="00FA288E">
        <w:rPr>
          <w:rFonts w:ascii="Calibri" w:hAnsi="Calibri" w:cs="Calibri"/>
          <w:sz w:val="21"/>
          <w:szCs w:val="21"/>
        </w:rPr>
        <w:t xml:space="preserve">. </w:t>
      </w:r>
    </w:p>
    <w:p w14:paraId="361A6538" w14:textId="77777777" w:rsidR="00614C93" w:rsidRPr="00FA288E" w:rsidRDefault="0023516B" w:rsidP="00C35D04">
      <w:pPr>
        <w:pStyle w:val="BodyText"/>
        <w:spacing w:after="80" w:line="240" w:lineRule="auto"/>
        <w:rPr>
          <w:rFonts w:ascii="Calibri" w:hAnsi="Calibri" w:cs="Calibri"/>
          <w:sz w:val="21"/>
          <w:szCs w:val="21"/>
        </w:rPr>
      </w:pPr>
      <w:r w:rsidRPr="00FA288E">
        <w:rPr>
          <w:rFonts w:ascii="Calibri" w:hAnsi="Calibri" w:cs="Calibri"/>
          <w:sz w:val="21"/>
          <w:szCs w:val="21"/>
        </w:rPr>
        <w:t>As noted above, the limited time for field visits meant that</w:t>
      </w:r>
      <w:r w:rsidR="00614C93" w:rsidRPr="00FA288E">
        <w:rPr>
          <w:rFonts w:ascii="Calibri" w:hAnsi="Calibri" w:cs="Calibri"/>
          <w:sz w:val="21"/>
          <w:szCs w:val="21"/>
        </w:rPr>
        <w:t xml:space="preserve"> the team </w:t>
      </w:r>
      <w:r w:rsidR="009338E4" w:rsidRPr="00FA288E">
        <w:rPr>
          <w:rFonts w:ascii="Calibri" w:hAnsi="Calibri" w:cs="Calibri"/>
          <w:sz w:val="21"/>
          <w:szCs w:val="21"/>
        </w:rPr>
        <w:t xml:space="preserve">spent </w:t>
      </w:r>
      <w:r w:rsidRPr="00FA288E">
        <w:rPr>
          <w:rFonts w:ascii="Calibri" w:hAnsi="Calibri" w:cs="Calibri"/>
          <w:sz w:val="21"/>
          <w:szCs w:val="21"/>
        </w:rPr>
        <w:t xml:space="preserve">less time than expected with </w:t>
      </w:r>
      <w:r w:rsidR="00614C93" w:rsidRPr="00FA288E">
        <w:rPr>
          <w:rFonts w:ascii="Calibri" w:hAnsi="Calibri" w:cs="Calibri"/>
          <w:sz w:val="21"/>
          <w:szCs w:val="21"/>
        </w:rPr>
        <w:t>each consortium</w:t>
      </w:r>
      <w:r w:rsidR="0075568E" w:rsidRPr="00FA288E">
        <w:rPr>
          <w:rFonts w:ascii="Calibri" w:hAnsi="Calibri" w:cs="Calibri"/>
          <w:sz w:val="21"/>
          <w:szCs w:val="21"/>
        </w:rPr>
        <w:t xml:space="preserve"> </w:t>
      </w:r>
      <w:r w:rsidR="0069113E" w:rsidRPr="00FA288E">
        <w:rPr>
          <w:rFonts w:ascii="Calibri" w:hAnsi="Calibri" w:cs="Calibri"/>
          <w:sz w:val="21"/>
          <w:szCs w:val="21"/>
        </w:rPr>
        <w:t>vis</w:t>
      </w:r>
      <w:r w:rsidR="00807F7B" w:rsidRPr="00FA288E">
        <w:rPr>
          <w:rFonts w:ascii="Calibri" w:hAnsi="Calibri" w:cs="Calibri"/>
          <w:sz w:val="21"/>
          <w:szCs w:val="21"/>
        </w:rPr>
        <w:t>i</w:t>
      </w:r>
      <w:r w:rsidR="0069113E" w:rsidRPr="00FA288E">
        <w:rPr>
          <w:rFonts w:ascii="Calibri" w:hAnsi="Calibri" w:cs="Calibri"/>
          <w:sz w:val="21"/>
          <w:szCs w:val="21"/>
        </w:rPr>
        <w:t>ting</w:t>
      </w:r>
      <w:r w:rsidR="00614C93" w:rsidRPr="00FA288E">
        <w:rPr>
          <w:rFonts w:ascii="Calibri" w:hAnsi="Calibri" w:cs="Calibri"/>
          <w:sz w:val="21"/>
          <w:szCs w:val="21"/>
        </w:rPr>
        <w:t xml:space="preserve"> a small number of </w:t>
      </w:r>
      <w:r w:rsidR="0075568E" w:rsidRPr="00FA288E">
        <w:rPr>
          <w:rFonts w:ascii="Calibri" w:hAnsi="Calibri" w:cs="Calibri"/>
          <w:sz w:val="21"/>
          <w:szCs w:val="21"/>
        </w:rPr>
        <w:t xml:space="preserve">easily accessible </w:t>
      </w:r>
      <w:r w:rsidR="00614C93" w:rsidRPr="00FA288E">
        <w:rPr>
          <w:rFonts w:ascii="Calibri" w:hAnsi="Calibri" w:cs="Calibri"/>
          <w:sz w:val="21"/>
          <w:szCs w:val="21"/>
        </w:rPr>
        <w:t>schools</w:t>
      </w:r>
      <w:r w:rsidRPr="00FA288E">
        <w:rPr>
          <w:rFonts w:ascii="Calibri" w:hAnsi="Calibri" w:cs="Calibri"/>
          <w:sz w:val="21"/>
          <w:szCs w:val="21"/>
        </w:rPr>
        <w:t xml:space="preserve">. </w:t>
      </w:r>
      <w:r w:rsidR="0069113E" w:rsidRPr="00FA288E">
        <w:rPr>
          <w:rFonts w:ascii="Calibri" w:hAnsi="Calibri" w:cs="Calibri"/>
          <w:sz w:val="21"/>
          <w:szCs w:val="21"/>
        </w:rPr>
        <w:t>Despite the limitations, the review team was able to establish a good</w:t>
      </w:r>
      <w:r w:rsidR="0075568E" w:rsidRPr="00FA288E">
        <w:rPr>
          <w:rFonts w:ascii="Calibri" w:hAnsi="Calibri" w:cs="Calibri"/>
          <w:sz w:val="21"/>
          <w:szCs w:val="21"/>
        </w:rPr>
        <w:t xml:space="preserve"> </w:t>
      </w:r>
      <w:r w:rsidR="00614C93" w:rsidRPr="00FA288E">
        <w:rPr>
          <w:rFonts w:ascii="Calibri" w:hAnsi="Calibri" w:cs="Calibri"/>
          <w:sz w:val="21"/>
          <w:szCs w:val="21"/>
        </w:rPr>
        <w:t xml:space="preserve">impression of progress and </w:t>
      </w:r>
      <w:r w:rsidR="0069113E" w:rsidRPr="00FA288E">
        <w:rPr>
          <w:rFonts w:ascii="Calibri" w:hAnsi="Calibri" w:cs="Calibri"/>
          <w:sz w:val="21"/>
          <w:szCs w:val="21"/>
        </w:rPr>
        <w:t>understood better some</w:t>
      </w:r>
      <w:r w:rsidR="00614C93" w:rsidRPr="00FA288E">
        <w:rPr>
          <w:rFonts w:ascii="Calibri" w:hAnsi="Calibri" w:cs="Calibri"/>
          <w:sz w:val="21"/>
          <w:szCs w:val="21"/>
        </w:rPr>
        <w:t xml:space="preserve"> challenges face</w:t>
      </w:r>
      <w:r w:rsidR="009338E4" w:rsidRPr="00FA288E">
        <w:rPr>
          <w:rFonts w:ascii="Calibri" w:hAnsi="Calibri" w:cs="Calibri"/>
          <w:sz w:val="21"/>
          <w:szCs w:val="21"/>
        </w:rPr>
        <w:t>d</w:t>
      </w:r>
      <w:r w:rsidR="00614C93" w:rsidRPr="00FA288E">
        <w:rPr>
          <w:rFonts w:ascii="Calibri" w:hAnsi="Calibri" w:cs="Calibri"/>
          <w:sz w:val="21"/>
          <w:szCs w:val="21"/>
        </w:rPr>
        <w:t xml:space="preserve"> in </w:t>
      </w:r>
      <w:r w:rsidR="0075568E" w:rsidRPr="00FA288E">
        <w:rPr>
          <w:rFonts w:ascii="Calibri" w:hAnsi="Calibri" w:cs="Calibri"/>
          <w:sz w:val="21"/>
          <w:szCs w:val="21"/>
        </w:rPr>
        <w:t>serving</w:t>
      </w:r>
      <w:r w:rsidR="00614C93" w:rsidRPr="00FA288E">
        <w:rPr>
          <w:rFonts w:ascii="Calibri" w:hAnsi="Calibri" w:cs="Calibri"/>
          <w:sz w:val="21"/>
          <w:szCs w:val="21"/>
        </w:rPr>
        <w:t xml:space="preserve"> more remote areas. </w:t>
      </w:r>
    </w:p>
    <w:p w14:paraId="2DA9DDA7" w14:textId="626A0F07" w:rsidR="00614C93" w:rsidRPr="00FA288E" w:rsidRDefault="0012661B" w:rsidP="00C56E61">
      <w:pPr>
        <w:pStyle w:val="Heading1"/>
        <w:numPr>
          <w:ilvl w:val="1"/>
          <w:numId w:val="9"/>
        </w:numPr>
        <w:spacing w:before="0" w:after="80" w:line="240" w:lineRule="auto"/>
        <w:ind w:left="540" w:hanging="540"/>
      </w:pPr>
      <w:bookmarkStart w:id="46" w:name="_Toc42075966"/>
      <w:bookmarkStart w:id="47" w:name="_Toc31625586"/>
      <w:r w:rsidRPr="00FA288E">
        <w:t xml:space="preserve">Report </w:t>
      </w:r>
      <w:r w:rsidR="00614C93" w:rsidRPr="00FA288E">
        <w:t>Structure</w:t>
      </w:r>
      <w:bookmarkEnd w:id="46"/>
      <w:r w:rsidR="00614C93" w:rsidRPr="00FA288E">
        <w:t xml:space="preserve"> </w:t>
      </w:r>
      <w:bookmarkEnd w:id="47"/>
    </w:p>
    <w:p w14:paraId="68A90E02" w14:textId="77777777" w:rsidR="00614C93" w:rsidRPr="00FA288E" w:rsidRDefault="00E22BA8" w:rsidP="00C56E61">
      <w:pPr>
        <w:pStyle w:val="BodyText"/>
        <w:spacing w:after="80" w:line="240" w:lineRule="auto"/>
        <w:rPr>
          <w:rFonts w:ascii="Calibri" w:hAnsi="Calibri" w:cs="Calibri"/>
          <w:sz w:val="21"/>
          <w:szCs w:val="21"/>
        </w:rPr>
      </w:pPr>
      <w:r w:rsidRPr="00FA288E">
        <w:rPr>
          <w:rFonts w:ascii="Calibri" w:hAnsi="Calibri" w:cs="Calibri"/>
          <w:sz w:val="21"/>
          <w:szCs w:val="21"/>
        </w:rPr>
        <w:t xml:space="preserve">Following </w:t>
      </w:r>
      <w:hyperlink w:anchor="_Background_and_Context" w:history="1">
        <w:r w:rsidRPr="00FA288E">
          <w:rPr>
            <w:rStyle w:val="Hyperlink"/>
            <w:rFonts w:ascii="Calibri" w:hAnsi="Calibri" w:cs="Calibri"/>
            <w:sz w:val="21"/>
            <w:szCs w:val="21"/>
          </w:rPr>
          <w:t>Section 1</w:t>
        </w:r>
      </w:hyperlink>
      <w:r w:rsidRPr="00FA288E">
        <w:rPr>
          <w:rFonts w:ascii="Calibri" w:hAnsi="Calibri" w:cs="Calibri"/>
          <w:sz w:val="21"/>
          <w:szCs w:val="21"/>
        </w:rPr>
        <w:t xml:space="preserve"> (Background and Context) and </w:t>
      </w:r>
      <w:hyperlink w:anchor="_Review_Methodology" w:history="1">
        <w:r w:rsidRPr="00FA288E">
          <w:rPr>
            <w:rStyle w:val="Hyperlink"/>
            <w:rFonts w:ascii="Calibri" w:hAnsi="Calibri" w:cs="Calibri"/>
            <w:sz w:val="21"/>
            <w:szCs w:val="21"/>
          </w:rPr>
          <w:t>Section 2</w:t>
        </w:r>
      </w:hyperlink>
      <w:r w:rsidRPr="00FA288E">
        <w:rPr>
          <w:rFonts w:ascii="Calibri" w:hAnsi="Calibri" w:cs="Calibri"/>
          <w:sz w:val="21"/>
          <w:szCs w:val="21"/>
        </w:rPr>
        <w:t xml:space="preserve"> (Review Methodology) above, </w:t>
      </w:r>
      <w:hyperlink w:anchor="_Analysis_and_Findings" w:history="1">
        <w:r w:rsidR="00614C93" w:rsidRPr="00FA288E">
          <w:rPr>
            <w:rStyle w:val="Hyperlink"/>
            <w:rFonts w:ascii="Calibri" w:hAnsi="Calibri" w:cs="Calibri"/>
            <w:sz w:val="21"/>
            <w:szCs w:val="21"/>
          </w:rPr>
          <w:t>Section 3</w:t>
        </w:r>
      </w:hyperlink>
      <w:r w:rsidR="00614C93" w:rsidRPr="00FA288E">
        <w:rPr>
          <w:rFonts w:ascii="Calibri" w:hAnsi="Calibri" w:cs="Calibri"/>
          <w:sz w:val="21"/>
          <w:szCs w:val="21"/>
        </w:rPr>
        <w:t xml:space="preserve"> of this report </w:t>
      </w:r>
      <w:r w:rsidRPr="00FA288E">
        <w:rPr>
          <w:rFonts w:ascii="Calibri" w:hAnsi="Calibri" w:cs="Calibri"/>
          <w:sz w:val="21"/>
          <w:szCs w:val="21"/>
        </w:rPr>
        <w:t xml:space="preserve">provides </w:t>
      </w:r>
      <w:r w:rsidR="00614C93" w:rsidRPr="00FA288E">
        <w:rPr>
          <w:rFonts w:ascii="Calibri" w:hAnsi="Calibri" w:cs="Calibri"/>
          <w:sz w:val="21"/>
          <w:szCs w:val="21"/>
        </w:rPr>
        <w:t xml:space="preserve">responses to the </w:t>
      </w:r>
      <w:r w:rsidRPr="00FA288E">
        <w:rPr>
          <w:rFonts w:ascii="Calibri" w:hAnsi="Calibri" w:cs="Calibri"/>
          <w:sz w:val="21"/>
          <w:szCs w:val="21"/>
        </w:rPr>
        <w:t>six KRQs which guide the review</w:t>
      </w:r>
      <w:r w:rsidR="00614C93" w:rsidRPr="00FA288E">
        <w:rPr>
          <w:rFonts w:ascii="Calibri" w:hAnsi="Calibri" w:cs="Calibri"/>
          <w:sz w:val="21"/>
          <w:szCs w:val="21"/>
        </w:rPr>
        <w:t>. KRQs 1 – 5 address more discrete areas of inquiry, KRQ 6 draws together lessons suggested by the analysis</w:t>
      </w:r>
      <w:r w:rsidR="006464C1" w:rsidRPr="00FA288E">
        <w:rPr>
          <w:rFonts w:ascii="Calibri" w:hAnsi="Calibri" w:cs="Calibri"/>
          <w:sz w:val="21"/>
          <w:szCs w:val="21"/>
        </w:rPr>
        <w:t xml:space="preserve"> </w:t>
      </w:r>
      <w:r w:rsidR="00466656" w:rsidRPr="00FA288E">
        <w:rPr>
          <w:rFonts w:ascii="Calibri" w:hAnsi="Calibri" w:cs="Calibri"/>
          <w:sz w:val="21"/>
          <w:szCs w:val="21"/>
        </w:rPr>
        <w:t>of responses for KRQs 1</w:t>
      </w:r>
      <w:r w:rsidR="00953B20" w:rsidRPr="00FA288E">
        <w:rPr>
          <w:rFonts w:ascii="Calibri" w:hAnsi="Calibri" w:cs="Calibri"/>
          <w:sz w:val="21"/>
          <w:szCs w:val="21"/>
        </w:rPr>
        <w:t xml:space="preserve"> – </w:t>
      </w:r>
      <w:r w:rsidR="00466656" w:rsidRPr="00FA288E">
        <w:rPr>
          <w:rFonts w:ascii="Calibri" w:hAnsi="Calibri" w:cs="Calibri"/>
          <w:sz w:val="21"/>
          <w:szCs w:val="21"/>
        </w:rPr>
        <w:t>5</w:t>
      </w:r>
      <w:r w:rsidR="00614C93" w:rsidRPr="00FA288E">
        <w:rPr>
          <w:rFonts w:ascii="Calibri" w:hAnsi="Calibri" w:cs="Calibri"/>
          <w:sz w:val="21"/>
          <w:szCs w:val="21"/>
        </w:rPr>
        <w:t xml:space="preserve">. </w:t>
      </w:r>
      <w:hyperlink w:anchor="_Summary_of_Lessons" w:history="1">
        <w:r w:rsidR="00466656" w:rsidRPr="00FA288E">
          <w:rPr>
            <w:rStyle w:val="Hyperlink"/>
            <w:rFonts w:ascii="Calibri" w:hAnsi="Calibri" w:cs="Calibri"/>
            <w:sz w:val="21"/>
            <w:szCs w:val="21"/>
          </w:rPr>
          <w:t>Section 4</w:t>
        </w:r>
      </w:hyperlink>
      <w:r w:rsidR="00466656" w:rsidRPr="00FA288E">
        <w:rPr>
          <w:rFonts w:ascii="Calibri" w:hAnsi="Calibri" w:cs="Calibri"/>
          <w:sz w:val="21"/>
          <w:szCs w:val="21"/>
        </w:rPr>
        <w:t xml:space="preserve"> serves to provide a summary of lessons learnt from the review</w:t>
      </w:r>
      <w:r w:rsidR="00614C93" w:rsidRPr="00FA288E">
        <w:rPr>
          <w:rFonts w:ascii="Calibri" w:hAnsi="Calibri" w:cs="Calibri"/>
          <w:sz w:val="21"/>
          <w:szCs w:val="21"/>
        </w:rPr>
        <w:t xml:space="preserve">, leading to the recommendations </w:t>
      </w:r>
      <w:r w:rsidR="00466656" w:rsidRPr="00FA288E">
        <w:rPr>
          <w:rFonts w:ascii="Calibri" w:hAnsi="Calibri" w:cs="Calibri"/>
          <w:sz w:val="21"/>
          <w:szCs w:val="21"/>
        </w:rPr>
        <w:t xml:space="preserve">in </w:t>
      </w:r>
      <w:hyperlink w:anchor="_Moving_Forward" w:history="1">
        <w:r w:rsidR="00466656" w:rsidRPr="00FA288E">
          <w:rPr>
            <w:rStyle w:val="Hyperlink"/>
            <w:rFonts w:ascii="Calibri" w:hAnsi="Calibri" w:cs="Calibri"/>
            <w:sz w:val="21"/>
            <w:szCs w:val="21"/>
          </w:rPr>
          <w:t>Section 5</w:t>
        </w:r>
      </w:hyperlink>
      <w:r w:rsidR="00466656" w:rsidRPr="00FA288E">
        <w:rPr>
          <w:rFonts w:ascii="Calibri" w:hAnsi="Calibri" w:cs="Calibri"/>
          <w:sz w:val="21"/>
          <w:szCs w:val="21"/>
        </w:rPr>
        <w:t xml:space="preserve"> for moving forward in the immediate, short-term and longer-term</w:t>
      </w:r>
      <w:r w:rsidR="00614C93" w:rsidRPr="00FA288E">
        <w:rPr>
          <w:rFonts w:ascii="Calibri" w:hAnsi="Calibri" w:cs="Calibri"/>
          <w:sz w:val="21"/>
          <w:szCs w:val="21"/>
        </w:rPr>
        <w:t>.</w:t>
      </w:r>
    </w:p>
    <w:p w14:paraId="388B415D" w14:textId="77777777" w:rsidR="00614C93" w:rsidRPr="00FA288E" w:rsidRDefault="00614C93" w:rsidP="00807F7B">
      <w:pPr>
        <w:pStyle w:val="Heading2"/>
        <w:numPr>
          <w:ilvl w:val="0"/>
          <w:numId w:val="9"/>
        </w:numPr>
        <w:spacing w:before="120" w:line="240" w:lineRule="auto"/>
        <w:ind w:left="357" w:hanging="357"/>
        <w:rPr>
          <w:b w:val="0"/>
          <w:bCs w:val="0"/>
          <w:sz w:val="32"/>
          <w:szCs w:val="32"/>
        </w:rPr>
      </w:pPr>
      <w:bookmarkStart w:id="48" w:name="_Analysis_and_Findings"/>
      <w:bookmarkStart w:id="49" w:name="_Toc31625587"/>
      <w:bookmarkStart w:id="50" w:name="_Toc42075967"/>
      <w:bookmarkEnd w:id="48"/>
      <w:r w:rsidRPr="00FA288E">
        <w:rPr>
          <w:b w:val="0"/>
          <w:bCs w:val="0"/>
          <w:sz w:val="32"/>
          <w:szCs w:val="32"/>
        </w:rPr>
        <w:t>Analysis and Finding</w:t>
      </w:r>
      <w:r w:rsidR="001643BB" w:rsidRPr="00FA288E">
        <w:rPr>
          <w:b w:val="0"/>
          <w:bCs w:val="0"/>
          <w:sz w:val="32"/>
          <w:szCs w:val="32"/>
        </w:rPr>
        <w:t>s</w:t>
      </w:r>
      <w:bookmarkEnd w:id="49"/>
      <w:bookmarkEnd w:id="50"/>
    </w:p>
    <w:p w14:paraId="51575012" w14:textId="0697DE92" w:rsidR="009B077B" w:rsidRPr="00FA288E" w:rsidRDefault="001643BB" w:rsidP="009B077B">
      <w:pPr>
        <w:pStyle w:val="Heading1"/>
        <w:numPr>
          <w:ilvl w:val="1"/>
          <w:numId w:val="9"/>
        </w:numPr>
        <w:spacing w:before="0" w:after="80" w:line="240" w:lineRule="auto"/>
        <w:ind w:left="540" w:hanging="540"/>
        <w:rPr>
          <w:rFonts w:eastAsia="Calibri"/>
        </w:rPr>
      </w:pPr>
      <w:bookmarkStart w:id="51" w:name="_Effectiveness_of_the"/>
      <w:bookmarkStart w:id="52" w:name="_Toc26914364"/>
      <w:bookmarkStart w:id="53" w:name="_Toc31625588"/>
      <w:bookmarkStart w:id="54" w:name="_Toc42075968"/>
      <w:bookmarkEnd w:id="51"/>
      <w:r w:rsidRPr="00FA288E">
        <w:rPr>
          <w:rFonts w:eastAsia="Calibri"/>
        </w:rPr>
        <w:t>Effectiveness of the grants in improving literacy and numeracy against the agreed outcomes and targets for girls</w:t>
      </w:r>
      <w:r w:rsidR="0012661B" w:rsidRPr="00FA288E">
        <w:rPr>
          <w:rFonts w:eastAsia="Calibri"/>
        </w:rPr>
        <w:t>,</w:t>
      </w:r>
      <w:r w:rsidRPr="00FA288E">
        <w:rPr>
          <w:rFonts w:eastAsia="Calibri"/>
        </w:rPr>
        <w:t xml:space="preserve"> </w:t>
      </w:r>
      <w:r w:rsidR="0012661B" w:rsidRPr="00FA288E">
        <w:rPr>
          <w:rFonts w:eastAsia="Calibri"/>
        </w:rPr>
        <w:t xml:space="preserve">including </w:t>
      </w:r>
      <w:r w:rsidRPr="00FA288E">
        <w:rPr>
          <w:rFonts w:eastAsia="Calibri"/>
        </w:rPr>
        <w:t>boys and children with disabilities (KRQ 1)</w:t>
      </w:r>
      <w:bookmarkEnd w:id="52"/>
      <w:bookmarkEnd w:id="53"/>
      <w:bookmarkEnd w:id="54"/>
    </w:p>
    <w:p w14:paraId="1DA7A0BA" w14:textId="77777777" w:rsidR="009B077B" w:rsidRPr="00FA288E" w:rsidRDefault="009B077B" w:rsidP="0084126B">
      <w:pPr>
        <w:spacing w:after="120" w:line="240" w:lineRule="auto"/>
        <w:rPr>
          <w:rFonts w:eastAsia="Calibri"/>
        </w:rPr>
      </w:pPr>
      <w:r w:rsidRPr="00FA288E">
        <w:rPr>
          <w:rFonts w:eastAsia="Calibri"/>
        </w:rPr>
        <w:t xml:space="preserve">This section addresses sub-questions </w:t>
      </w:r>
      <w:r w:rsidRPr="00FA288E">
        <w:rPr>
          <w:rFonts w:eastAsia="Calibri"/>
          <w:b/>
        </w:rPr>
        <w:t xml:space="preserve">1a, </w:t>
      </w:r>
      <w:r w:rsidRPr="00FA288E">
        <w:rPr>
          <w:rFonts w:eastAsia="Calibri"/>
        </w:rPr>
        <w:t xml:space="preserve">progress towards achieving agreed outcomes and whether they are on track; </w:t>
      </w:r>
      <w:r w:rsidRPr="00FA288E">
        <w:rPr>
          <w:rFonts w:eastAsia="Calibri"/>
          <w:b/>
        </w:rPr>
        <w:t>1b</w:t>
      </w:r>
      <w:r w:rsidR="003860DA" w:rsidRPr="00FA288E">
        <w:rPr>
          <w:rFonts w:eastAsia="Calibri"/>
        </w:rPr>
        <w:t>,</w:t>
      </w:r>
      <w:r w:rsidRPr="00FA288E">
        <w:rPr>
          <w:rFonts w:eastAsia="Calibri"/>
        </w:rPr>
        <w:t xml:space="preserve"> the extent to which they have been inclusive</w:t>
      </w:r>
      <w:r w:rsidR="003860DA" w:rsidRPr="00FA288E">
        <w:rPr>
          <w:rFonts w:eastAsia="Calibri"/>
        </w:rPr>
        <w:t xml:space="preserve">; and </w:t>
      </w:r>
      <w:r w:rsidR="003860DA" w:rsidRPr="00FA288E">
        <w:rPr>
          <w:rFonts w:eastAsia="Calibri"/>
          <w:b/>
        </w:rPr>
        <w:t xml:space="preserve">1c, </w:t>
      </w:r>
      <w:r w:rsidR="003860DA" w:rsidRPr="00FA288E">
        <w:rPr>
          <w:rFonts w:eastAsia="Calibri"/>
        </w:rPr>
        <w:t>the factors influencing success and specific innovations.</w:t>
      </w:r>
      <w:r w:rsidR="00EA6D4F" w:rsidRPr="00FA288E">
        <w:rPr>
          <w:rFonts w:eastAsia="Calibri"/>
        </w:rPr>
        <w:t xml:space="preserve">  </w:t>
      </w:r>
    </w:p>
    <w:p w14:paraId="42CDBF69" w14:textId="3E666989" w:rsidR="0012661B" w:rsidRPr="00FA288E" w:rsidRDefault="0045654B" w:rsidP="0084126B">
      <w:pPr>
        <w:spacing w:after="120" w:line="240" w:lineRule="auto"/>
        <w:jc w:val="both"/>
        <w:rPr>
          <w:rFonts w:eastAsia="Calibri" w:cs="Calibri"/>
          <w:szCs w:val="21"/>
        </w:rPr>
      </w:pPr>
      <w:r w:rsidRPr="00FA288E">
        <w:rPr>
          <w:rFonts w:eastAsia="Calibri" w:cs="Calibri"/>
          <w:b/>
          <w:szCs w:val="21"/>
        </w:rPr>
        <w:t xml:space="preserve">Finding: </w:t>
      </w:r>
      <w:r w:rsidRPr="00FA288E">
        <w:rPr>
          <w:rFonts w:eastAsia="Calibri" w:cs="Calibri"/>
          <w:szCs w:val="21"/>
        </w:rPr>
        <w:t>All</w:t>
      </w:r>
      <w:r w:rsidRPr="00FA288E">
        <w:rPr>
          <w:rFonts w:eastAsia="Calibri" w:cs="Calibri"/>
          <w:b/>
          <w:szCs w:val="21"/>
        </w:rPr>
        <w:t xml:space="preserve"> </w:t>
      </w:r>
      <w:r w:rsidRPr="00FA288E">
        <w:rPr>
          <w:rFonts w:eastAsia="Calibri" w:cs="Calibri"/>
          <w:szCs w:val="21"/>
        </w:rPr>
        <w:t>grantees made impressive progress in achieving and in some cases exceeding their targets for 2019 and are largely on track to achieve them by June 2020. Of the 20 project targets examined</w:t>
      </w:r>
      <w:r w:rsidR="00A22822" w:rsidRPr="00FA288E">
        <w:rPr>
          <w:rFonts w:eastAsia="Calibri" w:cs="Calibri"/>
          <w:szCs w:val="21"/>
        </w:rPr>
        <w:t xml:space="preserve"> (see Tables 2-4 in Subsection 3.1.1.)</w:t>
      </w:r>
      <w:r w:rsidRPr="00FA288E">
        <w:rPr>
          <w:rFonts w:eastAsia="Calibri" w:cs="Calibri"/>
          <w:szCs w:val="21"/>
        </w:rPr>
        <w:t xml:space="preserve">, seven (35%) have already been achieved, seven targets (35%) are on track to be achieved and six (30%) are unlikely to be achieved by the end of the current phase. </w:t>
      </w:r>
    </w:p>
    <w:p w14:paraId="6A34EFB1" w14:textId="0D436712" w:rsidR="0045654B" w:rsidRPr="00FA288E" w:rsidRDefault="0045654B" w:rsidP="0084126B">
      <w:pPr>
        <w:spacing w:after="120" w:line="240" w:lineRule="auto"/>
        <w:jc w:val="both"/>
        <w:rPr>
          <w:rFonts w:eastAsia="Calibri" w:cs="Calibri"/>
          <w:szCs w:val="21"/>
        </w:rPr>
      </w:pPr>
      <w:r w:rsidRPr="00FA288E">
        <w:rPr>
          <w:rFonts w:eastAsia="Calibri" w:cs="Calibri"/>
          <w:szCs w:val="21"/>
        </w:rPr>
        <w:t>Those less likely to be achieved</w:t>
      </w:r>
      <w:r w:rsidR="007F04AA" w:rsidRPr="00FA288E">
        <w:rPr>
          <w:rFonts w:eastAsia="Calibri" w:cs="Calibri"/>
          <w:szCs w:val="21"/>
        </w:rPr>
        <w:t xml:space="preserve"> (30%)</w:t>
      </w:r>
      <w:r w:rsidRPr="00FA288E">
        <w:rPr>
          <w:rFonts w:eastAsia="Calibri" w:cs="Calibri"/>
          <w:szCs w:val="21"/>
        </w:rPr>
        <w:t xml:space="preserve"> include interventions for which initial assumptions were inaccurate, such as availability of suitably qualified teachers and courses to enable upgrading of qualifications, the ability of parents to support home reading, or the challenges of establishing an on-line knowledge hub. </w:t>
      </w:r>
    </w:p>
    <w:p w14:paraId="0BDC3D42" w14:textId="68933CA0" w:rsidR="0012661B" w:rsidRPr="00FA288E" w:rsidRDefault="0045654B" w:rsidP="0084126B">
      <w:pPr>
        <w:spacing w:after="120" w:line="240" w:lineRule="auto"/>
        <w:jc w:val="both"/>
        <w:rPr>
          <w:rFonts w:eastAsia="Calibri" w:cs="Calibri"/>
          <w:szCs w:val="21"/>
        </w:rPr>
      </w:pPr>
      <w:r w:rsidRPr="00FA288E">
        <w:rPr>
          <w:rFonts w:eastAsia="Calibri" w:cs="Calibri"/>
          <w:b/>
          <w:szCs w:val="21"/>
        </w:rPr>
        <w:t xml:space="preserve">Finding: </w:t>
      </w:r>
      <w:r w:rsidRPr="00FA288E">
        <w:rPr>
          <w:rFonts w:eastAsia="Calibri" w:cs="Calibri"/>
          <w:szCs w:val="21"/>
        </w:rPr>
        <w:t xml:space="preserve">There is strong evidence of improvements in literacy and numeracy outcomes for the two projects with midline data (RISE and T4E), although this is limited to female students for RISE, and to English and Tok Pisin reading comprehension, and numeracy word problems for T4E. Evidence for other literacy and numeracy outcomes is weaker, which may be due to the relatively short period from intervention to assessment.  Despite signs of progress, students are still below the levels expected for </w:t>
      </w:r>
      <w:r w:rsidR="0040219D" w:rsidRPr="00FA288E">
        <w:rPr>
          <w:rFonts w:eastAsia="Calibri" w:cs="Calibri"/>
          <w:szCs w:val="21"/>
        </w:rPr>
        <w:t>their grade</w:t>
      </w:r>
      <w:r w:rsidRPr="00FA288E">
        <w:rPr>
          <w:rFonts w:eastAsia="Calibri" w:cs="Calibri"/>
          <w:szCs w:val="21"/>
        </w:rPr>
        <w:t xml:space="preserve">. </w:t>
      </w:r>
    </w:p>
    <w:p w14:paraId="1B26CC4B" w14:textId="77777777" w:rsidR="0045654B" w:rsidRPr="00FA288E" w:rsidRDefault="0045654B" w:rsidP="0084126B">
      <w:pPr>
        <w:spacing w:after="120" w:line="240" w:lineRule="auto"/>
        <w:jc w:val="both"/>
        <w:rPr>
          <w:rFonts w:eastAsia="Calibri" w:cs="Calibri"/>
          <w:szCs w:val="21"/>
        </w:rPr>
      </w:pPr>
      <w:r w:rsidRPr="00FA288E">
        <w:rPr>
          <w:rFonts w:eastAsia="Calibri" w:cs="Calibri"/>
          <w:szCs w:val="21"/>
        </w:rPr>
        <w:t xml:space="preserve">Other outcomes for which there is relatively strong evidence includes teacher’s </w:t>
      </w:r>
      <w:r w:rsidR="0040219D" w:rsidRPr="00FA288E">
        <w:rPr>
          <w:rFonts w:eastAsia="Calibri" w:cs="Calibri"/>
          <w:szCs w:val="21"/>
        </w:rPr>
        <w:t xml:space="preserve">ability to teach </w:t>
      </w:r>
      <w:r w:rsidRPr="00FA288E">
        <w:rPr>
          <w:rFonts w:eastAsia="Calibri" w:cs="Calibri"/>
          <w:szCs w:val="21"/>
        </w:rPr>
        <w:t>reading comprehension, classroom management and student engagement (RISE), and the use of appropriate teaching strategies (T4E). The review found wide differences in teacher’s ability to apply new learning in the classroom following training related to a general need to improve the quality and frequency of post training supervision</w:t>
      </w:r>
      <w:r w:rsidR="0040219D" w:rsidRPr="00FA288E">
        <w:rPr>
          <w:rFonts w:eastAsia="Calibri" w:cs="Calibri"/>
          <w:szCs w:val="21"/>
        </w:rPr>
        <w:t>, access to peer learning opportunities and application of self-reflection processes</w:t>
      </w:r>
      <w:r w:rsidRPr="00FA288E">
        <w:rPr>
          <w:rFonts w:eastAsia="Calibri" w:cs="Calibri"/>
          <w:szCs w:val="21"/>
        </w:rPr>
        <w:t>.</w:t>
      </w:r>
    </w:p>
    <w:p w14:paraId="3A781F61" w14:textId="44224661" w:rsidR="0045654B" w:rsidRPr="00FA288E" w:rsidRDefault="0045654B" w:rsidP="0084126B">
      <w:pPr>
        <w:spacing w:after="120" w:line="240" w:lineRule="auto"/>
        <w:jc w:val="both"/>
        <w:rPr>
          <w:rFonts w:eastAsia="Calibri" w:cs="Calibri"/>
          <w:szCs w:val="21"/>
        </w:rPr>
      </w:pPr>
      <w:r w:rsidRPr="00FA288E">
        <w:rPr>
          <w:rFonts w:eastAsia="Calibri" w:cs="Calibri"/>
          <w:b/>
          <w:szCs w:val="21"/>
        </w:rPr>
        <w:t xml:space="preserve">Finding: </w:t>
      </w:r>
      <w:r w:rsidRPr="00FA288E">
        <w:rPr>
          <w:rFonts w:eastAsia="Calibri" w:cs="Calibri"/>
          <w:szCs w:val="21"/>
        </w:rPr>
        <w:t>Whilst some activity targets will be exceeded (</w:t>
      </w:r>
      <w:proofErr w:type="spellStart"/>
      <w:r w:rsidRPr="00FA288E">
        <w:rPr>
          <w:rFonts w:eastAsia="Calibri" w:cs="Calibri"/>
          <w:szCs w:val="21"/>
        </w:rPr>
        <w:t>ie</w:t>
      </w:r>
      <w:proofErr w:type="spellEnd"/>
      <w:r w:rsidRPr="00FA288E">
        <w:rPr>
          <w:rFonts w:eastAsia="Calibri" w:cs="Calibri"/>
          <w:szCs w:val="21"/>
        </w:rPr>
        <w:t xml:space="preserve">. numbers of Community Literacy Volunteers trained, numbers of Schools Learning Improvement Plans developed, number of parents trained, quantities of reading </w:t>
      </w:r>
      <w:r w:rsidRPr="00FA288E">
        <w:rPr>
          <w:rFonts w:eastAsia="Calibri" w:cs="Calibri"/>
          <w:szCs w:val="21"/>
        </w:rPr>
        <w:lastRenderedPageBreak/>
        <w:t xml:space="preserve">materials produced, ECCE trainers trained), there </w:t>
      </w:r>
      <w:r w:rsidR="007F04AA" w:rsidRPr="00FA288E">
        <w:rPr>
          <w:rFonts w:eastAsia="Calibri" w:cs="Calibri"/>
          <w:szCs w:val="21"/>
        </w:rPr>
        <w:t>is insufficient</w:t>
      </w:r>
      <w:r w:rsidRPr="00FA288E">
        <w:rPr>
          <w:rFonts w:eastAsia="Calibri" w:cs="Calibri"/>
          <w:szCs w:val="21"/>
        </w:rPr>
        <w:t xml:space="preserve"> data</w:t>
      </w:r>
      <w:r w:rsidR="007F04AA" w:rsidRPr="00FA288E">
        <w:rPr>
          <w:rFonts w:eastAsia="Calibri" w:cs="Calibri"/>
          <w:szCs w:val="21"/>
        </w:rPr>
        <w:t xml:space="preserve"> from baseline and midlines</w:t>
      </w:r>
      <w:r w:rsidRPr="00FA288E">
        <w:rPr>
          <w:rFonts w:eastAsia="Calibri" w:cs="Calibri"/>
          <w:szCs w:val="21"/>
        </w:rPr>
        <w:t xml:space="preserve"> </w:t>
      </w:r>
      <w:r w:rsidR="003F5FE6" w:rsidRPr="00FA288E">
        <w:rPr>
          <w:rFonts w:eastAsia="Calibri" w:cs="Calibri"/>
          <w:szCs w:val="21"/>
        </w:rPr>
        <w:t xml:space="preserve">to </w:t>
      </w:r>
      <w:r w:rsidRPr="00FA288E">
        <w:rPr>
          <w:rFonts w:eastAsia="Calibri" w:cs="Calibri"/>
          <w:szCs w:val="21"/>
        </w:rPr>
        <w:t xml:space="preserve">enable assessment of their effectiveness. It is expected that the more detailed </w:t>
      </w:r>
      <w:r w:rsidR="003F5FE6" w:rsidRPr="00FA288E">
        <w:rPr>
          <w:rFonts w:eastAsia="Calibri" w:cs="Calibri"/>
          <w:szCs w:val="21"/>
        </w:rPr>
        <w:t>end line</w:t>
      </w:r>
      <w:r w:rsidRPr="00FA288E">
        <w:rPr>
          <w:rFonts w:eastAsia="Calibri" w:cs="Calibri"/>
          <w:szCs w:val="21"/>
        </w:rPr>
        <w:t xml:space="preserve"> assessments will provide this evidence, including more detailed outcomes of CLV programs, the effectiveness of reading clubs and book borrowing, SLIP plan implementation and funding, outcomes in ECCE and active parent engagement in home reading.</w:t>
      </w:r>
    </w:p>
    <w:p w14:paraId="2D58A6AE" w14:textId="77777777" w:rsidR="0045654B" w:rsidRPr="00FA288E" w:rsidRDefault="0045654B" w:rsidP="0084126B">
      <w:pPr>
        <w:spacing w:after="120" w:line="240" w:lineRule="auto"/>
        <w:jc w:val="both"/>
        <w:rPr>
          <w:rFonts w:eastAsia="Calibri" w:cs="Calibri"/>
          <w:szCs w:val="21"/>
        </w:rPr>
      </w:pPr>
      <w:r w:rsidRPr="00FA288E">
        <w:rPr>
          <w:rFonts w:eastAsia="Calibri" w:cs="Calibri"/>
          <w:b/>
          <w:szCs w:val="21"/>
        </w:rPr>
        <w:t xml:space="preserve">Finding: </w:t>
      </w:r>
      <w:r w:rsidRPr="00FA288E">
        <w:rPr>
          <w:rFonts w:eastAsia="Calibri" w:cs="Calibri"/>
          <w:szCs w:val="21"/>
        </w:rPr>
        <w:t>The main factors which contributed to successful outcomes included the strong focus on face-to-face training of teachers, and the attention to incremental improvements in training quality in which all grantees had solid experience. Promising innovations were also introduced to enhance effectiveness and increase reach, including the use of improved teaching materials and their availability electronically; peer-to-peer teacher support; and the availability of culturally appropriate and inclusive reading resources for children through electronic applications.</w:t>
      </w:r>
    </w:p>
    <w:p w14:paraId="3CFF1DE7" w14:textId="77777777" w:rsidR="0045654B" w:rsidRPr="00FA288E" w:rsidRDefault="0045654B" w:rsidP="0084126B">
      <w:pPr>
        <w:spacing w:after="120" w:line="240" w:lineRule="auto"/>
        <w:jc w:val="both"/>
        <w:rPr>
          <w:rFonts w:eastAsia="Calibri" w:cs="Calibri"/>
          <w:color w:val="525252" w:themeColor="accent3" w:themeShade="80"/>
          <w:szCs w:val="21"/>
        </w:rPr>
      </w:pPr>
      <w:r w:rsidRPr="00FA288E">
        <w:rPr>
          <w:rFonts w:eastAsia="Calibri" w:cs="Calibri"/>
          <w:b/>
          <w:szCs w:val="21"/>
        </w:rPr>
        <w:t xml:space="preserve">Finding: </w:t>
      </w:r>
      <w:r w:rsidRPr="00FA288E">
        <w:rPr>
          <w:rFonts w:eastAsia="Calibri" w:cs="Calibri"/>
          <w:szCs w:val="21"/>
        </w:rPr>
        <w:t xml:space="preserve">All three grantees paid adequate attention to mainstreaming gender and disability inclusivity across activities with varying degrees of emphasis. There was some evidence that the inclusion of gender-sensitive teaching strategies are having an impact on girls literacy and numeracy (RISE), and that more teachers are reporting the use of gender and disability inclusive teaching strategies (T4E) following teacher training. For other interventions specifically focussed on disability through RISE (electronic readers for the hearing and visually impaired; support to the Inclusive Education Resource Centres) and gender through PKS (a Community Leadership Program to address girl’s barriers to education), these initiatives are yet to be implemented fully. All provide an adequate level of gender-disaggregated reporting, albeit with some room for improvement and consistency across </w:t>
      </w:r>
      <w:r w:rsidRPr="00FA288E">
        <w:rPr>
          <w:rFonts w:eastAsia="Calibri" w:cs="Calibri"/>
          <w:color w:val="525252" w:themeColor="accent3" w:themeShade="80"/>
          <w:szCs w:val="21"/>
        </w:rPr>
        <w:t>grants.</w:t>
      </w:r>
    </w:p>
    <w:p w14:paraId="222B05B4" w14:textId="77777777" w:rsidR="00614C93" w:rsidRPr="00FA288E" w:rsidRDefault="00614C93" w:rsidP="00C56E61">
      <w:pPr>
        <w:pStyle w:val="Bullets"/>
        <w:numPr>
          <w:ilvl w:val="0"/>
          <w:numId w:val="0"/>
        </w:numPr>
        <w:spacing w:after="80" w:line="240" w:lineRule="auto"/>
        <w:rPr>
          <w:sz w:val="24"/>
          <w:szCs w:val="24"/>
        </w:rPr>
      </w:pPr>
      <w:bookmarkStart w:id="55" w:name="_Toc27048792"/>
      <w:bookmarkStart w:id="56" w:name="_Toc27049448"/>
      <w:bookmarkStart w:id="57" w:name="_Toc27049538"/>
      <w:bookmarkStart w:id="58" w:name="_Toc27049597"/>
      <w:bookmarkStart w:id="59" w:name="_Toc27049650"/>
      <w:bookmarkStart w:id="60" w:name="_Toc27048793"/>
      <w:bookmarkStart w:id="61" w:name="_Toc27049449"/>
      <w:bookmarkStart w:id="62" w:name="_Toc27049539"/>
      <w:bookmarkStart w:id="63" w:name="_Toc27049598"/>
      <w:bookmarkStart w:id="64" w:name="_Toc27049651"/>
      <w:bookmarkEnd w:id="55"/>
      <w:bookmarkEnd w:id="56"/>
      <w:bookmarkEnd w:id="57"/>
      <w:bookmarkEnd w:id="58"/>
      <w:bookmarkEnd w:id="59"/>
      <w:bookmarkEnd w:id="60"/>
      <w:bookmarkEnd w:id="61"/>
      <w:bookmarkEnd w:id="62"/>
      <w:bookmarkEnd w:id="63"/>
      <w:bookmarkEnd w:id="64"/>
      <w:r w:rsidRPr="00FA288E">
        <w:rPr>
          <w:sz w:val="24"/>
          <w:szCs w:val="24"/>
        </w:rPr>
        <w:t>3.1.1 Progress towards achieving outcomes</w:t>
      </w:r>
    </w:p>
    <w:p w14:paraId="67869B9C" w14:textId="00D8F842" w:rsidR="00B676DC" w:rsidRPr="00FA288E" w:rsidRDefault="00A01B47" w:rsidP="00C56E61">
      <w:pPr>
        <w:pStyle w:val="Bullets"/>
        <w:numPr>
          <w:ilvl w:val="0"/>
          <w:numId w:val="0"/>
        </w:numPr>
        <w:spacing w:after="80" w:line="240" w:lineRule="auto"/>
        <w:jc w:val="both"/>
        <w:rPr>
          <w:rFonts w:ascii="Calibri" w:hAnsi="Calibri" w:cs="Calibri"/>
          <w:sz w:val="21"/>
          <w:szCs w:val="21"/>
        </w:rPr>
      </w:pPr>
      <w:r w:rsidRPr="00FA288E">
        <w:rPr>
          <w:rFonts w:ascii="Calibri" w:hAnsi="Calibri" w:cs="Calibri"/>
          <w:sz w:val="21"/>
          <w:szCs w:val="21"/>
        </w:rPr>
        <w:t xml:space="preserve">There is </w:t>
      </w:r>
      <w:r w:rsidR="00A22822" w:rsidRPr="00FA288E">
        <w:rPr>
          <w:rFonts w:ascii="Calibri" w:hAnsi="Calibri" w:cs="Calibri"/>
          <w:sz w:val="21"/>
          <w:szCs w:val="21"/>
        </w:rPr>
        <w:t xml:space="preserve">some </w:t>
      </w:r>
      <w:r w:rsidRPr="00FA288E">
        <w:rPr>
          <w:rFonts w:ascii="Calibri" w:hAnsi="Calibri" w:cs="Calibri"/>
          <w:sz w:val="21"/>
          <w:szCs w:val="21"/>
        </w:rPr>
        <w:t xml:space="preserve">evidence </w:t>
      </w:r>
      <w:r w:rsidR="004A16BB" w:rsidRPr="00FA288E">
        <w:rPr>
          <w:rFonts w:ascii="Calibri" w:hAnsi="Calibri" w:cs="Calibri"/>
          <w:sz w:val="21"/>
          <w:szCs w:val="21"/>
        </w:rPr>
        <w:t>of improvements in literacy</w:t>
      </w:r>
      <w:r w:rsidR="00AF4CB4" w:rsidRPr="00FA288E">
        <w:rPr>
          <w:rFonts w:ascii="Calibri" w:hAnsi="Calibri" w:cs="Calibri"/>
          <w:sz w:val="21"/>
          <w:szCs w:val="21"/>
        </w:rPr>
        <w:t xml:space="preserve"> and numeracy</w:t>
      </w:r>
      <w:r w:rsidR="00B07321" w:rsidRPr="00FA288E">
        <w:rPr>
          <w:rFonts w:ascii="Calibri" w:hAnsi="Calibri" w:cs="Calibri"/>
          <w:sz w:val="21"/>
          <w:szCs w:val="21"/>
        </w:rPr>
        <w:t xml:space="preserve">, </w:t>
      </w:r>
      <w:r w:rsidR="00AE7BBF" w:rsidRPr="00FA288E">
        <w:rPr>
          <w:rFonts w:ascii="Calibri" w:hAnsi="Calibri" w:cs="Calibri"/>
          <w:sz w:val="21"/>
          <w:szCs w:val="21"/>
        </w:rPr>
        <w:t xml:space="preserve">particularly </w:t>
      </w:r>
      <w:r w:rsidR="008647A6" w:rsidRPr="00FA288E">
        <w:rPr>
          <w:rFonts w:ascii="Calibri" w:hAnsi="Calibri" w:cs="Calibri"/>
          <w:sz w:val="21"/>
          <w:szCs w:val="21"/>
        </w:rPr>
        <w:t>in female students (RISE) and in</w:t>
      </w:r>
      <w:r w:rsidR="00B206F9" w:rsidRPr="00FA288E">
        <w:rPr>
          <w:rFonts w:ascii="Calibri" w:hAnsi="Calibri" w:cs="Calibri"/>
          <w:sz w:val="21"/>
          <w:szCs w:val="21"/>
        </w:rPr>
        <w:t xml:space="preserve"> higher</w:t>
      </w:r>
      <w:r w:rsidR="00255800" w:rsidRPr="00FA288E">
        <w:rPr>
          <w:rFonts w:ascii="Calibri" w:hAnsi="Calibri" w:cs="Calibri"/>
          <w:sz w:val="21"/>
          <w:szCs w:val="21"/>
        </w:rPr>
        <w:t xml:space="preserve"> levels of</w:t>
      </w:r>
      <w:r w:rsidR="00B206F9" w:rsidRPr="00FA288E">
        <w:rPr>
          <w:rFonts w:ascii="Calibri" w:hAnsi="Calibri" w:cs="Calibri"/>
          <w:sz w:val="21"/>
          <w:szCs w:val="21"/>
        </w:rPr>
        <w:t xml:space="preserve"> English and </w:t>
      </w:r>
      <w:r w:rsidR="00C70A5C" w:rsidRPr="00FA288E">
        <w:rPr>
          <w:rFonts w:ascii="Calibri" w:hAnsi="Calibri" w:cs="Calibri"/>
          <w:sz w:val="21"/>
          <w:szCs w:val="21"/>
        </w:rPr>
        <w:t>Tok Pisin</w:t>
      </w:r>
      <w:r w:rsidR="00B206F9" w:rsidRPr="00FA288E">
        <w:rPr>
          <w:rFonts w:ascii="Calibri" w:hAnsi="Calibri" w:cs="Calibri"/>
          <w:sz w:val="21"/>
          <w:szCs w:val="21"/>
        </w:rPr>
        <w:t xml:space="preserve"> reading </w:t>
      </w:r>
      <w:r w:rsidR="00C70A5C" w:rsidRPr="00FA288E">
        <w:rPr>
          <w:rFonts w:ascii="Calibri" w:hAnsi="Calibri" w:cs="Calibri"/>
          <w:sz w:val="21"/>
          <w:szCs w:val="21"/>
        </w:rPr>
        <w:t>comprehension</w:t>
      </w:r>
      <w:r w:rsidR="004B710C" w:rsidRPr="00FA288E">
        <w:rPr>
          <w:rFonts w:ascii="Calibri" w:hAnsi="Calibri" w:cs="Calibri"/>
          <w:sz w:val="21"/>
          <w:szCs w:val="21"/>
        </w:rPr>
        <w:t xml:space="preserve"> and </w:t>
      </w:r>
      <w:r w:rsidR="00255800" w:rsidRPr="00FA288E">
        <w:rPr>
          <w:rFonts w:ascii="Calibri" w:hAnsi="Calibri" w:cs="Calibri"/>
          <w:sz w:val="21"/>
          <w:szCs w:val="21"/>
        </w:rPr>
        <w:t xml:space="preserve">answering </w:t>
      </w:r>
      <w:r w:rsidR="004B710C" w:rsidRPr="00FA288E">
        <w:rPr>
          <w:rFonts w:ascii="Calibri" w:hAnsi="Calibri" w:cs="Calibri"/>
          <w:sz w:val="21"/>
          <w:szCs w:val="21"/>
        </w:rPr>
        <w:t>numeracy word problems</w:t>
      </w:r>
      <w:r w:rsidR="00C70A5C" w:rsidRPr="00FA288E">
        <w:rPr>
          <w:rFonts w:ascii="Calibri" w:hAnsi="Calibri" w:cs="Calibri"/>
          <w:sz w:val="21"/>
          <w:szCs w:val="21"/>
        </w:rPr>
        <w:t xml:space="preserve"> (</w:t>
      </w:r>
      <w:r w:rsidR="004B710C" w:rsidRPr="00FA288E">
        <w:rPr>
          <w:rFonts w:ascii="Calibri" w:hAnsi="Calibri" w:cs="Calibri"/>
          <w:sz w:val="21"/>
          <w:szCs w:val="21"/>
        </w:rPr>
        <w:t>T4E).</w:t>
      </w:r>
      <w:r w:rsidR="00B206F9" w:rsidRPr="00FA288E">
        <w:rPr>
          <w:rFonts w:ascii="Calibri" w:hAnsi="Calibri" w:cs="Calibri"/>
          <w:sz w:val="21"/>
          <w:szCs w:val="21"/>
        </w:rPr>
        <w:t xml:space="preserve"> </w:t>
      </w:r>
    </w:p>
    <w:p w14:paraId="320CABFB" w14:textId="2D41318D" w:rsidR="00B07E0E" w:rsidRPr="00FA288E" w:rsidRDefault="00B07E0E" w:rsidP="00C56E61">
      <w:pPr>
        <w:pStyle w:val="Bullets"/>
        <w:numPr>
          <w:ilvl w:val="0"/>
          <w:numId w:val="0"/>
        </w:numPr>
        <w:spacing w:after="80" w:line="240" w:lineRule="auto"/>
        <w:jc w:val="both"/>
        <w:rPr>
          <w:rFonts w:ascii="Calibri" w:hAnsi="Calibri" w:cs="Calibri"/>
          <w:sz w:val="21"/>
          <w:szCs w:val="21"/>
        </w:rPr>
      </w:pPr>
      <w:r w:rsidRPr="00FA288E">
        <w:rPr>
          <w:rFonts w:ascii="Calibri" w:hAnsi="Calibri" w:cs="Calibri"/>
          <w:sz w:val="21"/>
          <w:szCs w:val="21"/>
        </w:rPr>
        <w:t>The external midline evaluation reports for RISE and T4E provide information on progress towards improving literacy and numeracy</w:t>
      </w:r>
      <w:r w:rsidR="009F57D5" w:rsidRPr="00FA288E">
        <w:rPr>
          <w:rFonts w:ascii="Calibri" w:hAnsi="Calibri" w:cs="Calibri"/>
          <w:sz w:val="21"/>
          <w:szCs w:val="21"/>
        </w:rPr>
        <w:t xml:space="preserve"> comparing control and intervention schools</w:t>
      </w:r>
      <w:r w:rsidR="00255800" w:rsidRPr="00FA288E">
        <w:rPr>
          <w:rFonts w:ascii="Calibri" w:hAnsi="Calibri" w:cs="Calibri"/>
          <w:sz w:val="21"/>
          <w:szCs w:val="21"/>
        </w:rPr>
        <w:t xml:space="preserve"> </w:t>
      </w:r>
      <w:r w:rsidR="001A59C8" w:rsidRPr="00FA288E">
        <w:rPr>
          <w:rFonts w:ascii="Calibri" w:hAnsi="Calibri" w:cs="Calibri"/>
          <w:sz w:val="21"/>
          <w:szCs w:val="21"/>
        </w:rPr>
        <w:t>with</w:t>
      </w:r>
      <w:r w:rsidR="00B676DC" w:rsidRPr="00FA288E">
        <w:rPr>
          <w:rFonts w:ascii="Calibri" w:hAnsi="Calibri" w:cs="Calibri"/>
          <w:sz w:val="21"/>
          <w:szCs w:val="21"/>
        </w:rPr>
        <w:t xml:space="preserve"> key findings summarised in Table 1. </w:t>
      </w:r>
      <w:r w:rsidR="009F57D5" w:rsidRPr="00FA288E">
        <w:rPr>
          <w:rStyle w:val="FootnoteReference"/>
          <w:rFonts w:ascii="Calibri" w:hAnsi="Calibri" w:cs="Calibri"/>
          <w:sz w:val="21"/>
          <w:szCs w:val="21"/>
        </w:rPr>
        <w:footnoteReference w:id="22"/>
      </w:r>
      <w:r w:rsidRPr="00FA288E">
        <w:rPr>
          <w:rFonts w:ascii="Calibri" w:hAnsi="Calibri" w:cs="Calibri"/>
          <w:sz w:val="21"/>
          <w:szCs w:val="21"/>
        </w:rPr>
        <w:t xml:space="preserve"> </w:t>
      </w:r>
    </w:p>
    <w:p w14:paraId="2B2E7CC6" w14:textId="10885043" w:rsidR="00B07E0E" w:rsidRPr="00FA288E" w:rsidRDefault="00B07E0E" w:rsidP="00C56E61">
      <w:pPr>
        <w:pStyle w:val="Caption"/>
        <w:spacing w:before="0" w:after="80" w:line="240" w:lineRule="auto"/>
        <w:ind w:left="0" w:firstLine="0"/>
        <w:rPr>
          <w:rFonts w:cs="Calibri"/>
          <w:b w:val="0"/>
          <w:color w:val="auto"/>
          <w:lang w:val="en-AU"/>
        </w:rPr>
      </w:pPr>
      <w:r w:rsidRPr="00FA288E">
        <w:rPr>
          <w:rFonts w:cs="Calibri"/>
          <w:b w:val="0"/>
          <w:color w:val="auto"/>
          <w:lang w:val="en-AU"/>
        </w:rPr>
        <w:t xml:space="preserve">Table </w:t>
      </w:r>
      <w:r w:rsidRPr="00FA288E">
        <w:rPr>
          <w:rFonts w:cs="Calibri"/>
          <w:b w:val="0"/>
          <w:color w:val="auto"/>
          <w:lang w:val="en-AU"/>
        </w:rPr>
        <w:fldChar w:fldCharType="begin"/>
      </w:r>
      <w:r w:rsidRPr="00FA288E">
        <w:rPr>
          <w:rFonts w:cs="Calibri"/>
          <w:b w:val="0"/>
          <w:color w:val="auto"/>
          <w:lang w:val="en-AU"/>
        </w:rPr>
        <w:instrText xml:space="preserve"> SEQ Table \* ARABIC </w:instrText>
      </w:r>
      <w:r w:rsidRPr="00FA288E">
        <w:rPr>
          <w:rFonts w:cs="Calibri"/>
          <w:b w:val="0"/>
          <w:color w:val="auto"/>
          <w:lang w:val="en-AU"/>
        </w:rPr>
        <w:fldChar w:fldCharType="separate"/>
      </w:r>
      <w:r w:rsidR="00C22013">
        <w:rPr>
          <w:rFonts w:cs="Calibri"/>
          <w:b w:val="0"/>
          <w:noProof/>
          <w:color w:val="auto"/>
          <w:lang w:val="en-AU"/>
        </w:rPr>
        <w:t>1</w:t>
      </w:r>
      <w:r w:rsidRPr="00FA288E">
        <w:rPr>
          <w:rFonts w:cs="Calibri"/>
          <w:b w:val="0"/>
          <w:color w:val="auto"/>
          <w:lang w:val="en-AU"/>
        </w:rPr>
        <w:fldChar w:fldCharType="end"/>
      </w:r>
      <w:r w:rsidRPr="00FA288E">
        <w:rPr>
          <w:rFonts w:cs="Calibri"/>
          <w:b w:val="0"/>
          <w:color w:val="auto"/>
          <w:lang w:val="en-AU"/>
        </w:rPr>
        <w:t xml:space="preserve"> Summary of Reported Progress in Literacy and Numeracy</w:t>
      </w:r>
      <w:r w:rsidR="00AE4255" w:rsidRPr="00FA288E">
        <w:rPr>
          <w:rStyle w:val="FootnoteReference"/>
          <w:rFonts w:cs="Calibri"/>
          <w:b w:val="0"/>
          <w:color w:val="auto"/>
          <w:lang w:val="en-AU"/>
        </w:rPr>
        <w:footnoteReference w:id="23"/>
      </w:r>
    </w:p>
    <w:tbl>
      <w:tblPr>
        <w:tblStyle w:val="TableGrid"/>
        <w:tblW w:w="9707" w:type="dxa"/>
        <w:tblInd w:w="0" w:type="dxa"/>
        <w:tblLayout w:type="fixed"/>
        <w:tblLook w:val="04A0" w:firstRow="1" w:lastRow="0" w:firstColumn="1" w:lastColumn="0" w:noHBand="0" w:noVBand="1"/>
        <w:tblCaption w:val="Progress based on Midline Evaluation Reports of RISE and T4E "/>
        <w:tblDescription w:val="RISE Students from the intervention schools reportedly scored 2.56 % higher (57.10 %) than the students in the control schools (54.54 %) in literacy.  However, results overall are not reported to be statistically significant aside from: &#10;4.0 % literacy improvement among female students (44.6 % versus 40.6 % for the control)&#10;Students from the intervention schools scored 2.57 % higher (72.31 %) than the students in the control schools (69.74 %) in numeracy.  However, results overall are not statistically significant aside from:&#10;5.07 % numeracy improvement among female students (72.27 % versus 67.20 % for the control)&#10;T4E Students from the intervention schools reportedly scored 6.96 % higher (59.91 %) than the students in the control schools (52.95 %) in literacy. However, results overall are not reported to be statistically significant aside from:&#10;8.86 % higher English reading comprehension (51.25 % versus 42.39 %)&#10;12.14 % higher Tok Pisin reading comprehension (38.27 % versus 26.63 %)&#10;Students from the intervention schools scored 3.18 % higher (81.39 %) than the students in the control schools (78.21 %) in numeracy. However, results overall are not statistically significant aside from:&#10;5.72 %higher scores on numeracy word problems (71.34 % versus 65.62 %)"/>
      </w:tblPr>
      <w:tblGrid>
        <w:gridCol w:w="840"/>
        <w:gridCol w:w="8867"/>
      </w:tblGrid>
      <w:tr w:rsidR="00B07E0E" w:rsidRPr="00FA288E" w14:paraId="2AC74563" w14:textId="77777777" w:rsidTr="00EA14BA">
        <w:trPr>
          <w:trHeight w:val="300"/>
          <w:tblHeader/>
        </w:trPr>
        <w:tc>
          <w:tcPr>
            <w:tcW w:w="840" w:type="dxa"/>
            <w:shd w:val="clear" w:color="auto" w:fill="262626" w:themeFill="text1" w:themeFillTint="D9"/>
          </w:tcPr>
          <w:p w14:paraId="31758170" w14:textId="77777777" w:rsidR="00B07E0E" w:rsidRPr="00FA288E" w:rsidRDefault="00B07E0E" w:rsidP="00C56E61">
            <w:pPr>
              <w:pStyle w:val="Bullets"/>
              <w:numPr>
                <w:ilvl w:val="0"/>
                <w:numId w:val="0"/>
              </w:numPr>
              <w:spacing w:after="80"/>
              <w:jc w:val="center"/>
              <w:rPr>
                <w:rFonts w:ascii="Calibri" w:hAnsi="Calibri" w:cs="Calibri"/>
                <w:szCs w:val="20"/>
                <w:lang w:val="en-AU"/>
              </w:rPr>
            </w:pPr>
            <w:r w:rsidRPr="00FA288E">
              <w:rPr>
                <w:rFonts w:ascii="Calibri" w:hAnsi="Calibri" w:cs="Calibri"/>
                <w:szCs w:val="20"/>
                <w:lang w:val="en-AU"/>
              </w:rPr>
              <w:t>Project</w:t>
            </w:r>
          </w:p>
        </w:tc>
        <w:tc>
          <w:tcPr>
            <w:tcW w:w="8867" w:type="dxa"/>
            <w:shd w:val="clear" w:color="auto" w:fill="262626" w:themeFill="text1" w:themeFillTint="D9"/>
          </w:tcPr>
          <w:p w14:paraId="03F3606F" w14:textId="77777777" w:rsidR="00B07E0E" w:rsidRPr="00FA288E" w:rsidRDefault="00B07E0E" w:rsidP="00C56E61">
            <w:pPr>
              <w:pStyle w:val="Bullets"/>
              <w:numPr>
                <w:ilvl w:val="0"/>
                <w:numId w:val="0"/>
              </w:numPr>
              <w:spacing w:after="80"/>
              <w:jc w:val="center"/>
              <w:rPr>
                <w:rFonts w:ascii="Calibri" w:hAnsi="Calibri" w:cs="Calibri"/>
                <w:szCs w:val="20"/>
                <w:lang w:val="en-AU"/>
              </w:rPr>
            </w:pPr>
            <w:r w:rsidRPr="00FA288E">
              <w:rPr>
                <w:rFonts w:ascii="Calibri" w:hAnsi="Calibri" w:cs="Calibri"/>
                <w:szCs w:val="20"/>
                <w:lang w:val="en-AU"/>
              </w:rPr>
              <w:t>Progress based on Midline Evaluation</w:t>
            </w:r>
            <w:r w:rsidR="005D0515" w:rsidRPr="00FA288E">
              <w:rPr>
                <w:rFonts w:ascii="Calibri" w:hAnsi="Calibri" w:cs="Calibri"/>
                <w:szCs w:val="20"/>
                <w:lang w:val="en-AU"/>
              </w:rPr>
              <w:t xml:space="preserve"> Reports</w:t>
            </w:r>
            <w:r w:rsidRPr="00FA288E">
              <w:rPr>
                <w:rFonts w:ascii="Calibri" w:hAnsi="Calibri" w:cs="Calibri"/>
                <w:szCs w:val="20"/>
                <w:lang w:val="en-AU"/>
              </w:rPr>
              <w:t xml:space="preserve"> of </w:t>
            </w:r>
            <w:r w:rsidR="00FA22B6" w:rsidRPr="00FA288E">
              <w:rPr>
                <w:rFonts w:ascii="Calibri" w:hAnsi="Calibri" w:cs="Calibri"/>
                <w:szCs w:val="20"/>
                <w:lang w:val="en-AU"/>
              </w:rPr>
              <w:t>RISE and T4E</w:t>
            </w:r>
            <w:r w:rsidR="00A22822" w:rsidRPr="00FA288E">
              <w:rPr>
                <w:rStyle w:val="FootnoteReference"/>
                <w:rFonts w:ascii="Calibri" w:hAnsi="Calibri" w:cs="Calibri"/>
                <w:szCs w:val="20"/>
                <w:lang w:val="en-AU"/>
              </w:rPr>
              <w:footnoteReference w:id="24"/>
            </w:r>
          </w:p>
        </w:tc>
      </w:tr>
      <w:tr w:rsidR="00B07E0E" w:rsidRPr="00FA288E" w14:paraId="055DD957" w14:textId="77777777" w:rsidTr="00AE4255">
        <w:trPr>
          <w:trHeight w:val="1484"/>
        </w:trPr>
        <w:tc>
          <w:tcPr>
            <w:tcW w:w="840" w:type="dxa"/>
            <w:shd w:val="clear" w:color="auto" w:fill="262626" w:themeFill="text1" w:themeFillTint="D9"/>
          </w:tcPr>
          <w:p w14:paraId="39BDB03F" w14:textId="77777777" w:rsidR="00B07E0E" w:rsidRPr="00FA288E" w:rsidRDefault="00B07E0E" w:rsidP="00C56E61">
            <w:pPr>
              <w:pStyle w:val="Bullets"/>
              <w:numPr>
                <w:ilvl w:val="0"/>
                <w:numId w:val="0"/>
              </w:numPr>
              <w:spacing w:after="80"/>
              <w:ind w:left="153"/>
              <w:rPr>
                <w:rFonts w:ascii="Calibri" w:hAnsi="Calibri" w:cs="Calibri"/>
                <w:szCs w:val="20"/>
                <w:lang w:val="en-AU"/>
              </w:rPr>
            </w:pPr>
            <w:r w:rsidRPr="00FA288E">
              <w:rPr>
                <w:rFonts w:ascii="Calibri" w:hAnsi="Calibri" w:cs="Calibri"/>
                <w:szCs w:val="20"/>
                <w:lang w:val="en-AU"/>
              </w:rPr>
              <w:t>RISE</w:t>
            </w:r>
          </w:p>
        </w:tc>
        <w:tc>
          <w:tcPr>
            <w:tcW w:w="8867" w:type="dxa"/>
          </w:tcPr>
          <w:p w14:paraId="3D1F2D17" w14:textId="77777777" w:rsidR="00B07E0E" w:rsidRPr="00FA288E" w:rsidRDefault="00B07E0E" w:rsidP="00C56E61">
            <w:pPr>
              <w:pStyle w:val="Bullets"/>
              <w:numPr>
                <w:ilvl w:val="0"/>
                <w:numId w:val="0"/>
              </w:numPr>
              <w:spacing w:after="0"/>
              <w:rPr>
                <w:rFonts w:ascii="Calibri" w:hAnsi="Calibri" w:cs="Calibri"/>
                <w:szCs w:val="20"/>
                <w:lang w:val="en-AU"/>
              </w:rPr>
            </w:pPr>
            <w:r w:rsidRPr="00FA288E">
              <w:rPr>
                <w:rFonts w:ascii="Calibri" w:hAnsi="Calibri" w:cs="Calibri"/>
                <w:szCs w:val="20"/>
                <w:lang w:val="en-AU"/>
              </w:rPr>
              <w:t xml:space="preserve">Students from the intervention schools </w:t>
            </w:r>
            <w:r w:rsidR="001D5D74" w:rsidRPr="00FA288E">
              <w:rPr>
                <w:rFonts w:ascii="Calibri" w:hAnsi="Calibri" w:cs="Calibri"/>
                <w:szCs w:val="20"/>
                <w:lang w:val="en-AU"/>
              </w:rPr>
              <w:t xml:space="preserve">reportedly </w:t>
            </w:r>
            <w:r w:rsidRPr="00FA288E">
              <w:rPr>
                <w:rFonts w:ascii="Calibri" w:hAnsi="Calibri" w:cs="Calibri"/>
                <w:szCs w:val="20"/>
                <w:lang w:val="en-AU"/>
              </w:rPr>
              <w:t xml:space="preserve">scored </w:t>
            </w:r>
            <w:r w:rsidR="00A0018A" w:rsidRPr="00FA288E">
              <w:rPr>
                <w:rFonts w:ascii="Calibri" w:hAnsi="Calibri" w:cs="Calibri"/>
                <w:szCs w:val="20"/>
                <w:lang w:val="en-AU"/>
              </w:rPr>
              <w:t>2.56 %</w:t>
            </w:r>
            <w:r w:rsidRPr="00FA288E">
              <w:rPr>
                <w:rFonts w:ascii="Calibri" w:hAnsi="Calibri" w:cs="Calibri"/>
                <w:szCs w:val="20"/>
                <w:lang w:val="en-AU"/>
              </w:rPr>
              <w:t xml:space="preserve"> higher </w:t>
            </w:r>
            <w:r w:rsidR="00A0018A" w:rsidRPr="00FA288E">
              <w:rPr>
                <w:rFonts w:ascii="Calibri" w:hAnsi="Calibri" w:cs="Calibri"/>
                <w:szCs w:val="20"/>
                <w:lang w:val="en-AU"/>
              </w:rPr>
              <w:t xml:space="preserve">(57.10 %) </w:t>
            </w:r>
            <w:r w:rsidRPr="00FA288E">
              <w:rPr>
                <w:rFonts w:ascii="Calibri" w:hAnsi="Calibri" w:cs="Calibri"/>
                <w:szCs w:val="20"/>
                <w:lang w:val="en-AU"/>
              </w:rPr>
              <w:t xml:space="preserve">than the students in the control </w:t>
            </w:r>
            <w:r w:rsidR="00A0018A" w:rsidRPr="00FA288E">
              <w:rPr>
                <w:rFonts w:ascii="Calibri" w:hAnsi="Calibri" w:cs="Calibri"/>
                <w:szCs w:val="20"/>
                <w:lang w:val="en-AU"/>
              </w:rPr>
              <w:t>schools (54.54 %) in</w:t>
            </w:r>
            <w:r w:rsidRPr="00FA288E">
              <w:rPr>
                <w:rFonts w:ascii="Calibri" w:hAnsi="Calibri" w:cs="Calibri"/>
                <w:szCs w:val="20"/>
                <w:lang w:val="en-AU"/>
              </w:rPr>
              <w:t xml:space="preserve"> literacy.</w:t>
            </w:r>
            <w:r w:rsidR="007046C4" w:rsidRPr="00FA288E">
              <w:rPr>
                <w:rStyle w:val="FootnoteReference"/>
                <w:rFonts w:ascii="Calibri" w:hAnsi="Calibri" w:cs="Calibri"/>
                <w:szCs w:val="20"/>
                <w:lang w:val="en-AU"/>
              </w:rPr>
              <w:footnoteReference w:id="25"/>
            </w:r>
            <w:r w:rsidRPr="00FA288E">
              <w:rPr>
                <w:rFonts w:ascii="Calibri" w:hAnsi="Calibri" w:cs="Calibri"/>
                <w:szCs w:val="20"/>
                <w:lang w:val="en-AU"/>
              </w:rPr>
              <w:t xml:space="preserve"> </w:t>
            </w:r>
            <w:r w:rsidR="00A0018A" w:rsidRPr="00FA288E">
              <w:rPr>
                <w:rFonts w:ascii="Calibri" w:hAnsi="Calibri" w:cs="Calibri"/>
                <w:szCs w:val="20"/>
                <w:lang w:val="en-AU"/>
              </w:rPr>
              <w:t>However, r</w:t>
            </w:r>
            <w:r w:rsidRPr="00FA288E">
              <w:rPr>
                <w:rFonts w:ascii="Calibri" w:hAnsi="Calibri" w:cs="Calibri"/>
                <w:szCs w:val="20"/>
                <w:lang w:val="en-AU"/>
              </w:rPr>
              <w:t xml:space="preserve">esults overall </w:t>
            </w:r>
            <w:r w:rsidR="00A0018A" w:rsidRPr="00FA288E">
              <w:rPr>
                <w:rFonts w:ascii="Calibri" w:hAnsi="Calibri" w:cs="Calibri"/>
                <w:szCs w:val="20"/>
                <w:lang w:val="en-AU"/>
              </w:rPr>
              <w:t xml:space="preserve">are not </w:t>
            </w:r>
            <w:r w:rsidR="001D5D74" w:rsidRPr="00FA288E">
              <w:rPr>
                <w:rFonts w:ascii="Calibri" w:hAnsi="Calibri" w:cs="Calibri"/>
                <w:szCs w:val="20"/>
                <w:lang w:val="en-AU"/>
              </w:rPr>
              <w:t xml:space="preserve">reported to be </w:t>
            </w:r>
            <w:r w:rsidRPr="00FA288E">
              <w:rPr>
                <w:rFonts w:ascii="Calibri" w:hAnsi="Calibri" w:cs="Calibri"/>
                <w:szCs w:val="20"/>
                <w:lang w:val="en-AU"/>
              </w:rPr>
              <w:t>statistically significant aside from:</w:t>
            </w:r>
            <w:r w:rsidR="005376E7" w:rsidRPr="00FA288E">
              <w:rPr>
                <w:rStyle w:val="FootnoteReference"/>
                <w:rFonts w:ascii="Calibri" w:hAnsi="Calibri" w:cs="Calibri"/>
                <w:szCs w:val="20"/>
                <w:lang w:val="en-AU"/>
              </w:rPr>
              <w:footnoteReference w:id="26"/>
            </w:r>
          </w:p>
          <w:p w14:paraId="70119AC7" w14:textId="77777777" w:rsidR="00B07E0E" w:rsidRPr="00FA288E" w:rsidRDefault="00484545" w:rsidP="005C700B">
            <w:pPr>
              <w:pStyle w:val="Bullets"/>
              <w:numPr>
                <w:ilvl w:val="0"/>
                <w:numId w:val="26"/>
              </w:numPr>
              <w:spacing w:after="0"/>
              <w:rPr>
                <w:rFonts w:ascii="Calibri" w:hAnsi="Calibri" w:cs="Calibri"/>
                <w:szCs w:val="20"/>
                <w:lang w:val="en-AU"/>
              </w:rPr>
            </w:pPr>
            <w:r w:rsidRPr="00FA288E">
              <w:rPr>
                <w:rFonts w:ascii="Calibri" w:hAnsi="Calibri" w:cs="Calibri"/>
                <w:szCs w:val="20"/>
                <w:lang w:val="en-AU"/>
              </w:rPr>
              <w:t>4.0 % l</w:t>
            </w:r>
            <w:r w:rsidR="00B07E0E" w:rsidRPr="00FA288E">
              <w:rPr>
                <w:rFonts w:ascii="Calibri" w:hAnsi="Calibri" w:cs="Calibri"/>
                <w:szCs w:val="20"/>
                <w:lang w:val="en-AU"/>
              </w:rPr>
              <w:t xml:space="preserve">iteracy improvement among female students </w:t>
            </w:r>
            <w:r w:rsidRPr="00FA288E">
              <w:rPr>
                <w:rFonts w:ascii="Calibri" w:hAnsi="Calibri" w:cs="Calibri"/>
                <w:szCs w:val="20"/>
                <w:lang w:val="en-AU"/>
              </w:rPr>
              <w:t>(44.6 % versus 40.6 % for the control)</w:t>
            </w:r>
          </w:p>
          <w:p w14:paraId="6E6BB2CF" w14:textId="77777777" w:rsidR="00484545" w:rsidRPr="00FA288E" w:rsidRDefault="00484545" w:rsidP="00C56E61">
            <w:pPr>
              <w:rPr>
                <w:rFonts w:eastAsiaTheme="minorHAnsi" w:cs="Calibri"/>
                <w:sz w:val="20"/>
                <w:szCs w:val="20"/>
                <w:lang w:val="en-AU"/>
              </w:rPr>
            </w:pPr>
            <w:r w:rsidRPr="00FA288E">
              <w:rPr>
                <w:rFonts w:eastAsiaTheme="minorHAnsi" w:cs="Calibri"/>
                <w:sz w:val="20"/>
                <w:szCs w:val="20"/>
                <w:lang w:val="en-AU"/>
              </w:rPr>
              <w:t>Students from the intervention schools scored 2.5</w:t>
            </w:r>
            <w:r w:rsidR="00C56E61" w:rsidRPr="00FA288E">
              <w:rPr>
                <w:rFonts w:eastAsiaTheme="minorHAnsi" w:cs="Calibri"/>
                <w:sz w:val="20"/>
                <w:szCs w:val="20"/>
                <w:lang w:val="en-AU"/>
              </w:rPr>
              <w:t>7</w:t>
            </w:r>
            <w:r w:rsidRPr="00FA288E">
              <w:rPr>
                <w:rFonts w:eastAsiaTheme="minorHAnsi" w:cs="Calibri"/>
                <w:sz w:val="20"/>
                <w:szCs w:val="20"/>
                <w:lang w:val="en-AU"/>
              </w:rPr>
              <w:t xml:space="preserve"> % higher (</w:t>
            </w:r>
            <w:r w:rsidR="00C56E61" w:rsidRPr="00FA288E">
              <w:rPr>
                <w:rFonts w:eastAsiaTheme="minorHAnsi" w:cs="Calibri"/>
                <w:sz w:val="20"/>
                <w:szCs w:val="20"/>
                <w:lang w:val="en-AU"/>
              </w:rPr>
              <w:t>72.31</w:t>
            </w:r>
            <w:r w:rsidRPr="00FA288E">
              <w:rPr>
                <w:rFonts w:eastAsiaTheme="minorHAnsi" w:cs="Calibri"/>
                <w:sz w:val="20"/>
                <w:szCs w:val="20"/>
                <w:lang w:val="en-AU"/>
              </w:rPr>
              <w:t xml:space="preserve"> %) than the students in the control schools (</w:t>
            </w:r>
            <w:r w:rsidR="00C56E61" w:rsidRPr="00FA288E">
              <w:rPr>
                <w:rFonts w:eastAsiaTheme="minorHAnsi" w:cs="Calibri"/>
                <w:sz w:val="20"/>
                <w:szCs w:val="20"/>
                <w:lang w:val="en-AU"/>
              </w:rPr>
              <w:t>69.74</w:t>
            </w:r>
            <w:r w:rsidRPr="00FA288E">
              <w:rPr>
                <w:rFonts w:eastAsiaTheme="minorHAnsi" w:cs="Calibri"/>
                <w:sz w:val="20"/>
                <w:szCs w:val="20"/>
                <w:lang w:val="en-AU"/>
              </w:rPr>
              <w:t xml:space="preserve"> %) in numeracy.</w:t>
            </w:r>
            <w:r w:rsidR="00C56E61" w:rsidRPr="00FA288E">
              <w:rPr>
                <w:rStyle w:val="FootnoteReference"/>
                <w:rFonts w:eastAsiaTheme="minorHAnsi" w:cs="Calibri"/>
                <w:sz w:val="20"/>
                <w:szCs w:val="20"/>
                <w:lang w:val="en-AU"/>
              </w:rPr>
              <w:footnoteReference w:id="27"/>
            </w:r>
            <w:r w:rsidRPr="00FA288E">
              <w:rPr>
                <w:rFonts w:eastAsiaTheme="minorHAnsi" w:cs="Calibri"/>
                <w:sz w:val="20"/>
                <w:szCs w:val="20"/>
                <w:lang w:val="en-AU"/>
              </w:rPr>
              <w:t xml:space="preserve"> However, results overall are not statistically significant aside from:</w:t>
            </w:r>
          </w:p>
          <w:p w14:paraId="34B7AC68" w14:textId="77777777" w:rsidR="00B07E0E" w:rsidRPr="00FA288E" w:rsidRDefault="00484545" w:rsidP="005C700B">
            <w:pPr>
              <w:pStyle w:val="Bullets"/>
              <w:numPr>
                <w:ilvl w:val="0"/>
                <w:numId w:val="26"/>
              </w:numPr>
              <w:spacing w:after="0"/>
              <w:rPr>
                <w:rFonts w:ascii="Calibri" w:hAnsi="Calibri" w:cs="Calibri"/>
                <w:szCs w:val="20"/>
                <w:lang w:val="en-AU"/>
              </w:rPr>
            </w:pPr>
            <w:r w:rsidRPr="00FA288E">
              <w:rPr>
                <w:rFonts w:ascii="Calibri" w:hAnsi="Calibri" w:cs="Calibri"/>
                <w:szCs w:val="20"/>
                <w:lang w:val="en-AU"/>
              </w:rPr>
              <w:t>5.07 % numeracy improvement among female students (72.27 % versus 67.20 % for the control)</w:t>
            </w:r>
          </w:p>
        </w:tc>
      </w:tr>
      <w:tr w:rsidR="00B07E0E" w:rsidRPr="00FA288E" w14:paraId="088A9896" w14:textId="77777777" w:rsidTr="00F906A1">
        <w:trPr>
          <w:trHeight w:val="274"/>
        </w:trPr>
        <w:tc>
          <w:tcPr>
            <w:tcW w:w="840" w:type="dxa"/>
            <w:shd w:val="clear" w:color="auto" w:fill="262626" w:themeFill="text1" w:themeFillTint="D9"/>
          </w:tcPr>
          <w:p w14:paraId="7C67A3FC" w14:textId="77777777" w:rsidR="00B07E0E" w:rsidRPr="00FA288E" w:rsidRDefault="00B07E0E" w:rsidP="00C56E61">
            <w:pPr>
              <w:pStyle w:val="Bullets"/>
              <w:numPr>
                <w:ilvl w:val="0"/>
                <w:numId w:val="0"/>
              </w:numPr>
              <w:spacing w:after="80"/>
              <w:ind w:left="153"/>
              <w:rPr>
                <w:rFonts w:ascii="Calibri" w:hAnsi="Calibri" w:cs="Calibri"/>
                <w:szCs w:val="20"/>
                <w:lang w:val="en-AU"/>
              </w:rPr>
            </w:pPr>
            <w:r w:rsidRPr="00FA288E">
              <w:rPr>
                <w:rFonts w:ascii="Calibri" w:hAnsi="Calibri" w:cs="Calibri"/>
                <w:szCs w:val="20"/>
                <w:lang w:val="en-AU"/>
              </w:rPr>
              <w:t>T4E</w:t>
            </w:r>
          </w:p>
        </w:tc>
        <w:tc>
          <w:tcPr>
            <w:tcW w:w="8867" w:type="dxa"/>
          </w:tcPr>
          <w:p w14:paraId="2F0B0265" w14:textId="77777777" w:rsidR="00B07E0E" w:rsidRPr="00FA288E" w:rsidRDefault="00B07E0E" w:rsidP="00C56E61">
            <w:pPr>
              <w:pStyle w:val="Bullets"/>
              <w:numPr>
                <w:ilvl w:val="0"/>
                <w:numId w:val="0"/>
              </w:numPr>
              <w:spacing w:after="0"/>
              <w:rPr>
                <w:rFonts w:ascii="Calibri" w:hAnsi="Calibri" w:cs="Calibri"/>
                <w:szCs w:val="20"/>
                <w:lang w:val="en-AU"/>
              </w:rPr>
            </w:pPr>
            <w:r w:rsidRPr="00FA288E">
              <w:rPr>
                <w:rFonts w:ascii="Calibri" w:hAnsi="Calibri" w:cs="Calibri"/>
                <w:szCs w:val="20"/>
                <w:lang w:val="en-AU"/>
              </w:rPr>
              <w:t xml:space="preserve">Students from the intervention schools </w:t>
            </w:r>
            <w:r w:rsidR="001D5D74" w:rsidRPr="00FA288E">
              <w:rPr>
                <w:rFonts w:ascii="Calibri" w:hAnsi="Calibri" w:cs="Calibri"/>
                <w:szCs w:val="20"/>
                <w:lang w:val="en-AU"/>
              </w:rPr>
              <w:t xml:space="preserve">reportedly </w:t>
            </w:r>
            <w:r w:rsidRPr="00FA288E">
              <w:rPr>
                <w:rFonts w:ascii="Calibri" w:hAnsi="Calibri" w:cs="Calibri"/>
                <w:szCs w:val="20"/>
                <w:lang w:val="en-AU"/>
              </w:rPr>
              <w:t xml:space="preserve">scored </w:t>
            </w:r>
            <w:r w:rsidR="005D0515" w:rsidRPr="00FA288E">
              <w:rPr>
                <w:rFonts w:ascii="Calibri" w:hAnsi="Calibri" w:cs="Calibri"/>
                <w:szCs w:val="20"/>
                <w:lang w:val="en-AU"/>
              </w:rPr>
              <w:t xml:space="preserve">6.96 % </w:t>
            </w:r>
            <w:r w:rsidRPr="00FA288E">
              <w:rPr>
                <w:rFonts w:ascii="Calibri" w:hAnsi="Calibri" w:cs="Calibri"/>
                <w:szCs w:val="20"/>
                <w:lang w:val="en-AU"/>
              </w:rPr>
              <w:t xml:space="preserve">higher </w:t>
            </w:r>
            <w:r w:rsidR="005D0515" w:rsidRPr="00FA288E">
              <w:rPr>
                <w:rFonts w:ascii="Calibri" w:hAnsi="Calibri" w:cs="Calibri"/>
                <w:szCs w:val="20"/>
                <w:lang w:val="en-AU"/>
              </w:rPr>
              <w:t>(59.91</w:t>
            </w:r>
            <w:r w:rsidR="00C850A5" w:rsidRPr="00FA288E">
              <w:rPr>
                <w:rFonts w:ascii="Calibri" w:hAnsi="Calibri" w:cs="Calibri"/>
                <w:szCs w:val="20"/>
                <w:lang w:val="en-AU"/>
              </w:rPr>
              <w:t xml:space="preserve"> </w:t>
            </w:r>
            <w:r w:rsidR="005D0515" w:rsidRPr="00FA288E">
              <w:rPr>
                <w:rFonts w:ascii="Calibri" w:hAnsi="Calibri" w:cs="Calibri"/>
                <w:szCs w:val="20"/>
                <w:lang w:val="en-AU"/>
              </w:rPr>
              <w:t>%)</w:t>
            </w:r>
            <w:r w:rsidRPr="00FA288E">
              <w:rPr>
                <w:rFonts w:ascii="Calibri" w:hAnsi="Calibri" w:cs="Calibri"/>
                <w:szCs w:val="20"/>
                <w:lang w:val="en-AU"/>
              </w:rPr>
              <w:t xml:space="preserve"> than the students in the control </w:t>
            </w:r>
            <w:r w:rsidR="005D0515" w:rsidRPr="00FA288E">
              <w:rPr>
                <w:rFonts w:ascii="Calibri" w:hAnsi="Calibri" w:cs="Calibri"/>
                <w:szCs w:val="20"/>
                <w:lang w:val="en-AU"/>
              </w:rPr>
              <w:t>schools (52.95</w:t>
            </w:r>
            <w:r w:rsidR="00C850A5" w:rsidRPr="00FA288E">
              <w:rPr>
                <w:rFonts w:ascii="Calibri" w:hAnsi="Calibri" w:cs="Calibri"/>
                <w:szCs w:val="20"/>
                <w:lang w:val="en-AU"/>
              </w:rPr>
              <w:t xml:space="preserve"> </w:t>
            </w:r>
            <w:r w:rsidR="005D0515" w:rsidRPr="00FA288E">
              <w:rPr>
                <w:rFonts w:ascii="Calibri" w:hAnsi="Calibri" w:cs="Calibri"/>
                <w:szCs w:val="20"/>
                <w:lang w:val="en-AU"/>
              </w:rPr>
              <w:t>%)</w:t>
            </w:r>
            <w:r w:rsidR="00C850A5" w:rsidRPr="00FA288E">
              <w:rPr>
                <w:rFonts w:ascii="Calibri" w:hAnsi="Calibri" w:cs="Calibri"/>
                <w:szCs w:val="20"/>
                <w:lang w:val="en-AU"/>
              </w:rPr>
              <w:t xml:space="preserve"> in literacy</w:t>
            </w:r>
            <w:r w:rsidRPr="00FA288E">
              <w:rPr>
                <w:rFonts w:ascii="Calibri" w:hAnsi="Calibri" w:cs="Calibri"/>
                <w:szCs w:val="20"/>
                <w:lang w:val="en-AU"/>
              </w:rPr>
              <w:t xml:space="preserve">. </w:t>
            </w:r>
            <w:r w:rsidR="005D0515" w:rsidRPr="00FA288E">
              <w:rPr>
                <w:rFonts w:ascii="Calibri" w:hAnsi="Calibri" w:cs="Calibri"/>
                <w:szCs w:val="20"/>
                <w:lang w:val="en-AU"/>
              </w:rPr>
              <w:t>However, r</w:t>
            </w:r>
            <w:r w:rsidRPr="00FA288E">
              <w:rPr>
                <w:rFonts w:ascii="Calibri" w:hAnsi="Calibri" w:cs="Calibri"/>
                <w:szCs w:val="20"/>
                <w:lang w:val="en-AU"/>
              </w:rPr>
              <w:t xml:space="preserve">esults overall </w:t>
            </w:r>
            <w:r w:rsidR="005D0515" w:rsidRPr="00FA288E">
              <w:rPr>
                <w:rFonts w:ascii="Calibri" w:hAnsi="Calibri" w:cs="Calibri"/>
                <w:szCs w:val="20"/>
                <w:lang w:val="en-AU"/>
              </w:rPr>
              <w:t>are not</w:t>
            </w:r>
            <w:r w:rsidRPr="00FA288E">
              <w:rPr>
                <w:rFonts w:ascii="Calibri" w:hAnsi="Calibri" w:cs="Calibri"/>
                <w:szCs w:val="20"/>
                <w:lang w:val="en-AU"/>
              </w:rPr>
              <w:t xml:space="preserve"> </w:t>
            </w:r>
            <w:r w:rsidR="001D5D74" w:rsidRPr="00FA288E">
              <w:rPr>
                <w:rFonts w:ascii="Calibri" w:hAnsi="Calibri" w:cs="Calibri"/>
                <w:szCs w:val="20"/>
                <w:lang w:val="en-AU"/>
              </w:rPr>
              <w:t xml:space="preserve">reported to be </w:t>
            </w:r>
            <w:r w:rsidRPr="00FA288E">
              <w:rPr>
                <w:rFonts w:ascii="Calibri" w:hAnsi="Calibri" w:cs="Calibri"/>
                <w:szCs w:val="20"/>
                <w:lang w:val="en-AU"/>
              </w:rPr>
              <w:t>statistically significant aside from:</w:t>
            </w:r>
          </w:p>
          <w:p w14:paraId="54679C4E" w14:textId="77777777" w:rsidR="005D0515" w:rsidRPr="00FA288E" w:rsidRDefault="005D0515" w:rsidP="005C700B">
            <w:pPr>
              <w:pStyle w:val="Bullets"/>
              <w:numPr>
                <w:ilvl w:val="0"/>
                <w:numId w:val="27"/>
              </w:numPr>
              <w:spacing w:after="0"/>
              <w:rPr>
                <w:rFonts w:ascii="Calibri" w:hAnsi="Calibri" w:cs="Calibri"/>
                <w:szCs w:val="20"/>
                <w:lang w:val="en-AU"/>
              </w:rPr>
            </w:pPr>
            <w:r w:rsidRPr="00FA288E">
              <w:rPr>
                <w:rFonts w:ascii="Calibri" w:hAnsi="Calibri" w:cs="Calibri"/>
                <w:szCs w:val="20"/>
                <w:lang w:val="en-AU"/>
              </w:rPr>
              <w:t>8.86 % h</w:t>
            </w:r>
            <w:r w:rsidR="00B07E0E" w:rsidRPr="00FA288E">
              <w:rPr>
                <w:rFonts w:ascii="Calibri" w:hAnsi="Calibri" w:cs="Calibri"/>
                <w:szCs w:val="20"/>
                <w:lang w:val="en-AU"/>
              </w:rPr>
              <w:t xml:space="preserve">igher English reading comprehension </w:t>
            </w:r>
            <w:r w:rsidRPr="00FA288E">
              <w:rPr>
                <w:rFonts w:ascii="Calibri" w:hAnsi="Calibri" w:cs="Calibri"/>
                <w:szCs w:val="20"/>
                <w:lang w:val="en-AU"/>
              </w:rPr>
              <w:t>(51.25</w:t>
            </w:r>
            <w:r w:rsidR="00C850A5" w:rsidRPr="00FA288E">
              <w:rPr>
                <w:rFonts w:ascii="Calibri" w:hAnsi="Calibri" w:cs="Calibri"/>
                <w:szCs w:val="20"/>
                <w:lang w:val="en-AU"/>
              </w:rPr>
              <w:t xml:space="preserve"> </w:t>
            </w:r>
            <w:r w:rsidRPr="00FA288E">
              <w:rPr>
                <w:rFonts w:ascii="Calibri" w:hAnsi="Calibri" w:cs="Calibri"/>
                <w:szCs w:val="20"/>
                <w:lang w:val="en-AU"/>
              </w:rPr>
              <w:t>% versus 42.39</w:t>
            </w:r>
            <w:r w:rsidR="00C850A5" w:rsidRPr="00FA288E">
              <w:rPr>
                <w:rFonts w:ascii="Calibri" w:hAnsi="Calibri" w:cs="Calibri"/>
                <w:szCs w:val="20"/>
                <w:lang w:val="en-AU"/>
              </w:rPr>
              <w:t xml:space="preserve"> </w:t>
            </w:r>
            <w:r w:rsidRPr="00FA288E">
              <w:rPr>
                <w:rFonts w:ascii="Calibri" w:hAnsi="Calibri" w:cs="Calibri"/>
                <w:szCs w:val="20"/>
                <w:lang w:val="en-AU"/>
              </w:rPr>
              <w:t>%)</w:t>
            </w:r>
          </w:p>
          <w:p w14:paraId="25E43E58" w14:textId="77777777" w:rsidR="005D0515" w:rsidRPr="00FA288E" w:rsidRDefault="005D0515" w:rsidP="005C700B">
            <w:pPr>
              <w:pStyle w:val="Bullets"/>
              <w:numPr>
                <w:ilvl w:val="0"/>
                <w:numId w:val="27"/>
              </w:numPr>
              <w:spacing w:after="0"/>
              <w:rPr>
                <w:rFonts w:cs="Calibri"/>
                <w:szCs w:val="20"/>
                <w:lang w:val="en-AU"/>
              </w:rPr>
            </w:pPr>
            <w:r w:rsidRPr="00FA288E">
              <w:rPr>
                <w:rFonts w:cs="Calibri"/>
                <w:szCs w:val="20"/>
                <w:lang w:val="en-AU"/>
              </w:rPr>
              <w:lastRenderedPageBreak/>
              <w:t>12.14 % higher Tok Pisin reading comprehension (38.27</w:t>
            </w:r>
            <w:r w:rsidR="00C850A5" w:rsidRPr="00FA288E">
              <w:rPr>
                <w:rFonts w:cs="Calibri"/>
                <w:szCs w:val="20"/>
                <w:lang w:val="en-AU"/>
              </w:rPr>
              <w:t xml:space="preserve"> </w:t>
            </w:r>
            <w:r w:rsidRPr="00FA288E">
              <w:rPr>
                <w:rFonts w:cs="Calibri"/>
                <w:szCs w:val="20"/>
                <w:lang w:val="en-AU"/>
              </w:rPr>
              <w:t>% versus 26.63</w:t>
            </w:r>
            <w:r w:rsidR="00C850A5" w:rsidRPr="00FA288E">
              <w:rPr>
                <w:rFonts w:cs="Calibri"/>
                <w:szCs w:val="20"/>
                <w:lang w:val="en-AU"/>
              </w:rPr>
              <w:t xml:space="preserve"> </w:t>
            </w:r>
            <w:r w:rsidRPr="00FA288E">
              <w:rPr>
                <w:rFonts w:cs="Calibri"/>
                <w:szCs w:val="20"/>
                <w:lang w:val="en-AU"/>
              </w:rPr>
              <w:t>%)</w:t>
            </w:r>
          </w:p>
          <w:p w14:paraId="40387FEC" w14:textId="77777777" w:rsidR="00C850A5" w:rsidRPr="00FA288E" w:rsidRDefault="00C850A5" w:rsidP="00C56E61">
            <w:pPr>
              <w:pStyle w:val="Bullets"/>
              <w:numPr>
                <w:ilvl w:val="0"/>
                <w:numId w:val="0"/>
              </w:numPr>
              <w:spacing w:after="0"/>
              <w:rPr>
                <w:rFonts w:ascii="Calibri" w:hAnsi="Calibri" w:cs="Calibri"/>
                <w:szCs w:val="20"/>
                <w:lang w:val="en-AU"/>
              </w:rPr>
            </w:pPr>
            <w:r w:rsidRPr="00FA288E">
              <w:rPr>
                <w:rFonts w:ascii="Calibri" w:hAnsi="Calibri" w:cs="Calibri"/>
                <w:szCs w:val="20"/>
                <w:lang w:val="en-AU"/>
              </w:rPr>
              <w:t>Students from the intervention schools scored 3.18 % higher (81.39 %) than the students in the control schools (78.21 %) in numeracy. However, results overall are not statistically significant aside from:</w:t>
            </w:r>
          </w:p>
          <w:p w14:paraId="5290654A" w14:textId="77777777" w:rsidR="00B07E0E" w:rsidRPr="00FA288E" w:rsidRDefault="00C850A5" w:rsidP="005C700B">
            <w:pPr>
              <w:pStyle w:val="Bullets"/>
              <w:numPr>
                <w:ilvl w:val="0"/>
                <w:numId w:val="27"/>
              </w:numPr>
              <w:spacing w:after="0"/>
              <w:rPr>
                <w:rFonts w:ascii="Calibri" w:hAnsi="Calibri" w:cs="Calibri"/>
                <w:szCs w:val="20"/>
                <w:lang w:val="en-AU"/>
              </w:rPr>
            </w:pPr>
            <w:r w:rsidRPr="00FA288E">
              <w:rPr>
                <w:rFonts w:ascii="Calibri" w:hAnsi="Calibri" w:cs="Calibri"/>
                <w:szCs w:val="20"/>
                <w:lang w:val="en-AU"/>
              </w:rPr>
              <w:t>5.72 %</w:t>
            </w:r>
            <w:r w:rsidR="00B07E0E" w:rsidRPr="00FA288E">
              <w:rPr>
                <w:rFonts w:ascii="Calibri" w:hAnsi="Calibri" w:cs="Calibri"/>
                <w:szCs w:val="20"/>
                <w:lang w:val="en-AU"/>
              </w:rPr>
              <w:t>higher scores on numeracy word problems</w:t>
            </w:r>
            <w:r w:rsidRPr="00FA288E">
              <w:rPr>
                <w:rFonts w:ascii="Calibri" w:hAnsi="Calibri" w:cs="Calibri"/>
                <w:szCs w:val="20"/>
                <w:lang w:val="en-AU"/>
              </w:rPr>
              <w:t xml:space="preserve"> (71.34 % versus 65.62 %)</w:t>
            </w:r>
          </w:p>
        </w:tc>
      </w:tr>
    </w:tbl>
    <w:p w14:paraId="480C57A8" w14:textId="77777777" w:rsidR="00775490" w:rsidRPr="00FA288E" w:rsidRDefault="00F128E8" w:rsidP="00A91E14">
      <w:pPr>
        <w:pStyle w:val="Bullets"/>
        <w:numPr>
          <w:ilvl w:val="0"/>
          <w:numId w:val="0"/>
        </w:numPr>
        <w:spacing w:before="240" w:after="60" w:line="216" w:lineRule="auto"/>
        <w:jc w:val="both"/>
        <w:rPr>
          <w:rFonts w:ascii="Calibri" w:hAnsi="Calibri" w:cs="Calibri"/>
          <w:sz w:val="21"/>
          <w:szCs w:val="21"/>
        </w:rPr>
      </w:pPr>
      <w:r w:rsidRPr="00FA288E">
        <w:rPr>
          <w:rFonts w:ascii="Calibri" w:hAnsi="Calibri" w:cs="Calibri"/>
          <w:sz w:val="21"/>
          <w:szCs w:val="21"/>
        </w:rPr>
        <w:lastRenderedPageBreak/>
        <w:t xml:space="preserve">While the midline evaluations provide a general impression of progress, the limited statistical significance of the data should be noted. Explanations for the limited statistical significance of data at midline may be due to a number of factors, including: </w:t>
      </w:r>
      <w:proofErr w:type="spellStart"/>
      <w:r w:rsidRPr="00FA288E">
        <w:rPr>
          <w:rFonts w:ascii="Calibri" w:hAnsi="Calibri" w:cs="Calibri"/>
          <w:sz w:val="21"/>
          <w:szCs w:val="21"/>
        </w:rPr>
        <w:t>i</w:t>
      </w:r>
      <w:proofErr w:type="spellEnd"/>
      <w:r w:rsidRPr="00FA288E">
        <w:rPr>
          <w:rFonts w:ascii="Calibri" w:hAnsi="Calibri" w:cs="Calibri"/>
          <w:sz w:val="21"/>
          <w:szCs w:val="21"/>
        </w:rPr>
        <w:t xml:space="preserve">) similar gains of children in control schools were made to those in intervention schools between baseline and midline; ii) the assessment was conducted after the first year of implementation, which can be considered as a trial year as revisions were undertaken to both the content of the literacy and numeracy programs and the in-service training programs; iii) there are a range of factors that affect a child’s learning that may have prevented more observable gains – such as the observation that there continued to be low levels of attendance at midline; and, iv) there may have been issues with the sample itself (e.g. the midline evaluations were not able to track a sizable portion of students assessed at baseline) or challenges with consistent test administration. </w:t>
      </w:r>
      <w:r w:rsidR="009F57D5" w:rsidRPr="00FA288E">
        <w:rPr>
          <w:rFonts w:ascii="Calibri" w:hAnsi="Calibri" w:cs="Calibri"/>
          <w:sz w:val="21"/>
          <w:szCs w:val="21"/>
        </w:rPr>
        <w:t xml:space="preserve">The RISE </w:t>
      </w:r>
      <w:r w:rsidRPr="00FA288E">
        <w:rPr>
          <w:rFonts w:ascii="Calibri" w:hAnsi="Calibri" w:cs="Calibri"/>
          <w:sz w:val="21"/>
          <w:szCs w:val="21"/>
        </w:rPr>
        <w:t>midline evaluation analysis</w:t>
      </w:r>
      <w:r w:rsidR="009F57D5" w:rsidRPr="00FA288E">
        <w:rPr>
          <w:rFonts w:ascii="Calibri" w:hAnsi="Calibri" w:cs="Calibri"/>
          <w:sz w:val="21"/>
          <w:szCs w:val="21"/>
        </w:rPr>
        <w:t xml:space="preserve"> attributes progress to the availability and teacher use of the Literacy and Numeracy Boost materials</w:t>
      </w:r>
      <w:r w:rsidRPr="00FA288E">
        <w:rPr>
          <w:rFonts w:ascii="Calibri" w:hAnsi="Calibri" w:cs="Calibri"/>
          <w:sz w:val="21"/>
          <w:szCs w:val="21"/>
        </w:rPr>
        <w:t xml:space="preserve">, while T4E </w:t>
      </w:r>
      <w:r w:rsidR="009F57D5" w:rsidRPr="00FA288E">
        <w:rPr>
          <w:rFonts w:ascii="Calibri" w:hAnsi="Calibri" w:cs="Calibri"/>
          <w:sz w:val="21"/>
          <w:szCs w:val="21"/>
        </w:rPr>
        <w:t>attributes the reported gains to the availability and teacher use of the Library for All materials</w:t>
      </w:r>
      <w:r w:rsidR="00775490" w:rsidRPr="00FA288E">
        <w:rPr>
          <w:rFonts w:ascii="Calibri" w:hAnsi="Calibri" w:cs="Calibri"/>
          <w:sz w:val="21"/>
          <w:szCs w:val="21"/>
        </w:rPr>
        <w:t>.</w:t>
      </w:r>
      <w:r w:rsidR="009F57D5" w:rsidRPr="00FA288E">
        <w:rPr>
          <w:rFonts w:ascii="Calibri" w:hAnsi="Calibri" w:cs="Calibri"/>
          <w:sz w:val="21"/>
          <w:szCs w:val="21"/>
        </w:rPr>
        <w:t xml:space="preserve"> </w:t>
      </w:r>
    </w:p>
    <w:p w14:paraId="1C8BA578" w14:textId="77777777" w:rsidR="00775490" w:rsidRPr="00FA288E" w:rsidRDefault="00B07E0E" w:rsidP="009338E4">
      <w:pPr>
        <w:pStyle w:val="Bullets"/>
        <w:numPr>
          <w:ilvl w:val="0"/>
          <w:numId w:val="0"/>
        </w:numPr>
        <w:spacing w:before="120" w:after="60" w:line="216" w:lineRule="auto"/>
        <w:jc w:val="both"/>
        <w:rPr>
          <w:rFonts w:ascii="Calibri" w:hAnsi="Calibri" w:cs="Calibri"/>
          <w:sz w:val="21"/>
          <w:szCs w:val="21"/>
        </w:rPr>
      </w:pPr>
      <w:r w:rsidRPr="00FA288E">
        <w:rPr>
          <w:rFonts w:ascii="Calibri" w:hAnsi="Calibri" w:cs="Calibri"/>
          <w:sz w:val="21"/>
          <w:szCs w:val="21"/>
        </w:rPr>
        <w:t xml:space="preserve">Given the variation in the </w:t>
      </w:r>
      <w:r w:rsidR="00775490" w:rsidRPr="00FA288E">
        <w:rPr>
          <w:rFonts w:ascii="Calibri" w:hAnsi="Calibri" w:cs="Calibri"/>
          <w:sz w:val="21"/>
          <w:szCs w:val="21"/>
        </w:rPr>
        <w:t xml:space="preserve">number and type of </w:t>
      </w:r>
      <w:r w:rsidRPr="00FA288E">
        <w:rPr>
          <w:rFonts w:ascii="Calibri" w:hAnsi="Calibri" w:cs="Calibri"/>
          <w:sz w:val="21"/>
          <w:szCs w:val="21"/>
        </w:rPr>
        <w:t xml:space="preserve">interventions </w:t>
      </w:r>
      <w:r w:rsidR="00775490" w:rsidRPr="00FA288E">
        <w:rPr>
          <w:rFonts w:ascii="Calibri" w:hAnsi="Calibri" w:cs="Calibri"/>
          <w:sz w:val="21"/>
          <w:szCs w:val="21"/>
        </w:rPr>
        <w:t>being implemented</w:t>
      </w:r>
      <w:r w:rsidRPr="00FA288E">
        <w:rPr>
          <w:rFonts w:ascii="Calibri" w:hAnsi="Calibri" w:cs="Calibri"/>
          <w:sz w:val="21"/>
          <w:szCs w:val="21"/>
        </w:rPr>
        <w:t xml:space="preserve"> by </w:t>
      </w:r>
      <w:r w:rsidR="00775490" w:rsidRPr="00FA288E">
        <w:rPr>
          <w:rFonts w:ascii="Calibri" w:hAnsi="Calibri" w:cs="Calibri"/>
          <w:sz w:val="21"/>
          <w:szCs w:val="21"/>
        </w:rPr>
        <w:t xml:space="preserve">each project, the review team organised key interventions into three main categories for the purposes of reporting progress. These categories are: </w:t>
      </w:r>
      <w:proofErr w:type="spellStart"/>
      <w:r w:rsidR="00775490" w:rsidRPr="00FA288E">
        <w:rPr>
          <w:rFonts w:ascii="Calibri" w:hAnsi="Calibri" w:cs="Calibri"/>
          <w:sz w:val="21"/>
          <w:szCs w:val="21"/>
        </w:rPr>
        <w:t>i</w:t>
      </w:r>
      <w:proofErr w:type="spellEnd"/>
      <w:r w:rsidR="00775490" w:rsidRPr="00FA288E">
        <w:rPr>
          <w:rFonts w:ascii="Calibri" w:hAnsi="Calibri" w:cs="Calibri"/>
          <w:sz w:val="21"/>
          <w:szCs w:val="21"/>
        </w:rPr>
        <w:t xml:space="preserve">) teacher development and support; ii) </w:t>
      </w:r>
      <w:r w:rsidR="000F4928" w:rsidRPr="00FA288E">
        <w:rPr>
          <w:rFonts w:ascii="Calibri" w:hAnsi="Calibri" w:cs="Calibri"/>
          <w:sz w:val="21"/>
          <w:szCs w:val="21"/>
        </w:rPr>
        <w:t>resources to support</w:t>
      </w:r>
      <w:r w:rsidR="00775490" w:rsidRPr="00FA288E">
        <w:rPr>
          <w:rFonts w:ascii="Calibri" w:hAnsi="Calibri" w:cs="Calibri"/>
          <w:sz w:val="21"/>
          <w:szCs w:val="21"/>
        </w:rPr>
        <w:t xml:space="preserve"> improv</w:t>
      </w:r>
      <w:r w:rsidR="000F4928" w:rsidRPr="00FA288E">
        <w:rPr>
          <w:rFonts w:ascii="Calibri" w:hAnsi="Calibri" w:cs="Calibri"/>
          <w:sz w:val="21"/>
          <w:szCs w:val="21"/>
        </w:rPr>
        <w:t>ed</w:t>
      </w:r>
      <w:r w:rsidR="00775490" w:rsidRPr="00FA288E">
        <w:rPr>
          <w:rFonts w:ascii="Calibri" w:hAnsi="Calibri" w:cs="Calibri"/>
          <w:sz w:val="21"/>
          <w:szCs w:val="21"/>
        </w:rPr>
        <w:t xml:space="preserve"> reading; and, iii) school management and planning.  Evidence of progress was drawn primarily from the </w:t>
      </w:r>
      <w:r w:rsidR="00957EAD" w:rsidRPr="00FA288E">
        <w:rPr>
          <w:rFonts w:ascii="Calibri" w:hAnsi="Calibri" w:cs="Calibri"/>
          <w:sz w:val="21"/>
          <w:szCs w:val="21"/>
        </w:rPr>
        <w:t xml:space="preserve">January to June 2019 </w:t>
      </w:r>
      <w:r w:rsidR="00775490" w:rsidRPr="00FA288E">
        <w:rPr>
          <w:rFonts w:ascii="Calibri" w:hAnsi="Calibri" w:cs="Calibri"/>
          <w:sz w:val="21"/>
          <w:szCs w:val="21"/>
        </w:rPr>
        <w:t>Six-Monthly Progress Report, the midline evaluation reports and the presentation by PKS provided to the review team during field visits.</w:t>
      </w:r>
    </w:p>
    <w:p w14:paraId="3457B37A" w14:textId="6766DD82" w:rsidR="004D70C5" w:rsidRPr="00FA288E" w:rsidRDefault="00957EAD" w:rsidP="009338E4">
      <w:pPr>
        <w:pStyle w:val="Bullets"/>
        <w:numPr>
          <w:ilvl w:val="0"/>
          <w:numId w:val="0"/>
        </w:numPr>
        <w:spacing w:before="120" w:after="60" w:line="216" w:lineRule="auto"/>
        <w:jc w:val="both"/>
      </w:pPr>
      <w:r w:rsidRPr="00FA288E">
        <w:rPr>
          <w:rFonts w:ascii="Calibri" w:hAnsi="Calibri" w:cs="Calibri"/>
          <w:sz w:val="21"/>
          <w:szCs w:val="21"/>
        </w:rPr>
        <w:t>Tables 2 – 4 below provide a summary of progress against targets in each of the three main intervention categories. Targets such as the number of participa</w:t>
      </w:r>
      <w:r w:rsidR="00A62A92" w:rsidRPr="00FA288E">
        <w:rPr>
          <w:rFonts w:ascii="Calibri" w:hAnsi="Calibri" w:cs="Calibri"/>
          <w:sz w:val="21"/>
          <w:szCs w:val="21"/>
        </w:rPr>
        <w:t xml:space="preserve">nts trained or quantities of teaching and learning materials provided are all on track to be achieved </w:t>
      </w:r>
      <w:r w:rsidR="008C75DB" w:rsidRPr="00FA288E">
        <w:rPr>
          <w:rFonts w:ascii="Calibri" w:hAnsi="Calibri" w:cs="Calibri"/>
          <w:sz w:val="21"/>
          <w:szCs w:val="21"/>
        </w:rPr>
        <w:t xml:space="preserve">or exceeded </w:t>
      </w:r>
      <w:r w:rsidR="00A62A92" w:rsidRPr="00FA288E">
        <w:rPr>
          <w:rFonts w:ascii="Calibri" w:hAnsi="Calibri" w:cs="Calibri"/>
          <w:sz w:val="21"/>
          <w:szCs w:val="21"/>
        </w:rPr>
        <w:t xml:space="preserve">by the end of the </w:t>
      </w:r>
      <w:r w:rsidR="006166CC" w:rsidRPr="00FA288E">
        <w:rPr>
          <w:rFonts w:ascii="Calibri" w:hAnsi="Calibri" w:cs="Calibri"/>
          <w:sz w:val="21"/>
          <w:szCs w:val="21"/>
        </w:rPr>
        <w:t xml:space="preserve">original </w:t>
      </w:r>
      <w:r w:rsidR="00A62A92" w:rsidRPr="00FA288E">
        <w:rPr>
          <w:rFonts w:ascii="Calibri" w:hAnsi="Calibri" w:cs="Calibri"/>
          <w:sz w:val="21"/>
          <w:szCs w:val="21"/>
        </w:rPr>
        <w:t>grant</w:t>
      </w:r>
      <w:r w:rsidR="006166CC" w:rsidRPr="00FA288E">
        <w:rPr>
          <w:rFonts w:ascii="Calibri" w:hAnsi="Calibri" w:cs="Calibri"/>
          <w:sz w:val="21"/>
          <w:szCs w:val="21"/>
        </w:rPr>
        <w:t xml:space="preserve"> period in</w:t>
      </w:r>
      <w:r w:rsidR="00A62A92" w:rsidRPr="00FA288E">
        <w:rPr>
          <w:rFonts w:ascii="Calibri" w:hAnsi="Calibri" w:cs="Calibri"/>
          <w:sz w:val="21"/>
          <w:szCs w:val="21"/>
        </w:rPr>
        <w:t xml:space="preserve"> </w:t>
      </w:r>
      <w:r w:rsidR="008C75DB" w:rsidRPr="00FA288E">
        <w:rPr>
          <w:rFonts w:ascii="Calibri" w:hAnsi="Calibri" w:cs="Calibri"/>
          <w:sz w:val="21"/>
          <w:szCs w:val="21"/>
        </w:rPr>
        <w:t>June</w:t>
      </w:r>
      <w:r w:rsidR="00A62A92" w:rsidRPr="00FA288E">
        <w:rPr>
          <w:rFonts w:ascii="Calibri" w:hAnsi="Calibri" w:cs="Calibri"/>
          <w:sz w:val="21"/>
          <w:szCs w:val="21"/>
        </w:rPr>
        <w:t xml:space="preserve"> 2020. </w:t>
      </w:r>
      <w:r w:rsidR="00614C93" w:rsidRPr="00FA288E">
        <w:rPr>
          <w:rFonts w:ascii="Calibri" w:hAnsi="Calibri" w:cs="Calibri"/>
          <w:sz w:val="21"/>
          <w:szCs w:val="21"/>
        </w:rPr>
        <w:t>In other instances, where a new approach or technology solution is being introduced, or where initial assumptions have proven to be incomplete or inaccurate, the progress has been s</w:t>
      </w:r>
      <w:r w:rsidR="003E267A" w:rsidRPr="00FA288E">
        <w:rPr>
          <w:rFonts w:ascii="Calibri" w:hAnsi="Calibri" w:cs="Calibri"/>
          <w:sz w:val="21"/>
          <w:szCs w:val="21"/>
        </w:rPr>
        <w:t>lower</w:t>
      </w:r>
      <w:r w:rsidR="00614C93" w:rsidRPr="00FA288E">
        <w:rPr>
          <w:rFonts w:ascii="Calibri" w:hAnsi="Calibri" w:cs="Calibri"/>
          <w:sz w:val="21"/>
          <w:szCs w:val="21"/>
        </w:rPr>
        <w:t xml:space="preserve"> than expected.  For other interventions, it is too early to assess progress as the evidence is not yet available</w:t>
      </w:r>
      <w:r w:rsidR="00C52CD9" w:rsidRPr="00FA288E">
        <w:rPr>
          <w:rFonts w:ascii="Calibri" w:hAnsi="Calibri" w:cs="Calibri"/>
          <w:sz w:val="21"/>
          <w:szCs w:val="21"/>
        </w:rPr>
        <w:t>.</w:t>
      </w:r>
      <w:r w:rsidR="00614C93" w:rsidRPr="00FA288E">
        <w:rPr>
          <w:rStyle w:val="FootnoteReference"/>
          <w:rFonts w:ascii="Calibri" w:hAnsi="Calibri" w:cs="Calibri"/>
          <w:sz w:val="21"/>
          <w:szCs w:val="21"/>
        </w:rPr>
        <w:footnoteReference w:id="28"/>
      </w:r>
      <w:r w:rsidR="00614C93" w:rsidRPr="00FA288E">
        <w:rPr>
          <w:rFonts w:ascii="Calibri" w:hAnsi="Calibri" w:cs="Calibri"/>
          <w:sz w:val="21"/>
          <w:szCs w:val="21"/>
        </w:rPr>
        <w:t xml:space="preserve"> </w:t>
      </w:r>
      <w:r w:rsidR="00296DA1" w:rsidRPr="00FA288E">
        <w:rPr>
          <w:rFonts w:ascii="Calibri" w:hAnsi="Calibri" w:cs="Calibri"/>
          <w:sz w:val="21"/>
          <w:szCs w:val="21"/>
        </w:rPr>
        <w:t>Additional a</w:t>
      </w:r>
      <w:r w:rsidR="00614C93" w:rsidRPr="00FA288E">
        <w:rPr>
          <w:rFonts w:ascii="Calibri" w:hAnsi="Calibri" w:cs="Calibri"/>
          <w:sz w:val="21"/>
          <w:szCs w:val="21"/>
        </w:rPr>
        <w:t xml:space="preserve">nalysis of progress in </w:t>
      </w:r>
      <w:r w:rsidR="007E1175" w:rsidRPr="00FA288E">
        <w:rPr>
          <w:rFonts w:ascii="Calibri" w:hAnsi="Calibri" w:cs="Calibri"/>
          <w:sz w:val="21"/>
          <w:szCs w:val="21"/>
        </w:rPr>
        <w:t xml:space="preserve">the </w:t>
      </w:r>
      <w:r w:rsidR="00614C93" w:rsidRPr="00FA288E">
        <w:rPr>
          <w:rFonts w:ascii="Calibri" w:hAnsi="Calibri" w:cs="Calibri"/>
          <w:sz w:val="21"/>
          <w:szCs w:val="21"/>
        </w:rPr>
        <w:t>three intervention</w:t>
      </w:r>
      <w:r w:rsidR="007E1175" w:rsidRPr="00FA288E">
        <w:rPr>
          <w:rFonts w:ascii="Calibri" w:hAnsi="Calibri" w:cs="Calibri"/>
          <w:sz w:val="21"/>
          <w:szCs w:val="21"/>
        </w:rPr>
        <w:t xml:space="preserve"> categories</w:t>
      </w:r>
      <w:r w:rsidR="00614C93" w:rsidRPr="00FA288E">
        <w:rPr>
          <w:rFonts w:ascii="Calibri" w:hAnsi="Calibri" w:cs="Calibri"/>
          <w:sz w:val="21"/>
          <w:szCs w:val="21"/>
        </w:rPr>
        <w:t xml:space="preserve"> is provided in </w:t>
      </w:r>
      <w:r w:rsidR="00614C93" w:rsidRPr="00FA288E">
        <w:rPr>
          <w:rFonts w:ascii="Calibri" w:hAnsi="Calibri" w:cs="Calibri"/>
          <w:b/>
          <w:bCs/>
          <w:i/>
          <w:iCs/>
          <w:sz w:val="21"/>
          <w:szCs w:val="21"/>
        </w:rPr>
        <w:t xml:space="preserve">Annex </w:t>
      </w:r>
      <w:r w:rsidR="008C2C8F" w:rsidRPr="00FA288E">
        <w:rPr>
          <w:rFonts w:ascii="Calibri" w:hAnsi="Calibri" w:cs="Calibri"/>
          <w:b/>
          <w:bCs/>
          <w:i/>
          <w:iCs/>
          <w:sz w:val="21"/>
          <w:szCs w:val="21"/>
        </w:rPr>
        <w:t>F</w:t>
      </w:r>
      <w:r w:rsidR="00614C93" w:rsidRPr="00FA288E">
        <w:rPr>
          <w:rFonts w:ascii="Calibri" w:hAnsi="Calibri" w:cs="Calibri"/>
          <w:sz w:val="21"/>
          <w:szCs w:val="21"/>
        </w:rPr>
        <w:t>.</w:t>
      </w:r>
    </w:p>
    <w:p w14:paraId="238D22B8" w14:textId="59A1AAB5" w:rsidR="00D03684" w:rsidRPr="00FA288E" w:rsidRDefault="00D03684" w:rsidP="00746416">
      <w:pPr>
        <w:pStyle w:val="Caption"/>
        <w:spacing w:before="80" w:after="80" w:line="240" w:lineRule="auto"/>
        <w:ind w:left="1138" w:hanging="1138"/>
        <w:rPr>
          <w:rFonts w:cs="Calibri"/>
          <w:b w:val="0"/>
          <w:color w:val="auto"/>
          <w:lang w:val="en-AU"/>
        </w:rPr>
      </w:pPr>
      <w:r w:rsidRPr="00FA288E">
        <w:rPr>
          <w:rFonts w:cs="Calibri"/>
          <w:b w:val="0"/>
          <w:color w:val="auto"/>
          <w:lang w:val="en-AU"/>
        </w:rPr>
        <w:lastRenderedPageBreak/>
        <w:t xml:space="preserve">Table </w:t>
      </w:r>
      <w:r w:rsidRPr="00FA288E">
        <w:rPr>
          <w:rFonts w:cs="Calibri"/>
          <w:b w:val="0"/>
          <w:color w:val="auto"/>
          <w:lang w:val="en-AU"/>
        </w:rPr>
        <w:fldChar w:fldCharType="begin"/>
      </w:r>
      <w:r w:rsidRPr="00FA288E">
        <w:rPr>
          <w:rFonts w:cs="Calibri"/>
          <w:b w:val="0"/>
          <w:color w:val="auto"/>
          <w:lang w:val="en-AU"/>
        </w:rPr>
        <w:instrText xml:space="preserve"> SEQ Table \* ARABIC </w:instrText>
      </w:r>
      <w:r w:rsidRPr="00FA288E">
        <w:rPr>
          <w:rFonts w:cs="Calibri"/>
          <w:b w:val="0"/>
          <w:color w:val="auto"/>
          <w:lang w:val="en-AU"/>
        </w:rPr>
        <w:fldChar w:fldCharType="separate"/>
      </w:r>
      <w:r w:rsidR="00C22013">
        <w:rPr>
          <w:rFonts w:cs="Calibri"/>
          <w:b w:val="0"/>
          <w:noProof/>
          <w:color w:val="auto"/>
          <w:lang w:val="en-AU"/>
        </w:rPr>
        <w:t>2</w:t>
      </w:r>
      <w:r w:rsidRPr="00FA288E">
        <w:rPr>
          <w:rFonts w:cs="Calibri"/>
          <w:b w:val="0"/>
          <w:color w:val="auto"/>
          <w:lang w:val="en-AU"/>
        </w:rPr>
        <w:fldChar w:fldCharType="end"/>
      </w:r>
      <w:r w:rsidRPr="00FA288E">
        <w:rPr>
          <w:rFonts w:cs="Calibri"/>
          <w:b w:val="0"/>
          <w:color w:val="auto"/>
          <w:lang w:val="en-AU"/>
        </w:rPr>
        <w:t xml:space="preserve"> Summary of Reported Progress in Teacher Development and Support</w:t>
      </w:r>
    </w:p>
    <w:tbl>
      <w:tblPr>
        <w:tblStyle w:val="TableGrid"/>
        <w:tblW w:w="9736" w:type="dxa"/>
        <w:tblInd w:w="0" w:type="dxa"/>
        <w:tblLook w:val="04A0" w:firstRow="1" w:lastRow="0" w:firstColumn="1" w:lastColumn="0" w:noHBand="0" w:noVBand="1"/>
        <w:tblCaption w:val="Summary of Reported Progress in Teacher Development and Support"/>
        <w:tblDescription w:val="Project: RISE. Midline: Teachers trained in Literacy and Numeracy Boost scored 31.65 % higher in reading comprehension (66.94 versus 35.29 % in control schools, 19.92 % higher on classroom management (59.81 % versus 39.89 %) and 17.24 % higher on student engagement (51.48 % versus 34.24 %). End of Project Targets to June 2020: 1800 (900 per year) elementary teachers trained on and provided Literacy and Numeracy Boost materials. Progress to Date: 965 trained and provided Literacy and Numeracy Boost materials in Year 1. Progress against End of Project targets as at June 2020: On track to exceed target of 1800 teachers trained and provided Literacy and Numeracy materials."/>
      </w:tblPr>
      <w:tblGrid>
        <w:gridCol w:w="1142"/>
        <w:gridCol w:w="1547"/>
        <w:gridCol w:w="2604"/>
        <w:gridCol w:w="2368"/>
        <w:gridCol w:w="2075"/>
      </w:tblGrid>
      <w:tr w:rsidR="00CA5E48" w:rsidRPr="00FA288E" w14:paraId="4C614507" w14:textId="77777777" w:rsidTr="001E494A">
        <w:trPr>
          <w:trHeight w:val="244"/>
          <w:tblHeader/>
        </w:trPr>
        <w:tc>
          <w:tcPr>
            <w:tcW w:w="1142" w:type="dxa"/>
            <w:shd w:val="clear" w:color="auto" w:fill="262626" w:themeFill="text1" w:themeFillTint="D9"/>
          </w:tcPr>
          <w:p w14:paraId="7879A6AF" w14:textId="77777777" w:rsidR="00CA5E48" w:rsidRPr="00FA288E" w:rsidRDefault="00CA5E48" w:rsidP="00342246">
            <w:pPr>
              <w:spacing w:line="216" w:lineRule="auto"/>
              <w:ind w:left="-22"/>
              <w:jc w:val="center"/>
              <w:rPr>
                <w:rFonts w:eastAsiaTheme="minorHAnsi" w:cs="Calibri"/>
                <w:sz w:val="20"/>
                <w:szCs w:val="20"/>
                <w:lang w:val="en-AU"/>
              </w:rPr>
            </w:pPr>
            <w:r w:rsidRPr="00FA288E">
              <w:rPr>
                <w:rFonts w:cs="Calibri"/>
                <w:szCs w:val="20"/>
                <w:lang w:val="en-AU"/>
              </w:rPr>
              <w:t>Project</w:t>
            </w:r>
          </w:p>
        </w:tc>
        <w:tc>
          <w:tcPr>
            <w:tcW w:w="1547" w:type="dxa"/>
            <w:shd w:val="clear" w:color="auto" w:fill="262626" w:themeFill="text1" w:themeFillTint="D9"/>
          </w:tcPr>
          <w:p w14:paraId="2F23EA8E" w14:textId="45B84A2E" w:rsidR="00CA5E48" w:rsidRPr="00FA288E" w:rsidRDefault="00CA5E48" w:rsidP="00342246">
            <w:pPr>
              <w:spacing w:line="216" w:lineRule="auto"/>
              <w:ind w:left="360"/>
              <w:jc w:val="center"/>
              <w:rPr>
                <w:rFonts w:cs="Calibri"/>
                <w:color w:val="F2F2F2" w:themeColor="background1" w:themeShade="F2"/>
                <w:szCs w:val="20"/>
              </w:rPr>
            </w:pPr>
            <w:r>
              <w:rPr>
                <w:rFonts w:cs="Calibri"/>
                <w:color w:val="F2F2F2" w:themeColor="background1" w:themeShade="F2"/>
                <w:szCs w:val="20"/>
              </w:rPr>
              <w:t>Midline</w:t>
            </w:r>
          </w:p>
        </w:tc>
        <w:tc>
          <w:tcPr>
            <w:tcW w:w="2604" w:type="dxa"/>
            <w:shd w:val="clear" w:color="auto" w:fill="262626" w:themeFill="text1" w:themeFillTint="D9"/>
          </w:tcPr>
          <w:p w14:paraId="6DFC9077" w14:textId="46E73688" w:rsidR="00CA5E48" w:rsidRPr="00FA288E" w:rsidRDefault="00CA5E48" w:rsidP="00342246">
            <w:pPr>
              <w:spacing w:line="216" w:lineRule="auto"/>
              <w:ind w:left="360"/>
              <w:jc w:val="center"/>
              <w:rPr>
                <w:rFonts w:cs="Calibri"/>
                <w:color w:val="F2F2F2" w:themeColor="background1" w:themeShade="F2"/>
                <w:szCs w:val="20"/>
                <w:lang w:val="en-AU"/>
              </w:rPr>
            </w:pPr>
            <w:r w:rsidRPr="00FA288E">
              <w:rPr>
                <w:rFonts w:cs="Calibri"/>
                <w:color w:val="F2F2F2" w:themeColor="background1" w:themeShade="F2"/>
                <w:szCs w:val="20"/>
                <w:lang w:val="en-AU"/>
              </w:rPr>
              <w:t>End of Project Targets to June 2020</w:t>
            </w:r>
            <w:r w:rsidRPr="00FA288E">
              <w:rPr>
                <w:rStyle w:val="FootnoteReference"/>
                <w:rFonts w:cs="Calibri"/>
                <w:color w:val="F2F2F2" w:themeColor="background1" w:themeShade="F2"/>
                <w:szCs w:val="20"/>
                <w:lang w:val="en-AU"/>
              </w:rPr>
              <w:footnoteReference w:id="29"/>
            </w:r>
          </w:p>
          <w:p w14:paraId="0D3F200B" w14:textId="77777777" w:rsidR="00CA5E48" w:rsidRPr="00FA288E" w:rsidRDefault="00CA5E48" w:rsidP="00342246">
            <w:pPr>
              <w:spacing w:line="216" w:lineRule="auto"/>
              <w:ind w:left="360"/>
              <w:jc w:val="center"/>
              <w:rPr>
                <w:rFonts w:eastAsiaTheme="minorHAnsi" w:cs="Calibri"/>
                <w:sz w:val="20"/>
                <w:szCs w:val="20"/>
                <w:lang w:val="en-AU"/>
              </w:rPr>
            </w:pPr>
            <w:r w:rsidRPr="00FA288E">
              <w:rPr>
                <w:rFonts w:cs="Calibri"/>
                <w:szCs w:val="20"/>
                <w:lang w:val="en-AU"/>
              </w:rPr>
              <w:t>(Annual Targets in parentheses)</w:t>
            </w:r>
          </w:p>
        </w:tc>
        <w:tc>
          <w:tcPr>
            <w:tcW w:w="2368" w:type="dxa"/>
            <w:shd w:val="clear" w:color="auto" w:fill="262626" w:themeFill="text1" w:themeFillTint="D9"/>
          </w:tcPr>
          <w:p w14:paraId="49BCEE62" w14:textId="77777777" w:rsidR="00CA5E48" w:rsidRPr="00FA288E" w:rsidRDefault="00CA5E48" w:rsidP="00342246">
            <w:pPr>
              <w:spacing w:line="216" w:lineRule="auto"/>
              <w:ind w:left="360"/>
              <w:jc w:val="center"/>
              <w:rPr>
                <w:rFonts w:cs="Calibri"/>
                <w:szCs w:val="20"/>
                <w:lang w:val="en-AU"/>
              </w:rPr>
            </w:pPr>
            <w:r w:rsidRPr="00FA288E">
              <w:rPr>
                <w:rFonts w:cs="Calibri"/>
                <w:szCs w:val="20"/>
                <w:lang w:val="en-AU"/>
              </w:rPr>
              <w:t xml:space="preserve">Progress to Date </w:t>
            </w:r>
          </w:p>
          <w:p w14:paraId="7011FBC4" w14:textId="77777777" w:rsidR="00CA5E48" w:rsidRPr="00FA288E" w:rsidRDefault="00CA5E48" w:rsidP="004D2BB9">
            <w:pPr>
              <w:spacing w:line="216" w:lineRule="auto"/>
              <w:ind w:left="360"/>
              <w:jc w:val="center"/>
              <w:rPr>
                <w:rFonts w:eastAsiaTheme="minorHAnsi" w:cs="Calibri"/>
                <w:sz w:val="20"/>
                <w:szCs w:val="20"/>
                <w:lang w:val="en-AU"/>
              </w:rPr>
            </w:pPr>
            <w:r w:rsidRPr="00FA288E">
              <w:rPr>
                <w:rFonts w:cs="Calibri"/>
                <w:szCs w:val="20"/>
                <w:lang w:val="en-AU"/>
              </w:rPr>
              <w:t>(Against Year 1 targets: RISE and T4E. PKS does not have annual targets)</w:t>
            </w:r>
            <w:r w:rsidRPr="00FA288E">
              <w:rPr>
                <w:rStyle w:val="FootnoteReference"/>
                <w:rFonts w:cs="Calibri"/>
                <w:szCs w:val="20"/>
                <w:lang w:val="en-AU"/>
              </w:rPr>
              <w:footnoteReference w:id="30"/>
            </w:r>
          </w:p>
        </w:tc>
        <w:tc>
          <w:tcPr>
            <w:tcW w:w="2075" w:type="dxa"/>
            <w:shd w:val="clear" w:color="auto" w:fill="262626" w:themeFill="text1" w:themeFillTint="D9"/>
          </w:tcPr>
          <w:p w14:paraId="7CF48A0E" w14:textId="77777777" w:rsidR="00CA5E48" w:rsidRPr="00FA288E" w:rsidRDefault="00CA5E48" w:rsidP="00296DA1">
            <w:pPr>
              <w:spacing w:line="216" w:lineRule="auto"/>
              <w:ind w:left="-22"/>
              <w:jc w:val="center"/>
              <w:rPr>
                <w:rFonts w:eastAsiaTheme="minorHAnsi" w:cs="Calibri"/>
                <w:sz w:val="20"/>
                <w:szCs w:val="20"/>
                <w:lang w:val="en-AU"/>
              </w:rPr>
            </w:pPr>
            <w:r w:rsidRPr="00FA288E">
              <w:rPr>
                <w:rFonts w:cs="Calibri"/>
                <w:szCs w:val="20"/>
                <w:lang w:val="en-AU"/>
              </w:rPr>
              <w:t>Progress against End of Project targets June 2020</w:t>
            </w:r>
          </w:p>
        </w:tc>
      </w:tr>
      <w:tr w:rsidR="001E494A" w:rsidRPr="00FA288E" w14:paraId="5BC501B8" w14:textId="77777777" w:rsidTr="001E494A">
        <w:trPr>
          <w:trHeight w:val="5564"/>
        </w:trPr>
        <w:tc>
          <w:tcPr>
            <w:tcW w:w="1142" w:type="dxa"/>
            <w:shd w:val="clear" w:color="auto" w:fill="262626" w:themeFill="text1" w:themeFillTint="D9"/>
          </w:tcPr>
          <w:p w14:paraId="4AA206D1" w14:textId="77777777" w:rsidR="001E494A" w:rsidRPr="00FA288E" w:rsidRDefault="001E494A" w:rsidP="00CA5E48">
            <w:pPr>
              <w:spacing w:line="216" w:lineRule="auto"/>
              <w:ind w:left="-22"/>
              <w:jc w:val="center"/>
              <w:rPr>
                <w:rFonts w:eastAsiaTheme="minorHAnsi" w:cs="Calibri"/>
                <w:sz w:val="20"/>
                <w:szCs w:val="20"/>
                <w:lang w:val="en-AU"/>
              </w:rPr>
            </w:pPr>
            <w:r w:rsidRPr="00FA288E">
              <w:rPr>
                <w:rFonts w:eastAsiaTheme="minorHAnsi" w:cs="Calibri"/>
                <w:sz w:val="20"/>
                <w:szCs w:val="20"/>
                <w:lang w:val="en-AU"/>
              </w:rPr>
              <w:t>RISE</w:t>
            </w:r>
          </w:p>
        </w:tc>
        <w:tc>
          <w:tcPr>
            <w:tcW w:w="1547" w:type="dxa"/>
          </w:tcPr>
          <w:p w14:paraId="33835A5F" w14:textId="781A63A4" w:rsidR="001E494A" w:rsidRPr="00FA288E" w:rsidRDefault="001E494A" w:rsidP="00CA5E48">
            <w:pPr>
              <w:spacing w:line="216" w:lineRule="auto"/>
              <w:rPr>
                <w:rFonts w:eastAsiaTheme="minorHAnsi" w:cs="Calibri"/>
                <w:sz w:val="20"/>
                <w:szCs w:val="20"/>
              </w:rPr>
            </w:pPr>
            <w:r w:rsidRPr="00FA288E">
              <w:rPr>
                <w:rFonts w:eastAsiaTheme="minorHAnsi" w:cs="Calibri"/>
                <w:sz w:val="20"/>
                <w:szCs w:val="20"/>
                <w:lang w:val="en-AU"/>
              </w:rPr>
              <w:t>Teachers trained in Literacy and Numeracy Boost scored 31.65 % higher in reading comprehension (66.94 versus 35.29 % in control schools, 19.92 % higher on classroom management (59.81 % versus 39.89 %) and 17.24 % higher on student engagement (51.48 % versus 34.24 %).</w:t>
            </w:r>
          </w:p>
        </w:tc>
        <w:tc>
          <w:tcPr>
            <w:tcW w:w="2604" w:type="dxa"/>
          </w:tcPr>
          <w:p w14:paraId="44EC61A2" w14:textId="406310AC" w:rsidR="001E494A" w:rsidRPr="00FA288E" w:rsidRDefault="001E494A" w:rsidP="00CA5E48">
            <w:pPr>
              <w:spacing w:line="216" w:lineRule="auto"/>
              <w:jc w:val="left"/>
              <w:rPr>
                <w:rFonts w:eastAsiaTheme="minorHAnsi" w:cs="Calibri"/>
                <w:sz w:val="20"/>
                <w:szCs w:val="20"/>
                <w:lang w:val="en-AU"/>
              </w:rPr>
            </w:pPr>
            <w:r w:rsidRPr="00FA288E">
              <w:rPr>
                <w:rFonts w:eastAsiaTheme="minorHAnsi" w:cs="Calibri"/>
                <w:sz w:val="20"/>
                <w:szCs w:val="20"/>
                <w:lang w:val="en-AU"/>
              </w:rPr>
              <w:t>1800 (900 per year) elementary teachers trained on and provided Literacy and Numeracy Boost materials</w:t>
            </w:r>
          </w:p>
        </w:tc>
        <w:tc>
          <w:tcPr>
            <w:tcW w:w="2368" w:type="dxa"/>
          </w:tcPr>
          <w:p w14:paraId="3B6A584C" w14:textId="77777777" w:rsidR="001E494A" w:rsidRPr="00FA288E" w:rsidRDefault="001E494A" w:rsidP="00CA5E48">
            <w:pPr>
              <w:spacing w:line="216" w:lineRule="auto"/>
              <w:jc w:val="left"/>
              <w:rPr>
                <w:rFonts w:eastAsiaTheme="minorHAnsi" w:cs="Calibri"/>
                <w:sz w:val="20"/>
                <w:szCs w:val="20"/>
                <w:lang w:val="en-AU"/>
              </w:rPr>
            </w:pPr>
            <w:r w:rsidRPr="00FA288E">
              <w:rPr>
                <w:rFonts w:eastAsiaTheme="minorHAnsi" w:cs="Calibri"/>
                <w:sz w:val="20"/>
                <w:szCs w:val="20"/>
                <w:lang w:val="en-AU"/>
              </w:rPr>
              <w:t>965 trained and provided Literacy and Numeracy Boost materials in Year 1</w:t>
            </w:r>
          </w:p>
        </w:tc>
        <w:tc>
          <w:tcPr>
            <w:tcW w:w="2075" w:type="dxa"/>
          </w:tcPr>
          <w:p w14:paraId="79CA2A48" w14:textId="77777777" w:rsidR="001E494A" w:rsidRPr="00FA288E" w:rsidRDefault="001E494A" w:rsidP="00CA5E48">
            <w:pPr>
              <w:spacing w:line="216" w:lineRule="auto"/>
              <w:jc w:val="left"/>
              <w:rPr>
                <w:rFonts w:eastAsiaTheme="minorHAnsi" w:cs="Calibri"/>
                <w:sz w:val="20"/>
                <w:szCs w:val="20"/>
                <w:lang w:val="en-AU"/>
              </w:rPr>
            </w:pPr>
            <w:r w:rsidRPr="00FA288E">
              <w:rPr>
                <w:rFonts w:eastAsiaTheme="minorHAnsi" w:cs="Calibri"/>
                <w:sz w:val="20"/>
                <w:szCs w:val="20"/>
                <w:lang w:val="en-AU"/>
              </w:rPr>
              <w:t>On track to exceed target of 1800 teachers trained and provided Literacy and Numeracy materials</w:t>
            </w:r>
          </w:p>
        </w:tc>
      </w:tr>
      <w:tr w:rsidR="001E494A" w:rsidRPr="00FA288E" w14:paraId="284BB0D5" w14:textId="77777777" w:rsidTr="001E494A">
        <w:trPr>
          <w:trHeight w:val="244"/>
        </w:trPr>
        <w:tc>
          <w:tcPr>
            <w:tcW w:w="1142" w:type="dxa"/>
            <w:tcBorders>
              <w:bottom w:val="single" w:sz="4" w:space="0" w:color="auto"/>
            </w:tcBorders>
            <w:shd w:val="clear" w:color="auto" w:fill="262626" w:themeFill="text1" w:themeFillTint="D9"/>
          </w:tcPr>
          <w:p w14:paraId="2FDFC989" w14:textId="77777777" w:rsidR="001E494A" w:rsidRPr="00FA288E" w:rsidRDefault="001E494A" w:rsidP="00CA5E48">
            <w:pPr>
              <w:spacing w:line="216" w:lineRule="auto"/>
              <w:ind w:left="-22"/>
              <w:jc w:val="center"/>
              <w:rPr>
                <w:rFonts w:eastAsiaTheme="minorHAnsi" w:cs="Calibri"/>
                <w:sz w:val="20"/>
                <w:szCs w:val="20"/>
                <w:lang w:val="en-AU"/>
              </w:rPr>
            </w:pPr>
          </w:p>
        </w:tc>
        <w:tc>
          <w:tcPr>
            <w:tcW w:w="1547" w:type="dxa"/>
          </w:tcPr>
          <w:p w14:paraId="769DE857" w14:textId="77777777" w:rsidR="001E494A" w:rsidRPr="00FA288E" w:rsidRDefault="001E494A" w:rsidP="00CA5E48">
            <w:pPr>
              <w:spacing w:line="216" w:lineRule="auto"/>
              <w:rPr>
                <w:rFonts w:eastAsiaTheme="minorHAnsi" w:cs="Calibri"/>
                <w:sz w:val="20"/>
                <w:szCs w:val="20"/>
              </w:rPr>
            </w:pPr>
          </w:p>
        </w:tc>
        <w:tc>
          <w:tcPr>
            <w:tcW w:w="2604" w:type="dxa"/>
          </w:tcPr>
          <w:p w14:paraId="37435081" w14:textId="399079D0" w:rsidR="001E494A" w:rsidRPr="00FA288E" w:rsidRDefault="001E494A" w:rsidP="00CA5E48">
            <w:pPr>
              <w:spacing w:line="216" w:lineRule="auto"/>
              <w:jc w:val="left"/>
              <w:rPr>
                <w:rFonts w:eastAsiaTheme="minorHAnsi" w:cs="Calibri"/>
                <w:sz w:val="20"/>
                <w:szCs w:val="20"/>
                <w:lang w:val="en-AU"/>
              </w:rPr>
            </w:pPr>
            <w:r w:rsidRPr="00FA288E">
              <w:rPr>
                <w:rFonts w:eastAsiaTheme="minorHAnsi" w:cs="Calibri"/>
                <w:sz w:val="20"/>
                <w:szCs w:val="20"/>
                <w:lang w:val="en-AU"/>
              </w:rPr>
              <w:t>Semi-annual monitoring visits</w:t>
            </w:r>
          </w:p>
        </w:tc>
        <w:tc>
          <w:tcPr>
            <w:tcW w:w="2368" w:type="dxa"/>
          </w:tcPr>
          <w:p w14:paraId="2C74467F" w14:textId="77777777" w:rsidR="001E494A" w:rsidRPr="00FA288E" w:rsidRDefault="001E494A" w:rsidP="00CA5E48">
            <w:pPr>
              <w:spacing w:line="216" w:lineRule="auto"/>
              <w:jc w:val="left"/>
              <w:rPr>
                <w:rFonts w:eastAsiaTheme="minorHAnsi" w:cs="Calibri"/>
                <w:sz w:val="20"/>
                <w:szCs w:val="20"/>
                <w:lang w:val="en-AU"/>
              </w:rPr>
            </w:pPr>
            <w:r w:rsidRPr="00FA288E">
              <w:rPr>
                <w:rFonts w:eastAsiaTheme="minorHAnsi" w:cs="Calibri"/>
                <w:sz w:val="20"/>
                <w:szCs w:val="20"/>
                <w:lang w:val="en-AU"/>
              </w:rPr>
              <w:t>Limited progress due to competing activities and remoteness of some schools</w:t>
            </w:r>
          </w:p>
        </w:tc>
        <w:tc>
          <w:tcPr>
            <w:tcW w:w="2075" w:type="dxa"/>
          </w:tcPr>
          <w:p w14:paraId="03C1439E" w14:textId="77777777" w:rsidR="001E494A" w:rsidRPr="00FA288E" w:rsidRDefault="001E494A" w:rsidP="00CA5E48">
            <w:pPr>
              <w:spacing w:line="216" w:lineRule="auto"/>
              <w:jc w:val="left"/>
              <w:rPr>
                <w:rFonts w:eastAsiaTheme="minorHAnsi" w:cs="Calibri"/>
                <w:sz w:val="20"/>
                <w:szCs w:val="20"/>
                <w:lang w:val="en-AU"/>
              </w:rPr>
            </w:pPr>
            <w:r w:rsidRPr="00FA288E">
              <w:rPr>
                <w:rFonts w:eastAsiaTheme="minorHAnsi" w:cs="Calibri"/>
                <w:sz w:val="20"/>
                <w:szCs w:val="20"/>
                <w:lang w:val="en-AU"/>
              </w:rPr>
              <w:t>Intend to conduct additional monitoring visits in early 2020</w:t>
            </w:r>
          </w:p>
        </w:tc>
      </w:tr>
      <w:tr w:rsidR="001E494A" w:rsidRPr="00FA288E" w14:paraId="6F28D53A" w14:textId="77777777" w:rsidTr="00554EA4">
        <w:trPr>
          <w:trHeight w:val="2946"/>
        </w:trPr>
        <w:tc>
          <w:tcPr>
            <w:tcW w:w="1142" w:type="dxa"/>
            <w:shd w:val="clear" w:color="auto" w:fill="262626" w:themeFill="text1" w:themeFillTint="D9"/>
          </w:tcPr>
          <w:p w14:paraId="4B96408B" w14:textId="77777777" w:rsidR="001E494A" w:rsidRDefault="001E494A" w:rsidP="001E494A">
            <w:pPr>
              <w:spacing w:line="216" w:lineRule="auto"/>
              <w:ind w:left="-22"/>
              <w:jc w:val="center"/>
              <w:rPr>
                <w:rFonts w:eastAsiaTheme="minorHAnsi" w:cs="Calibri"/>
                <w:sz w:val="20"/>
                <w:szCs w:val="20"/>
                <w:lang w:val="en-AU"/>
              </w:rPr>
            </w:pPr>
            <w:r w:rsidRPr="00FA288E">
              <w:rPr>
                <w:rFonts w:eastAsiaTheme="minorHAnsi" w:cs="Calibri"/>
                <w:sz w:val="20"/>
                <w:szCs w:val="20"/>
                <w:lang w:val="en-AU"/>
              </w:rPr>
              <w:t>4E</w:t>
            </w:r>
          </w:p>
          <w:p w14:paraId="7D1D0281" w14:textId="77777777" w:rsidR="001E494A" w:rsidRPr="001E494A" w:rsidRDefault="001E494A" w:rsidP="001E494A">
            <w:pPr>
              <w:rPr>
                <w:rFonts w:eastAsiaTheme="minorHAnsi" w:cs="Calibri"/>
                <w:sz w:val="20"/>
                <w:szCs w:val="20"/>
              </w:rPr>
            </w:pPr>
          </w:p>
          <w:p w14:paraId="66B5709C" w14:textId="77777777" w:rsidR="001E494A" w:rsidRPr="001E494A" w:rsidRDefault="001E494A" w:rsidP="001E494A">
            <w:pPr>
              <w:rPr>
                <w:rFonts w:eastAsiaTheme="minorHAnsi" w:cs="Calibri"/>
                <w:sz w:val="20"/>
                <w:szCs w:val="20"/>
              </w:rPr>
            </w:pPr>
          </w:p>
          <w:p w14:paraId="00359353" w14:textId="77777777" w:rsidR="001E494A" w:rsidRPr="001E494A" w:rsidRDefault="001E494A" w:rsidP="001E494A">
            <w:pPr>
              <w:rPr>
                <w:rFonts w:eastAsiaTheme="minorHAnsi" w:cs="Calibri"/>
                <w:sz w:val="20"/>
                <w:szCs w:val="20"/>
              </w:rPr>
            </w:pPr>
          </w:p>
          <w:p w14:paraId="153ADB34" w14:textId="77777777" w:rsidR="001E494A" w:rsidRPr="001E494A" w:rsidRDefault="001E494A" w:rsidP="001E494A">
            <w:pPr>
              <w:rPr>
                <w:rFonts w:eastAsiaTheme="minorHAnsi" w:cs="Calibri"/>
                <w:sz w:val="20"/>
                <w:szCs w:val="20"/>
              </w:rPr>
            </w:pPr>
          </w:p>
          <w:p w14:paraId="03C6170D" w14:textId="77777777" w:rsidR="001E494A" w:rsidRPr="001E494A" w:rsidRDefault="001E494A" w:rsidP="001E494A">
            <w:pPr>
              <w:rPr>
                <w:rFonts w:eastAsiaTheme="minorHAnsi" w:cs="Calibri"/>
                <w:sz w:val="20"/>
                <w:szCs w:val="20"/>
              </w:rPr>
            </w:pPr>
          </w:p>
          <w:p w14:paraId="7C3A1FED" w14:textId="77777777" w:rsidR="001E494A" w:rsidRPr="001E494A" w:rsidRDefault="001E494A" w:rsidP="001E494A">
            <w:pPr>
              <w:rPr>
                <w:rFonts w:eastAsiaTheme="minorHAnsi" w:cs="Calibri"/>
                <w:sz w:val="20"/>
                <w:szCs w:val="20"/>
              </w:rPr>
            </w:pPr>
          </w:p>
          <w:p w14:paraId="42BBC7F5" w14:textId="77777777" w:rsidR="001E494A" w:rsidRPr="001E494A" w:rsidRDefault="001E494A" w:rsidP="001E494A">
            <w:pPr>
              <w:rPr>
                <w:rFonts w:eastAsiaTheme="minorHAnsi" w:cs="Calibri"/>
                <w:sz w:val="20"/>
                <w:szCs w:val="20"/>
              </w:rPr>
            </w:pPr>
          </w:p>
          <w:p w14:paraId="59BD4A0F" w14:textId="77777777" w:rsidR="001E494A" w:rsidRPr="001E494A" w:rsidRDefault="001E494A" w:rsidP="001E494A">
            <w:pPr>
              <w:rPr>
                <w:rFonts w:eastAsiaTheme="minorHAnsi" w:cs="Calibri"/>
                <w:sz w:val="20"/>
                <w:szCs w:val="20"/>
              </w:rPr>
            </w:pPr>
          </w:p>
          <w:p w14:paraId="1B4B57DF" w14:textId="77777777" w:rsidR="001E494A" w:rsidRDefault="001E494A" w:rsidP="001E494A">
            <w:pPr>
              <w:rPr>
                <w:rFonts w:eastAsiaTheme="minorHAnsi" w:cs="Calibri"/>
                <w:sz w:val="20"/>
                <w:szCs w:val="20"/>
                <w:lang w:val="en-AU"/>
              </w:rPr>
            </w:pPr>
          </w:p>
          <w:p w14:paraId="4D90B5B9" w14:textId="77777777" w:rsidR="001E494A" w:rsidRPr="001E494A" w:rsidRDefault="001E494A" w:rsidP="001E494A">
            <w:pPr>
              <w:rPr>
                <w:rFonts w:eastAsiaTheme="minorHAnsi" w:cs="Calibri"/>
                <w:sz w:val="20"/>
                <w:szCs w:val="20"/>
              </w:rPr>
            </w:pPr>
          </w:p>
          <w:p w14:paraId="46AEF897" w14:textId="77777777" w:rsidR="001E494A" w:rsidRPr="001E494A" w:rsidRDefault="001E494A" w:rsidP="001E494A">
            <w:pPr>
              <w:rPr>
                <w:rFonts w:eastAsiaTheme="minorHAnsi" w:cs="Calibri"/>
                <w:sz w:val="20"/>
                <w:szCs w:val="20"/>
              </w:rPr>
            </w:pPr>
          </w:p>
          <w:p w14:paraId="70771EA2" w14:textId="77777777" w:rsidR="001E494A" w:rsidRPr="001E494A" w:rsidRDefault="001E494A" w:rsidP="001E494A">
            <w:pPr>
              <w:rPr>
                <w:rFonts w:eastAsiaTheme="minorHAnsi" w:cs="Calibri"/>
                <w:sz w:val="20"/>
                <w:szCs w:val="20"/>
              </w:rPr>
            </w:pPr>
          </w:p>
          <w:p w14:paraId="206BA849" w14:textId="77777777" w:rsidR="001E494A" w:rsidRDefault="001E494A" w:rsidP="001E494A">
            <w:pPr>
              <w:rPr>
                <w:rFonts w:eastAsiaTheme="minorHAnsi" w:cs="Calibri"/>
                <w:sz w:val="20"/>
                <w:szCs w:val="20"/>
                <w:lang w:val="en-AU"/>
              </w:rPr>
            </w:pPr>
          </w:p>
          <w:p w14:paraId="40D715C7" w14:textId="77777777" w:rsidR="001E494A" w:rsidRPr="001E494A" w:rsidRDefault="001E494A" w:rsidP="001E494A">
            <w:pPr>
              <w:rPr>
                <w:rFonts w:eastAsiaTheme="minorHAnsi" w:cs="Calibri"/>
                <w:sz w:val="20"/>
                <w:szCs w:val="20"/>
              </w:rPr>
            </w:pPr>
          </w:p>
          <w:p w14:paraId="2C97CD3E" w14:textId="77777777" w:rsidR="001E494A" w:rsidRDefault="001E494A" w:rsidP="001E494A">
            <w:pPr>
              <w:rPr>
                <w:rFonts w:eastAsiaTheme="minorHAnsi" w:cs="Calibri"/>
                <w:sz w:val="20"/>
                <w:szCs w:val="20"/>
                <w:lang w:val="en-AU"/>
              </w:rPr>
            </w:pPr>
          </w:p>
          <w:p w14:paraId="7A1457D4" w14:textId="166B4737" w:rsidR="001E494A" w:rsidRPr="001E494A" w:rsidRDefault="001E494A" w:rsidP="001E494A">
            <w:pPr>
              <w:rPr>
                <w:rFonts w:eastAsiaTheme="minorHAnsi" w:cs="Calibri"/>
                <w:sz w:val="20"/>
                <w:szCs w:val="20"/>
              </w:rPr>
            </w:pPr>
          </w:p>
        </w:tc>
        <w:tc>
          <w:tcPr>
            <w:tcW w:w="1547" w:type="dxa"/>
          </w:tcPr>
          <w:p w14:paraId="651B9214" w14:textId="77777777" w:rsidR="001E494A" w:rsidRPr="00FA288E" w:rsidRDefault="001E494A" w:rsidP="001E494A">
            <w:pPr>
              <w:spacing w:line="216" w:lineRule="auto"/>
              <w:rPr>
                <w:rFonts w:eastAsiaTheme="minorHAnsi" w:cs="Calibri"/>
                <w:sz w:val="20"/>
                <w:szCs w:val="20"/>
              </w:rPr>
            </w:pPr>
            <w:r w:rsidRPr="00FA288E">
              <w:rPr>
                <w:rFonts w:eastAsiaTheme="minorHAnsi" w:cs="Calibri"/>
                <w:sz w:val="20"/>
                <w:szCs w:val="20"/>
                <w:lang w:val="en-AU"/>
              </w:rPr>
              <w:t>Midline: Teacher trained demonstrated 20.88 % higher use of appropriate teaching strategies (20.50 % at baseline compared to 41.38 % at midline)</w:t>
            </w:r>
            <w:r w:rsidRPr="00FA288E">
              <w:rPr>
                <w:rStyle w:val="FootnoteReference"/>
                <w:rFonts w:eastAsiaTheme="minorHAnsi" w:cs="Calibri"/>
                <w:sz w:val="20"/>
                <w:szCs w:val="20"/>
                <w:lang w:val="en-AU"/>
              </w:rPr>
              <w:footnoteReference w:id="31"/>
            </w:r>
          </w:p>
        </w:tc>
        <w:tc>
          <w:tcPr>
            <w:tcW w:w="2604" w:type="dxa"/>
          </w:tcPr>
          <w:p w14:paraId="797A67EF" w14:textId="264FF94C" w:rsidR="001E494A" w:rsidRPr="00FA288E" w:rsidRDefault="001E494A" w:rsidP="001E494A">
            <w:pPr>
              <w:spacing w:line="216" w:lineRule="auto"/>
              <w:jc w:val="left"/>
              <w:rPr>
                <w:rFonts w:eastAsiaTheme="minorHAnsi" w:cs="Calibri"/>
                <w:sz w:val="20"/>
                <w:szCs w:val="20"/>
                <w:lang w:val="en-AU"/>
              </w:rPr>
            </w:pPr>
            <w:r w:rsidRPr="00FA288E">
              <w:rPr>
                <w:rFonts w:eastAsiaTheme="minorHAnsi" w:cs="Calibri"/>
                <w:sz w:val="20"/>
                <w:szCs w:val="20"/>
                <w:lang w:val="en-AU"/>
              </w:rPr>
              <w:t>500 (250 per year) elementary teachers trained on Unlocking Literacy, SBC Numeracy and receive Teacher Resource Kits</w:t>
            </w:r>
          </w:p>
        </w:tc>
        <w:tc>
          <w:tcPr>
            <w:tcW w:w="2368" w:type="dxa"/>
          </w:tcPr>
          <w:p w14:paraId="67F228D8" w14:textId="77777777" w:rsidR="001E494A" w:rsidRPr="00FA288E" w:rsidRDefault="001E494A" w:rsidP="001E494A">
            <w:pPr>
              <w:spacing w:line="216" w:lineRule="auto"/>
              <w:jc w:val="left"/>
              <w:rPr>
                <w:rFonts w:eastAsiaTheme="minorHAnsi" w:cs="Calibri"/>
                <w:sz w:val="20"/>
                <w:szCs w:val="20"/>
                <w:lang w:val="en-AU"/>
              </w:rPr>
            </w:pPr>
            <w:r w:rsidRPr="00FA288E">
              <w:rPr>
                <w:rFonts w:eastAsiaTheme="minorHAnsi" w:cs="Calibri"/>
                <w:sz w:val="20"/>
                <w:szCs w:val="20"/>
                <w:lang w:val="en-AU"/>
              </w:rPr>
              <w:t xml:space="preserve">363 trained in Year 1 and received Resource Kits (including </w:t>
            </w:r>
            <w:proofErr w:type="spellStart"/>
            <w:r w:rsidRPr="00FA288E">
              <w:rPr>
                <w:rFonts w:eastAsiaTheme="minorHAnsi" w:cs="Calibri"/>
                <w:sz w:val="20"/>
                <w:szCs w:val="20"/>
                <w:lang w:val="en-AU"/>
              </w:rPr>
              <w:t>Bilum</w:t>
            </w:r>
            <w:proofErr w:type="spellEnd"/>
            <w:r w:rsidRPr="00FA288E">
              <w:rPr>
                <w:rFonts w:eastAsiaTheme="minorHAnsi" w:cs="Calibri"/>
                <w:sz w:val="20"/>
                <w:szCs w:val="20"/>
                <w:lang w:val="en-AU"/>
              </w:rPr>
              <w:t xml:space="preserve"> Books)</w:t>
            </w:r>
          </w:p>
        </w:tc>
        <w:tc>
          <w:tcPr>
            <w:tcW w:w="2075" w:type="dxa"/>
          </w:tcPr>
          <w:p w14:paraId="5015CB66" w14:textId="77777777" w:rsidR="001E494A" w:rsidRPr="00FA288E" w:rsidRDefault="001E494A" w:rsidP="001E494A">
            <w:pPr>
              <w:spacing w:line="216" w:lineRule="auto"/>
              <w:jc w:val="left"/>
              <w:rPr>
                <w:rFonts w:eastAsiaTheme="minorHAnsi" w:cs="Calibri"/>
                <w:sz w:val="20"/>
                <w:szCs w:val="20"/>
                <w:lang w:val="en-AU"/>
              </w:rPr>
            </w:pPr>
            <w:r w:rsidRPr="00FA288E">
              <w:rPr>
                <w:rFonts w:eastAsiaTheme="minorHAnsi" w:cs="Calibri"/>
                <w:sz w:val="20"/>
                <w:szCs w:val="20"/>
                <w:lang w:val="en-AU"/>
              </w:rPr>
              <w:t>On track to exceed target of 500 teacher trained and provided Resource Kits</w:t>
            </w:r>
          </w:p>
        </w:tc>
      </w:tr>
      <w:tr w:rsidR="001E494A" w:rsidRPr="00FA288E" w14:paraId="32897E07" w14:textId="77777777" w:rsidTr="001E494A">
        <w:trPr>
          <w:trHeight w:val="253"/>
        </w:trPr>
        <w:tc>
          <w:tcPr>
            <w:tcW w:w="1142" w:type="dxa"/>
            <w:shd w:val="clear" w:color="auto" w:fill="262626" w:themeFill="text1" w:themeFillTint="D9"/>
          </w:tcPr>
          <w:p w14:paraId="0C8915B9" w14:textId="77777777" w:rsidR="001E494A" w:rsidRPr="00FA288E" w:rsidRDefault="001E494A" w:rsidP="001E494A">
            <w:pPr>
              <w:spacing w:line="216" w:lineRule="auto"/>
              <w:ind w:left="-22"/>
              <w:jc w:val="center"/>
              <w:rPr>
                <w:rFonts w:eastAsiaTheme="minorHAnsi" w:cs="Calibri"/>
                <w:sz w:val="20"/>
                <w:szCs w:val="20"/>
                <w:lang w:val="en-AU"/>
              </w:rPr>
            </w:pPr>
          </w:p>
        </w:tc>
        <w:tc>
          <w:tcPr>
            <w:tcW w:w="1547" w:type="dxa"/>
          </w:tcPr>
          <w:p w14:paraId="7134B41F" w14:textId="77777777" w:rsidR="001E494A" w:rsidRPr="00FA288E" w:rsidRDefault="001E494A" w:rsidP="001E494A">
            <w:pPr>
              <w:spacing w:line="216" w:lineRule="auto"/>
              <w:rPr>
                <w:rFonts w:eastAsiaTheme="minorHAnsi" w:cs="Calibri"/>
                <w:sz w:val="20"/>
                <w:szCs w:val="20"/>
              </w:rPr>
            </w:pPr>
          </w:p>
        </w:tc>
        <w:tc>
          <w:tcPr>
            <w:tcW w:w="2604" w:type="dxa"/>
          </w:tcPr>
          <w:p w14:paraId="0213133B" w14:textId="5B233853" w:rsidR="001E494A" w:rsidRPr="00FA288E" w:rsidRDefault="001E494A" w:rsidP="001E494A">
            <w:pPr>
              <w:spacing w:line="216" w:lineRule="auto"/>
              <w:jc w:val="left"/>
              <w:rPr>
                <w:rFonts w:eastAsiaTheme="minorHAnsi" w:cs="Calibri"/>
                <w:sz w:val="20"/>
                <w:szCs w:val="20"/>
                <w:lang w:val="en-AU"/>
              </w:rPr>
            </w:pPr>
            <w:r w:rsidRPr="00FA288E">
              <w:rPr>
                <w:rFonts w:eastAsiaTheme="minorHAnsi" w:cs="Calibri"/>
                <w:sz w:val="20"/>
                <w:szCs w:val="20"/>
                <w:lang w:val="en-AU"/>
              </w:rPr>
              <w:t>Quarterly monitoring visits</w:t>
            </w:r>
          </w:p>
        </w:tc>
        <w:tc>
          <w:tcPr>
            <w:tcW w:w="2368" w:type="dxa"/>
          </w:tcPr>
          <w:p w14:paraId="30D57AAD" w14:textId="77777777" w:rsidR="001E494A" w:rsidRPr="00FA288E" w:rsidRDefault="001E494A" w:rsidP="001E494A">
            <w:pPr>
              <w:spacing w:line="216" w:lineRule="auto"/>
              <w:jc w:val="left"/>
              <w:rPr>
                <w:rFonts w:eastAsiaTheme="minorHAnsi" w:cs="Calibri"/>
                <w:sz w:val="20"/>
                <w:szCs w:val="20"/>
                <w:lang w:val="en-AU"/>
              </w:rPr>
            </w:pPr>
            <w:r w:rsidRPr="00FA288E">
              <w:rPr>
                <w:rFonts w:eastAsiaTheme="minorHAnsi" w:cs="Calibri"/>
                <w:sz w:val="20"/>
                <w:szCs w:val="20"/>
                <w:lang w:val="en-AU"/>
              </w:rPr>
              <w:t>Reported as accomplished</w:t>
            </w:r>
          </w:p>
        </w:tc>
        <w:tc>
          <w:tcPr>
            <w:tcW w:w="2075" w:type="dxa"/>
          </w:tcPr>
          <w:p w14:paraId="08D01A31" w14:textId="77777777" w:rsidR="001E494A" w:rsidRPr="00FA288E" w:rsidRDefault="001E494A" w:rsidP="001E494A">
            <w:pPr>
              <w:spacing w:line="216" w:lineRule="auto"/>
              <w:jc w:val="left"/>
              <w:rPr>
                <w:rFonts w:eastAsiaTheme="minorHAnsi" w:cs="Calibri"/>
                <w:sz w:val="20"/>
                <w:szCs w:val="20"/>
                <w:lang w:val="en-AU"/>
              </w:rPr>
            </w:pPr>
            <w:r w:rsidRPr="00FA288E">
              <w:rPr>
                <w:rFonts w:eastAsiaTheme="minorHAnsi" w:cs="Calibri"/>
                <w:sz w:val="20"/>
                <w:szCs w:val="20"/>
                <w:lang w:val="en-AU"/>
              </w:rPr>
              <w:t xml:space="preserve">On track to meet target of all schools to </w:t>
            </w:r>
            <w:r w:rsidRPr="00FA288E">
              <w:rPr>
                <w:rFonts w:eastAsiaTheme="minorHAnsi" w:cs="Calibri"/>
                <w:sz w:val="20"/>
                <w:szCs w:val="20"/>
                <w:lang w:val="en-AU"/>
              </w:rPr>
              <w:lastRenderedPageBreak/>
              <w:t>receive monitoring visits quarterly</w:t>
            </w:r>
          </w:p>
        </w:tc>
      </w:tr>
      <w:tr w:rsidR="001E494A" w:rsidRPr="00FA288E" w14:paraId="1FE5B0E0" w14:textId="77777777" w:rsidTr="001E494A">
        <w:trPr>
          <w:trHeight w:val="490"/>
        </w:trPr>
        <w:tc>
          <w:tcPr>
            <w:tcW w:w="1142" w:type="dxa"/>
            <w:shd w:val="clear" w:color="auto" w:fill="262626" w:themeFill="text1" w:themeFillTint="D9"/>
          </w:tcPr>
          <w:p w14:paraId="5FB49D2C" w14:textId="77777777" w:rsidR="001E494A" w:rsidRPr="00FA288E" w:rsidRDefault="001E494A" w:rsidP="001E494A">
            <w:pPr>
              <w:spacing w:line="216" w:lineRule="auto"/>
              <w:ind w:left="-22"/>
              <w:jc w:val="center"/>
              <w:rPr>
                <w:rFonts w:eastAsiaTheme="minorHAnsi" w:cs="Calibri"/>
                <w:sz w:val="20"/>
                <w:szCs w:val="20"/>
                <w:lang w:val="en-AU"/>
              </w:rPr>
            </w:pPr>
          </w:p>
        </w:tc>
        <w:tc>
          <w:tcPr>
            <w:tcW w:w="1547" w:type="dxa"/>
          </w:tcPr>
          <w:p w14:paraId="0C45585E" w14:textId="77777777" w:rsidR="001E494A" w:rsidRPr="00FA288E" w:rsidRDefault="001E494A" w:rsidP="001E494A">
            <w:pPr>
              <w:spacing w:line="216" w:lineRule="auto"/>
              <w:rPr>
                <w:rFonts w:eastAsiaTheme="minorHAnsi" w:cs="Calibri"/>
                <w:sz w:val="20"/>
                <w:szCs w:val="20"/>
              </w:rPr>
            </w:pPr>
          </w:p>
        </w:tc>
        <w:tc>
          <w:tcPr>
            <w:tcW w:w="2604" w:type="dxa"/>
          </w:tcPr>
          <w:p w14:paraId="2EFE7787" w14:textId="3540A6A2" w:rsidR="001E494A" w:rsidRPr="00FA288E" w:rsidRDefault="001E494A" w:rsidP="001E494A">
            <w:pPr>
              <w:spacing w:line="216" w:lineRule="auto"/>
              <w:jc w:val="left"/>
              <w:rPr>
                <w:rFonts w:eastAsiaTheme="minorHAnsi" w:cs="Calibri"/>
                <w:sz w:val="20"/>
                <w:szCs w:val="20"/>
                <w:lang w:val="en-AU"/>
              </w:rPr>
            </w:pPr>
            <w:r w:rsidRPr="00FA288E">
              <w:rPr>
                <w:rFonts w:eastAsiaTheme="minorHAnsi" w:cs="Calibri"/>
                <w:sz w:val="20"/>
                <w:szCs w:val="20"/>
                <w:lang w:val="en-AU"/>
              </w:rPr>
              <w:t>Number of Resource Teachers (no target set)</w:t>
            </w:r>
          </w:p>
        </w:tc>
        <w:tc>
          <w:tcPr>
            <w:tcW w:w="2368" w:type="dxa"/>
          </w:tcPr>
          <w:p w14:paraId="733C4803" w14:textId="77777777" w:rsidR="001E494A" w:rsidRPr="00FA288E" w:rsidRDefault="001E494A" w:rsidP="001E494A">
            <w:pPr>
              <w:spacing w:line="216" w:lineRule="auto"/>
              <w:jc w:val="left"/>
              <w:rPr>
                <w:rFonts w:eastAsiaTheme="minorHAnsi" w:cs="Calibri"/>
                <w:sz w:val="20"/>
                <w:szCs w:val="20"/>
                <w:lang w:val="en-AU"/>
              </w:rPr>
            </w:pPr>
            <w:r w:rsidRPr="00FA288E">
              <w:rPr>
                <w:rFonts w:eastAsiaTheme="minorHAnsi" w:cs="Calibri"/>
                <w:sz w:val="20"/>
                <w:szCs w:val="20"/>
                <w:lang w:val="en-AU"/>
              </w:rPr>
              <w:t>26 Resource Teachers trained and facilitating discussions</w:t>
            </w:r>
          </w:p>
        </w:tc>
        <w:tc>
          <w:tcPr>
            <w:tcW w:w="2075" w:type="dxa"/>
          </w:tcPr>
          <w:p w14:paraId="6AA3905A" w14:textId="77777777" w:rsidR="001E494A" w:rsidRPr="00FA288E" w:rsidRDefault="001E494A" w:rsidP="001E494A">
            <w:pPr>
              <w:spacing w:line="216" w:lineRule="auto"/>
              <w:jc w:val="left"/>
              <w:rPr>
                <w:rFonts w:eastAsiaTheme="minorHAnsi" w:cs="Calibri"/>
                <w:sz w:val="20"/>
                <w:szCs w:val="20"/>
                <w:lang w:val="en-AU"/>
              </w:rPr>
            </w:pPr>
            <w:r w:rsidRPr="00FA288E">
              <w:rPr>
                <w:rFonts w:eastAsiaTheme="minorHAnsi" w:cs="Calibri"/>
                <w:sz w:val="20"/>
                <w:szCs w:val="20"/>
                <w:lang w:val="en-AU"/>
              </w:rPr>
              <w:t>No increase in number of Resource Teachers planned. Continuing support to be provided to the 26</w:t>
            </w:r>
          </w:p>
        </w:tc>
      </w:tr>
      <w:tr w:rsidR="00FC28C2" w:rsidRPr="00FA288E" w14:paraId="60B0F8D5" w14:textId="77777777" w:rsidTr="001E494A">
        <w:trPr>
          <w:trHeight w:val="359"/>
        </w:trPr>
        <w:tc>
          <w:tcPr>
            <w:tcW w:w="1142" w:type="dxa"/>
            <w:shd w:val="clear" w:color="auto" w:fill="262626" w:themeFill="text1" w:themeFillTint="D9"/>
          </w:tcPr>
          <w:p w14:paraId="11267C78" w14:textId="77777777" w:rsidR="00FC28C2" w:rsidRPr="00FA288E" w:rsidRDefault="00FC28C2" w:rsidP="001E494A">
            <w:pPr>
              <w:spacing w:line="216" w:lineRule="auto"/>
              <w:ind w:left="-22"/>
              <w:jc w:val="center"/>
              <w:rPr>
                <w:rFonts w:eastAsiaTheme="minorHAnsi" w:cs="Calibri"/>
                <w:sz w:val="20"/>
                <w:szCs w:val="20"/>
                <w:lang w:val="en-AU"/>
              </w:rPr>
            </w:pPr>
            <w:r w:rsidRPr="00FA288E">
              <w:rPr>
                <w:rFonts w:eastAsiaTheme="minorHAnsi" w:cs="Calibri"/>
                <w:sz w:val="20"/>
                <w:szCs w:val="20"/>
                <w:lang w:val="en-AU"/>
              </w:rPr>
              <w:t>PKS</w:t>
            </w:r>
          </w:p>
        </w:tc>
        <w:tc>
          <w:tcPr>
            <w:tcW w:w="1547" w:type="dxa"/>
          </w:tcPr>
          <w:p w14:paraId="07F1366D" w14:textId="77777777" w:rsidR="00FC28C2" w:rsidRPr="00FA288E" w:rsidRDefault="00FC28C2" w:rsidP="001E494A">
            <w:pPr>
              <w:spacing w:line="216" w:lineRule="auto"/>
              <w:rPr>
                <w:rFonts w:eastAsiaTheme="minorHAnsi" w:cs="Calibri"/>
                <w:sz w:val="20"/>
                <w:szCs w:val="20"/>
              </w:rPr>
            </w:pPr>
          </w:p>
        </w:tc>
        <w:tc>
          <w:tcPr>
            <w:tcW w:w="2604" w:type="dxa"/>
          </w:tcPr>
          <w:p w14:paraId="0C81CEEE" w14:textId="1D7E0E24" w:rsidR="00FC28C2" w:rsidRPr="00FA288E" w:rsidRDefault="00FC28C2" w:rsidP="001E494A">
            <w:pPr>
              <w:spacing w:line="216" w:lineRule="auto"/>
              <w:jc w:val="left"/>
              <w:rPr>
                <w:rFonts w:eastAsiaTheme="minorHAnsi" w:cs="Calibri"/>
                <w:sz w:val="20"/>
                <w:szCs w:val="20"/>
                <w:lang w:val="en-AU"/>
              </w:rPr>
            </w:pPr>
            <w:r w:rsidRPr="00FA288E">
              <w:rPr>
                <w:rFonts w:eastAsiaTheme="minorHAnsi" w:cs="Calibri"/>
                <w:sz w:val="20"/>
                <w:szCs w:val="20"/>
                <w:lang w:val="en-AU"/>
              </w:rPr>
              <w:t xml:space="preserve">941 teachers trained on SBC English and Math – and provided with SBC teacher’s guides and Secure Digital (SD) cards </w:t>
            </w:r>
          </w:p>
        </w:tc>
        <w:tc>
          <w:tcPr>
            <w:tcW w:w="2368" w:type="dxa"/>
          </w:tcPr>
          <w:p w14:paraId="6AEC30F0" w14:textId="77777777" w:rsidR="00FC28C2" w:rsidRPr="00FA288E" w:rsidRDefault="00FC28C2" w:rsidP="001E494A">
            <w:pPr>
              <w:spacing w:line="216" w:lineRule="auto"/>
              <w:jc w:val="left"/>
              <w:rPr>
                <w:rFonts w:eastAsiaTheme="minorHAnsi" w:cs="Calibri"/>
                <w:sz w:val="20"/>
                <w:szCs w:val="20"/>
                <w:lang w:val="en-AU"/>
              </w:rPr>
            </w:pPr>
            <w:r w:rsidRPr="00FA288E">
              <w:rPr>
                <w:rFonts w:eastAsiaTheme="minorHAnsi" w:cs="Calibri"/>
                <w:sz w:val="20"/>
                <w:szCs w:val="20"/>
                <w:lang w:val="en-AU"/>
              </w:rPr>
              <w:t>1,313 trained and provided teacher guides and SD cards with guides, reading materials, songs and teaching videos</w:t>
            </w:r>
          </w:p>
        </w:tc>
        <w:tc>
          <w:tcPr>
            <w:tcW w:w="2075" w:type="dxa"/>
          </w:tcPr>
          <w:p w14:paraId="021E5509" w14:textId="77777777" w:rsidR="00FC28C2" w:rsidRPr="00FA288E" w:rsidRDefault="00FC28C2" w:rsidP="001E494A">
            <w:pPr>
              <w:spacing w:line="216" w:lineRule="auto"/>
              <w:jc w:val="left"/>
              <w:rPr>
                <w:rFonts w:eastAsiaTheme="minorHAnsi" w:cs="Calibri"/>
                <w:sz w:val="20"/>
                <w:szCs w:val="20"/>
                <w:lang w:val="en-AU"/>
              </w:rPr>
            </w:pPr>
            <w:r w:rsidRPr="00FA288E">
              <w:rPr>
                <w:rFonts w:eastAsiaTheme="minorHAnsi" w:cs="Calibri"/>
                <w:sz w:val="20"/>
                <w:szCs w:val="20"/>
                <w:lang w:val="en-AU"/>
              </w:rPr>
              <w:t>Target of teachers trained and provided teacher guides and SD cards has been exceeded</w:t>
            </w:r>
          </w:p>
        </w:tc>
      </w:tr>
      <w:tr w:rsidR="00FC28C2" w:rsidRPr="00FA288E" w14:paraId="385D1667" w14:textId="77777777" w:rsidTr="001E494A">
        <w:trPr>
          <w:trHeight w:val="244"/>
        </w:trPr>
        <w:tc>
          <w:tcPr>
            <w:tcW w:w="1142" w:type="dxa"/>
            <w:shd w:val="clear" w:color="auto" w:fill="262626" w:themeFill="text1" w:themeFillTint="D9"/>
          </w:tcPr>
          <w:p w14:paraId="0046F6ED" w14:textId="77777777" w:rsidR="00FC28C2" w:rsidRPr="00FA288E" w:rsidRDefault="00FC28C2" w:rsidP="001E494A">
            <w:pPr>
              <w:spacing w:line="216" w:lineRule="auto"/>
              <w:ind w:left="-22"/>
              <w:jc w:val="center"/>
              <w:rPr>
                <w:rFonts w:eastAsiaTheme="minorHAnsi" w:cs="Calibri"/>
                <w:sz w:val="20"/>
                <w:szCs w:val="20"/>
                <w:lang w:val="en-AU"/>
              </w:rPr>
            </w:pPr>
          </w:p>
        </w:tc>
        <w:tc>
          <w:tcPr>
            <w:tcW w:w="1547" w:type="dxa"/>
          </w:tcPr>
          <w:p w14:paraId="46AEC85F" w14:textId="77777777" w:rsidR="00FC28C2" w:rsidRPr="00FA288E" w:rsidRDefault="00FC28C2" w:rsidP="001E494A">
            <w:pPr>
              <w:spacing w:line="216" w:lineRule="auto"/>
              <w:rPr>
                <w:rFonts w:eastAsiaTheme="minorHAnsi" w:cs="Calibri"/>
                <w:sz w:val="20"/>
                <w:szCs w:val="20"/>
              </w:rPr>
            </w:pPr>
          </w:p>
        </w:tc>
        <w:tc>
          <w:tcPr>
            <w:tcW w:w="2604" w:type="dxa"/>
          </w:tcPr>
          <w:p w14:paraId="3D7B89A9" w14:textId="4B98F9AA" w:rsidR="00FC28C2" w:rsidRPr="00FA288E" w:rsidRDefault="00FC28C2" w:rsidP="001E494A">
            <w:pPr>
              <w:spacing w:line="216" w:lineRule="auto"/>
              <w:jc w:val="left"/>
              <w:rPr>
                <w:rFonts w:eastAsiaTheme="minorHAnsi" w:cs="Calibri"/>
                <w:sz w:val="20"/>
                <w:szCs w:val="20"/>
                <w:lang w:val="en-AU"/>
              </w:rPr>
            </w:pPr>
            <w:r w:rsidRPr="00FA288E">
              <w:rPr>
                <w:rFonts w:eastAsiaTheme="minorHAnsi" w:cs="Calibri"/>
                <w:sz w:val="20"/>
                <w:szCs w:val="20"/>
                <w:lang w:val="en-AU"/>
              </w:rPr>
              <w:t>Increase supervisory visits (no target)</w:t>
            </w:r>
          </w:p>
        </w:tc>
        <w:tc>
          <w:tcPr>
            <w:tcW w:w="2368" w:type="dxa"/>
          </w:tcPr>
          <w:p w14:paraId="475CEEA3" w14:textId="77777777" w:rsidR="00FC28C2" w:rsidRPr="00FA288E" w:rsidRDefault="00FC28C2" w:rsidP="001E494A">
            <w:pPr>
              <w:spacing w:line="216" w:lineRule="auto"/>
              <w:jc w:val="left"/>
              <w:rPr>
                <w:rFonts w:eastAsiaTheme="minorHAnsi" w:cs="Calibri"/>
                <w:sz w:val="20"/>
                <w:szCs w:val="20"/>
                <w:lang w:val="en-AU"/>
              </w:rPr>
            </w:pPr>
            <w:r w:rsidRPr="00FA288E">
              <w:rPr>
                <w:rFonts w:eastAsiaTheme="minorHAnsi" w:cs="Calibri"/>
                <w:sz w:val="20"/>
                <w:szCs w:val="20"/>
                <w:lang w:val="en-AU"/>
              </w:rPr>
              <w:t>No evidence provided to indicate number/frequency of supervisory visits</w:t>
            </w:r>
          </w:p>
        </w:tc>
        <w:tc>
          <w:tcPr>
            <w:tcW w:w="2075" w:type="dxa"/>
          </w:tcPr>
          <w:p w14:paraId="533BCE10" w14:textId="77777777" w:rsidR="00FC28C2" w:rsidRPr="00FA288E" w:rsidRDefault="00FC28C2" w:rsidP="001E494A">
            <w:pPr>
              <w:spacing w:line="216" w:lineRule="auto"/>
              <w:jc w:val="left"/>
              <w:rPr>
                <w:rFonts w:eastAsiaTheme="minorHAnsi" w:cs="Calibri"/>
                <w:sz w:val="20"/>
                <w:szCs w:val="20"/>
                <w:lang w:val="en-AU"/>
              </w:rPr>
            </w:pPr>
            <w:r w:rsidRPr="00FA288E">
              <w:rPr>
                <w:rFonts w:eastAsiaTheme="minorHAnsi" w:cs="Calibri"/>
                <w:sz w:val="20"/>
                <w:szCs w:val="20"/>
                <w:lang w:val="en-AU"/>
              </w:rPr>
              <w:t>Unable to determine. Reporting of visits is required</w:t>
            </w:r>
          </w:p>
        </w:tc>
      </w:tr>
      <w:tr w:rsidR="00FC28C2" w:rsidRPr="00FA288E" w14:paraId="59F041C0" w14:textId="77777777" w:rsidTr="001E494A">
        <w:trPr>
          <w:trHeight w:val="253"/>
        </w:trPr>
        <w:tc>
          <w:tcPr>
            <w:tcW w:w="1142" w:type="dxa"/>
            <w:shd w:val="clear" w:color="auto" w:fill="262626" w:themeFill="text1" w:themeFillTint="D9"/>
          </w:tcPr>
          <w:p w14:paraId="6631380B" w14:textId="77777777" w:rsidR="00FC28C2" w:rsidRPr="00FA288E" w:rsidRDefault="00FC28C2" w:rsidP="001E494A">
            <w:pPr>
              <w:spacing w:line="216" w:lineRule="auto"/>
              <w:ind w:left="-22"/>
              <w:jc w:val="center"/>
              <w:rPr>
                <w:rFonts w:eastAsiaTheme="minorHAnsi" w:cs="Calibri"/>
                <w:sz w:val="20"/>
                <w:szCs w:val="20"/>
                <w:lang w:val="en-AU"/>
              </w:rPr>
            </w:pPr>
          </w:p>
        </w:tc>
        <w:tc>
          <w:tcPr>
            <w:tcW w:w="1547" w:type="dxa"/>
          </w:tcPr>
          <w:p w14:paraId="4B791C80" w14:textId="77777777" w:rsidR="00FC28C2" w:rsidRPr="00FA288E" w:rsidRDefault="00FC28C2" w:rsidP="001E494A">
            <w:pPr>
              <w:spacing w:line="216" w:lineRule="auto"/>
              <w:rPr>
                <w:rFonts w:eastAsiaTheme="minorHAnsi" w:cs="Calibri"/>
                <w:sz w:val="20"/>
                <w:szCs w:val="20"/>
              </w:rPr>
            </w:pPr>
          </w:p>
        </w:tc>
        <w:tc>
          <w:tcPr>
            <w:tcW w:w="2604" w:type="dxa"/>
          </w:tcPr>
          <w:p w14:paraId="093FFAE8" w14:textId="3C84BDFB" w:rsidR="00FC28C2" w:rsidRPr="00FA288E" w:rsidRDefault="00FC28C2" w:rsidP="001E494A">
            <w:pPr>
              <w:spacing w:line="216" w:lineRule="auto"/>
              <w:jc w:val="left"/>
              <w:rPr>
                <w:rFonts w:eastAsiaTheme="minorHAnsi" w:cs="Calibri"/>
                <w:sz w:val="20"/>
                <w:szCs w:val="20"/>
                <w:lang w:val="en-AU"/>
              </w:rPr>
            </w:pPr>
            <w:r w:rsidRPr="00FA288E">
              <w:rPr>
                <w:rFonts w:eastAsiaTheme="minorHAnsi" w:cs="Calibri"/>
                <w:sz w:val="20"/>
                <w:szCs w:val="20"/>
                <w:lang w:val="en-AU"/>
              </w:rPr>
              <w:t>300 teachers enrolled in the Early Childhood Education Diploma</w:t>
            </w:r>
          </w:p>
        </w:tc>
        <w:tc>
          <w:tcPr>
            <w:tcW w:w="2368" w:type="dxa"/>
          </w:tcPr>
          <w:p w14:paraId="768941E3" w14:textId="77777777" w:rsidR="00FC28C2" w:rsidRPr="00FA288E" w:rsidRDefault="00FC28C2" w:rsidP="001E494A">
            <w:pPr>
              <w:spacing w:line="216" w:lineRule="auto"/>
              <w:jc w:val="left"/>
              <w:rPr>
                <w:rFonts w:eastAsiaTheme="minorHAnsi" w:cs="Calibri"/>
                <w:sz w:val="20"/>
                <w:szCs w:val="20"/>
                <w:lang w:val="en-AU"/>
              </w:rPr>
            </w:pPr>
            <w:r w:rsidRPr="00FA288E">
              <w:rPr>
                <w:rFonts w:eastAsiaTheme="minorHAnsi" w:cs="Calibri"/>
                <w:sz w:val="20"/>
                <w:szCs w:val="20"/>
                <w:lang w:val="en-AU"/>
              </w:rPr>
              <w:t>289 of 297 teachers enrolled have completed 6 of 16 modules of the Early Childhood Education Diploma. Teachers are reported to be struggling to keep up with requirements</w:t>
            </w:r>
          </w:p>
        </w:tc>
        <w:tc>
          <w:tcPr>
            <w:tcW w:w="2075" w:type="dxa"/>
          </w:tcPr>
          <w:p w14:paraId="0AB196BB" w14:textId="77777777" w:rsidR="00FC28C2" w:rsidRPr="00FA288E" w:rsidRDefault="00FC28C2" w:rsidP="001E494A">
            <w:pPr>
              <w:spacing w:line="216" w:lineRule="auto"/>
              <w:jc w:val="left"/>
              <w:rPr>
                <w:rFonts w:eastAsiaTheme="minorHAnsi" w:cs="Calibri"/>
                <w:sz w:val="20"/>
                <w:szCs w:val="20"/>
                <w:lang w:val="en-AU"/>
              </w:rPr>
            </w:pPr>
            <w:r w:rsidRPr="00FA288E">
              <w:rPr>
                <w:rFonts w:eastAsiaTheme="minorHAnsi" w:cs="Calibri"/>
                <w:sz w:val="20"/>
                <w:szCs w:val="20"/>
                <w:lang w:val="en-AU"/>
              </w:rPr>
              <w:t>Teachers will not likely complete the two-year diploma course during the life of the project. Additional time will be needed beyond April 2020 for completion</w:t>
            </w:r>
          </w:p>
        </w:tc>
      </w:tr>
      <w:tr w:rsidR="00FC28C2" w:rsidRPr="00FA288E" w14:paraId="5134D831" w14:textId="77777777" w:rsidTr="001E494A">
        <w:trPr>
          <w:trHeight w:val="490"/>
        </w:trPr>
        <w:tc>
          <w:tcPr>
            <w:tcW w:w="1142" w:type="dxa"/>
            <w:shd w:val="clear" w:color="auto" w:fill="262626" w:themeFill="text1" w:themeFillTint="D9"/>
          </w:tcPr>
          <w:p w14:paraId="711736F7" w14:textId="77777777" w:rsidR="00FC28C2" w:rsidRPr="00FA288E" w:rsidRDefault="00FC28C2" w:rsidP="001E494A">
            <w:pPr>
              <w:spacing w:line="216" w:lineRule="auto"/>
              <w:ind w:left="-22"/>
              <w:jc w:val="center"/>
              <w:rPr>
                <w:rFonts w:eastAsiaTheme="minorHAnsi" w:cs="Calibri"/>
                <w:sz w:val="20"/>
                <w:szCs w:val="20"/>
                <w:lang w:val="en-AU"/>
              </w:rPr>
            </w:pPr>
          </w:p>
        </w:tc>
        <w:tc>
          <w:tcPr>
            <w:tcW w:w="1547" w:type="dxa"/>
          </w:tcPr>
          <w:p w14:paraId="565261A3" w14:textId="77777777" w:rsidR="00FC28C2" w:rsidRPr="00FA288E" w:rsidRDefault="00FC28C2" w:rsidP="001E494A">
            <w:pPr>
              <w:spacing w:line="216" w:lineRule="auto"/>
              <w:rPr>
                <w:rFonts w:eastAsiaTheme="minorHAnsi" w:cs="Calibri"/>
                <w:sz w:val="20"/>
                <w:szCs w:val="20"/>
              </w:rPr>
            </w:pPr>
          </w:p>
        </w:tc>
        <w:tc>
          <w:tcPr>
            <w:tcW w:w="2604" w:type="dxa"/>
          </w:tcPr>
          <w:p w14:paraId="22A4A83B" w14:textId="027ED231" w:rsidR="00FC28C2" w:rsidRPr="00FA288E" w:rsidRDefault="00FC28C2" w:rsidP="001E494A">
            <w:pPr>
              <w:spacing w:line="216" w:lineRule="auto"/>
              <w:jc w:val="left"/>
              <w:rPr>
                <w:rFonts w:eastAsiaTheme="minorHAnsi" w:cs="Calibri"/>
                <w:sz w:val="20"/>
                <w:szCs w:val="20"/>
                <w:lang w:val="en-AU"/>
              </w:rPr>
            </w:pPr>
            <w:r w:rsidRPr="00FA288E">
              <w:rPr>
                <w:rFonts w:eastAsiaTheme="minorHAnsi" w:cs="Calibri"/>
                <w:sz w:val="20"/>
                <w:szCs w:val="20"/>
                <w:lang w:val="en-AU"/>
              </w:rPr>
              <w:t>30 female teachers enrolled in Certificate in Elementary Education</w:t>
            </w:r>
          </w:p>
        </w:tc>
        <w:tc>
          <w:tcPr>
            <w:tcW w:w="2368" w:type="dxa"/>
          </w:tcPr>
          <w:p w14:paraId="21D694B6" w14:textId="704CBB36" w:rsidR="00FC28C2" w:rsidRPr="00FA288E" w:rsidRDefault="00FC28C2" w:rsidP="001E494A">
            <w:pPr>
              <w:spacing w:line="216" w:lineRule="auto"/>
              <w:jc w:val="left"/>
              <w:rPr>
                <w:rFonts w:eastAsiaTheme="minorHAnsi" w:cs="Calibri"/>
                <w:sz w:val="20"/>
                <w:szCs w:val="20"/>
                <w:lang w:val="en-AU"/>
              </w:rPr>
            </w:pPr>
            <w:r w:rsidRPr="00FA288E">
              <w:rPr>
                <w:rFonts w:eastAsiaTheme="minorHAnsi" w:cs="Calibri"/>
                <w:sz w:val="20"/>
                <w:szCs w:val="20"/>
                <w:lang w:val="en-AU"/>
              </w:rPr>
              <w:t xml:space="preserve">31 female and 6 male teachers enrolled in </w:t>
            </w:r>
            <w:r w:rsidRPr="00FA288E">
              <w:rPr>
                <w:rFonts w:cs="Calibri"/>
                <w:sz w:val="19"/>
                <w:szCs w:val="19"/>
                <w:lang w:val="en-AU"/>
              </w:rPr>
              <w:t>Flexible, Open and Distance Education to prepare for enrolment in the Certificate in Elementary Education. Target to enrol in the certificate has been dropped</w:t>
            </w:r>
          </w:p>
        </w:tc>
        <w:tc>
          <w:tcPr>
            <w:tcW w:w="2075" w:type="dxa"/>
          </w:tcPr>
          <w:p w14:paraId="4013C336" w14:textId="77777777" w:rsidR="00FC28C2" w:rsidRPr="00FA288E" w:rsidRDefault="00FC28C2" w:rsidP="001E494A">
            <w:pPr>
              <w:spacing w:line="216" w:lineRule="auto"/>
              <w:jc w:val="left"/>
              <w:rPr>
                <w:rFonts w:eastAsiaTheme="minorHAnsi" w:cs="Calibri"/>
                <w:sz w:val="20"/>
                <w:szCs w:val="20"/>
                <w:lang w:val="en-AU"/>
              </w:rPr>
            </w:pPr>
            <w:r w:rsidRPr="00FA288E">
              <w:rPr>
                <w:rFonts w:eastAsiaTheme="minorHAnsi" w:cs="Calibri"/>
                <w:sz w:val="20"/>
                <w:szCs w:val="20"/>
                <w:lang w:val="en-AU"/>
              </w:rPr>
              <w:t>Target will not be met as there is a need for teachers to upgrade their academic credentials prior to being accepted into the certificate course</w:t>
            </w:r>
          </w:p>
        </w:tc>
      </w:tr>
    </w:tbl>
    <w:p w14:paraId="7356A704" w14:textId="18FBAAE8" w:rsidR="001D736D" w:rsidRPr="00FA288E" w:rsidRDefault="00614C93" w:rsidP="00746416">
      <w:pPr>
        <w:pStyle w:val="Bullets"/>
        <w:numPr>
          <w:ilvl w:val="0"/>
          <w:numId w:val="0"/>
        </w:numPr>
        <w:spacing w:before="80" w:after="60" w:line="216" w:lineRule="auto"/>
        <w:jc w:val="both"/>
        <w:rPr>
          <w:rFonts w:ascii="Calibri" w:hAnsi="Calibri" w:cs="Calibri"/>
          <w:sz w:val="21"/>
          <w:szCs w:val="21"/>
        </w:rPr>
      </w:pPr>
      <w:r w:rsidRPr="00FA288E">
        <w:rPr>
          <w:rFonts w:ascii="Calibri" w:hAnsi="Calibri" w:cs="Calibri"/>
          <w:b/>
          <w:sz w:val="21"/>
          <w:szCs w:val="21"/>
        </w:rPr>
        <w:t xml:space="preserve">For </w:t>
      </w:r>
      <w:r w:rsidR="00BC14E8" w:rsidRPr="00FA288E">
        <w:rPr>
          <w:rFonts w:ascii="Calibri" w:hAnsi="Calibri" w:cs="Calibri"/>
          <w:b/>
          <w:sz w:val="21"/>
          <w:szCs w:val="21"/>
        </w:rPr>
        <w:t xml:space="preserve">progress on </w:t>
      </w:r>
      <w:r w:rsidRPr="00FA288E">
        <w:rPr>
          <w:rFonts w:ascii="Calibri" w:hAnsi="Calibri" w:cs="Calibri"/>
          <w:b/>
          <w:sz w:val="21"/>
          <w:szCs w:val="21"/>
        </w:rPr>
        <w:t>teacher development and support, most</w:t>
      </w:r>
      <w:r w:rsidR="00BC14E8" w:rsidRPr="00FA288E">
        <w:rPr>
          <w:rFonts w:ascii="Calibri" w:hAnsi="Calibri" w:cs="Calibri"/>
          <w:b/>
          <w:sz w:val="21"/>
          <w:szCs w:val="21"/>
        </w:rPr>
        <w:t xml:space="preserve"> end of project</w:t>
      </w:r>
      <w:r w:rsidRPr="00FA288E">
        <w:rPr>
          <w:rFonts w:ascii="Calibri" w:hAnsi="Calibri" w:cs="Calibri"/>
          <w:b/>
          <w:sz w:val="21"/>
          <w:szCs w:val="21"/>
        </w:rPr>
        <w:t xml:space="preserve"> targets w</w:t>
      </w:r>
      <w:r w:rsidR="00BC14E8" w:rsidRPr="00FA288E">
        <w:rPr>
          <w:rFonts w:ascii="Calibri" w:hAnsi="Calibri" w:cs="Calibri"/>
          <w:b/>
          <w:sz w:val="21"/>
          <w:szCs w:val="21"/>
        </w:rPr>
        <w:t>ill be</w:t>
      </w:r>
      <w:r w:rsidRPr="00FA288E">
        <w:rPr>
          <w:rFonts w:ascii="Calibri" w:hAnsi="Calibri" w:cs="Calibri"/>
          <w:b/>
          <w:sz w:val="21"/>
          <w:szCs w:val="21"/>
        </w:rPr>
        <w:t xml:space="preserve"> met or exceeded</w:t>
      </w:r>
      <w:r w:rsidRPr="00FA288E">
        <w:rPr>
          <w:rFonts w:ascii="Calibri" w:hAnsi="Calibri" w:cs="Calibri"/>
          <w:sz w:val="21"/>
          <w:szCs w:val="21"/>
        </w:rPr>
        <w:t>. However, there is no uniformity on the effect of interventions as some teachers are able to apply their new abilities and others are not. (</w:t>
      </w:r>
      <w:r w:rsidR="00DB1795" w:rsidRPr="00FA288E">
        <w:rPr>
          <w:rFonts w:ascii="Calibri" w:hAnsi="Calibri" w:cs="Calibri"/>
          <w:sz w:val="21"/>
          <w:szCs w:val="21"/>
        </w:rPr>
        <w:t>see</w:t>
      </w:r>
      <w:r w:rsidRPr="00FA288E">
        <w:rPr>
          <w:rFonts w:ascii="Calibri" w:hAnsi="Calibri" w:cs="Calibri"/>
          <w:color w:val="7030A0"/>
          <w:sz w:val="21"/>
          <w:szCs w:val="21"/>
        </w:rPr>
        <w:t xml:space="preserve"> </w:t>
      </w:r>
      <w:hyperlink w:anchor="_Box_1._Different" w:history="1">
        <w:r w:rsidRPr="00FA288E">
          <w:rPr>
            <w:rStyle w:val="Hyperlink"/>
            <w:rFonts w:ascii="Calibri" w:hAnsi="Calibri" w:cs="Calibri"/>
            <w:color w:val="323E4F" w:themeColor="text2" w:themeShade="BF"/>
            <w:sz w:val="21"/>
            <w:szCs w:val="21"/>
          </w:rPr>
          <w:t xml:space="preserve">Box 1 in Annex </w:t>
        </w:r>
        <w:r w:rsidR="008C2C8F" w:rsidRPr="00FA288E">
          <w:rPr>
            <w:rStyle w:val="Hyperlink"/>
            <w:rFonts w:ascii="Calibri" w:hAnsi="Calibri" w:cs="Calibri"/>
            <w:color w:val="323E4F" w:themeColor="text2" w:themeShade="BF"/>
            <w:sz w:val="21"/>
            <w:szCs w:val="21"/>
          </w:rPr>
          <w:t>F</w:t>
        </w:r>
        <w:r w:rsidRPr="00FA288E">
          <w:rPr>
            <w:rStyle w:val="Hyperlink"/>
            <w:rFonts w:ascii="Calibri" w:hAnsi="Calibri" w:cs="Calibri"/>
            <w:color w:val="323E4F" w:themeColor="text2" w:themeShade="BF"/>
            <w:sz w:val="21"/>
            <w:szCs w:val="21"/>
          </w:rPr>
          <w:t>.1</w:t>
        </w:r>
      </w:hyperlink>
      <w:r w:rsidRPr="00FA288E">
        <w:rPr>
          <w:rFonts w:ascii="Calibri" w:hAnsi="Calibri" w:cs="Calibri"/>
          <w:sz w:val="21"/>
          <w:szCs w:val="21"/>
        </w:rPr>
        <w:t>). In the case of T4E, s</w:t>
      </w:r>
      <w:r w:rsidR="00F23E3A" w:rsidRPr="00FA288E">
        <w:rPr>
          <w:rFonts w:ascii="Calibri" w:hAnsi="Calibri" w:cs="Calibri"/>
          <w:sz w:val="21"/>
          <w:szCs w:val="21"/>
        </w:rPr>
        <w:t>avings within the project</w:t>
      </w:r>
      <w:r w:rsidRPr="00FA288E">
        <w:rPr>
          <w:rFonts w:ascii="Calibri" w:hAnsi="Calibri" w:cs="Calibri"/>
          <w:sz w:val="21"/>
          <w:szCs w:val="21"/>
        </w:rPr>
        <w:t xml:space="preserve"> allowed Child Fund to train all teachers in targeted schools </w:t>
      </w:r>
      <w:r w:rsidR="00114018" w:rsidRPr="00FA288E">
        <w:rPr>
          <w:rFonts w:ascii="Calibri" w:hAnsi="Calibri" w:cs="Calibri"/>
          <w:sz w:val="21"/>
          <w:szCs w:val="21"/>
        </w:rPr>
        <w:t xml:space="preserve">in Central Province </w:t>
      </w:r>
      <w:r w:rsidRPr="00FA288E">
        <w:rPr>
          <w:rFonts w:ascii="Calibri" w:hAnsi="Calibri" w:cs="Calibri"/>
          <w:sz w:val="21"/>
          <w:szCs w:val="21"/>
        </w:rPr>
        <w:t>rather than the original target of one teacher per school. Due to competing demands and challenges with reaching some of the more remote schools, RISE</w:t>
      </w:r>
      <w:r w:rsidR="00F23E3A" w:rsidRPr="00FA288E">
        <w:rPr>
          <w:rFonts w:ascii="Calibri" w:hAnsi="Calibri" w:cs="Calibri"/>
          <w:sz w:val="21"/>
          <w:szCs w:val="21"/>
        </w:rPr>
        <w:t xml:space="preserve"> was not able to conduct adequate monitoring visits. I</w:t>
      </w:r>
      <w:r w:rsidRPr="00FA288E">
        <w:rPr>
          <w:rFonts w:ascii="Calibri" w:hAnsi="Calibri" w:cs="Calibri"/>
          <w:sz w:val="21"/>
          <w:szCs w:val="21"/>
        </w:rPr>
        <w:t xml:space="preserve">n the </w:t>
      </w:r>
      <w:r w:rsidR="00F23E3A" w:rsidRPr="00FA288E">
        <w:rPr>
          <w:rFonts w:ascii="Calibri" w:hAnsi="Calibri" w:cs="Calibri"/>
          <w:sz w:val="21"/>
          <w:szCs w:val="21"/>
        </w:rPr>
        <w:t xml:space="preserve">remaining period of the current grant, RISE intends </w:t>
      </w:r>
      <w:r w:rsidRPr="00FA288E">
        <w:rPr>
          <w:rFonts w:ascii="Calibri" w:hAnsi="Calibri" w:cs="Calibri"/>
          <w:sz w:val="21"/>
          <w:szCs w:val="21"/>
        </w:rPr>
        <w:t xml:space="preserve">to </w:t>
      </w:r>
      <w:r w:rsidR="00114018" w:rsidRPr="00FA288E">
        <w:rPr>
          <w:rFonts w:ascii="Calibri" w:hAnsi="Calibri" w:cs="Calibri"/>
          <w:sz w:val="21"/>
          <w:szCs w:val="21"/>
        </w:rPr>
        <w:t>increase the number of</w:t>
      </w:r>
      <w:r w:rsidRPr="00FA288E">
        <w:rPr>
          <w:rFonts w:ascii="Calibri" w:hAnsi="Calibri" w:cs="Calibri"/>
          <w:sz w:val="21"/>
          <w:szCs w:val="21"/>
        </w:rPr>
        <w:t xml:space="preserve"> monitoring visits to schools. </w:t>
      </w:r>
      <w:r w:rsidR="00114018" w:rsidRPr="00FA288E">
        <w:rPr>
          <w:rFonts w:ascii="Calibri" w:hAnsi="Calibri" w:cs="Calibri"/>
          <w:sz w:val="21"/>
          <w:szCs w:val="21"/>
        </w:rPr>
        <w:t xml:space="preserve">The original target </w:t>
      </w:r>
      <w:r w:rsidR="00DE2B47" w:rsidRPr="00FA288E">
        <w:rPr>
          <w:rFonts w:ascii="Calibri" w:hAnsi="Calibri" w:cs="Calibri"/>
          <w:sz w:val="21"/>
          <w:szCs w:val="21"/>
        </w:rPr>
        <w:t xml:space="preserve">set </w:t>
      </w:r>
      <w:r w:rsidR="00114018" w:rsidRPr="00FA288E">
        <w:rPr>
          <w:rFonts w:ascii="Calibri" w:hAnsi="Calibri" w:cs="Calibri"/>
          <w:sz w:val="21"/>
          <w:szCs w:val="21"/>
        </w:rPr>
        <w:t>by PKS to enrol teachers in the Certificate in Elementary Education had to be</w:t>
      </w:r>
      <w:r w:rsidR="00F23E3A" w:rsidRPr="00FA288E">
        <w:rPr>
          <w:rFonts w:ascii="Calibri" w:hAnsi="Calibri" w:cs="Calibri"/>
          <w:sz w:val="21"/>
          <w:szCs w:val="21"/>
        </w:rPr>
        <w:t xml:space="preserve"> </w:t>
      </w:r>
      <w:r w:rsidR="00DE2B47" w:rsidRPr="00FA288E">
        <w:rPr>
          <w:rFonts w:ascii="Calibri" w:hAnsi="Calibri" w:cs="Calibri"/>
          <w:sz w:val="21"/>
          <w:szCs w:val="21"/>
        </w:rPr>
        <w:t>reduced</w:t>
      </w:r>
      <w:r w:rsidR="00114018" w:rsidRPr="00FA288E">
        <w:rPr>
          <w:rFonts w:ascii="Calibri" w:hAnsi="Calibri" w:cs="Calibri"/>
          <w:sz w:val="21"/>
          <w:szCs w:val="21"/>
        </w:rPr>
        <w:t xml:space="preserve"> as teachers needed to upgrade their academic qualifications prior to enrolling in the certificate course.</w:t>
      </w:r>
    </w:p>
    <w:p w14:paraId="5E522EC6" w14:textId="20B84FDC" w:rsidR="00D03684" w:rsidRPr="00FA288E" w:rsidRDefault="00D03684" w:rsidP="00746416">
      <w:pPr>
        <w:pStyle w:val="Caption"/>
        <w:spacing w:before="80" w:after="80" w:line="240" w:lineRule="auto"/>
        <w:ind w:left="1138" w:hanging="1138"/>
        <w:rPr>
          <w:rFonts w:cs="Calibri"/>
          <w:b w:val="0"/>
          <w:color w:val="auto"/>
          <w:lang w:val="en-AU"/>
        </w:rPr>
      </w:pPr>
      <w:r w:rsidRPr="00FA288E">
        <w:rPr>
          <w:rFonts w:cs="Calibri"/>
          <w:b w:val="0"/>
          <w:color w:val="auto"/>
          <w:lang w:val="en-AU"/>
        </w:rPr>
        <w:t xml:space="preserve">Table </w:t>
      </w:r>
      <w:r w:rsidRPr="00FA288E">
        <w:rPr>
          <w:rFonts w:cs="Calibri"/>
          <w:b w:val="0"/>
          <w:color w:val="auto"/>
          <w:lang w:val="en-AU"/>
        </w:rPr>
        <w:fldChar w:fldCharType="begin"/>
      </w:r>
      <w:r w:rsidRPr="00FA288E">
        <w:rPr>
          <w:rFonts w:cs="Calibri"/>
          <w:b w:val="0"/>
          <w:color w:val="auto"/>
          <w:lang w:val="en-AU"/>
        </w:rPr>
        <w:instrText xml:space="preserve"> SEQ Table \* ARABIC </w:instrText>
      </w:r>
      <w:r w:rsidRPr="00FA288E">
        <w:rPr>
          <w:rFonts w:cs="Calibri"/>
          <w:b w:val="0"/>
          <w:color w:val="auto"/>
          <w:lang w:val="en-AU"/>
        </w:rPr>
        <w:fldChar w:fldCharType="separate"/>
      </w:r>
      <w:r w:rsidR="00C22013">
        <w:rPr>
          <w:rFonts w:cs="Calibri"/>
          <w:b w:val="0"/>
          <w:noProof/>
          <w:color w:val="auto"/>
          <w:lang w:val="en-AU"/>
        </w:rPr>
        <w:t>3</w:t>
      </w:r>
      <w:r w:rsidRPr="00FA288E">
        <w:rPr>
          <w:rFonts w:cs="Calibri"/>
          <w:b w:val="0"/>
          <w:color w:val="auto"/>
          <w:lang w:val="en-AU"/>
        </w:rPr>
        <w:fldChar w:fldCharType="end"/>
      </w:r>
      <w:r w:rsidRPr="00FA288E">
        <w:rPr>
          <w:rFonts w:cs="Calibri"/>
          <w:b w:val="0"/>
          <w:color w:val="auto"/>
          <w:lang w:val="en-AU"/>
        </w:rPr>
        <w:t xml:space="preserve"> Summary of Reported Progress in Provision of Resources</w:t>
      </w:r>
      <w:r w:rsidR="000F4928" w:rsidRPr="00FA288E">
        <w:rPr>
          <w:rFonts w:cs="Calibri"/>
          <w:b w:val="0"/>
          <w:color w:val="auto"/>
          <w:lang w:val="en-AU"/>
        </w:rPr>
        <w:t xml:space="preserve"> to Support Reading</w:t>
      </w:r>
    </w:p>
    <w:tbl>
      <w:tblPr>
        <w:tblStyle w:val="TableGrid"/>
        <w:tblW w:w="0" w:type="auto"/>
        <w:tblInd w:w="0" w:type="dxa"/>
        <w:tblLook w:val="04A0" w:firstRow="1" w:lastRow="0" w:firstColumn="1" w:lastColumn="0" w:noHBand="0" w:noVBand="1"/>
        <w:tblCaption w:val="Table 3 Summary of Reported Progress in Provision of Resources to Support Reading"/>
        <w:tblDescription w:val="On track to exceed target of 650 Reading Clubs established&#10;Target of 834 CLVs trained to support literacy and provided kits of 100 books and Bloom Readers has been exceeded&#10;Target is unlikely to be met by April 2020 due to competing demands of parents/ caregivers and possible low level of parent/caregiver literacy&#10;Target will be nearly met assuming the three kits will not be repaired&#10;Target of 46 teachers and ECCE facilitators has been met.&#10;On track to exceed target of 6,000 children attending Reading Clubs (cumulative measure)&#10;Target of 500 culturally-relevant books written and printed and available through the LfA kit met&#10;Target of 4,800 parents/ caregivers trained to support children to read exceeded&#10;Target of 12 schools piloting LfA kits met&#10;On track to meet target of 188 schools establishing Reading Corners. Teachers (1313) in 423 schools received training to establish Reading Corners&#10;Likely to meet target of distributing 55,000 titles and provision of coaching sessions for teachers in the 188 schools establishing Reading Corners&#10;Target to complete development and launch the portal for accessibility to teaching and learning resources unlikely to be met."/>
      </w:tblPr>
      <w:tblGrid>
        <w:gridCol w:w="1371"/>
        <w:gridCol w:w="2808"/>
        <w:gridCol w:w="2836"/>
        <w:gridCol w:w="2721"/>
      </w:tblGrid>
      <w:tr w:rsidR="001523A6" w:rsidRPr="00FA288E" w14:paraId="131329CC" w14:textId="77777777" w:rsidTr="006E1D53">
        <w:trPr>
          <w:trHeight w:val="989"/>
          <w:tblHeader/>
        </w:trPr>
        <w:tc>
          <w:tcPr>
            <w:tcW w:w="1371" w:type="dxa"/>
            <w:shd w:val="clear" w:color="auto" w:fill="262626" w:themeFill="text1" w:themeFillTint="D9"/>
          </w:tcPr>
          <w:p w14:paraId="11D9588B" w14:textId="77777777" w:rsidR="001523A6" w:rsidRPr="00FA288E" w:rsidRDefault="001523A6" w:rsidP="001523A6">
            <w:pPr>
              <w:pStyle w:val="Bullets"/>
              <w:numPr>
                <w:ilvl w:val="0"/>
                <w:numId w:val="0"/>
              </w:numPr>
              <w:spacing w:after="0" w:line="216" w:lineRule="auto"/>
              <w:jc w:val="center"/>
              <w:rPr>
                <w:rFonts w:ascii="Calibri" w:hAnsi="Calibri" w:cs="Calibri"/>
                <w:szCs w:val="20"/>
                <w:lang w:val="en-AU"/>
              </w:rPr>
            </w:pPr>
            <w:r w:rsidRPr="00FA288E">
              <w:rPr>
                <w:rFonts w:cs="Calibri"/>
                <w:szCs w:val="20"/>
                <w:lang w:val="en-AU"/>
              </w:rPr>
              <w:t>Project</w:t>
            </w:r>
          </w:p>
        </w:tc>
        <w:tc>
          <w:tcPr>
            <w:tcW w:w="2808" w:type="dxa"/>
            <w:shd w:val="clear" w:color="auto" w:fill="262626" w:themeFill="text1" w:themeFillTint="D9"/>
          </w:tcPr>
          <w:p w14:paraId="5A269493" w14:textId="77777777" w:rsidR="001523A6" w:rsidRPr="00FA288E" w:rsidRDefault="001523A6" w:rsidP="001523A6">
            <w:pPr>
              <w:spacing w:line="216" w:lineRule="auto"/>
              <w:ind w:left="360"/>
              <w:jc w:val="center"/>
              <w:rPr>
                <w:rFonts w:cs="Calibri"/>
                <w:color w:val="F2F2F2" w:themeColor="background1" w:themeShade="F2"/>
                <w:szCs w:val="20"/>
                <w:lang w:val="en-AU"/>
              </w:rPr>
            </w:pPr>
            <w:r w:rsidRPr="00FA288E">
              <w:rPr>
                <w:rFonts w:cs="Calibri"/>
                <w:color w:val="F2F2F2" w:themeColor="background1" w:themeShade="F2"/>
                <w:szCs w:val="20"/>
                <w:lang w:val="en-AU"/>
              </w:rPr>
              <w:t>End of Project Targets to June 2020</w:t>
            </w:r>
            <w:r w:rsidRPr="00FA288E">
              <w:rPr>
                <w:rStyle w:val="FootnoteReference"/>
                <w:rFonts w:cs="Calibri"/>
                <w:color w:val="F2F2F2" w:themeColor="background1" w:themeShade="F2"/>
                <w:szCs w:val="20"/>
                <w:lang w:val="en-AU"/>
              </w:rPr>
              <w:footnoteReference w:id="32"/>
            </w:r>
          </w:p>
          <w:p w14:paraId="151EC191" w14:textId="77777777" w:rsidR="001523A6" w:rsidRPr="00FA288E" w:rsidRDefault="001523A6" w:rsidP="001523A6">
            <w:pPr>
              <w:pStyle w:val="Bullets"/>
              <w:numPr>
                <w:ilvl w:val="0"/>
                <w:numId w:val="0"/>
              </w:numPr>
              <w:spacing w:after="0" w:line="216" w:lineRule="auto"/>
              <w:ind w:left="360"/>
              <w:jc w:val="center"/>
              <w:rPr>
                <w:rFonts w:ascii="Calibri" w:hAnsi="Calibri" w:cs="Calibri"/>
                <w:szCs w:val="20"/>
                <w:lang w:val="en-AU"/>
              </w:rPr>
            </w:pPr>
            <w:r w:rsidRPr="00FA288E">
              <w:rPr>
                <w:rFonts w:cs="Calibri"/>
                <w:szCs w:val="20"/>
                <w:lang w:val="en-AU"/>
              </w:rPr>
              <w:t>(Annual Targets in parentheses)</w:t>
            </w:r>
          </w:p>
        </w:tc>
        <w:tc>
          <w:tcPr>
            <w:tcW w:w="2836" w:type="dxa"/>
            <w:shd w:val="clear" w:color="auto" w:fill="262626" w:themeFill="text1" w:themeFillTint="D9"/>
          </w:tcPr>
          <w:p w14:paraId="57F49C4F" w14:textId="77777777" w:rsidR="001523A6" w:rsidRPr="00FA288E" w:rsidRDefault="001523A6" w:rsidP="001523A6">
            <w:pPr>
              <w:spacing w:line="216" w:lineRule="auto"/>
              <w:ind w:left="360"/>
              <w:jc w:val="center"/>
              <w:rPr>
                <w:rFonts w:cs="Calibri"/>
                <w:szCs w:val="20"/>
                <w:lang w:val="en-AU"/>
              </w:rPr>
            </w:pPr>
            <w:r w:rsidRPr="00FA288E">
              <w:rPr>
                <w:rFonts w:cs="Calibri"/>
                <w:szCs w:val="20"/>
                <w:lang w:val="en-AU"/>
              </w:rPr>
              <w:t xml:space="preserve">Progress to Date </w:t>
            </w:r>
          </w:p>
          <w:p w14:paraId="5E1D6B39" w14:textId="77777777" w:rsidR="001523A6" w:rsidRPr="00FA288E" w:rsidRDefault="001523A6" w:rsidP="001523A6">
            <w:pPr>
              <w:spacing w:line="216" w:lineRule="auto"/>
              <w:ind w:left="360"/>
              <w:jc w:val="center"/>
              <w:rPr>
                <w:rFonts w:cs="Calibri"/>
                <w:szCs w:val="20"/>
                <w:lang w:val="en-AU"/>
              </w:rPr>
            </w:pPr>
            <w:r w:rsidRPr="00FA288E">
              <w:rPr>
                <w:rFonts w:cs="Calibri"/>
                <w:szCs w:val="20"/>
                <w:lang w:val="en-AU"/>
              </w:rPr>
              <w:t>(Against Year 1 targets: RISE and T4E. PKS does not have annual targets)</w:t>
            </w:r>
            <w:r w:rsidRPr="00FA288E">
              <w:rPr>
                <w:rStyle w:val="FootnoteReference"/>
                <w:rFonts w:cs="Calibri"/>
                <w:szCs w:val="20"/>
                <w:lang w:val="en-AU"/>
              </w:rPr>
              <w:footnoteReference w:id="33"/>
            </w:r>
          </w:p>
        </w:tc>
        <w:tc>
          <w:tcPr>
            <w:tcW w:w="2721" w:type="dxa"/>
            <w:shd w:val="clear" w:color="auto" w:fill="262626" w:themeFill="text1" w:themeFillTint="D9"/>
          </w:tcPr>
          <w:p w14:paraId="29A75275" w14:textId="77777777" w:rsidR="001523A6" w:rsidRPr="00FA288E" w:rsidRDefault="001523A6" w:rsidP="001523A6">
            <w:pPr>
              <w:pStyle w:val="Bullets"/>
              <w:numPr>
                <w:ilvl w:val="0"/>
                <w:numId w:val="0"/>
              </w:numPr>
              <w:spacing w:after="0" w:line="216" w:lineRule="auto"/>
              <w:ind w:left="360"/>
              <w:jc w:val="center"/>
              <w:rPr>
                <w:rFonts w:ascii="Calibri" w:hAnsi="Calibri" w:cs="Calibri"/>
                <w:szCs w:val="20"/>
                <w:lang w:val="en-AU"/>
              </w:rPr>
            </w:pPr>
            <w:r w:rsidRPr="00FA288E">
              <w:rPr>
                <w:rFonts w:cs="Calibri"/>
                <w:szCs w:val="20"/>
                <w:lang w:val="en-AU"/>
              </w:rPr>
              <w:t>Progress against End of Project targets June 2020</w:t>
            </w:r>
          </w:p>
        </w:tc>
      </w:tr>
      <w:tr w:rsidR="00FB0B31" w:rsidRPr="00FA288E" w14:paraId="78E7BFBA" w14:textId="77777777" w:rsidTr="00535303">
        <w:tc>
          <w:tcPr>
            <w:tcW w:w="1371" w:type="dxa"/>
            <w:shd w:val="clear" w:color="auto" w:fill="262626" w:themeFill="text1" w:themeFillTint="D9"/>
          </w:tcPr>
          <w:p w14:paraId="61374209" w14:textId="77777777" w:rsidR="00FB0B31" w:rsidRPr="00FA288E" w:rsidRDefault="00FB0B31" w:rsidP="008E2685">
            <w:pPr>
              <w:pStyle w:val="Bullets"/>
              <w:numPr>
                <w:ilvl w:val="0"/>
                <w:numId w:val="0"/>
              </w:numPr>
              <w:spacing w:after="0" w:line="216" w:lineRule="auto"/>
              <w:jc w:val="center"/>
              <w:rPr>
                <w:rFonts w:ascii="Calibri" w:hAnsi="Calibri" w:cs="Calibri"/>
                <w:szCs w:val="20"/>
                <w:lang w:val="en-AU"/>
              </w:rPr>
            </w:pPr>
            <w:r w:rsidRPr="00FA288E">
              <w:rPr>
                <w:rFonts w:ascii="Calibri" w:hAnsi="Calibri" w:cs="Calibri"/>
                <w:szCs w:val="20"/>
                <w:lang w:val="en-AU"/>
              </w:rPr>
              <w:t>RISE</w:t>
            </w:r>
          </w:p>
        </w:tc>
        <w:tc>
          <w:tcPr>
            <w:tcW w:w="2808" w:type="dxa"/>
          </w:tcPr>
          <w:p w14:paraId="1FED45B0" w14:textId="77777777" w:rsidR="00FB0B31" w:rsidRPr="00FA288E" w:rsidRDefault="00FB0B31" w:rsidP="000F4928">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650 (325/year) Reading Clubs established</w:t>
            </w:r>
          </w:p>
        </w:tc>
        <w:tc>
          <w:tcPr>
            <w:tcW w:w="2836" w:type="dxa"/>
          </w:tcPr>
          <w:p w14:paraId="6C97326C" w14:textId="77777777" w:rsidR="00FB0B31" w:rsidRPr="00FA288E" w:rsidRDefault="00FB0B31" w:rsidP="000F4928">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573 Reading Clubs established – 8,320 children attended (cumulative, not individual attendance)</w:t>
            </w:r>
          </w:p>
        </w:tc>
        <w:tc>
          <w:tcPr>
            <w:tcW w:w="2721" w:type="dxa"/>
          </w:tcPr>
          <w:p w14:paraId="7F764FFE" w14:textId="77777777" w:rsidR="00FB0B31" w:rsidRPr="00FA288E" w:rsidRDefault="00FB0B31" w:rsidP="000F4928">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On track to exceed target of 650 Reading Clubs established</w:t>
            </w:r>
          </w:p>
        </w:tc>
      </w:tr>
      <w:tr w:rsidR="00FB0B31" w:rsidRPr="00FA288E" w14:paraId="2AA00518" w14:textId="77777777" w:rsidTr="00535303">
        <w:tc>
          <w:tcPr>
            <w:tcW w:w="1371" w:type="dxa"/>
            <w:shd w:val="clear" w:color="auto" w:fill="262626" w:themeFill="text1" w:themeFillTint="D9"/>
          </w:tcPr>
          <w:p w14:paraId="6DB33788" w14:textId="77777777" w:rsidR="00FB0B31" w:rsidRPr="00FA288E" w:rsidRDefault="00FB0B31" w:rsidP="008E2685">
            <w:pPr>
              <w:pStyle w:val="Bullets"/>
              <w:numPr>
                <w:ilvl w:val="0"/>
                <w:numId w:val="0"/>
              </w:numPr>
              <w:spacing w:after="0" w:line="216" w:lineRule="auto"/>
              <w:jc w:val="center"/>
              <w:rPr>
                <w:rFonts w:ascii="Calibri" w:hAnsi="Calibri" w:cs="Calibri"/>
                <w:szCs w:val="20"/>
                <w:lang w:val="en-AU"/>
              </w:rPr>
            </w:pPr>
          </w:p>
        </w:tc>
        <w:tc>
          <w:tcPr>
            <w:tcW w:w="2808" w:type="dxa"/>
          </w:tcPr>
          <w:p w14:paraId="0F664B14" w14:textId="77777777" w:rsidR="00FB0B31" w:rsidRPr="00FA288E" w:rsidRDefault="00FB0B31" w:rsidP="000F4928">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 xml:space="preserve">834 (417/year) Community Literacy Volunteers (CLVs) trained to support literacy – equipped with kits of 100 books </w:t>
            </w:r>
          </w:p>
        </w:tc>
        <w:tc>
          <w:tcPr>
            <w:tcW w:w="2836" w:type="dxa"/>
          </w:tcPr>
          <w:p w14:paraId="625AFCAE" w14:textId="77777777" w:rsidR="00FB0B31" w:rsidRPr="00FA288E" w:rsidRDefault="00FB0B31" w:rsidP="000F4928">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884 CLVs trained – with kits and Bloom Reader application on a mobile phone; 966 Bloom Reader downloads reported</w:t>
            </w:r>
            <w:r w:rsidRPr="00FA288E">
              <w:rPr>
                <w:rStyle w:val="FootnoteReference"/>
                <w:rFonts w:ascii="Calibri" w:hAnsi="Calibri" w:cs="Calibri"/>
                <w:szCs w:val="20"/>
                <w:lang w:val="en-AU"/>
              </w:rPr>
              <w:footnoteReference w:id="34"/>
            </w:r>
          </w:p>
        </w:tc>
        <w:tc>
          <w:tcPr>
            <w:tcW w:w="2721" w:type="dxa"/>
          </w:tcPr>
          <w:p w14:paraId="579C84D0" w14:textId="77777777" w:rsidR="00FB0B31" w:rsidRPr="00FA288E" w:rsidRDefault="00FB0B31" w:rsidP="000F4928">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Target of 834 CLVs trained to support literacy and provided kits of 100 books and Bloom Readers has been exceeded</w:t>
            </w:r>
          </w:p>
        </w:tc>
      </w:tr>
      <w:tr w:rsidR="00FB0B31" w:rsidRPr="00FA288E" w14:paraId="17F042C5" w14:textId="77777777" w:rsidTr="00535303">
        <w:tc>
          <w:tcPr>
            <w:tcW w:w="1371" w:type="dxa"/>
            <w:shd w:val="clear" w:color="auto" w:fill="262626" w:themeFill="text1" w:themeFillTint="D9"/>
          </w:tcPr>
          <w:p w14:paraId="57F021EA" w14:textId="77777777" w:rsidR="00FB0B31" w:rsidRPr="00FA288E" w:rsidRDefault="00FB0B31" w:rsidP="008E2685">
            <w:pPr>
              <w:pStyle w:val="Bullets"/>
              <w:numPr>
                <w:ilvl w:val="0"/>
                <w:numId w:val="0"/>
              </w:numPr>
              <w:spacing w:after="0" w:line="216" w:lineRule="auto"/>
              <w:jc w:val="center"/>
              <w:rPr>
                <w:rFonts w:ascii="Calibri" w:hAnsi="Calibri" w:cs="Calibri"/>
                <w:szCs w:val="20"/>
                <w:lang w:val="en-AU"/>
              </w:rPr>
            </w:pPr>
          </w:p>
        </w:tc>
        <w:tc>
          <w:tcPr>
            <w:tcW w:w="2808" w:type="dxa"/>
          </w:tcPr>
          <w:p w14:paraId="3251F0B1" w14:textId="77777777" w:rsidR="00FB0B31" w:rsidRPr="00FA288E" w:rsidRDefault="00FB0B31" w:rsidP="000F4928">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11,000 (5,500/year) parents/care-givers trained in supporting children to read</w:t>
            </w:r>
          </w:p>
        </w:tc>
        <w:tc>
          <w:tcPr>
            <w:tcW w:w="2836" w:type="dxa"/>
          </w:tcPr>
          <w:p w14:paraId="0C8B723F" w14:textId="77777777" w:rsidR="00FB0B31" w:rsidRPr="00FA288E" w:rsidRDefault="00FB0B31" w:rsidP="000F4928">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 xml:space="preserve">3,024 trained in supporting children to read; 4,480 attended care-giver training </w:t>
            </w:r>
          </w:p>
        </w:tc>
        <w:tc>
          <w:tcPr>
            <w:tcW w:w="2721" w:type="dxa"/>
          </w:tcPr>
          <w:p w14:paraId="5CAA9A59" w14:textId="77777777" w:rsidR="00FB0B31" w:rsidRPr="00FA288E" w:rsidRDefault="00FB0B31" w:rsidP="000F4928">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Target is unlikely to be met by April 2020 due to competing demands of parents/ caregivers and possible low level of parent/caregiver literacy</w:t>
            </w:r>
          </w:p>
        </w:tc>
      </w:tr>
      <w:tr w:rsidR="00FB0B31" w:rsidRPr="00FA288E" w14:paraId="4B6F980A" w14:textId="77777777" w:rsidTr="00535303">
        <w:tc>
          <w:tcPr>
            <w:tcW w:w="1371" w:type="dxa"/>
            <w:shd w:val="clear" w:color="auto" w:fill="262626" w:themeFill="text1" w:themeFillTint="D9"/>
          </w:tcPr>
          <w:p w14:paraId="773E2B65" w14:textId="77777777" w:rsidR="00FB0B31" w:rsidRPr="00FA288E" w:rsidRDefault="00FB0B31" w:rsidP="008E2685">
            <w:pPr>
              <w:pStyle w:val="Bullets"/>
              <w:numPr>
                <w:ilvl w:val="0"/>
                <w:numId w:val="0"/>
              </w:numPr>
              <w:spacing w:after="0" w:line="216" w:lineRule="auto"/>
              <w:jc w:val="center"/>
              <w:rPr>
                <w:rFonts w:ascii="Calibri" w:hAnsi="Calibri" w:cs="Calibri"/>
                <w:szCs w:val="20"/>
                <w:lang w:val="en-AU"/>
              </w:rPr>
            </w:pPr>
          </w:p>
        </w:tc>
        <w:tc>
          <w:tcPr>
            <w:tcW w:w="2808" w:type="dxa"/>
          </w:tcPr>
          <w:p w14:paraId="2713CBDC" w14:textId="77777777" w:rsidR="00FB0B31" w:rsidRPr="00FA288E" w:rsidRDefault="00FB0B31" w:rsidP="00535303">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30 schools will pilot ‘Education for Life’ kits</w:t>
            </w:r>
            <w:r w:rsidRPr="00FA288E">
              <w:rPr>
                <w:rStyle w:val="FootnoteReference"/>
                <w:rFonts w:ascii="Calibri" w:hAnsi="Calibri" w:cs="Calibri"/>
                <w:szCs w:val="20"/>
                <w:lang w:val="en-AU"/>
              </w:rPr>
              <w:footnoteReference w:id="35"/>
            </w:r>
          </w:p>
        </w:tc>
        <w:tc>
          <w:tcPr>
            <w:tcW w:w="2836" w:type="dxa"/>
          </w:tcPr>
          <w:p w14:paraId="3D808EAA" w14:textId="77777777" w:rsidR="00FB0B31" w:rsidRPr="00FA288E" w:rsidRDefault="00FB0B31" w:rsidP="00535303">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30 schools piloting the kits; 3 kits are reported not be functioning and need repair</w:t>
            </w:r>
          </w:p>
        </w:tc>
        <w:tc>
          <w:tcPr>
            <w:tcW w:w="2721" w:type="dxa"/>
          </w:tcPr>
          <w:p w14:paraId="07EDDE23" w14:textId="77777777" w:rsidR="00FB0B31" w:rsidRPr="00FA288E" w:rsidRDefault="00FB0B31" w:rsidP="008E2685">
            <w:pPr>
              <w:pStyle w:val="Bullets"/>
              <w:numPr>
                <w:ilvl w:val="0"/>
                <w:numId w:val="0"/>
              </w:numPr>
              <w:spacing w:after="0" w:line="216" w:lineRule="auto"/>
              <w:rPr>
                <w:rFonts w:ascii="Calibri" w:hAnsi="Calibri" w:cs="Calibri"/>
                <w:szCs w:val="20"/>
                <w:lang w:val="en-AU"/>
              </w:rPr>
            </w:pPr>
            <w:r w:rsidRPr="00FA288E">
              <w:rPr>
                <w:rFonts w:ascii="Calibri" w:hAnsi="Calibri" w:cs="Calibri"/>
                <w:szCs w:val="20"/>
                <w:lang w:val="en-AU"/>
              </w:rPr>
              <w:t>Target will be nearly met assuming the three kits will not be repaired</w:t>
            </w:r>
          </w:p>
        </w:tc>
      </w:tr>
      <w:tr w:rsidR="00FB0B31" w:rsidRPr="00FA288E" w14:paraId="78F1508D" w14:textId="77777777" w:rsidTr="00535303">
        <w:tc>
          <w:tcPr>
            <w:tcW w:w="1371" w:type="dxa"/>
            <w:shd w:val="clear" w:color="auto" w:fill="262626" w:themeFill="text1" w:themeFillTint="D9"/>
          </w:tcPr>
          <w:p w14:paraId="1328A1BC" w14:textId="77777777" w:rsidR="00FB0B31" w:rsidRPr="00FA288E" w:rsidRDefault="00FB0B31" w:rsidP="008E2685">
            <w:pPr>
              <w:pStyle w:val="Bullets"/>
              <w:numPr>
                <w:ilvl w:val="0"/>
                <w:numId w:val="0"/>
              </w:numPr>
              <w:spacing w:after="0" w:line="216" w:lineRule="auto"/>
              <w:jc w:val="center"/>
              <w:rPr>
                <w:rFonts w:ascii="Calibri" w:hAnsi="Calibri" w:cs="Calibri"/>
                <w:szCs w:val="20"/>
                <w:lang w:val="en-AU"/>
              </w:rPr>
            </w:pPr>
          </w:p>
        </w:tc>
        <w:tc>
          <w:tcPr>
            <w:tcW w:w="2808" w:type="dxa"/>
          </w:tcPr>
          <w:p w14:paraId="18D16491" w14:textId="77777777" w:rsidR="00FB0B31" w:rsidRPr="00FA288E" w:rsidRDefault="00FB0B31"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 xml:space="preserve">46 teachers and ECCE facilitators trained in the use of Reach and Match Kits </w:t>
            </w:r>
            <w:r w:rsidRPr="00FA288E">
              <w:rPr>
                <w:rStyle w:val="FootnoteReference"/>
                <w:rFonts w:ascii="Calibri" w:hAnsi="Calibri" w:cs="Calibri"/>
                <w:szCs w:val="20"/>
                <w:lang w:val="en-AU"/>
              </w:rPr>
              <w:footnoteReference w:id="36"/>
            </w:r>
          </w:p>
        </w:tc>
        <w:tc>
          <w:tcPr>
            <w:tcW w:w="2836" w:type="dxa"/>
          </w:tcPr>
          <w:p w14:paraId="340BDC27" w14:textId="77777777" w:rsidR="00FB0B31" w:rsidRPr="00FA288E" w:rsidRDefault="00FB0B31"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46 teachers and ECCE facilitators trained in the use of Reach and Match kits</w:t>
            </w:r>
          </w:p>
        </w:tc>
        <w:tc>
          <w:tcPr>
            <w:tcW w:w="2721" w:type="dxa"/>
          </w:tcPr>
          <w:p w14:paraId="460996F7" w14:textId="77777777" w:rsidR="00FB0B31" w:rsidRPr="00FA288E" w:rsidRDefault="00FB0B31"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Target of 46 teachers and ECCE facilitators has been met.</w:t>
            </w:r>
          </w:p>
        </w:tc>
      </w:tr>
      <w:tr w:rsidR="00FB0B31" w:rsidRPr="00FA288E" w14:paraId="53DCD820" w14:textId="77777777" w:rsidTr="00535303">
        <w:tc>
          <w:tcPr>
            <w:tcW w:w="1371" w:type="dxa"/>
            <w:shd w:val="clear" w:color="auto" w:fill="262626" w:themeFill="text1" w:themeFillTint="D9"/>
          </w:tcPr>
          <w:p w14:paraId="5CAC34B8" w14:textId="77777777" w:rsidR="00FB0B31" w:rsidRPr="00FA288E" w:rsidRDefault="00FB0B31" w:rsidP="008E2685">
            <w:pPr>
              <w:pStyle w:val="Bullets"/>
              <w:numPr>
                <w:ilvl w:val="0"/>
                <w:numId w:val="0"/>
              </w:numPr>
              <w:spacing w:after="0" w:line="216" w:lineRule="auto"/>
              <w:jc w:val="center"/>
              <w:rPr>
                <w:rFonts w:ascii="Calibri" w:hAnsi="Calibri" w:cs="Calibri"/>
                <w:szCs w:val="20"/>
                <w:lang w:val="en-AU"/>
              </w:rPr>
            </w:pPr>
            <w:r w:rsidRPr="00FA288E">
              <w:rPr>
                <w:rFonts w:ascii="Calibri" w:hAnsi="Calibri" w:cs="Calibri"/>
                <w:szCs w:val="20"/>
                <w:lang w:val="en-AU"/>
              </w:rPr>
              <w:t>T4E</w:t>
            </w:r>
          </w:p>
        </w:tc>
        <w:tc>
          <w:tcPr>
            <w:tcW w:w="2808" w:type="dxa"/>
          </w:tcPr>
          <w:p w14:paraId="556F6EA7" w14:textId="77777777" w:rsidR="00FB0B31" w:rsidRPr="00FA288E" w:rsidRDefault="00FB0B31"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6,000 (3000/year) children attending Reading Clubs</w:t>
            </w:r>
          </w:p>
        </w:tc>
        <w:tc>
          <w:tcPr>
            <w:tcW w:w="2836" w:type="dxa"/>
          </w:tcPr>
          <w:p w14:paraId="2EF4E784" w14:textId="77777777" w:rsidR="00FB0B31" w:rsidRPr="00FA288E" w:rsidRDefault="00FB0B31"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3,443 attending (cumulative, not individual children; 25,060 books distributed</w:t>
            </w:r>
          </w:p>
        </w:tc>
        <w:tc>
          <w:tcPr>
            <w:tcW w:w="2721" w:type="dxa"/>
          </w:tcPr>
          <w:p w14:paraId="04628D8C" w14:textId="77777777" w:rsidR="00FB0B31" w:rsidRPr="00FA288E" w:rsidRDefault="00FB0B31"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On track to exceed target of 6,000 children attending Reading Clubs (cumulative measure)</w:t>
            </w:r>
          </w:p>
        </w:tc>
      </w:tr>
      <w:tr w:rsidR="00FB0B31" w:rsidRPr="00FA288E" w14:paraId="641E399D" w14:textId="77777777" w:rsidTr="00535303">
        <w:tc>
          <w:tcPr>
            <w:tcW w:w="1371" w:type="dxa"/>
            <w:shd w:val="clear" w:color="auto" w:fill="262626" w:themeFill="text1" w:themeFillTint="D9"/>
          </w:tcPr>
          <w:p w14:paraId="5A5C1A2A" w14:textId="77777777" w:rsidR="00FB0B31" w:rsidRPr="00FA288E" w:rsidRDefault="00FB0B31" w:rsidP="008E2685">
            <w:pPr>
              <w:pStyle w:val="Bullets"/>
              <w:numPr>
                <w:ilvl w:val="0"/>
                <w:numId w:val="0"/>
              </w:numPr>
              <w:spacing w:after="0" w:line="216" w:lineRule="auto"/>
              <w:jc w:val="center"/>
              <w:rPr>
                <w:rFonts w:ascii="Calibri" w:hAnsi="Calibri" w:cs="Calibri"/>
                <w:szCs w:val="20"/>
                <w:lang w:val="en-AU"/>
              </w:rPr>
            </w:pPr>
          </w:p>
        </w:tc>
        <w:tc>
          <w:tcPr>
            <w:tcW w:w="2808" w:type="dxa"/>
          </w:tcPr>
          <w:p w14:paraId="1A64B598" w14:textId="77777777" w:rsidR="00FB0B31" w:rsidRPr="00FA288E" w:rsidRDefault="00FB0B31"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500 culturally-relevant books written and printed</w:t>
            </w:r>
          </w:p>
        </w:tc>
        <w:tc>
          <w:tcPr>
            <w:tcW w:w="2836" w:type="dxa"/>
          </w:tcPr>
          <w:p w14:paraId="2497571F" w14:textId="77777777" w:rsidR="00FB0B31" w:rsidRPr="00FA288E" w:rsidRDefault="00FB0B31"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500 books written and printed and available through Library for All (</w:t>
            </w:r>
            <w:proofErr w:type="spellStart"/>
            <w:r w:rsidRPr="00FA288E">
              <w:rPr>
                <w:rFonts w:ascii="Calibri" w:hAnsi="Calibri" w:cs="Calibri"/>
                <w:szCs w:val="20"/>
                <w:lang w:val="en-AU"/>
              </w:rPr>
              <w:t>LfA</w:t>
            </w:r>
            <w:proofErr w:type="spellEnd"/>
            <w:r w:rsidRPr="00FA288E">
              <w:rPr>
                <w:rFonts w:ascii="Calibri" w:hAnsi="Calibri" w:cs="Calibri"/>
                <w:szCs w:val="20"/>
                <w:lang w:val="en-AU"/>
              </w:rPr>
              <w:t>) kit application</w:t>
            </w:r>
            <w:r w:rsidRPr="00FA288E">
              <w:rPr>
                <w:rStyle w:val="FootnoteReference"/>
                <w:rFonts w:ascii="Calibri" w:hAnsi="Calibri" w:cs="Calibri"/>
                <w:szCs w:val="20"/>
                <w:lang w:val="en-AU"/>
              </w:rPr>
              <w:footnoteReference w:id="37"/>
            </w:r>
          </w:p>
        </w:tc>
        <w:tc>
          <w:tcPr>
            <w:tcW w:w="2721" w:type="dxa"/>
          </w:tcPr>
          <w:p w14:paraId="5CF5FE00" w14:textId="77777777" w:rsidR="00FB0B31" w:rsidRPr="00FA288E" w:rsidRDefault="00FB0B31"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 xml:space="preserve">Target of 500 culturally-relevant books written and printed and available through the </w:t>
            </w:r>
            <w:proofErr w:type="spellStart"/>
            <w:r w:rsidRPr="00FA288E">
              <w:rPr>
                <w:rFonts w:ascii="Calibri" w:hAnsi="Calibri" w:cs="Calibri"/>
                <w:szCs w:val="20"/>
                <w:lang w:val="en-AU"/>
              </w:rPr>
              <w:t>LfA</w:t>
            </w:r>
            <w:proofErr w:type="spellEnd"/>
            <w:r w:rsidRPr="00FA288E">
              <w:rPr>
                <w:rFonts w:ascii="Calibri" w:hAnsi="Calibri" w:cs="Calibri"/>
                <w:szCs w:val="20"/>
                <w:lang w:val="en-AU"/>
              </w:rPr>
              <w:t xml:space="preserve"> kit met</w:t>
            </w:r>
          </w:p>
        </w:tc>
      </w:tr>
      <w:tr w:rsidR="00FB0B31" w:rsidRPr="00FA288E" w14:paraId="1F73A4C2" w14:textId="77777777" w:rsidTr="00535303">
        <w:tc>
          <w:tcPr>
            <w:tcW w:w="1371" w:type="dxa"/>
            <w:shd w:val="clear" w:color="auto" w:fill="262626" w:themeFill="text1" w:themeFillTint="D9"/>
          </w:tcPr>
          <w:p w14:paraId="76952049" w14:textId="77777777" w:rsidR="00FB0B31" w:rsidRPr="00FA288E" w:rsidRDefault="00FB0B31" w:rsidP="008E2685">
            <w:pPr>
              <w:pStyle w:val="Bullets"/>
              <w:numPr>
                <w:ilvl w:val="0"/>
                <w:numId w:val="0"/>
              </w:numPr>
              <w:spacing w:after="0" w:line="216" w:lineRule="auto"/>
              <w:jc w:val="center"/>
              <w:rPr>
                <w:rFonts w:ascii="Calibri" w:hAnsi="Calibri" w:cs="Calibri"/>
                <w:szCs w:val="20"/>
                <w:lang w:val="en-AU"/>
              </w:rPr>
            </w:pPr>
          </w:p>
        </w:tc>
        <w:tc>
          <w:tcPr>
            <w:tcW w:w="2808" w:type="dxa"/>
          </w:tcPr>
          <w:p w14:paraId="52049212" w14:textId="77777777" w:rsidR="00FB0B31" w:rsidRPr="00FA288E" w:rsidRDefault="00FB0B31"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4,800 parents/ caregivers trained in supporting children to read</w:t>
            </w:r>
          </w:p>
        </w:tc>
        <w:tc>
          <w:tcPr>
            <w:tcW w:w="2836" w:type="dxa"/>
          </w:tcPr>
          <w:p w14:paraId="146498A1" w14:textId="77777777" w:rsidR="00FB0B31" w:rsidRPr="00FA288E" w:rsidRDefault="00FB0B31"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5,582 trained in supporting children to read</w:t>
            </w:r>
          </w:p>
        </w:tc>
        <w:tc>
          <w:tcPr>
            <w:tcW w:w="2721" w:type="dxa"/>
          </w:tcPr>
          <w:p w14:paraId="72401507" w14:textId="77777777" w:rsidR="00FB0B31" w:rsidRPr="00FA288E" w:rsidRDefault="00FB0B31"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Target of 4,800 parents/ caregivers trained to support children to read exceeded</w:t>
            </w:r>
          </w:p>
        </w:tc>
      </w:tr>
      <w:tr w:rsidR="00FB0B31" w:rsidRPr="00FA288E" w14:paraId="1C8F8D6D" w14:textId="77777777" w:rsidTr="00535303">
        <w:tc>
          <w:tcPr>
            <w:tcW w:w="1371" w:type="dxa"/>
            <w:shd w:val="clear" w:color="auto" w:fill="262626" w:themeFill="text1" w:themeFillTint="D9"/>
          </w:tcPr>
          <w:p w14:paraId="328459A7" w14:textId="77777777" w:rsidR="00FB0B31" w:rsidRPr="00FA288E" w:rsidRDefault="00FB0B31" w:rsidP="008E2685">
            <w:pPr>
              <w:pStyle w:val="Bullets"/>
              <w:numPr>
                <w:ilvl w:val="0"/>
                <w:numId w:val="0"/>
              </w:numPr>
              <w:spacing w:after="0" w:line="216" w:lineRule="auto"/>
              <w:jc w:val="center"/>
              <w:rPr>
                <w:rFonts w:ascii="Calibri" w:hAnsi="Calibri" w:cs="Calibri"/>
                <w:szCs w:val="20"/>
                <w:lang w:val="en-AU"/>
              </w:rPr>
            </w:pPr>
          </w:p>
        </w:tc>
        <w:tc>
          <w:tcPr>
            <w:tcW w:w="2808" w:type="dxa"/>
          </w:tcPr>
          <w:p w14:paraId="1A7037D5" w14:textId="77777777" w:rsidR="00FB0B31" w:rsidRPr="00FA288E" w:rsidRDefault="00FB0B31"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 xml:space="preserve">12 schools will pilot </w:t>
            </w:r>
            <w:proofErr w:type="spellStart"/>
            <w:r w:rsidRPr="00FA288E">
              <w:rPr>
                <w:rFonts w:ascii="Calibri" w:hAnsi="Calibri" w:cs="Calibri"/>
                <w:szCs w:val="20"/>
                <w:lang w:val="en-AU"/>
              </w:rPr>
              <w:t>LfA</w:t>
            </w:r>
            <w:proofErr w:type="spellEnd"/>
            <w:r w:rsidRPr="00FA288E">
              <w:rPr>
                <w:rFonts w:ascii="Calibri" w:hAnsi="Calibri" w:cs="Calibri"/>
                <w:szCs w:val="20"/>
                <w:lang w:val="en-AU"/>
              </w:rPr>
              <w:t xml:space="preserve"> kits</w:t>
            </w:r>
          </w:p>
        </w:tc>
        <w:tc>
          <w:tcPr>
            <w:tcW w:w="2836" w:type="dxa"/>
          </w:tcPr>
          <w:p w14:paraId="5E1AA9E3" w14:textId="77777777" w:rsidR="00FB0B31" w:rsidRPr="00FA288E" w:rsidRDefault="00FB0B31"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 xml:space="preserve">12 schools piloting </w:t>
            </w:r>
            <w:proofErr w:type="spellStart"/>
            <w:r w:rsidRPr="00FA288E">
              <w:rPr>
                <w:rFonts w:ascii="Calibri" w:hAnsi="Calibri" w:cs="Calibri"/>
                <w:szCs w:val="20"/>
                <w:lang w:val="en-AU"/>
              </w:rPr>
              <w:t>LfA</w:t>
            </w:r>
            <w:proofErr w:type="spellEnd"/>
            <w:r w:rsidRPr="00FA288E">
              <w:rPr>
                <w:rFonts w:ascii="Calibri" w:hAnsi="Calibri" w:cs="Calibri"/>
                <w:szCs w:val="20"/>
                <w:lang w:val="en-AU"/>
              </w:rPr>
              <w:t xml:space="preserve"> kits</w:t>
            </w:r>
          </w:p>
        </w:tc>
        <w:tc>
          <w:tcPr>
            <w:tcW w:w="2721" w:type="dxa"/>
          </w:tcPr>
          <w:p w14:paraId="3FF45C8E" w14:textId="77777777" w:rsidR="00FB0B31" w:rsidRPr="00FA288E" w:rsidRDefault="00FB0B31"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 xml:space="preserve">Target of 12 schools piloting </w:t>
            </w:r>
            <w:proofErr w:type="spellStart"/>
            <w:r w:rsidRPr="00FA288E">
              <w:rPr>
                <w:rFonts w:ascii="Calibri" w:hAnsi="Calibri" w:cs="Calibri"/>
                <w:szCs w:val="20"/>
                <w:lang w:val="en-AU"/>
              </w:rPr>
              <w:t>LfA</w:t>
            </w:r>
            <w:proofErr w:type="spellEnd"/>
            <w:r w:rsidRPr="00FA288E">
              <w:rPr>
                <w:rFonts w:ascii="Calibri" w:hAnsi="Calibri" w:cs="Calibri"/>
                <w:szCs w:val="20"/>
                <w:lang w:val="en-AU"/>
              </w:rPr>
              <w:t xml:space="preserve"> kits met</w:t>
            </w:r>
          </w:p>
        </w:tc>
      </w:tr>
      <w:tr w:rsidR="00FC28C2" w:rsidRPr="00FA288E" w14:paraId="0733EEEB" w14:textId="77777777" w:rsidTr="00535303">
        <w:tc>
          <w:tcPr>
            <w:tcW w:w="1371" w:type="dxa"/>
            <w:shd w:val="clear" w:color="auto" w:fill="262626" w:themeFill="text1" w:themeFillTint="D9"/>
          </w:tcPr>
          <w:p w14:paraId="4A316045" w14:textId="77777777" w:rsidR="00FC28C2" w:rsidRPr="00FA288E" w:rsidRDefault="00FC28C2" w:rsidP="008E2685">
            <w:pPr>
              <w:pStyle w:val="Bullets"/>
              <w:numPr>
                <w:ilvl w:val="0"/>
                <w:numId w:val="0"/>
              </w:numPr>
              <w:spacing w:after="0" w:line="216" w:lineRule="auto"/>
              <w:jc w:val="center"/>
              <w:rPr>
                <w:rFonts w:ascii="Calibri" w:hAnsi="Calibri" w:cs="Calibri"/>
                <w:szCs w:val="20"/>
                <w:lang w:val="en-AU"/>
              </w:rPr>
            </w:pPr>
            <w:r w:rsidRPr="00FA288E">
              <w:rPr>
                <w:rFonts w:ascii="Calibri" w:hAnsi="Calibri" w:cs="Calibri"/>
                <w:szCs w:val="20"/>
                <w:lang w:val="en-AU"/>
              </w:rPr>
              <w:t>PKS</w:t>
            </w:r>
          </w:p>
        </w:tc>
        <w:tc>
          <w:tcPr>
            <w:tcW w:w="2808" w:type="dxa"/>
          </w:tcPr>
          <w:p w14:paraId="63471074" w14:textId="77777777" w:rsidR="00FC28C2" w:rsidRPr="00FA288E" w:rsidRDefault="00FC28C2"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Teachers in 423 schools trained to establish Reading Corners; 188 establish Reading Corners</w:t>
            </w:r>
          </w:p>
        </w:tc>
        <w:tc>
          <w:tcPr>
            <w:tcW w:w="2836" w:type="dxa"/>
          </w:tcPr>
          <w:p w14:paraId="384F26BB" w14:textId="77777777" w:rsidR="00FC28C2" w:rsidRPr="00FA288E" w:rsidRDefault="00FC28C2"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1313 teachers in 423 schools received training to establish Reading Corners. 20% of schools (105) report setting up Reading Corners</w:t>
            </w:r>
          </w:p>
        </w:tc>
        <w:tc>
          <w:tcPr>
            <w:tcW w:w="2721" w:type="dxa"/>
          </w:tcPr>
          <w:p w14:paraId="4F8D9FAF" w14:textId="77777777" w:rsidR="00FC28C2" w:rsidRPr="00FA288E" w:rsidRDefault="00FC28C2"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On track to meet target of 188 schools establishing Reading Corners. Teachers (1313) in 423 schools received training to establish Reading Corners</w:t>
            </w:r>
          </w:p>
        </w:tc>
      </w:tr>
      <w:tr w:rsidR="00FC28C2" w:rsidRPr="00FA288E" w14:paraId="3A7AC38B" w14:textId="77777777" w:rsidTr="00535303">
        <w:tc>
          <w:tcPr>
            <w:tcW w:w="1371" w:type="dxa"/>
            <w:shd w:val="clear" w:color="auto" w:fill="262626" w:themeFill="text1" w:themeFillTint="D9"/>
          </w:tcPr>
          <w:p w14:paraId="6E6167E3" w14:textId="77777777" w:rsidR="00FC28C2" w:rsidRPr="00FA288E" w:rsidRDefault="00FC28C2" w:rsidP="008E2685">
            <w:pPr>
              <w:pStyle w:val="Bullets"/>
              <w:numPr>
                <w:ilvl w:val="0"/>
                <w:numId w:val="0"/>
              </w:numPr>
              <w:spacing w:after="0" w:line="216" w:lineRule="auto"/>
              <w:jc w:val="center"/>
              <w:rPr>
                <w:rFonts w:ascii="Calibri" w:hAnsi="Calibri" w:cs="Calibri"/>
                <w:szCs w:val="20"/>
                <w:lang w:val="en-AU"/>
              </w:rPr>
            </w:pPr>
          </w:p>
        </w:tc>
        <w:tc>
          <w:tcPr>
            <w:tcW w:w="2808" w:type="dxa"/>
          </w:tcPr>
          <w:p w14:paraId="29DB6A59" w14:textId="77777777" w:rsidR="00FC28C2" w:rsidRPr="00FA288E" w:rsidRDefault="00FC28C2"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 xml:space="preserve">55,000 </w:t>
            </w:r>
            <w:proofErr w:type="spellStart"/>
            <w:r w:rsidRPr="00FA288E">
              <w:rPr>
                <w:rFonts w:ascii="Calibri" w:hAnsi="Calibri" w:cs="Calibri"/>
                <w:szCs w:val="20"/>
                <w:lang w:val="en-AU"/>
              </w:rPr>
              <w:t>LfA</w:t>
            </w:r>
            <w:proofErr w:type="spellEnd"/>
            <w:r w:rsidRPr="00FA288E">
              <w:rPr>
                <w:rFonts w:ascii="Calibri" w:hAnsi="Calibri" w:cs="Calibri"/>
                <w:szCs w:val="20"/>
                <w:lang w:val="en-AU"/>
              </w:rPr>
              <w:t xml:space="preserve"> titles distributed – with coaching sessions for teachers for Reading Corners in the 188 schools</w:t>
            </w:r>
          </w:p>
        </w:tc>
        <w:tc>
          <w:tcPr>
            <w:tcW w:w="2836" w:type="dxa"/>
          </w:tcPr>
          <w:p w14:paraId="618BADF9" w14:textId="77777777" w:rsidR="00FC28C2" w:rsidRPr="00FA288E" w:rsidRDefault="00FC28C2"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Distribution began October 2019. The review team was not provided information on the extent of distribution although did see the warehouse storing the titles</w:t>
            </w:r>
          </w:p>
        </w:tc>
        <w:tc>
          <w:tcPr>
            <w:tcW w:w="2721" w:type="dxa"/>
          </w:tcPr>
          <w:p w14:paraId="469E1AE6" w14:textId="77777777" w:rsidR="00FC28C2" w:rsidRPr="00FA288E" w:rsidRDefault="00FC28C2"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Likely to meet target of distributing 55,000 titles and provision of coaching sessions for teachers in the 188 schools establishing Reading Corners</w:t>
            </w:r>
          </w:p>
        </w:tc>
      </w:tr>
      <w:tr w:rsidR="00FC28C2" w:rsidRPr="00FA288E" w14:paraId="2CF399B6" w14:textId="77777777" w:rsidTr="00535303">
        <w:tc>
          <w:tcPr>
            <w:tcW w:w="1371" w:type="dxa"/>
            <w:shd w:val="clear" w:color="auto" w:fill="262626" w:themeFill="text1" w:themeFillTint="D9"/>
          </w:tcPr>
          <w:p w14:paraId="12AC8B1C" w14:textId="77777777" w:rsidR="00FC28C2" w:rsidRPr="00FA288E" w:rsidRDefault="00FC28C2" w:rsidP="008E2685">
            <w:pPr>
              <w:pStyle w:val="Bullets"/>
              <w:numPr>
                <w:ilvl w:val="0"/>
                <w:numId w:val="0"/>
              </w:numPr>
              <w:spacing w:after="0" w:line="216" w:lineRule="auto"/>
              <w:jc w:val="center"/>
              <w:rPr>
                <w:rFonts w:ascii="Calibri" w:hAnsi="Calibri" w:cs="Calibri"/>
                <w:szCs w:val="20"/>
                <w:lang w:val="en-AU"/>
              </w:rPr>
            </w:pPr>
          </w:p>
        </w:tc>
        <w:tc>
          <w:tcPr>
            <w:tcW w:w="2808" w:type="dxa"/>
          </w:tcPr>
          <w:p w14:paraId="00615BF6" w14:textId="77777777" w:rsidR="00FC28C2" w:rsidRPr="00FA288E" w:rsidRDefault="00FC28C2"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Knowledge Hub developed and accessible – providing portal for teaching and learning resources</w:t>
            </w:r>
          </w:p>
        </w:tc>
        <w:tc>
          <w:tcPr>
            <w:tcW w:w="2836" w:type="dxa"/>
          </w:tcPr>
          <w:p w14:paraId="321194FB" w14:textId="77777777" w:rsidR="00FC28C2" w:rsidRPr="00FA288E" w:rsidRDefault="00FC28C2"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Communication use and technology access and use survey are completed. A pilot website for the Knowledge Hub is. Stories about project participants are drafted</w:t>
            </w:r>
          </w:p>
        </w:tc>
        <w:tc>
          <w:tcPr>
            <w:tcW w:w="2721" w:type="dxa"/>
          </w:tcPr>
          <w:p w14:paraId="678D25E4" w14:textId="77777777" w:rsidR="00FC28C2" w:rsidRPr="00FA288E" w:rsidRDefault="00FC28C2" w:rsidP="003B1012">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Target to complete development and launch the portal for accessibility to teaching and learning resources unlikely to be met.</w:t>
            </w:r>
          </w:p>
        </w:tc>
      </w:tr>
    </w:tbl>
    <w:p w14:paraId="32BD248C" w14:textId="477D1587" w:rsidR="0084126B" w:rsidRPr="00FA288E" w:rsidRDefault="00BC14E8" w:rsidP="00B17E15">
      <w:pPr>
        <w:pStyle w:val="Bullets"/>
        <w:numPr>
          <w:ilvl w:val="0"/>
          <w:numId w:val="0"/>
        </w:numPr>
        <w:spacing w:before="80" w:after="60" w:line="216" w:lineRule="auto"/>
        <w:jc w:val="both"/>
      </w:pPr>
      <w:r w:rsidRPr="00FA288E">
        <w:rPr>
          <w:rFonts w:ascii="Calibri" w:hAnsi="Calibri" w:cs="Calibri"/>
          <w:b/>
          <w:sz w:val="21"/>
          <w:szCs w:val="21"/>
        </w:rPr>
        <w:lastRenderedPageBreak/>
        <w:t>For progress on the provision of resources to support learning and reading, most end of project targets will be</w:t>
      </w:r>
      <w:r w:rsidR="00614C93" w:rsidRPr="00FA288E">
        <w:rPr>
          <w:rFonts w:ascii="Calibri" w:hAnsi="Calibri" w:cs="Calibri"/>
          <w:b/>
          <w:sz w:val="21"/>
          <w:szCs w:val="21"/>
        </w:rPr>
        <w:t xml:space="preserve"> met or exceeded</w:t>
      </w:r>
      <w:r w:rsidR="00614C93" w:rsidRPr="00FA288E">
        <w:rPr>
          <w:rFonts w:ascii="Calibri" w:hAnsi="Calibri" w:cs="Calibri"/>
          <w:sz w:val="21"/>
          <w:szCs w:val="21"/>
        </w:rPr>
        <w:t>, aside from those which have not been fully implemented</w:t>
      </w:r>
      <w:r w:rsidR="00575FA9" w:rsidRPr="00FA288E">
        <w:rPr>
          <w:rFonts w:ascii="Calibri" w:hAnsi="Calibri" w:cs="Calibri"/>
          <w:sz w:val="21"/>
          <w:szCs w:val="21"/>
        </w:rPr>
        <w:t xml:space="preserve"> </w:t>
      </w:r>
      <w:r w:rsidR="00614C93" w:rsidRPr="00FA288E">
        <w:rPr>
          <w:rFonts w:ascii="Calibri" w:hAnsi="Calibri" w:cs="Calibri"/>
          <w:sz w:val="21"/>
          <w:szCs w:val="21"/>
        </w:rPr>
        <w:t xml:space="preserve">or for which monitoring data is not available – e.g. </w:t>
      </w:r>
      <w:r w:rsidR="000F4928" w:rsidRPr="00FA288E">
        <w:rPr>
          <w:rFonts w:ascii="Calibri" w:hAnsi="Calibri" w:cs="Calibri"/>
          <w:sz w:val="21"/>
          <w:szCs w:val="21"/>
        </w:rPr>
        <w:t xml:space="preserve">Distribution of </w:t>
      </w:r>
      <w:proofErr w:type="spellStart"/>
      <w:r w:rsidR="000F4928" w:rsidRPr="00FA288E">
        <w:rPr>
          <w:rFonts w:ascii="Calibri" w:hAnsi="Calibri" w:cs="Calibri"/>
          <w:sz w:val="21"/>
          <w:szCs w:val="21"/>
        </w:rPr>
        <w:t>LfA</w:t>
      </w:r>
      <w:proofErr w:type="spellEnd"/>
      <w:r w:rsidR="000F4928" w:rsidRPr="00FA288E">
        <w:rPr>
          <w:rFonts w:ascii="Calibri" w:hAnsi="Calibri" w:cs="Calibri"/>
          <w:sz w:val="21"/>
          <w:szCs w:val="21"/>
        </w:rPr>
        <w:t xml:space="preserve"> titles for the </w:t>
      </w:r>
      <w:r w:rsidR="00614C93" w:rsidRPr="00FA288E">
        <w:rPr>
          <w:rFonts w:ascii="Calibri" w:hAnsi="Calibri" w:cs="Calibri"/>
          <w:sz w:val="21"/>
          <w:szCs w:val="21"/>
        </w:rPr>
        <w:t xml:space="preserve">Reading Corners supported by PKS. Higher than targeted numbers for the training of CLVs </w:t>
      </w:r>
      <w:r w:rsidR="0049719E" w:rsidRPr="00FA288E">
        <w:rPr>
          <w:rFonts w:ascii="Calibri" w:hAnsi="Calibri" w:cs="Calibri"/>
          <w:sz w:val="21"/>
          <w:szCs w:val="21"/>
        </w:rPr>
        <w:t xml:space="preserve">(RISE) </w:t>
      </w:r>
      <w:r w:rsidR="00614C93" w:rsidRPr="00FA288E">
        <w:rPr>
          <w:rFonts w:ascii="Calibri" w:hAnsi="Calibri" w:cs="Calibri"/>
          <w:sz w:val="21"/>
          <w:szCs w:val="21"/>
        </w:rPr>
        <w:t xml:space="preserve">were achieved, however the actual retention rate of active CLVs and the </w:t>
      </w:r>
      <w:r w:rsidR="000F4928" w:rsidRPr="00FA288E">
        <w:rPr>
          <w:rFonts w:ascii="Calibri" w:hAnsi="Calibri" w:cs="Calibri"/>
          <w:sz w:val="21"/>
          <w:szCs w:val="21"/>
        </w:rPr>
        <w:t xml:space="preserve">reading </w:t>
      </w:r>
      <w:r w:rsidR="00614C93" w:rsidRPr="00FA288E">
        <w:rPr>
          <w:rFonts w:ascii="Calibri" w:hAnsi="Calibri" w:cs="Calibri"/>
          <w:sz w:val="21"/>
          <w:szCs w:val="21"/>
        </w:rPr>
        <w:t>resources they still have control of may be lower than anticipated (click to view</w:t>
      </w:r>
      <w:r w:rsidR="001D736D" w:rsidRPr="00FA288E">
        <w:rPr>
          <w:rFonts w:ascii="Calibri" w:hAnsi="Calibri" w:cs="Calibri"/>
          <w:sz w:val="21"/>
          <w:szCs w:val="21"/>
        </w:rPr>
        <w:t>:</w:t>
      </w:r>
      <w:r w:rsidR="00614C93" w:rsidRPr="00FA288E">
        <w:rPr>
          <w:rFonts w:ascii="Calibri" w:hAnsi="Calibri" w:cs="Calibri"/>
          <w:sz w:val="21"/>
          <w:szCs w:val="21"/>
        </w:rPr>
        <w:t xml:space="preserve"> </w:t>
      </w:r>
      <w:hyperlink w:anchor="_Box_6._While" w:history="1">
        <w:r w:rsidR="00614C93" w:rsidRPr="00FA288E">
          <w:rPr>
            <w:rStyle w:val="Hyperlink"/>
            <w:rFonts w:ascii="Calibri" w:hAnsi="Calibri" w:cs="Calibri"/>
            <w:sz w:val="21"/>
            <w:szCs w:val="21"/>
          </w:rPr>
          <w:t>Box 6</w:t>
        </w:r>
      </w:hyperlink>
      <w:r w:rsidR="00614C93" w:rsidRPr="00FA288E">
        <w:rPr>
          <w:rFonts w:ascii="Calibri" w:hAnsi="Calibri" w:cs="Calibri"/>
          <w:sz w:val="21"/>
          <w:szCs w:val="21"/>
        </w:rPr>
        <w:t xml:space="preserve"> and </w:t>
      </w:r>
      <w:hyperlink w:anchor="_Box_7._" w:history="1">
        <w:r w:rsidR="00614C93" w:rsidRPr="00FA288E">
          <w:rPr>
            <w:rStyle w:val="Hyperlink"/>
            <w:rFonts w:ascii="Calibri" w:hAnsi="Calibri" w:cs="Calibri"/>
            <w:sz w:val="21"/>
            <w:szCs w:val="21"/>
          </w:rPr>
          <w:t xml:space="preserve">Box 7 Annex </w:t>
        </w:r>
        <w:r w:rsidR="008C2C8F" w:rsidRPr="00FA288E">
          <w:rPr>
            <w:rStyle w:val="Hyperlink"/>
            <w:rFonts w:ascii="Calibri" w:hAnsi="Calibri" w:cs="Calibri"/>
            <w:sz w:val="21"/>
            <w:szCs w:val="21"/>
          </w:rPr>
          <w:t>F</w:t>
        </w:r>
        <w:r w:rsidR="00614C93" w:rsidRPr="00FA288E">
          <w:rPr>
            <w:rStyle w:val="Hyperlink"/>
            <w:rFonts w:ascii="Calibri" w:hAnsi="Calibri" w:cs="Calibri"/>
            <w:sz w:val="21"/>
            <w:szCs w:val="21"/>
          </w:rPr>
          <w:t>.2</w:t>
        </w:r>
      </w:hyperlink>
      <w:r w:rsidR="00614C93" w:rsidRPr="00FA288E">
        <w:rPr>
          <w:rFonts w:ascii="Calibri" w:hAnsi="Calibri" w:cs="Calibri"/>
          <w:sz w:val="21"/>
          <w:szCs w:val="21"/>
        </w:rPr>
        <w:t xml:space="preserve">. The targets for parent/caregivers in supporting reading may have been overly ambitious – possibly due to low literacy </w:t>
      </w:r>
      <w:r w:rsidR="000F4928" w:rsidRPr="00FA288E">
        <w:rPr>
          <w:rFonts w:ascii="Calibri" w:hAnsi="Calibri" w:cs="Calibri"/>
          <w:sz w:val="21"/>
          <w:szCs w:val="21"/>
        </w:rPr>
        <w:t xml:space="preserve">and competing demands </w:t>
      </w:r>
      <w:r w:rsidR="00C23345" w:rsidRPr="00FA288E">
        <w:rPr>
          <w:rFonts w:ascii="Calibri" w:hAnsi="Calibri" w:cs="Calibri"/>
          <w:sz w:val="21"/>
          <w:szCs w:val="21"/>
        </w:rPr>
        <w:t xml:space="preserve">for the time </w:t>
      </w:r>
      <w:r w:rsidR="000F4928" w:rsidRPr="00FA288E">
        <w:rPr>
          <w:rFonts w:ascii="Calibri" w:hAnsi="Calibri" w:cs="Calibri"/>
          <w:sz w:val="21"/>
          <w:szCs w:val="21"/>
        </w:rPr>
        <w:t>of parents/caregiver</w:t>
      </w:r>
      <w:r w:rsidR="00C23345" w:rsidRPr="00FA288E">
        <w:rPr>
          <w:rFonts w:ascii="Calibri" w:hAnsi="Calibri" w:cs="Calibri"/>
          <w:sz w:val="21"/>
          <w:szCs w:val="21"/>
        </w:rPr>
        <w:t>s</w:t>
      </w:r>
      <w:r w:rsidR="000F4928" w:rsidRPr="00FA288E">
        <w:rPr>
          <w:rFonts w:ascii="Calibri" w:hAnsi="Calibri" w:cs="Calibri"/>
          <w:sz w:val="21"/>
          <w:szCs w:val="21"/>
        </w:rPr>
        <w:t xml:space="preserve"> </w:t>
      </w:r>
      <w:r w:rsidR="00614C93" w:rsidRPr="00FA288E">
        <w:rPr>
          <w:rFonts w:ascii="Calibri" w:hAnsi="Calibri" w:cs="Calibri"/>
          <w:sz w:val="21"/>
          <w:szCs w:val="21"/>
        </w:rPr>
        <w:t xml:space="preserve">– and the effect size of home reading was small (1.26%) (See Annex </w:t>
      </w:r>
      <w:r w:rsidR="008C2C8F" w:rsidRPr="00FA288E">
        <w:rPr>
          <w:rFonts w:ascii="Calibri" w:hAnsi="Calibri" w:cs="Calibri"/>
          <w:sz w:val="21"/>
          <w:szCs w:val="21"/>
        </w:rPr>
        <w:t>F</w:t>
      </w:r>
      <w:r w:rsidR="00614C93" w:rsidRPr="00FA288E">
        <w:rPr>
          <w:rFonts w:ascii="Calibri" w:hAnsi="Calibri" w:cs="Calibri"/>
          <w:sz w:val="21"/>
          <w:szCs w:val="21"/>
        </w:rPr>
        <w:t xml:space="preserve">.2).   The one intervention that requires additional </w:t>
      </w:r>
      <w:r w:rsidR="00C23345" w:rsidRPr="00FA288E">
        <w:rPr>
          <w:rFonts w:ascii="Calibri" w:hAnsi="Calibri" w:cs="Calibri"/>
          <w:sz w:val="21"/>
          <w:szCs w:val="21"/>
        </w:rPr>
        <w:t xml:space="preserve">investigation </w:t>
      </w:r>
      <w:r w:rsidR="00614C93" w:rsidRPr="00FA288E">
        <w:rPr>
          <w:rFonts w:ascii="Calibri" w:hAnsi="Calibri" w:cs="Calibri"/>
          <w:sz w:val="21"/>
          <w:szCs w:val="21"/>
        </w:rPr>
        <w:t xml:space="preserve">assessment is the proposed Knowledge Hub (PKS).  While conceptually sound, issues with technology and access protocols have prevented full </w:t>
      </w:r>
      <w:r w:rsidR="003B1012" w:rsidRPr="00FA288E">
        <w:rPr>
          <w:rFonts w:ascii="Calibri" w:hAnsi="Calibri" w:cs="Calibri"/>
          <w:sz w:val="21"/>
          <w:szCs w:val="21"/>
        </w:rPr>
        <w:t>development</w:t>
      </w:r>
      <w:r w:rsidR="00614C93" w:rsidRPr="00FA288E">
        <w:rPr>
          <w:rFonts w:ascii="Calibri" w:hAnsi="Calibri" w:cs="Calibri"/>
          <w:sz w:val="21"/>
          <w:szCs w:val="21"/>
        </w:rPr>
        <w:t xml:space="preserve">.  This, combined with the observation that the Knowledge Hub does not appear to have </w:t>
      </w:r>
      <w:r w:rsidR="00C23345" w:rsidRPr="00FA288E">
        <w:rPr>
          <w:rFonts w:ascii="Calibri" w:hAnsi="Calibri" w:cs="Calibri"/>
          <w:sz w:val="21"/>
          <w:szCs w:val="21"/>
        </w:rPr>
        <w:t xml:space="preserve">strong links with relevant units within the NDOE raises concern about </w:t>
      </w:r>
      <w:r w:rsidR="00BC66BB" w:rsidRPr="00FA288E">
        <w:rPr>
          <w:rFonts w:ascii="Calibri" w:hAnsi="Calibri" w:cs="Calibri"/>
          <w:sz w:val="21"/>
          <w:szCs w:val="21"/>
        </w:rPr>
        <w:t xml:space="preserve">its </w:t>
      </w:r>
      <w:r w:rsidR="00C23345" w:rsidRPr="00FA288E">
        <w:rPr>
          <w:rFonts w:ascii="Calibri" w:hAnsi="Calibri" w:cs="Calibri"/>
          <w:sz w:val="21"/>
          <w:szCs w:val="21"/>
        </w:rPr>
        <w:t>sustainability</w:t>
      </w:r>
      <w:r w:rsidR="00EE71C7" w:rsidRPr="00FA288E">
        <w:rPr>
          <w:rFonts w:ascii="Calibri" w:hAnsi="Calibri" w:cs="Calibri"/>
          <w:sz w:val="21"/>
          <w:szCs w:val="21"/>
        </w:rPr>
        <w:t xml:space="preserve"> beyond the life of the program</w:t>
      </w:r>
      <w:r w:rsidR="00C23345" w:rsidRPr="00FA288E">
        <w:rPr>
          <w:rFonts w:ascii="Calibri" w:hAnsi="Calibri" w:cs="Calibri"/>
          <w:sz w:val="21"/>
          <w:szCs w:val="21"/>
        </w:rPr>
        <w:t>.</w:t>
      </w:r>
    </w:p>
    <w:p w14:paraId="1D2FD179" w14:textId="45638A19" w:rsidR="001643BB" w:rsidRPr="00FA288E" w:rsidRDefault="001643BB" w:rsidP="00746416">
      <w:pPr>
        <w:pStyle w:val="Caption"/>
        <w:spacing w:before="80" w:after="80" w:line="240" w:lineRule="auto"/>
        <w:ind w:left="1138" w:hanging="1138"/>
        <w:rPr>
          <w:b w:val="0"/>
          <w:color w:val="auto"/>
          <w:lang w:val="en-AU"/>
        </w:rPr>
      </w:pPr>
      <w:r w:rsidRPr="00FA288E">
        <w:rPr>
          <w:b w:val="0"/>
          <w:color w:val="auto"/>
          <w:lang w:val="en-AU"/>
        </w:rPr>
        <w:t xml:space="preserve">Table </w:t>
      </w:r>
      <w:r w:rsidRPr="00FA288E">
        <w:rPr>
          <w:b w:val="0"/>
          <w:color w:val="auto"/>
          <w:lang w:val="en-AU"/>
        </w:rPr>
        <w:fldChar w:fldCharType="begin"/>
      </w:r>
      <w:r w:rsidRPr="00FA288E">
        <w:rPr>
          <w:b w:val="0"/>
          <w:color w:val="auto"/>
          <w:lang w:val="en-AU"/>
        </w:rPr>
        <w:instrText xml:space="preserve"> SEQ Table \* ARABIC </w:instrText>
      </w:r>
      <w:r w:rsidRPr="00FA288E">
        <w:rPr>
          <w:b w:val="0"/>
          <w:color w:val="auto"/>
          <w:lang w:val="en-AU"/>
        </w:rPr>
        <w:fldChar w:fldCharType="separate"/>
      </w:r>
      <w:r w:rsidR="00C22013">
        <w:rPr>
          <w:b w:val="0"/>
          <w:noProof/>
          <w:color w:val="auto"/>
          <w:lang w:val="en-AU"/>
        </w:rPr>
        <w:t>4</w:t>
      </w:r>
      <w:r w:rsidRPr="00FA288E">
        <w:rPr>
          <w:b w:val="0"/>
          <w:color w:val="auto"/>
          <w:lang w:val="en-AU"/>
        </w:rPr>
        <w:fldChar w:fldCharType="end"/>
      </w:r>
      <w:r w:rsidRPr="00FA288E">
        <w:rPr>
          <w:b w:val="0"/>
          <w:color w:val="auto"/>
          <w:lang w:val="en-AU"/>
        </w:rPr>
        <w:t xml:space="preserve"> Summary of Reported Progress in School Management</w:t>
      </w:r>
      <w:r w:rsidR="00114018" w:rsidRPr="00FA288E">
        <w:rPr>
          <w:b w:val="0"/>
          <w:color w:val="auto"/>
          <w:lang w:val="en-AU"/>
        </w:rPr>
        <w:t xml:space="preserve"> and Planning</w:t>
      </w:r>
      <w:r w:rsidRPr="00FA288E">
        <w:rPr>
          <w:rStyle w:val="FootnoteReference"/>
          <w:rFonts w:cs="Calibri"/>
          <w:b w:val="0"/>
          <w:color w:val="auto"/>
          <w:lang w:val="en-AU"/>
        </w:rPr>
        <w:footnoteReference w:id="38"/>
      </w:r>
    </w:p>
    <w:tbl>
      <w:tblPr>
        <w:tblStyle w:val="TableGrid"/>
        <w:tblW w:w="9715" w:type="dxa"/>
        <w:tblInd w:w="0" w:type="dxa"/>
        <w:tblLayout w:type="fixed"/>
        <w:tblLook w:val="04A0" w:firstRow="1" w:lastRow="0" w:firstColumn="1" w:lastColumn="0" w:noHBand="0" w:noVBand="1"/>
        <w:tblCaption w:val="Table 4 Summary of Reported Progress in School Management and Planning"/>
        <w:tblDescription w:val="On track to meet the target of 200 SLIPs developed and 3,000 parents/caregivers to be involved in SLIP development&#10;Target of 3,000 parents/caregivers trained on how to support the implementation of the SLIP will be exceeded&#10;Target of 90 SB0M generating resources to support schools is on track to be met&#10;Target of 670 persons trained in school management is on track to be met or exceeded&#10;Target of 423 schools developing SLIPs with 60% of the elements completed satisfactorily is on track"/>
      </w:tblPr>
      <w:tblGrid>
        <w:gridCol w:w="895"/>
        <w:gridCol w:w="3330"/>
        <w:gridCol w:w="2790"/>
        <w:gridCol w:w="2700"/>
      </w:tblGrid>
      <w:tr w:rsidR="001523A6" w:rsidRPr="00FA288E" w14:paraId="27321AEE" w14:textId="77777777" w:rsidTr="00AE259C">
        <w:trPr>
          <w:tblHeader/>
        </w:trPr>
        <w:tc>
          <w:tcPr>
            <w:tcW w:w="895" w:type="dxa"/>
            <w:shd w:val="clear" w:color="auto" w:fill="262626" w:themeFill="text1" w:themeFillTint="D9"/>
          </w:tcPr>
          <w:p w14:paraId="4E83D4CA" w14:textId="77777777" w:rsidR="001523A6" w:rsidRPr="00FA288E" w:rsidRDefault="001523A6" w:rsidP="001523A6">
            <w:pPr>
              <w:pStyle w:val="Bullets"/>
              <w:numPr>
                <w:ilvl w:val="0"/>
                <w:numId w:val="0"/>
              </w:numPr>
              <w:spacing w:after="0" w:line="216" w:lineRule="auto"/>
              <w:jc w:val="center"/>
              <w:rPr>
                <w:rFonts w:ascii="Calibri" w:hAnsi="Calibri" w:cs="Calibri"/>
                <w:szCs w:val="20"/>
                <w:lang w:val="en-AU"/>
              </w:rPr>
            </w:pPr>
            <w:r w:rsidRPr="00FA288E">
              <w:rPr>
                <w:rFonts w:cs="Calibri"/>
                <w:szCs w:val="20"/>
                <w:lang w:val="en-AU"/>
              </w:rPr>
              <w:t>Project</w:t>
            </w:r>
          </w:p>
        </w:tc>
        <w:tc>
          <w:tcPr>
            <w:tcW w:w="3330" w:type="dxa"/>
            <w:shd w:val="clear" w:color="auto" w:fill="262626" w:themeFill="text1" w:themeFillTint="D9"/>
          </w:tcPr>
          <w:p w14:paraId="32872E50" w14:textId="77777777" w:rsidR="001523A6" w:rsidRPr="00FA288E" w:rsidRDefault="001523A6" w:rsidP="001523A6">
            <w:pPr>
              <w:spacing w:line="216" w:lineRule="auto"/>
              <w:ind w:left="360"/>
              <w:jc w:val="center"/>
              <w:rPr>
                <w:rFonts w:cs="Calibri"/>
                <w:color w:val="F2F2F2" w:themeColor="background1" w:themeShade="F2"/>
                <w:szCs w:val="20"/>
                <w:lang w:val="en-AU"/>
              </w:rPr>
            </w:pPr>
            <w:r w:rsidRPr="00FA288E">
              <w:rPr>
                <w:rFonts w:cs="Calibri"/>
                <w:color w:val="F2F2F2" w:themeColor="background1" w:themeShade="F2"/>
                <w:szCs w:val="20"/>
                <w:lang w:val="en-AU"/>
              </w:rPr>
              <w:t>End of Project Targets to June 2020</w:t>
            </w:r>
            <w:r w:rsidRPr="00FA288E">
              <w:rPr>
                <w:rStyle w:val="FootnoteReference"/>
                <w:rFonts w:cs="Calibri"/>
                <w:color w:val="F2F2F2" w:themeColor="background1" w:themeShade="F2"/>
                <w:szCs w:val="20"/>
                <w:lang w:val="en-AU"/>
              </w:rPr>
              <w:footnoteReference w:id="39"/>
            </w:r>
          </w:p>
          <w:p w14:paraId="0708803E" w14:textId="77777777" w:rsidR="001523A6" w:rsidRPr="00FA288E" w:rsidRDefault="001523A6" w:rsidP="001523A6">
            <w:pPr>
              <w:pStyle w:val="Bullets"/>
              <w:numPr>
                <w:ilvl w:val="0"/>
                <w:numId w:val="0"/>
              </w:numPr>
              <w:spacing w:after="0" w:line="216" w:lineRule="auto"/>
              <w:ind w:left="360"/>
              <w:jc w:val="center"/>
              <w:rPr>
                <w:rFonts w:ascii="Calibri" w:hAnsi="Calibri" w:cs="Calibri"/>
                <w:color w:val="F2F2F2" w:themeColor="background1" w:themeShade="F2"/>
                <w:szCs w:val="20"/>
                <w:lang w:val="en-AU"/>
              </w:rPr>
            </w:pPr>
            <w:r w:rsidRPr="00FA288E">
              <w:rPr>
                <w:rFonts w:cs="Calibri"/>
                <w:szCs w:val="20"/>
                <w:lang w:val="en-AU"/>
              </w:rPr>
              <w:t>(Annual Targets in parentheses)</w:t>
            </w:r>
          </w:p>
        </w:tc>
        <w:tc>
          <w:tcPr>
            <w:tcW w:w="2790" w:type="dxa"/>
            <w:shd w:val="clear" w:color="auto" w:fill="262626" w:themeFill="text1" w:themeFillTint="D9"/>
          </w:tcPr>
          <w:p w14:paraId="6C2C8172" w14:textId="77777777" w:rsidR="001523A6" w:rsidRPr="00FA288E" w:rsidRDefault="001523A6" w:rsidP="001523A6">
            <w:pPr>
              <w:spacing w:line="216" w:lineRule="auto"/>
              <w:ind w:left="360"/>
              <w:jc w:val="center"/>
              <w:rPr>
                <w:rFonts w:cs="Calibri"/>
                <w:szCs w:val="20"/>
                <w:lang w:val="en-AU"/>
              </w:rPr>
            </w:pPr>
            <w:r w:rsidRPr="00FA288E">
              <w:rPr>
                <w:rFonts w:cs="Calibri"/>
                <w:szCs w:val="20"/>
                <w:lang w:val="en-AU"/>
              </w:rPr>
              <w:t xml:space="preserve">Progress to Date </w:t>
            </w:r>
          </w:p>
          <w:p w14:paraId="026ED1BA" w14:textId="77777777" w:rsidR="001523A6" w:rsidRPr="00FA288E" w:rsidRDefault="001523A6" w:rsidP="001523A6">
            <w:pPr>
              <w:pStyle w:val="Bullets"/>
              <w:numPr>
                <w:ilvl w:val="0"/>
                <w:numId w:val="0"/>
              </w:numPr>
              <w:spacing w:after="0" w:line="216" w:lineRule="auto"/>
              <w:ind w:left="-14"/>
              <w:jc w:val="center"/>
              <w:rPr>
                <w:rFonts w:ascii="Calibri" w:hAnsi="Calibri" w:cs="Calibri"/>
                <w:szCs w:val="20"/>
                <w:lang w:val="en-AU"/>
              </w:rPr>
            </w:pPr>
            <w:r w:rsidRPr="00FA288E">
              <w:rPr>
                <w:rFonts w:cs="Calibri"/>
                <w:szCs w:val="20"/>
                <w:lang w:val="en-AU"/>
              </w:rPr>
              <w:t>(Against Year 1 targets: RISE and T4E. PKS does not have annual targets)</w:t>
            </w:r>
            <w:r w:rsidRPr="00FA288E">
              <w:rPr>
                <w:rStyle w:val="FootnoteReference"/>
                <w:rFonts w:cs="Calibri"/>
                <w:szCs w:val="20"/>
                <w:lang w:val="en-AU"/>
              </w:rPr>
              <w:footnoteReference w:id="40"/>
            </w:r>
          </w:p>
        </w:tc>
        <w:tc>
          <w:tcPr>
            <w:tcW w:w="2700" w:type="dxa"/>
            <w:shd w:val="clear" w:color="auto" w:fill="262626" w:themeFill="text1" w:themeFillTint="D9"/>
          </w:tcPr>
          <w:p w14:paraId="707081D7" w14:textId="77777777" w:rsidR="001523A6" w:rsidRPr="00FA288E" w:rsidRDefault="001523A6" w:rsidP="001523A6">
            <w:pPr>
              <w:pStyle w:val="Bullets"/>
              <w:numPr>
                <w:ilvl w:val="0"/>
                <w:numId w:val="0"/>
              </w:numPr>
              <w:spacing w:after="0" w:line="216" w:lineRule="auto"/>
              <w:ind w:left="360"/>
              <w:jc w:val="center"/>
              <w:rPr>
                <w:rFonts w:ascii="Calibri" w:hAnsi="Calibri" w:cs="Calibri"/>
                <w:szCs w:val="20"/>
                <w:lang w:val="en-AU"/>
              </w:rPr>
            </w:pPr>
            <w:r w:rsidRPr="00FA288E">
              <w:rPr>
                <w:rFonts w:cs="Calibri"/>
                <w:szCs w:val="20"/>
                <w:lang w:val="en-AU"/>
              </w:rPr>
              <w:t>Progress against End of Project targets June 2020</w:t>
            </w:r>
          </w:p>
        </w:tc>
      </w:tr>
      <w:tr w:rsidR="005A1303" w:rsidRPr="00FA288E" w14:paraId="288A6AC7" w14:textId="77777777" w:rsidTr="00114018">
        <w:tc>
          <w:tcPr>
            <w:tcW w:w="895" w:type="dxa"/>
            <w:shd w:val="clear" w:color="auto" w:fill="262626" w:themeFill="text1" w:themeFillTint="D9"/>
          </w:tcPr>
          <w:p w14:paraId="483FF6C0" w14:textId="77777777" w:rsidR="005A1303" w:rsidRPr="00FA288E" w:rsidRDefault="005A1303" w:rsidP="008E2685">
            <w:pPr>
              <w:pStyle w:val="Bullets"/>
              <w:numPr>
                <w:ilvl w:val="0"/>
                <w:numId w:val="0"/>
              </w:numPr>
              <w:spacing w:after="0" w:line="216" w:lineRule="auto"/>
              <w:jc w:val="center"/>
              <w:rPr>
                <w:rFonts w:ascii="Calibri" w:hAnsi="Calibri" w:cs="Calibri"/>
                <w:szCs w:val="20"/>
                <w:lang w:val="en-AU"/>
              </w:rPr>
            </w:pPr>
            <w:r w:rsidRPr="00FA288E">
              <w:rPr>
                <w:rFonts w:ascii="Calibri" w:hAnsi="Calibri" w:cs="Calibri"/>
                <w:szCs w:val="20"/>
                <w:lang w:val="en-AU"/>
              </w:rPr>
              <w:t>RISE</w:t>
            </w:r>
          </w:p>
        </w:tc>
        <w:tc>
          <w:tcPr>
            <w:tcW w:w="3330" w:type="dxa"/>
          </w:tcPr>
          <w:p w14:paraId="58E9F8DE" w14:textId="77777777" w:rsidR="005A1303" w:rsidRPr="00FA288E" w:rsidRDefault="005A1303" w:rsidP="00C23345">
            <w:pPr>
              <w:pStyle w:val="Bullets"/>
              <w:numPr>
                <w:ilvl w:val="0"/>
                <w:numId w:val="0"/>
              </w:numPr>
              <w:spacing w:after="0" w:line="216" w:lineRule="auto"/>
              <w:ind w:left="-14"/>
              <w:jc w:val="left"/>
              <w:rPr>
                <w:rFonts w:ascii="Calibri" w:hAnsi="Calibri" w:cs="Calibri"/>
                <w:szCs w:val="20"/>
                <w:lang w:val="en-AU"/>
              </w:rPr>
            </w:pPr>
            <w:r w:rsidRPr="00FA288E">
              <w:rPr>
                <w:rFonts w:ascii="Calibri" w:hAnsi="Calibri" w:cs="Calibri"/>
                <w:szCs w:val="20"/>
                <w:lang w:val="en-AU"/>
              </w:rPr>
              <w:t>Not Applicable</w:t>
            </w:r>
            <w:r w:rsidR="00114018" w:rsidRPr="00FA288E">
              <w:rPr>
                <w:rFonts w:ascii="Calibri" w:hAnsi="Calibri" w:cs="Calibri"/>
                <w:szCs w:val="20"/>
                <w:lang w:val="en-AU"/>
              </w:rPr>
              <w:t xml:space="preserve"> as there were no RISE activities to influence school management</w:t>
            </w:r>
          </w:p>
        </w:tc>
        <w:tc>
          <w:tcPr>
            <w:tcW w:w="2790" w:type="dxa"/>
          </w:tcPr>
          <w:p w14:paraId="22FD43AD" w14:textId="77777777" w:rsidR="005A1303" w:rsidRPr="00FA288E" w:rsidRDefault="005A1303" w:rsidP="00C23345">
            <w:pPr>
              <w:pStyle w:val="Bullets"/>
              <w:numPr>
                <w:ilvl w:val="0"/>
                <w:numId w:val="0"/>
              </w:numPr>
              <w:spacing w:after="0" w:line="216" w:lineRule="auto"/>
              <w:ind w:left="360"/>
              <w:jc w:val="left"/>
              <w:rPr>
                <w:rFonts w:ascii="Calibri" w:hAnsi="Calibri" w:cs="Calibri"/>
                <w:szCs w:val="20"/>
                <w:lang w:val="en-AU"/>
              </w:rPr>
            </w:pPr>
            <w:r w:rsidRPr="00FA288E">
              <w:rPr>
                <w:rFonts w:ascii="Calibri" w:hAnsi="Calibri" w:cs="Calibri"/>
                <w:szCs w:val="20"/>
                <w:lang w:val="en-AU"/>
              </w:rPr>
              <w:t>-</w:t>
            </w:r>
          </w:p>
        </w:tc>
        <w:tc>
          <w:tcPr>
            <w:tcW w:w="2700" w:type="dxa"/>
          </w:tcPr>
          <w:p w14:paraId="691A1452" w14:textId="77777777" w:rsidR="005A1303" w:rsidRPr="00FA288E" w:rsidRDefault="005A1303" w:rsidP="00C23345">
            <w:pPr>
              <w:pStyle w:val="Bullets"/>
              <w:numPr>
                <w:ilvl w:val="0"/>
                <w:numId w:val="0"/>
              </w:numPr>
              <w:spacing w:after="0" w:line="216" w:lineRule="auto"/>
              <w:ind w:left="360"/>
              <w:jc w:val="left"/>
              <w:rPr>
                <w:rFonts w:ascii="Calibri" w:hAnsi="Calibri" w:cs="Calibri"/>
                <w:szCs w:val="20"/>
                <w:lang w:val="en-AU"/>
              </w:rPr>
            </w:pPr>
          </w:p>
        </w:tc>
      </w:tr>
      <w:tr w:rsidR="00FC28C2" w:rsidRPr="00FA288E" w14:paraId="3ACD1B20" w14:textId="77777777" w:rsidTr="00114018">
        <w:tc>
          <w:tcPr>
            <w:tcW w:w="895" w:type="dxa"/>
            <w:shd w:val="clear" w:color="auto" w:fill="262626" w:themeFill="text1" w:themeFillTint="D9"/>
          </w:tcPr>
          <w:p w14:paraId="612F17BA" w14:textId="77777777" w:rsidR="00FC28C2" w:rsidRPr="00FA288E" w:rsidRDefault="00FC28C2" w:rsidP="008E2685">
            <w:pPr>
              <w:pStyle w:val="Bullets"/>
              <w:numPr>
                <w:ilvl w:val="0"/>
                <w:numId w:val="0"/>
              </w:numPr>
              <w:spacing w:after="0" w:line="216" w:lineRule="auto"/>
              <w:jc w:val="center"/>
              <w:rPr>
                <w:rFonts w:ascii="Calibri" w:hAnsi="Calibri" w:cs="Calibri"/>
                <w:szCs w:val="20"/>
                <w:lang w:val="en-AU"/>
              </w:rPr>
            </w:pPr>
            <w:r w:rsidRPr="00FA288E">
              <w:rPr>
                <w:rFonts w:ascii="Calibri" w:hAnsi="Calibri" w:cs="Calibri"/>
                <w:szCs w:val="20"/>
                <w:lang w:val="en-AU"/>
              </w:rPr>
              <w:t>T4E</w:t>
            </w:r>
          </w:p>
        </w:tc>
        <w:tc>
          <w:tcPr>
            <w:tcW w:w="3330" w:type="dxa"/>
          </w:tcPr>
          <w:p w14:paraId="66AE26B1" w14:textId="77777777" w:rsidR="00FC28C2" w:rsidRPr="00FA288E" w:rsidRDefault="00FC28C2" w:rsidP="00C23345">
            <w:pPr>
              <w:pStyle w:val="Bullets"/>
              <w:numPr>
                <w:ilvl w:val="0"/>
                <w:numId w:val="0"/>
              </w:numPr>
              <w:spacing w:after="0" w:line="216" w:lineRule="auto"/>
              <w:ind w:left="-11"/>
              <w:jc w:val="left"/>
              <w:rPr>
                <w:rFonts w:ascii="Calibri" w:hAnsi="Calibri" w:cs="Calibri"/>
                <w:szCs w:val="20"/>
                <w:lang w:val="en-AU"/>
              </w:rPr>
            </w:pPr>
            <w:r w:rsidRPr="00FA288E">
              <w:rPr>
                <w:rFonts w:ascii="Calibri" w:hAnsi="Calibri" w:cs="Calibri"/>
                <w:szCs w:val="20"/>
                <w:lang w:val="en-AU"/>
              </w:rPr>
              <w:t>200 (100/year) SLIPs developed; 3000 (1500/ year) parents/caregivers involved in SLIP development</w:t>
            </w:r>
          </w:p>
        </w:tc>
        <w:tc>
          <w:tcPr>
            <w:tcW w:w="2790" w:type="dxa"/>
          </w:tcPr>
          <w:p w14:paraId="420F3243" w14:textId="77777777" w:rsidR="00FC28C2" w:rsidRPr="00FA288E" w:rsidRDefault="00FC28C2" w:rsidP="00C23345">
            <w:pPr>
              <w:pStyle w:val="Bullets"/>
              <w:numPr>
                <w:ilvl w:val="0"/>
                <w:numId w:val="0"/>
              </w:numPr>
              <w:spacing w:after="0" w:line="216" w:lineRule="auto"/>
              <w:ind w:left="-11"/>
              <w:jc w:val="left"/>
              <w:rPr>
                <w:rFonts w:ascii="Calibri" w:hAnsi="Calibri" w:cs="Calibri"/>
                <w:szCs w:val="20"/>
                <w:lang w:val="en-AU"/>
              </w:rPr>
            </w:pPr>
            <w:r w:rsidRPr="00FA288E">
              <w:rPr>
                <w:rFonts w:ascii="Calibri" w:hAnsi="Calibri" w:cs="Calibri"/>
                <w:szCs w:val="20"/>
                <w:lang w:val="en-AU"/>
              </w:rPr>
              <w:t>130 SLIPs developed with parents/caregivers; 3030 parents/ caregivers involved</w:t>
            </w:r>
          </w:p>
        </w:tc>
        <w:tc>
          <w:tcPr>
            <w:tcW w:w="2700" w:type="dxa"/>
          </w:tcPr>
          <w:p w14:paraId="5C0805A3" w14:textId="77777777" w:rsidR="00FC28C2" w:rsidRPr="00FA288E" w:rsidRDefault="00FC28C2" w:rsidP="00C23345">
            <w:pPr>
              <w:jc w:val="left"/>
              <w:rPr>
                <w:rFonts w:eastAsiaTheme="minorHAnsi" w:cs="Calibri"/>
                <w:sz w:val="20"/>
                <w:szCs w:val="20"/>
                <w:lang w:val="en-AU"/>
              </w:rPr>
            </w:pPr>
            <w:r w:rsidRPr="00FA288E">
              <w:rPr>
                <w:rFonts w:eastAsiaTheme="minorHAnsi" w:cs="Calibri"/>
                <w:sz w:val="20"/>
                <w:szCs w:val="20"/>
                <w:lang w:val="en-AU"/>
              </w:rPr>
              <w:t>On track to meet the target of 200 SLIPs developed and 3,000 parents/caregivers to be involved in SLIP development</w:t>
            </w:r>
          </w:p>
        </w:tc>
      </w:tr>
      <w:tr w:rsidR="00FC28C2" w:rsidRPr="00FA288E" w14:paraId="6ACA3921" w14:textId="77777777" w:rsidTr="00114018">
        <w:tc>
          <w:tcPr>
            <w:tcW w:w="895" w:type="dxa"/>
            <w:shd w:val="clear" w:color="auto" w:fill="262626" w:themeFill="text1" w:themeFillTint="D9"/>
          </w:tcPr>
          <w:p w14:paraId="69967D74" w14:textId="77777777" w:rsidR="00FC28C2" w:rsidRPr="00FA288E" w:rsidRDefault="00FC28C2" w:rsidP="008E2685">
            <w:pPr>
              <w:pStyle w:val="Bullets"/>
              <w:numPr>
                <w:ilvl w:val="0"/>
                <w:numId w:val="0"/>
              </w:numPr>
              <w:spacing w:after="0" w:line="216" w:lineRule="auto"/>
              <w:jc w:val="center"/>
              <w:rPr>
                <w:rFonts w:ascii="Calibri" w:hAnsi="Calibri" w:cs="Calibri"/>
                <w:szCs w:val="20"/>
                <w:lang w:val="en-AU"/>
              </w:rPr>
            </w:pPr>
          </w:p>
        </w:tc>
        <w:tc>
          <w:tcPr>
            <w:tcW w:w="3330" w:type="dxa"/>
          </w:tcPr>
          <w:p w14:paraId="4D57BB62" w14:textId="77777777" w:rsidR="00FC28C2" w:rsidRPr="00FA288E" w:rsidRDefault="00FC28C2" w:rsidP="00C23345">
            <w:pPr>
              <w:pStyle w:val="Bullets"/>
              <w:numPr>
                <w:ilvl w:val="0"/>
                <w:numId w:val="0"/>
              </w:numPr>
              <w:spacing w:after="0" w:line="216" w:lineRule="auto"/>
              <w:ind w:left="-11"/>
              <w:jc w:val="left"/>
              <w:rPr>
                <w:rFonts w:ascii="Calibri" w:hAnsi="Calibri" w:cs="Calibri"/>
                <w:szCs w:val="20"/>
                <w:lang w:val="en-AU"/>
              </w:rPr>
            </w:pPr>
            <w:r w:rsidRPr="00FA288E">
              <w:rPr>
                <w:rFonts w:ascii="Calibri" w:hAnsi="Calibri" w:cs="Calibri"/>
                <w:szCs w:val="20"/>
                <w:lang w:val="en-AU"/>
              </w:rPr>
              <w:t>3000 parents/caregivers trained on how to support implementation of the SLIPs</w:t>
            </w:r>
          </w:p>
        </w:tc>
        <w:tc>
          <w:tcPr>
            <w:tcW w:w="2790" w:type="dxa"/>
          </w:tcPr>
          <w:p w14:paraId="39BC7C30" w14:textId="77777777" w:rsidR="00FC28C2" w:rsidRPr="00FA288E" w:rsidRDefault="00FC28C2" w:rsidP="00C23345">
            <w:pPr>
              <w:pStyle w:val="Bullets"/>
              <w:numPr>
                <w:ilvl w:val="0"/>
                <w:numId w:val="0"/>
              </w:numPr>
              <w:spacing w:after="0" w:line="216" w:lineRule="auto"/>
              <w:ind w:left="-11"/>
              <w:jc w:val="left"/>
              <w:rPr>
                <w:rFonts w:ascii="Calibri" w:hAnsi="Calibri" w:cs="Calibri"/>
                <w:szCs w:val="20"/>
                <w:lang w:val="en-AU"/>
              </w:rPr>
            </w:pPr>
            <w:r w:rsidRPr="00FA288E">
              <w:rPr>
                <w:rFonts w:ascii="Calibri" w:hAnsi="Calibri" w:cs="Calibri"/>
                <w:szCs w:val="20"/>
                <w:lang w:val="en-AU"/>
              </w:rPr>
              <w:t>6,431 trained on how to support the SLIPs</w:t>
            </w:r>
          </w:p>
        </w:tc>
        <w:tc>
          <w:tcPr>
            <w:tcW w:w="2700" w:type="dxa"/>
          </w:tcPr>
          <w:p w14:paraId="0EF51242" w14:textId="77777777" w:rsidR="00FC28C2" w:rsidRPr="00FA288E" w:rsidRDefault="00FC28C2" w:rsidP="00C23345">
            <w:pPr>
              <w:pStyle w:val="Bullets"/>
              <w:numPr>
                <w:ilvl w:val="0"/>
                <w:numId w:val="0"/>
              </w:numPr>
              <w:spacing w:after="0" w:line="216" w:lineRule="auto"/>
              <w:ind w:left="-11"/>
              <w:jc w:val="left"/>
              <w:rPr>
                <w:rFonts w:ascii="Calibri" w:hAnsi="Calibri" w:cs="Calibri"/>
                <w:szCs w:val="20"/>
                <w:lang w:val="en-AU"/>
              </w:rPr>
            </w:pPr>
            <w:r w:rsidRPr="00FA288E">
              <w:rPr>
                <w:rFonts w:ascii="Calibri" w:hAnsi="Calibri" w:cs="Calibri"/>
                <w:szCs w:val="20"/>
                <w:lang w:val="en-AU"/>
              </w:rPr>
              <w:t>Target of 3,000 parents/caregivers trained on how to support the implementation of the SLIP will be exceeded</w:t>
            </w:r>
          </w:p>
        </w:tc>
      </w:tr>
      <w:tr w:rsidR="00FC28C2" w:rsidRPr="00FA288E" w14:paraId="2EFFBE47" w14:textId="77777777" w:rsidTr="00114018">
        <w:tc>
          <w:tcPr>
            <w:tcW w:w="895" w:type="dxa"/>
            <w:shd w:val="clear" w:color="auto" w:fill="262626" w:themeFill="text1" w:themeFillTint="D9"/>
          </w:tcPr>
          <w:p w14:paraId="6AFE87F1" w14:textId="77777777" w:rsidR="00FC28C2" w:rsidRPr="00FA288E" w:rsidRDefault="00FC28C2" w:rsidP="008E2685">
            <w:pPr>
              <w:pStyle w:val="Bullets"/>
              <w:numPr>
                <w:ilvl w:val="0"/>
                <w:numId w:val="0"/>
              </w:numPr>
              <w:spacing w:after="0" w:line="216" w:lineRule="auto"/>
              <w:jc w:val="center"/>
              <w:rPr>
                <w:rFonts w:ascii="Calibri" w:hAnsi="Calibri" w:cs="Calibri"/>
                <w:szCs w:val="20"/>
                <w:lang w:val="en-AU"/>
              </w:rPr>
            </w:pPr>
          </w:p>
        </w:tc>
        <w:tc>
          <w:tcPr>
            <w:tcW w:w="3330" w:type="dxa"/>
          </w:tcPr>
          <w:p w14:paraId="41B22A8D" w14:textId="77777777" w:rsidR="00FC28C2" w:rsidRPr="00FA288E" w:rsidRDefault="00FC28C2" w:rsidP="00C23345">
            <w:pPr>
              <w:pStyle w:val="Bullets"/>
              <w:numPr>
                <w:ilvl w:val="0"/>
                <w:numId w:val="0"/>
              </w:numPr>
              <w:spacing w:after="0" w:line="216" w:lineRule="auto"/>
              <w:ind w:left="-11"/>
              <w:jc w:val="left"/>
              <w:rPr>
                <w:rFonts w:ascii="Calibri" w:hAnsi="Calibri" w:cs="Calibri"/>
                <w:szCs w:val="20"/>
                <w:lang w:val="en-AU"/>
              </w:rPr>
            </w:pPr>
            <w:r w:rsidRPr="00FA288E">
              <w:rPr>
                <w:rFonts w:ascii="Calibri" w:hAnsi="Calibri" w:cs="Calibri"/>
                <w:szCs w:val="20"/>
                <w:lang w:val="en-AU"/>
              </w:rPr>
              <w:t xml:space="preserve">90 </w:t>
            </w:r>
            <w:proofErr w:type="spellStart"/>
            <w:r w:rsidRPr="00FA288E">
              <w:rPr>
                <w:rFonts w:ascii="Calibri" w:hAnsi="Calibri" w:cs="Calibri"/>
                <w:szCs w:val="20"/>
                <w:lang w:val="en-AU"/>
              </w:rPr>
              <w:t>SBoM</w:t>
            </w:r>
            <w:proofErr w:type="spellEnd"/>
            <w:r w:rsidRPr="00FA288E">
              <w:rPr>
                <w:rFonts w:ascii="Calibri" w:hAnsi="Calibri" w:cs="Calibri"/>
                <w:szCs w:val="20"/>
                <w:lang w:val="en-AU"/>
              </w:rPr>
              <w:t xml:space="preserve"> generate resources to support school operations</w:t>
            </w:r>
          </w:p>
        </w:tc>
        <w:tc>
          <w:tcPr>
            <w:tcW w:w="2790" w:type="dxa"/>
          </w:tcPr>
          <w:p w14:paraId="6B1742C1" w14:textId="77777777" w:rsidR="00FC28C2" w:rsidRPr="00FA288E" w:rsidRDefault="00FC28C2" w:rsidP="00C23345">
            <w:pPr>
              <w:pStyle w:val="Bullets"/>
              <w:numPr>
                <w:ilvl w:val="0"/>
                <w:numId w:val="0"/>
              </w:numPr>
              <w:spacing w:after="0" w:line="216" w:lineRule="auto"/>
              <w:ind w:left="-11"/>
              <w:jc w:val="left"/>
              <w:rPr>
                <w:rFonts w:ascii="Calibri" w:hAnsi="Calibri" w:cs="Calibri"/>
                <w:szCs w:val="20"/>
                <w:lang w:val="en-AU"/>
              </w:rPr>
            </w:pPr>
            <w:r w:rsidRPr="00FA288E">
              <w:rPr>
                <w:rFonts w:ascii="Calibri" w:hAnsi="Calibri" w:cs="Calibri"/>
                <w:szCs w:val="20"/>
                <w:lang w:val="en-AU"/>
              </w:rPr>
              <w:t xml:space="preserve">82 </w:t>
            </w:r>
            <w:proofErr w:type="spellStart"/>
            <w:r w:rsidRPr="00FA288E">
              <w:rPr>
                <w:rFonts w:ascii="Calibri" w:hAnsi="Calibri" w:cs="Calibri"/>
                <w:szCs w:val="20"/>
                <w:lang w:val="en-AU"/>
              </w:rPr>
              <w:t>SBoM</w:t>
            </w:r>
            <w:proofErr w:type="spellEnd"/>
            <w:r w:rsidRPr="00FA288E">
              <w:rPr>
                <w:rFonts w:ascii="Calibri" w:hAnsi="Calibri" w:cs="Calibri"/>
                <w:szCs w:val="20"/>
                <w:lang w:val="en-AU"/>
              </w:rPr>
              <w:t xml:space="preserve"> have generated resources to support school operations</w:t>
            </w:r>
          </w:p>
        </w:tc>
        <w:tc>
          <w:tcPr>
            <w:tcW w:w="2700" w:type="dxa"/>
          </w:tcPr>
          <w:p w14:paraId="7668D6A7" w14:textId="77777777" w:rsidR="00FC28C2" w:rsidRPr="00FA288E" w:rsidRDefault="00FC28C2" w:rsidP="00C23345">
            <w:pPr>
              <w:pStyle w:val="Bullets"/>
              <w:numPr>
                <w:ilvl w:val="0"/>
                <w:numId w:val="0"/>
              </w:numPr>
              <w:spacing w:after="0" w:line="216" w:lineRule="auto"/>
              <w:ind w:left="-11"/>
              <w:jc w:val="left"/>
              <w:rPr>
                <w:rFonts w:ascii="Calibri" w:hAnsi="Calibri" w:cs="Calibri"/>
                <w:szCs w:val="20"/>
                <w:lang w:val="en-AU"/>
              </w:rPr>
            </w:pPr>
            <w:r w:rsidRPr="00FA288E">
              <w:rPr>
                <w:rFonts w:ascii="Calibri" w:hAnsi="Calibri" w:cs="Calibri"/>
                <w:szCs w:val="20"/>
                <w:lang w:val="en-AU"/>
              </w:rPr>
              <w:t>Target of 90 SB0M generating resources to support schools is on track to be met</w:t>
            </w:r>
          </w:p>
        </w:tc>
      </w:tr>
      <w:tr w:rsidR="005A1303" w:rsidRPr="00FA288E" w14:paraId="46C4D30E" w14:textId="77777777" w:rsidTr="00114018">
        <w:tc>
          <w:tcPr>
            <w:tcW w:w="895" w:type="dxa"/>
            <w:shd w:val="clear" w:color="auto" w:fill="262626" w:themeFill="text1" w:themeFillTint="D9"/>
          </w:tcPr>
          <w:p w14:paraId="24337C24" w14:textId="77777777" w:rsidR="005A1303" w:rsidRPr="00FA288E" w:rsidRDefault="005A1303" w:rsidP="008E2685">
            <w:pPr>
              <w:pStyle w:val="Bullets"/>
              <w:numPr>
                <w:ilvl w:val="0"/>
                <w:numId w:val="0"/>
              </w:numPr>
              <w:spacing w:after="0" w:line="216" w:lineRule="auto"/>
              <w:jc w:val="center"/>
              <w:rPr>
                <w:rFonts w:ascii="Calibri" w:hAnsi="Calibri" w:cs="Calibri"/>
                <w:szCs w:val="20"/>
                <w:lang w:val="en-AU"/>
              </w:rPr>
            </w:pPr>
            <w:r w:rsidRPr="00FA288E">
              <w:rPr>
                <w:rFonts w:ascii="Calibri" w:hAnsi="Calibri" w:cs="Calibri"/>
                <w:szCs w:val="20"/>
                <w:lang w:val="en-AU"/>
              </w:rPr>
              <w:t>PKS</w:t>
            </w:r>
          </w:p>
        </w:tc>
        <w:tc>
          <w:tcPr>
            <w:tcW w:w="3330" w:type="dxa"/>
          </w:tcPr>
          <w:p w14:paraId="662E3C74" w14:textId="77777777" w:rsidR="005A1303" w:rsidRPr="00FA288E" w:rsidRDefault="005A1303" w:rsidP="00C23345">
            <w:pPr>
              <w:pStyle w:val="Bullets"/>
              <w:numPr>
                <w:ilvl w:val="0"/>
                <w:numId w:val="0"/>
              </w:numPr>
              <w:spacing w:after="0" w:line="216" w:lineRule="auto"/>
              <w:ind w:left="-11"/>
              <w:jc w:val="left"/>
              <w:rPr>
                <w:rFonts w:ascii="Calibri" w:hAnsi="Calibri" w:cs="Calibri"/>
                <w:szCs w:val="20"/>
                <w:lang w:val="en-AU"/>
              </w:rPr>
            </w:pPr>
            <w:r w:rsidRPr="00FA288E">
              <w:rPr>
                <w:rFonts w:ascii="Calibri" w:hAnsi="Calibri" w:cs="Calibri"/>
                <w:szCs w:val="20"/>
                <w:lang w:val="en-AU"/>
              </w:rPr>
              <w:t xml:space="preserve">670 persons attend </w:t>
            </w:r>
            <w:r w:rsidR="00BC14E8" w:rsidRPr="00FA288E">
              <w:rPr>
                <w:rFonts w:ascii="Calibri" w:hAnsi="Calibri" w:cs="Calibri"/>
                <w:szCs w:val="20"/>
                <w:lang w:val="en-AU"/>
              </w:rPr>
              <w:t xml:space="preserve">school </w:t>
            </w:r>
            <w:r w:rsidRPr="00FA288E">
              <w:rPr>
                <w:rFonts w:ascii="Calibri" w:hAnsi="Calibri" w:cs="Calibri"/>
                <w:szCs w:val="20"/>
                <w:lang w:val="en-AU"/>
              </w:rPr>
              <w:t>management training (5 modules)</w:t>
            </w:r>
          </w:p>
        </w:tc>
        <w:tc>
          <w:tcPr>
            <w:tcW w:w="2790" w:type="dxa"/>
          </w:tcPr>
          <w:p w14:paraId="16D22401" w14:textId="77777777" w:rsidR="005A1303" w:rsidRPr="00FA288E" w:rsidRDefault="005A1303" w:rsidP="00C23345">
            <w:pPr>
              <w:pStyle w:val="Bullets"/>
              <w:numPr>
                <w:ilvl w:val="0"/>
                <w:numId w:val="0"/>
              </w:numPr>
              <w:spacing w:after="0" w:line="216" w:lineRule="auto"/>
              <w:ind w:left="-11"/>
              <w:jc w:val="left"/>
              <w:rPr>
                <w:rFonts w:ascii="Calibri" w:hAnsi="Calibri" w:cs="Calibri"/>
                <w:szCs w:val="20"/>
                <w:lang w:val="en-AU"/>
              </w:rPr>
            </w:pPr>
            <w:r w:rsidRPr="00FA288E">
              <w:rPr>
                <w:rFonts w:ascii="Calibri" w:hAnsi="Calibri" w:cs="Calibri"/>
                <w:szCs w:val="20"/>
                <w:lang w:val="en-AU"/>
              </w:rPr>
              <w:t xml:space="preserve">762 </w:t>
            </w:r>
            <w:proofErr w:type="spellStart"/>
            <w:r w:rsidRPr="00FA288E">
              <w:rPr>
                <w:rFonts w:ascii="Calibri" w:hAnsi="Calibri" w:cs="Calibri"/>
                <w:szCs w:val="20"/>
                <w:lang w:val="en-AU"/>
              </w:rPr>
              <w:t>SBoM</w:t>
            </w:r>
            <w:proofErr w:type="spellEnd"/>
            <w:r w:rsidRPr="00FA288E">
              <w:rPr>
                <w:rFonts w:ascii="Calibri" w:hAnsi="Calibri" w:cs="Calibri"/>
                <w:szCs w:val="20"/>
                <w:lang w:val="en-AU"/>
              </w:rPr>
              <w:t xml:space="preserve"> members trained in 3 of 5 modules, most </w:t>
            </w:r>
            <w:r w:rsidR="00BC14E8" w:rsidRPr="00FA288E">
              <w:rPr>
                <w:rFonts w:ascii="Calibri" w:hAnsi="Calibri" w:cs="Calibri"/>
                <w:szCs w:val="20"/>
                <w:lang w:val="en-AU"/>
              </w:rPr>
              <w:t xml:space="preserve">(no numbers provided) </w:t>
            </w:r>
            <w:r w:rsidRPr="00FA288E">
              <w:rPr>
                <w:rFonts w:ascii="Calibri" w:hAnsi="Calibri" w:cs="Calibri"/>
                <w:szCs w:val="20"/>
                <w:lang w:val="en-AU"/>
              </w:rPr>
              <w:t>trained in remaining modules</w:t>
            </w:r>
          </w:p>
        </w:tc>
        <w:tc>
          <w:tcPr>
            <w:tcW w:w="2700" w:type="dxa"/>
          </w:tcPr>
          <w:p w14:paraId="16BC097E" w14:textId="77777777" w:rsidR="005A1303" w:rsidRPr="00FA288E" w:rsidRDefault="00BC14E8" w:rsidP="00C23345">
            <w:pPr>
              <w:pStyle w:val="Bullets"/>
              <w:numPr>
                <w:ilvl w:val="0"/>
                <w:numId w:val="0"/>
              </w:numPr>
              <w:spacing w:after="0" w:line="216" w:lineRule="auto"/>
              <w:ind w:left="-11"/>
              <w:jc w:val="left"/>
              <w:rPr>
                <w:rFonts w:ascii="Calibri" w:hAnsi="Calibri" w:cs="Calibri"/>
                <w:szCs w:val="20"/>
                <w:lang w:val="en-AU"/>
              </w:rPr>
            </w:pPr>
            <w:r w:rsidRPr="00FA288E">
              <w:rPr>
                <w:rFonts w:ascii="Calibri" w:hAnsi="Calibri" w:cs="Calibri"/>
                <w:szCs w:val="20"/>
                <w:lang w:val="en-AU"/>
              </w:rPr>
              <w:t>Target of 670 persons trained in school management is on track to be met or exceeded</w:t>
            </w:r>
          </w:p>
        </w:tc>
      </w:tr>
      <w:tr w:rsidR="005A1303" w:rsidRPr="00FA288E" w14:paraId="6307EB3C" w14:textId="77777777" w:rsidTr="00114018">
        <w:tc>
          <w:tcPr>
            <w:tcW w:w="895" w:type="dxa"/>
            <w:shd w:val="clear" w:color="auto" w:fill="262626" w:themeFill="text1" w:themeFillTint="D9"/>
          </w:tcPr>
          <w:p w14:paraId="07E1A757" w14:textId="77777777" w:rsidR="005A1303" w:rsidRPr="00FA288E" w:rsidRDefault="005A1303" w:rsidP="008E2685">
            <w:pPr>
              <w:pStyle w:val="Bullets"/>
              <w:numPr>
                <w:ilvl w:val="0"/>
                <w:numId w:val="0"/>
              </w:numPr>
              <w:spacing w:after="0" w:line="216" w:lineRule="auto"/>
              <w:ind w:left="360"/>
              <w:rPr>
                <w:rFonts w:ascii="Calibri" w:hAnsi="Calibri" w:cs="Calibri"/>
                <w:szCs w:val="20"/>
                <w:lang w:val="en-AU"/>
              </w:rPr>
            </w:pPr>
          </w:p>
        </w:tc>
        <w:tc>
          <w:tcPr>
            <w:tcW w:w="3330" w:type="dxa"/>
          </w:tcPr>
          <w:p w14:paraId="76DD739E" w14:textId="77777777" w:rsidR="005A1303" w:rsidRPr="00FA288E" w:rsidRDefault="005A1303" w:rsidP="00C23345">
            <w:pPr>
              <w:pStyle w:val="Bullets"/>
              <w:numPr>
                <w:ilvl w:val="0"/>
                <w:numId w:val="0"/>
              </w:numPr>
              <w:spacing w:after="0" w:line="216" w:lineRule="auto"/>
              <w:ind w:left="-11"/>
              <w:jc w:val="left"/>
              <w:rPr>
                <w:rFonts w:ascii="Calibri" w:hAnsi="Calibri" w:cs="Calibri"/>
                <w:szCs w:val="20"/>
                <w:lang w:val="en-AU"/>
              </w:rPr>
            </w:pPr>
            <w:r w:rsidRPr="00FA288E">
              <w:rPr>
                <w:rFonts w:ascii="Calibri" w:hAnsi="Calibri" w:cs="Calibri"/>
                <w:szCs w:val="20"/>
                <w:lang w:val="en-AU"/>
              </w:rPr>
              <w:t>423 schools develop SLIPs with 60% having all elements</w:t>
            </w:r>
            <w:r w:rsidR="0088614B" w:rsidRPr="00FA288E">
              <w:rPr>
                <w:rFonts w:ascii="Calibri" w:hAnsi="Calibri" w:cs="Calibri"/>
                <w:szCs w:val="20"/>
                <w:lang w:val="en-AU"/>
              </w:rPr>
              <w:t xml:space="preserve"> </w:t>
            </w:r>
            <w:r w:rsidR="00BC14E8" w:rsidRPr="00FA288E">
              <w:rPr>
                <w:rFonts w:ascii="Calibri" w:hAnsi="Calibri" w:cs="Calibri"/>
                <w:szCs w:val="20"/>
                <w:lang w:val="en-AU"/>
              </w:rPr>
              <w:t>completed satisfactorily</w:t>
            </w:r>
          </w:p>
        </w:tc>
        <w:tc>
          <w:tcPr>
            <w:tcW w:w="2790" w:type="dxa"/>
          </w:tcPr>
          <w:p w14:paraId="28A96B63" w14:textId="77777777" w:rsidR="005A1303" w:rsidRPr="00FA288E" w:rsidRDefault="005A1303" w:rsidP="00C23345">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359 schools have developed SLIPs; assessment on completeness</w:t>
            </w:r>
            <w:r w:rsidR="00BC14E8" w:rsidRPr="00FA288E">
              <w:rPr>
                <w:rFonts w:ascii="Calibri" w:hAnsi="Calibri" w:cs="Calibri"/>
                <w:szCs w:val="20"/>
                <w:lang w:val="en-AU"/>
              </w:rPr>
              <w:t xml:space="preserve"> is</w:t>
            </w:r>
            <w:r w:rsidRPr="00FA288E">
              <w:rPr>
                <w:rFonts w:ascii="Calibri" w:hAnsi="Calibri" w:cs="Calibri"/>
                <w:szCs w:val="20"/>
                <w:lang w:val="en-AU"/>
              </w:rPr>
              <w:t xml:space="preserve"> underway</w:t>
            </w:r>
          </w:p>
        </w:tc>
        <w:tc>
          <w:tcPr>
            <w:tcW w:w="2700" w:type="dxa"/>
          </w:tcPr>
          <w:p w14:paraId="06897987" w14:textId="77777777" w:rsidR="005A1303" w:rsidRPr="00FA288E" w:rsidRDefault="00BC14E8" w:rsidP="00C23345">
            <w:pPr>
              <w:pStyle w:val="Bullets"/>
              <w:numPr>
                <w:ilvl w:val="0"/>
                <w:numId w:val="0"/>
              </w:numPr>
              <w:spacing w:after="0" w:line="216" w:lineRule="auto"/>
              <w:jc w:val="left"/>
              <w:rPr>
                <w:rFonts w:ascii="Calibri" w:hAnsi="Calibri" w:cs="Calibri"/>
                <w:szCs w:val="20"/>
                <w:lang w:val="en-AU"/>
              </w:rPr>
            </w:pPr>
            <w:r w:rsidRPr="00FA288E">
              <w:rPr>
                <w:rFonts w:ascii="Calibri" w:hAnsi="Calibri" w:cs="Calibri"/>
                <w:szCs w:val="20"/>
                <w:lang w:val="en-AU"/>
              </w:rPr>
              <w:t>Target of 423 schools developing SLIPs with 60% of the elements completed satisfactorily is on track</w:t>
            </w:r>
          </w:p>
        </w:tc>
      </w:tr>
    </w:tbl>
    <w:p w14:paraId="41D849AB" w14:textId="2BF0126A" w:rsidR="00614C93" w:rsidRPr="00FA288E" w:rsidRDefault="00BC14E8" w:rsidP="00AA2CC7">
      <w:pPr>
        <w:pStyle w:val="Bullets"/>
        <w:numPr>
          <w:ilvl w:val="0"/>
          <w:numId w:val="0"/>
        </w:numPr>
        <w:tabs>
          <w:tab w:val="left" w:pos="630"/>
        </w:tabs>
        <w:spacing w:before="240" w:after="60" w:line="216" w:lineRule="auto"/>
        <w:jc w:val="both"/>
        <w:rPr>
          <w:rFonts w:ascii="Calibri" w:hAnsi="Calibri" w:cs="Calibri"/>
          <w:sz w:val="21"/>
          <w:szCs w:val="21"/>
        </w:rPr>
      </w:pPr>
      <w:r w:rsidRPr="00FA288E">
        <w:rPr>
          <w:rFonts w:ascii="Calibri" w:hAnsi="Calibri" w:cs="Calibri"/>
          <w:b/>
          <w:sz w:val="21"/>
          <w:szCs w:val="21"/>
        </w:rPr>
        <w:t>For progress on support to school management and planning, end of project targets a</w:t>
      </w:r>
      <w:r w:rsidR="00614C93" w:rsidRPr="00FA288E">
        <w:rPr>
          <w:rFonts w:ascii="Calibri" w:hAnsi="Calibri" w:cs="Calibri"/>
          <w:b/>
          <w:sz w:val="21"/>
          <w:szCs w:val="21"/>
        </w:rPr>
        <w:t>re on track to be met</w:t>
      </w:r>
      <w:r w:rsidR="00614C93" w:rsidRPr="00FA288E">
        <w:rPr>
          <w:rFonts w:ascii="Calibri" w:hAnsi="Calibri" w:cs="Calibri"/>
          <w:sz w:val="21"/>
          <w:szCs w:val="21"/>
        </w:rPr>
        <w:t>. However, there are some issues with being able to align contributions with the standards for SLIPs required by the NDOE (</w:t>
      </w:r>
      <w:r w:rsidR="00DB1795" w:rsidRPr="00FA288E">
        <w:rPr>
          <w:rFonts w:ascii="Calibri" w:hAnsi="Calibri" w:cs="Calibri"/>
          <w:sz w:val="21"/>
          <w:szCs w:val="21"/>
        </w:rPr>
        <w:t xml:space="preserve">see </w:t>
      </w:r>
      <w:hyperlink w:anchor="_Box_11._A" w:history="1">
        <w:r w:rsidR="00614C93" w:rsidRPr="00FA288E">
          <w:rPr>
            <w:rStyle w:val="Hyperlink"/>
            <w:rFonts w:ascii="Calibri" w:hAnsi="Calibri" w:cs="Calibri"/>
            <w:sz w:val="21"/>
            <w:szCs w:val="21"/>
          </w:rPr>
          <w:t>Box 11</w:t>
        </w:r>
      </w:hyperlink>
      <w:r w:rsidR="00614C93" w:rsidRPr="00FA288E">
        <w:rPr>
          <w:rFonts w:ascii="Calibri" w:hAnsi="Calibri" w:cs="Calibri"/>
          <w:sz w:val="21"/>
          <w:szCs w:val="21"/>
        </w:rPr>
        <w:t xml:space="preserve"> and </w:t>
      </w:r>
      <w:hyperlink w:anchor="_Box_12._" w:history="1">
        <w:r w:rsidR="00614C93" w:rsidRPr="00FA288E">
          <w:rPr>
            <w:rStyle w:val="Hyperlink"/>
            <w:rFonts w:ascii="Calibri" w:hAnsi="Calibri" w:cs="Calibri"/>
            <w:sz w:val="21"/>
            <w:szCs w:val="21"/>
          </w:rPr>
          <w:t>Box 12</w:t>
        </w:r>
      </w:hyperlink>
      <w:r w:rsidR="00614C93" w:rsidRPr="00FA288E">
        <w:rPr>
          <w:rFonts w:ascii="Calibri" w:hAnsi="Calibri" w:cs="Calibri"/>
          <w:sz w:val="21"/>
          <w:szCs w:val="21"/>
        </w:rPr>
        <w:t xml:space="preserve"> and the </w:t>
      </w:r>
      <w:hyperlink w:anchor="_Annex_B.3:_Interventions" w:history="1">
        <w:r w:rsidR="00614C93" w:rsidRPr="00FA288E">
          <w:rPr>
            <w:rStyle w:val="Hyperlink"/>
            <w:rFonts w:ascii="Calibri" w:hAnsi="Calibri" w:cs="Calibri"/>
            <w:sz w:val="21"/>
            <w:szCs w:val="21"/>
          </w:rPr>
          <w:t xml:space="preserve">discussion in Annex </w:t>
        </w:r>
        <w:r w:rsidR="008C2C8F" w:rsidRPr="00FA288E">
          <w:rPr>
            <w:rStyle w:val="Hyperlink"/>
            <w:rFonts w:ascii="Calibri" w:hAnsi="Calibri" w:cs="Calibri"/>
            <w:sz w:val="21"/>
            <w:szCs w:val="21"/>
          </w:rPr>
          <w:t>F</w:t>
        </w:r>
        <w:r w:rsidR="00614C93" w:rsidRPr="00FA288E">
          <w:rPr>
            <w:rStyle w:val="Hyperlink"/>
            <w:rFonts w:ascii="Calibri" w:hAnsi="Calibri" w:cs="Calibri"/>
            <w:sz w:val="21"/>
            <w:szCs w:val="21"/>
          </w:rPr>
          <w:t>.3)</w:t>
        </w:r>
      </w:hyperlink>
      <w:r w:rsidR="00614C93" w:rsidRPr="00FA288E">
        <w:rPr>
          <w:rFonts w:ascii="Calibri" w:hAnsi="Calibri" w:cs="Calibri"/>
          <w:sz w:val="21"/>
          <w:szCs w:val="21"/>
        </w:rPr>
        <w:t xml:space="preserve">. This will be important with the emphasis on the SLIP for school management and planning </w:t>
      </w:r>
      <w:r w:rsidR="009E2F4F" w:rsidRPr="00FA288E">
        <w:rPr>
          <w:rFonts w:ascii="Calibri" w:hAnsi="Calibri" w:cs="Calibri"/>
          <w:sz w:val="21"/>
          <w:szCs w:val="21"/>
        </w:rPr>
        <w:t>reflected</w:t>
      </w:r>
      <w:r w:rsidR="00614C93" w:rsidRPr="00FA288E">
        <w:rPr>
          <w:rFonts w:ascii="Calibri" w:hAnsi="Calibri" w:cs="Calibri"/>
          <w:sz w:val="21"/>
          <w:szCs w:val="21"/>
        </w:rPr>
        <w:t xml:space="preserve"> in the</w:t>
      </w:r>
      <w:r w:rsidR="009E2F4F" w:rsidRPr="00FA288E">
        <w:rPr>
          <w:rFonts w:ascii="Calibri" w:hAnsi="Calibri" w:cs="Calibri"/>
          <w:sz w:val="21"/>
          <w:szCs w:val="21"/>
        </w:rPr>
        <w:t xml:space="preserve"> draft of the</w:t>
      </w:r>
      <w:r w:rsidR="00614C93" w:rsidRPr="00FA288E">
        <w:rPr>
          <w:rFonts w:ascii="Calibri" w:hAnsi="Calibri" w:cs="Calibri"/>
          <w:sz w:val="21"/>
          <w:szCs w:val="21"/>
        </w:rPr>
        <w:t xml:space="preserve"> new NEP</w:t>
      </w:r>
      <w:r w:rsidR="00F23E3A" w:rsidRPr="00FA288E">
        <w:rPr>
          <w:rFonts w:ascii="Calibri" w:hAnsi="Calibri" w:cs="Calibri"/>
          <w:sz w:val="21"/>
          <w:szCs w:val="21"/>
        </w:rPr>
        <w:t xml:space="preserve"> 2020-2029</w:t>
      </w:r>
      <w:r w:rsidR="009E2F4F" w:rsidRPr="00FA288E">
        <w:rPr>
          <w:rFonts w:ascii="Calibri" w:hAnsi="Calibri" w:cs="Calibri"/>
          <w:sz w:val="21"/>
          <w:szCs w:val="21"/>
        </w:rPr>
        <w:t>.</w:t>
      </w:r>
    </w:p>
    <w:p w14:paraId="218EFC0A" w14:textId="67F3DD94" w:rsidR="00614C93" w:rsidRPr="00FA288E" w:rsidRDefault="00EE71C7" w:rsidP="00575FA9">
      <w:pPr>
        <w:pStyle w:val="Bullets"/>
        <w:numPr>
          <w:ilvl w:val="0"/>
          <w:numId w:val="0"/>
        </w:numPr>
        <w:tabs>
          <w:tab w:val="left" w:pos="630"/>
        </w:tabs>
        <w:spacing w:after="80" w:line="240" w:lineRule="auto"/>
        <w:jc w:val="both"/>
        <w:rPr>
          <w:rFonts w:ascii="Calibri" w:hAnsi="Calibri" w:cs="Calibri"/>
          <w:sz w:val="21"/>
          <w:szCs w:val="21"/>
        </w:rPr>
      </w:pPr>
      <w:r w:rsidRPr="00FA288E">
        <w:rPr>
          <w:rFonts w:ascii="Calibri" w:hAnsi="Calibri" w:cs="Calibri"/>
          <w:sz w:val="21"/>
          <w:szCs w:val="21"/>
        </w:rPr>
        <w:t>Progress has also been seen in relation to the</w:t>
      </w:r>
      <w:r w:rsidR="00614C93" w:rsidRPr="00FA288E">
        <w:rPr>
          <w:rFonts w:ascii="Calibri" w:hAnsi="Calibri" w:cs="Calibri"/>
          <w:sz w:val="21"/>
          <w:szCs w:val="21"/>
        </w:rPr>
        <w:t xml:space="preserve"> ECCE program pilot of the RISE Project which includes training of ECCE facilitators from 90 EC</w:t>
      </w:r>
      <w:r w:rsidR="00F234DA" w:rsidRPr="00FA288E">
        <w:rPr>
          <w:rFonts w:ascii="Calibri" w:hAnsi="Calibri" w:cs="Calibri"/>
          <w:sz w:val="21"/>
          <w:szCs w:val="21"/>
        </w:rPr>
        <w:t>C</w:t>
      </w:r>
      <w:r w:rsidR="00614C93" w:rsidRPr="00FA288E">
        <w:rPr>
          <w:rFonts w:ascii="Calibri" w:hAnsi="Calibri" w:cs="Calibri"/>
          <w:sz w:val="21"/>
          <w:szCs w:val="21"/>
        </w:rPr>
        <w:t>E centres.  Th</w:t>
      </w:r>
      <w:r w:rsidR="00BC14E8" w:rsidRPr="00FA288E">
        <w:rPr>
          <w:rFonts w:ascii="Calibri" w:hAnsi="Calibri" w:cs="Calibri"/>
          <w:sz w:val="21"/>
          <w:szCs w:val="21"/>
        </w:rPr>
        <w:t xml:space="preserve">is intervention is noted as it is </w:t>
      </w:r>
      <w:r w:rsidR="00614C93" w:rsidRPr="00FA288E">
        <w:rPr>
          <w:rFonts w:ascii="Calibri" w:hAnsi="Calibri" w:cs="Calibri"/>
          <w:sz w:val="21"/>
          <w:szCs w:val="21"/>
        </w:rPr>
        <w:t>pilot</w:t>
      </w:r>
      <w:r w:rsidR="00BC14E8" w:rsidRPr="00FA288E">
        <w:rPr>
          <w:rFonts w:ascii="Calibri" w:hAnsi="Calibri" w:cs="Calibri"/>
          <w:sz w:val="21"/>
          <w:szCs w:val="21"/>
        </w:rPr>
        <w:t>ing</w:t>
      </w:r>
      <w:r w:rsidR="00614C93" w:rsidRPr="00FA288E">
        <w:rPr>
          <w:rFonts w:ascii="Calibri" w:hAnsi="Calibri" w:cs="Calibri"/>
          <w:sz w:val="21"/>
          <w:szCs w:val="21"/>
        </w:rPr>
        <w:t xml:space="preserve"> the draft NDOE ECCE curriculum, </w:t>
      </w:r>
      <w:r w:rsidR="00BC14E8" w:rsidRPr="00FA288E">
        <w:rPr>
          <w:rFonts w:ascii="Calibri" w:hAnsi="Calibri" w:cs="Calibri"/>
          <w:sz w:val="21"/>
          <w:szCs w:val="21"/>
        </w:rPr>
        <w:t xml:space="preserve">developed </w:t>
      </w:r>
      <w:r w:rsidR="00614C93" w:rsidRPr="00FA288E">
        <w:rPr>
          <w:rFonts w:ascii="Calibri" w:hAnsi="Calibri" w:cs="Calibri"/>
          <w:sz w:val="21"/>
          <w:szCs w:val="21"/>
        </w:rPr>
        <w:t xml:space="preserve">a training program for ECCE facilitators to teach and assess children, and </w:t>
      </w:r>
      <w:r w:rsidR="00BC14E8" w:rsidRPr="00FA288E">
        <w:rPr>
          <w:rFonts w:ascii="Calibri" w:hAnsi="Calibri" w:cs="Calibri"/>
          <w:sz w:val="21"/>
          <w:szCs w:val="21"/>
        </w:rPr>
        <w:t>has identified</w:t>
      </w:r>
      <w:r w:rsidR="00614C93" w:rsidRPr="00FA288E">
        <w:rPr>
          <w:rFonts w:ascii="Calibri" w:hAnsi="Calibri" w:cs="Calibri"/>
          <w:sz w:val="21"/>
          <w:szCs w:val="21"/>
        </w:rPr>
        <w:t xml:space="preserve"> and test</w:t>
      </w:r>
      <w:r w:rsidR="00BC14E8" w:rsidRPr="00FA288E">
        <w:rPr>
          <w:rFonts w:ascii="Calibri" w:hAnsi="Calibri" w:cs="Calibri"/>
          <w:sz w:val="21"/>
          <w:szCs w:val="21"/>
        </w:rPr>
        <w:t>ed</w:t>
      </w:r>
      <w:r w:rsidR="00614C93" w:rsidRPr="00FA288E">
        <w:rPr>
          <w:rFonts w:ascii="Calibri" w:hAnsi="Calibri" w:cs="Calibri"/>
          <w:sz w:val="21"/>
          <w:szCs w:val="21"/>
        </w:rPr>
        <w:t xml:space="preserve"> ECCE learning resources. </w:t>
      </w:r>
      <w:r w:rsidR="00BC14E8" w:rsidRPr="00FA288E">
        <w:rPr>
          <w:rFonts w:ascii="Calibri" w:hAnsi="Calibri" w:cs="Calibri"/>
          <w:sz w:val="21"/>
          <w:szCs w:val="21"/>
        </w:rPr>
        <w:t xml:space="preserve">As such, the pilot is of interest to the NDOE who will be responsible for ECCE programs in the future and is of interest to UNICEF who is assisting the GoPNG develop the draft Early Childhood Care and Development policy. </w:t>
      </w:r>
      <w:r w:rsidR="00614C93" w:rsidRPr="00FA288E">
        <w:rPr>
          <w:rFonts w:ascii="Calibri" w:hAnsi="Calibri" w:cs="Calibri"/>
          <w:sz w:val="21"/>
          <w:szCs w:val="21"/>
        </w:rPr>
        <w:t xml:space="preserve">To date, 23 </w:t>
      </w:r>
      <w:r w:rsidR="00BC14E8" w:rsidRPr="00FA288E">
        <w:rPr>
          <w:rFonts w:ascii="Calibri" w:hAnsi="Calibri" w:cs="Calibri"/>
          <w:sz w:val="21"/>
          <w:szCs w:val="21"/>
        </w:rPr>
        <w:t xml:space="preserve">ECCE </w:t>
      </w:r>
      <w:r w:rsidR="00614C93" w:rsidRPr="00FA288E">
        <w:rPr>
          <w:rFonts w:ascii="Calibri" w:hAnsi="Calibri" w:cs="Calibri"/>
          <w:sz w:val="21"/>
          <w:szCs w:val="21"/>
        </w:rPr>
        <w:t xml:space="preserve">trainers of the 18 targeted </w:t>
      </w:r>
      <w:r w:rsidR="00BC14E8" w:rsidRPr="00FA288E">
        <w:rPr>
          <w:rFonts w:ascii="Calibri" w:hAnsi="Calibri" w:cs="Calibri"/>
          <w:sz w:val="21"/>
          <w:szCs w:val="21"/>
        </w:rPr>
        <w:t>are</w:t>
      </w:r>
      <w:r w:rsidR="00614C93" w:rsidRPr="00FA288E">
        <w:rPr>
          <w:rFonts w:ascii="Calibri" w:hAnsi="Calibri" w:cs="Calibri"/>
          <w:sz w:val="21"/>
          <w:szCs w:val="21"/>
        </w:rPr>
        <w:t xml:space="preserve"> trained, 603 of the targeted 854 </w:t>
      </w:r>
      <w:r w:rsidR="00BC14E8" w:rsidRPr="00FA288E">
        <w:rPr>
          <w:rFonts w:ascii="Calibri" w:hAnsi="Calibri" w:cs="Calibri"/>
          <w:sz w:val="21"/>
          <w:szCs w:val="21"/>
        </w:rPr>
        <w:t xml:space="preserve">ECCE </w:t>
      </w:r>
      <w:r w:rsidR="00614C93" w:rsidRPr="00FA288E">
        <w:rPr>
          <w:rFonts w:ascii="Calibri" w:hAnsi="Calibri" w:cs="Calibri"/>
          <w:sz w:val="21"/>
          <w:szCs w:val="21"/>
        </w:rPr>
        <w:lastRenderedPageBreak/>
        <w:t xml:space="preserve">facilitators received 10 days of training). The impact of </w:t>
      </w:r>
      <w:r w:rsidR="005B0F71" w:rsidRPr="00FA288E">
        <w:rPr>
          <w:rFonts w:ascii="Calibri" w:hAnsi="Calibri" w:cs="Calibri"/>
          <w:sz w:val="21"/>
          <w:szCs w:val="21"/>
        </w:rPr>
        <w:t xml:space="preserve">this ECCE program pilot </w:t>
      </w:r>
      <w:r w:rsidR="00614C93" w:rsidRPr="00FA288E">
        <w:rPr>
          <w:rFonts w:ascii="Calibri" w:hAnsi="Calibri" w:cs="Calibri"/>
          <w:sz w:val="21"/>
          <w:szCs w:val="21"/>
        </w:rPr>
        <w:t>on ‘school readiness’ is not yet known pending completion of the</w:t>
      </w:r>
      <w:r w:rsidR="00CA1CCF" w:rsidRPr="00FA288E">
        <w:rPr>
          <w:rFonts w:ascii="Calibri" w:hAnsi="Calibri" w:cs="Calibri"/>
          <w:sz w:val="21"/>
          <w:szCs w:val="21"/>
        </w:rPr>
        <w:t xml:space="preserve"> International Development and Early Learning Assessment.</w:t>
      </w:r>
      <w:r w:rsidR="005340AB" w:rsidRPr="00FA288E">
        <w:rPr>
          <w:rStyle w:val="FootnoteReference"/>
          <w:rFonts w:ascii="Calibri" w:hAnsi="Calibri" w:cs="Calibri"/>
          <w:sz w:val="21"/>
          <w:szCs w:val="21"/>
        </w:rPr>
        <w:footnoteReference w:id="41"/>
      </w:r>
    </w:p>
    <w:p w14:paraId="0567DA16" w14:textId="77777777" w:rsidR="00A11FF6" w:rsidRPr="00FA288E" w:rsidRDefault="00614C93" w:rsidP="00575FA9">
      <w:pPr>
        <w:pStyle w:val="Bullets"/>
        <w:numPr>
          <w:ilvl w:val="0"/>
          <w:numId w:val="0"/>
        </w:numPr>
        <w:spacing w:after="80" w:line="240" w:lineRule="auto"/>
        <w:rPr>
          <w:sz w:val="24"/>
          <w:szCs w:val="24"/>
        </w:rPr>
      </w:pPr>
      <w:r w:rsidRPr="00FA288E">
        <w:rPr>
          <w:sz w:val="24"/>
          <w:szCs w:val="24"/>
        </w:rPr>
        <w:t>3.1.2 Specific interventions that may be classified as innovative</w:t>
      </w:r>
      <w:r w:rsidRPr="00FA288E">
        <w:rPr>
          <w:rStyle w:val="FootnoteReference"/>
          <w:sz w:val="24"/>
          <w:szCs w:val="24"/>
        </w:rPr>
        <w:footnoteReference w:id="42"/>
      </w:r>
    </w:p>
    <w:p w14:paraId="7C263848" w14:textId="3E7E15D8" w:rsidR="00614C93" w:rsidRPr="00FA288E" w:rsidRDefault="00614C93" w:rsidP="00575FA9">
      <w:pPr>
        <w:pStyle w:val="Bullets"/>
        <w:numPr>
          <w:ilvl w:val="0"/>
          <w:numId w:val="0"/>
        </w:numPr>
        <w:tabs>
          <w:tab w:val="left" w:pos="630"/>
        </w:tabs>
        <w:spacing w:after="80" w:line="240" w:lineRule="auto"/>
        <w:jc w:val="both"/>
        <w:rPr>
          <w:rFonts w:ascii="Calibri" w:hAnsi="Calibri" w:cs="Calibri"/>
          <w:sz w:val="21"/>
          <w:szCs w:val="21"/>
        </w:rPr>
      </w:pPr>
      <w:r w:rsidRPr="00FA288E">
        <w:rPr>
          <w:rFonts w:ascii="Calibri" w:hAnsi="Calibri" w:cs="Calibri"/>
          <w:sz w:val="21"/>
          <w:szCs w:val="21"/>
        </w:rPr>
        <w:t xml:space="preserve">While the majority of interventions </w:t>
      </w:r>
      <w:r w:rsidR="00EE71C7" w:rsidRPr="00FA288E">
        <w:rPr>
          <w:rFonts w:ascii="Calibri" w:hAnsi="Calibri" w:cs="Calibri"/>
          <w:sz w:val="21"/>
          <w:szCs w:val="21"/>
        </w:rPr>
        <w:t>focus</w:t>
      </w:r>
      <w:r w:rsidRPr="00FA288E">
        <w:rPr>
          <w:rFonts w:ascii="Calibri" w:hAnsi="Calibri" w:cs="Calibri"/>
          <w:sz w:val="21"/>
          <w:szCs w:val="21"/>
        </w:rPr>
        <w:t xml:space="preserve"> on </w:t>
      </w:r>
      <w:r w:rsidR="00FD26F9" w:rsidRPr="00FA288E">
        <w:rPr>
          <w:rFonts w:ascii="Calibri" w:hAnsi="Calibri" w:cs="Calibri"/>
          <w:sz w:val="21"/>
          <w:szCs w:val="21"/>
        </w:rPr>
        <w:t xml:space="preserve">proven </w:t>
      </w:r>
      <w:r w:rsidRPr="00FA288E">
        <w:rPr>
          <w:rFonts w:ascii="Calibri" w:hAnsi="Calibri" w:cs="Calibri"/>
          <w:sz w:val="21"/>
          <w:szCs w:val="21"/>
        </w:rPr>
        <w:t xml:space="preserve">‘standard’ approaches of providing: training to teachers; teaching and learning resources, and training in school management, the PPF </w:t>
      </w:r>
      <w:r w:rsidR="00285142" w:rsidRPr="00FA288E">
        <w:rPr>
          <w:rFonts w:ascii="Calibri" w:hAnsi="Calibri" w:cs="Calibri"/>
          <w:sz w:val="21"/>
          <w:szCs w:val="21"/>
        </w:rPr>
        <w:t>E</w:t>
      </w:r>
      <w:r w:rsidRPr="00FA288E">
        <w:rPr>
          <w:rFonts w:ascii="Calibri" w:hAnsi="Calibri" w:cs="Calibri"/>
          <w:sz w:val="21"/>
          <w:szCs w:val="21"/>
        </w:rPr>
        <w:t xml:space="preserve">ducation </w:t>
      </w:r>
      <w:r w:rsidR="00285142" w:rsidRPr="00FA288E">
        <w:rPr>
          <w:rFonts w:ascii="Calibri" w:hAnsi="Calibri" w:cs="Calibri"/>
          <w:sz w:val="21"/>
          <w:szCs w:val="21"/>
        </w:rPr>
        <w:t>G</w:t>
      </w:r>
      <w:r w:rsidRPr="00FA288E">
        <w:rPr>
          <w:rFonts w:ascii="Calibri" w:hAnsi="Calibri" w:cs="Calibri"/>
          <w:sz w:val="21"/>
          <w:szCs w:val="21"/>
        </w:rPr>
        <w:t>rants also trialled innovative approaches to address the challenges of delivering early grades education in the PNG context. The table below identifies interventions which may reasonably be described as innovati</w:t>
      </w:r>
      <w:r w:rsidR="00E60E09" w:rsidRPr="00FA288E">
        <w:rPr>
          <w:rFonts w:ascii="Calibri" w:hAnsi="Calibri" w:cs="Calibri"/>
          <w:sz w:val="21"/>
          <w:szCs w:val="21"/>
        </w:rPr>
        <w:t>ve</w:t>
      </w:r>
      <w:r w:rsidRPr="00FA288E">
        <w:rPr>
          <w:rFonts w:ascii="Calibri" w:hAnsi="Calibri" w:cs="Calibri"/>
          <w:sz w:val="21"/>
          <w:szCs w:val="21"/>
        </w:rPr>
        <w:t xml:space="preserve"> (i.e. new to PNG in particular).</w:t>
      </w:r>
    </w:p>
    <w:p w14:paraId="614A2E7F" w14:textId="4EF1603D" w:rsidR="00BF2CC7" w:rsidRPr="00FA288E" w:rsidRDefault="00BF2CC7" w:rsidP="00575FA9">
      <w:pPr>
        <w:pStyle w:val="Caption"/>
        <w:spacing w:before="0" w:after="80" w:line="240" w:lineRule="auto"/>
        <w:rPr>
          <w:b w:val="0"/>
          <w:color w:val="auto"/>
          <w:lang w:val="en-AU"/>
        </w:rPr>
      </w:pPr>
      <w:r w:rsidRPr="00FA288E">
        <w:rPr>
          <w:b w:val="0"/>
          <w:color w:val="auto"/>
          <w:lang w:val="en-AU"/>
        </w:rPr>
        <w:t xml:space="preserve">Table </w:t>
      </w:r>
      <w:r w:rsidRPr="00FA288E">
        <w:rPr>
          <w:b w:val="0"/>
          <w:color w:val="auto"/>
          <w:lang w:val="en-AU"/>
        </w:rPr>
        <w:fldChar w:fldCharType="begin"/>
      </w:r>
      <w:r w:rsidRPr="00FA288E">
        <w:rPr>
          <w:b w:val="0"/>
          <w:color w:val="auto"/>
          <w:lang w:val="en-AU"/>
        </w:rPr>
        <w:instrText xml:space="preserve"> SEQ Table \* ARABIC </w:instrText>
      </w:r>
      <w:r w:rsidRPr="00FA288E">
        <w:rPr>
          <w:b w:val="0"/>
          <w:color w:val="auto"/>
          <w:lang w:val="en-AU"/>
        </w:rPr>
        <w:fldChar w:fldCharType="separate"/>
      </w:r>
      <w:r w:rsidR="00C22013">
        <w:rPr>
          <w:b w:val="0"/>
          <w:noProof/>
          <w:color w:val="auto"/>
          <w:lang w:val="en-AU"/>
        </w:rPr>
        <w:t>5</w:t>
      </w:r>
      <w:r w:rsidRPr="00FA288E">
        <w:rPr>
          <w:b w:val="0"/>
          <w:color w:val="auto"/>
          <w:lang w:val="en-AU"/>
        </w:rPr>
        <w:fldChar w:fldCharType="end"/>
      </w:r>
      <w:r w:rsidRPr="00FA288E">
        <w:rPr>
          <w:b w:val="0"/>
          <w:color w:val="auto"/>
          <w:lang w:val="en-AU"/>
        </w:rPr>
        <w:t xml:space="preserve"> </w:t>
      </w:r>
      <w:r w:rsidR="007058BE" w:rsidRPr="00FA288E">
        <w:rPr>
          <w:b w:val="0"/>
          <w:color w:val="auto"/>
          <w:lang w:val="en-AU"/>
        </w:rPr>
        <w:t xml:space="preserve">PPF </w:t>
      </w:r>
      <w:r w:rsidR="006674C5" w:rsidRPr="00FA288E">
        <w:rPr>
          <w:b w:val="0"/>
          <w:color w:val="auto"/>
          <w:lang w:val="en-AU"/>
        </w:rPr>
        <w:t xml:space="preserve">interventions categorised as innovative </w:t>
      </w:r>
    </w:p>
    <w:tbl>
      <w:tblPr>
        <w:tblStyle w:val="TableGrid"/>
        <w:tblW w:w="0" w:type="auto"/>
        <w:tblInd w:w="0" w:type="dxa"/>
        <w:tblLook w:val="04A0" w:firstRow="1" w:lastRow="0" w:firstColumn="1" w:lastColumn="0" w:noHBand="0" w:noVBand="1"/>
        <w:tblCaption w:val="Table 5 PPF interventions categorised as innovative"/>
        <w:tblDescription w:val="The RISE project includes two interventions, firstly Bloom Reader (developed by the Summer Institute for Linguistics), progress to date includes: Mobile application to support community literacy and access to reading materials for families and teachers. 50% of reading materials are aligned with the SBC.&#10;App has been enhanced with sign language for hearing impaired children – already has voice ability to assist visually impaired. Secondly, progress to date under the Education for Life Intervention includes: Uses the Bloom Reader mobile application supported by a Teacher Presenter Kit for classroom use. The kit included a solar panel, mobile phone and small projector. 30 schools are piloting the Education for Life kit. The T4E project supports three interventions, including Peer Learning Circles where Attempts are being made to establish Peer Learning Circles, but there is limited progress to date.  This concept is promising to support teachers at the local school level. The second intervention Library for All Kits’ progress includes 40 tablets in a kit pre-loaded with reading materials. Piloted in 12 schools. And the third T4E intervention, Resource Teachers, progress includes 26 Teachers who demonstrated promising skills were provided additional training to serve as a resource and coach to other teachers in the same or nearby schools. PKS’s Knowledge Hub intervention progress includes Electronic platform/portal for sharing information on education for teachers, parents and education officials. PKS’ Secure Digital Cards for Teachers progress includes Secure Digital Cards, pre-loaded with SBC teacher’s guides, teaching videos, stories, songs and games provided to each teacher trained (1313 teachers: 941 targeted)."/>
      </w:tblPr>
      <w:tblGrid>
        <w:gridCol w:w="817"/>
        <w:gridCol w:w="1968"/>
        <w:gridCol w:w="6930"/>
      </w:tblGrid>
      <w:tr w:rsidR="001D736D" w:rsidRPr="00FA288E" w14:paraId="3041F9CA" w14:textId="77777777" w:rsidTr="00AE259C">
        <w:trPr>
          <w:tblHeader/>
        </w:trPr>
        <w:tc>
          <w:tcPr>
            <w:tcW w:w="817" w:type="dxa"/>
            <w:shd w:val="clear" w:color="auto" w:fill="262626" w:themeFill="text1" w:themeFillTint="D9"/>
          </w:tcPr>
          <w:p w14:paraId="75E6A037" w14:textId="77777777" w:rsidR="001D736D" w:rsidRPr="00FA288E" w:rsidRDefault="001D736D" w:rsidP="00575FA9">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Project</w:t>
            </w:r>
          </w:p>
        </w:tc>
        <w:tc>
          <w:tcPr>
            <w:tcW w:w="1968" w:type="dxa"/>
            <w:shd w:val="clear" w:color="auto" w:fill="262626" w:themeFill="text1" w:themeFillTint="D9"/>
          </w:tcPr>
          <w:p w14:paraId="2B9D5545" w14:textId="77777777" w:rsidR="001D736D" w:rsidRPr="00FA288E" w:rsidRDefault="001D736D" w:rsidP="00575FA9">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Intervention</w:t>
            </w:r>
          </w:p>
        </w:tc>
        <w:tc>
          <w:tcPr>
            <w:tcW w:w="6930" w:type="dxa"/>
            <w:shd w:val="clear" w:color="auto" w:fill="262626" w:themeFill="text1" w:themeFillTint="D9"/>
          </w:tcPr>
          <w:p w14:paraId="4DDCF223" w14:textId="77777777" w:rsidR="001D736D" w:rsidRPr="00FA288E" w:rsidRDefault="001D736D" w:rsidP="00575FA9">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Progress to Date</w:t>
            </w:r>
          </w:p>
        </w:tc>
      </w:tr>
      <w:tr w:rsidR="001D736D" w:rsidRPr="00FA288E" w14:paraId="3820066A" w14:textId="77777777" w:rsidTr="001D736D">
        <w:tc>
          <w:tcPr>
            <w:tcW w:w="817" w:type="dxa"/>
            <w:shd w:val="clear" w:color="auto" w:fill="262626" w:themeFill="text1" w:themeFillTint="D9"/>
          </w:tcPr>
          <w:p w14:paraId="6E188263" w14:textId="77777777" w:rsidR="001D736D" w:rsidRPr="00FA288E" w:rsidRDefault="001D736D" w:rsidP="00575FA9">
            <w:pPr>
              <w:pStyle w:val="Bullets"/>
              <w:numPr>
                <w:ilvl w:val="0"/>
                <w:numId w:val="0"/>
              </w:numPr>
              <w:spacing w:after="0"/>
              <w:rPr>
                <w:rFonts w:ascii="Calibri" w:hAnsi="Calibri" w:cs="Calibri"/>
                <w:szCs w:val="20"/>
                <w:lang w:val="en-AU"/>
              </w:rPr>
            </w:pPr>
            <w:r w:rsidRPr="00FA288E">
              <w:rPr>
                <w:rFonts w:ascii="Calibri" w:hAnsi="Calibri" w:cs="Calibri"/>
                <w:szCs w:val="20"/>
                <w:lang w:val="en-AU"/>
              </w:rPr>
              <w:t>RISE</w:t>
            </w:r>
          </w:p>
        </w:tc>
        <w:tc>
          <w:tcPr>
            <w:tcW w:w="1968" w:type="dxa"/>
          </w:tcPr>
          <w:p w14:paraId="3D4EFF29" w14:textId="77777777" w:rsidR="001D736D" w:rsidRPr="00FA288E" w:rsidRDefault="001D736D" w:rsidP="00575FA9">
            <w:pPr>
              <w:pStyle w:val="Bullets"/>
              <w:numPr>
                <w:ilvl w:val="0"/>
                <w:numId w:val="0"/>
              </w:numPr>
              <w:spacing w:after="0"/>
              <w:jc w:val="left"/>
              <w:rPr>
                <w:rFonts w:ascii="Calibri" w:hAnsi="Calibri" w:cs="Calibri"/>
                <w:szCs w:val="20"/>
                <w:lang w:val="en-AU"/>
              </w:rPr>
            </w:pPr>
            <w:r w:rsidRPr="00FA288E">
              <w:rPr>
                <w:rFonts w:ascii="Calibri" w:hAnsi="Calibri" w:cs="Calibri"/>
                <w:szCs w:val="20"/>
                <w:lang w:val="en-AU"/>
              </w:rPr>
              <w:t xml:space="preserve">Bloom Reader (developed by </w:t>
            </w:r>
            <w:r w:rsidR="00FD2EFC" w:rsidRPr="00FA288E">
              <w:rPr>
                <w:rFonts w:ascii="Calibri" w:hAnsi="Calibri" w:cs="Calibri"/>
                <w:szCs w:val="20"/>
                <w:lang w:val="en-AU"/>
              </w:rPr>
              <w:t>the Summer Institute for Linguistics (S</w:t>
            </w:r>
            <w:r w:rsidRPr="00FA288E">
              <w:rPr>
                <w:rFonts w:ascii="Calibri" w:hAnsi="Calibri" w:cs="Calibri"/>
                <w:szCs w:val="20"/>
                <w:lang w:val="en-AU"/>
              </w:rPr>
              <w:t>IL)</w:t>
            </w:r>
          </w:p>
        </w:tc>
        <w:tc>
          <w:tcPr>
            <w:tcW w:w="6930" w:type="dxa"/>
          </w:tcPr>
          <w:p w14:paraId="1A9F90A7" w14:textId="77777777" w:rsidR="001D736D" w:rsidRPr="00FA288E" w:rsidRDefault="001D736D" w:rsidP="00575FA9">
            <w:pPr>
              <w:pStyle w:val="Bullets"/>
              <w:numPr>
                <w:ilvl w:val="0"/>
                <w:numId w:val="0"/>
              </w:numPr>
              <w:spacing w:after="0"/>
              <w:jc w:val="left"/>
              <w:rPr>
                <w:rFonts w:ascii="Calibri" w:hAnsi="Calibri" w:cs="Calibri"/>
                <w:szCs w:val="20"/>
                <w:lang w:val="en-AU"/>
              </w:rPr>
            </w:pPr>
            <w:r w:rsidRPr="00FA288E">
              <w:rPr>
                <w:rFonts w:ascii="Calibri" w:hAnsi="Calibri" w:cs="Calibri"/>
                <w:szCs w:val="20"/>
                <w:lang w:val="en-AU"/>
              </w:rPr>
              <w:t>Mobile app</w:t>
            </w:r>
            <w:r w:rsidR="00164170" w:rsidRPr="00FA288E">
              <w:rPr>
                <w:rFonts w:ascii="Calibri" w:hAnsi="Calibri" w:cs="Calibri"/>
                <w:szCs w:val="20"/>
                <w:lang w:val="en-AU"/>
              </w:rPr>
              <w:t>lication</w:t>
            </w:r>
            <w:r w:rsidRPr="00FA288E">
              <w:rPr>
                <w:rFonts w:ascii="Calibri" w:hAnsi="Calibri" w:cs="Calibri"/>
                <w:szCs w:val="20"/>
                <w:lang w:val="en-AU"/>
              </w:rPr>
              <w:t xml:space="preserve"> to support community literacy and access to reading materials for families and teachers. 50% of reading materials are aligned with the SBC.</w:t>
            </w:r>
          </w:p>
          <w:p w14:paraId="767D1874" w14:textId="77777777" w:rsidR="001D736D" w:rsidRPr="00FA288E" w:rsidRDefault="001D736D" w:rsidP="00575FA9">
            <w:pPr>
              <w:pStyle w:val="Bullets"/>
              <w:numPr>
                <w:ilvl w:val="0"/>
                <w:numId w:val="0"/>
              </w:numPr>
              <w:spacing w:after="0"/>
              <w:jc w:val="left"/>
              <w:rPr>
                <w:rFonts w:ascii="Calibri" w:hAnsi="Calibri" w:cs="Calibri"/>
                <w:szCs w:val="20"/>
                <w:lang w:val="en-AU"/>
              </w:rPr>
            </w:pPr>
            <w:r w:rsidRPr="00FA288E">
              <w:rPr>
                <w:rFonts w:ascii="Calibri" w:hAnsi="Calibri" w:cs="Calibri"/>
                <w:szCs w:val="20"/>
                <w:lang w:val="en-AU"/>
              </w:rPr>
              <w:t xml:space="preserve">App has been enhanced with sign language for hearing impaired children – already has voice </w:t>
            </w:r>
            <w:r w:rsidR="000A0E80" w:rsidRPr="00FA288E">
              <w:rPr>
                <w:rFonts w:ascii="Calibri" w:hAnsi="Calibri" w:cs="Calibri"/>
                <w:szCs w:val="20"/>
                <w:lang w:val="en-AU"/>
              </w:rPr>
              <w:t xml:space="preserve">ability </w:t>
            </w:r>
            <w:r w:rsidRPr="00FA288E">
              <w:rPr>
                <w:rFonts w:ascii="Calibri" w:hAnsi="Calibri" w:cs="Calibri"/>
                <w:szCs w:val="20"/>
                <w:lang w:val="en-AU"/>
              </w:rPr>
              <w:t>to assist visually impaired</w:t>
            </w:r>
          </w:p>
        </w:tc>
      </w:tr>
      <w:tr w:rsidR="001D736D" w:rsidRPr="00FA288E" w14:paraId="344FC098" w14:textId="77777777" w:rsidTr="001D736D">
        <w:tc>
          <w:tcPr>
            <w:tcW w:w="817" w:type="dxa"/>
            <w:shd w:val="clear" w:color="auto" w:fill="262626" w:themeFill="text1" w:themeFillTint="D9"/>
          </w:tcPr>
          <w:p w14:paraId="3FA2D61E" w14:textId="77777777" w:rsidR="001D736D" w:rsidRPr="00FA288E" w:rsidRDefault="001D736D" w:rsidP="00575FA9">
            <w:pPr>
              <w:pStyle w:val="Bullets"/>
              <w:numPr>
                <w:ilvl w:val="0"/>
                <w:numId w:val="0"/>
              </w:numPr>
              <w:spacing w:after="0"/>
              <w:rPr>
                <w:rFonts w:ascii="Calibri" w:hAnsi="Calibri" w:cs="Calibri"/>
                <w:szCs w:val="20"/>
                <w:lang w:val="en-AU"/>
              </w:rPr>
            </w:pPr>
          </w:p>
        </w:tc>
        <w:tc>
          <w:tcPr>
            <w:tcW w:w="1968" w:type="dxa"/>
          </w:tcPr>
          <w:p w14:paraId="64FD0CEC" w14:textId="77777777" w:rsidR="001D736D" w:rsidRPr="00FA288E" w:rsidRDefault="001D736D" w:rsidP="00575FA9">
            <w:pPr>
              <w:pStyle w:val="Bullets"/>
              <w:numPr>
                <w:ilvl w:val="0"/>
                <w:numId w:val="0"/>
              </w:numPr>
              <w:spacing w:after="0"/>
              <w:jc w:val="left"/>
              <w:rPr>
                <w:rFonts w:ascii="Calibri" w:hAnsi="Calibri" w:cs="Calibri"/>
                <w:szCs w:val="20"/>
                <w:lang w:val="en-AU"/>
              </w:rPr>
            </w:pPr>
            <w:r w:rsidRPr="00FA288E">
              <w:rPr>
                <w:rFonts w:ascii="Calibri" w:hAnsi="Calibri" w:cs="Calibri"/>
                <w:szCs w:val="20"/>
                <w:lang w:val="en-AU"/>
              </w:rPr>
              <w:t>Education for Life</w:t>
            </w:r>
            <w:r w:rsidR="00A82402" w:rsidRPr="00FA288E">
              <w:rPr>
                <w:rFonts w:ascii="Calibri" w:hAnsi="Calibri" w:cs="Calibri"/>
                <w:szCs w:val="20"/>
                <w:lang w:val="en-AU"/>
              </w:rPr>
              <w:t xml:space="preserve"> </w:t>
            </w:r>
          </w:p>
        </w:tc>
        <w:tc>
          <w:tcPr>
            <w:tcW w:w="6930" w:type="dxa"/>
          </w:tcPr>
          <w:p w14:paraId="5AE59346" w14:textId="77777777" w:rsidR="001D736D" w:rsidRPr="00FA288E" w:rsidRDefault="00164170" w:rsidP="00575FA9">
            <w:pPr>
              <w:pStyle w:val="Bullets"/>
              <w:numPr>
                <w:ilvl w:val="0"/>
                <w:numId w:val="0"/>
              </w:numPr>
              <w:spacing w:after="0"/>
              <w:jc w:val="left"/>
              <w:rPr>
                <w:rFonts w:ascii="Calibri" w:hAnsi="Calibri" w:cs="Calibri"/>
                <w:szCs w:val="20"/>
                <w:lang w:val="en-AU"/>
              </w:rPr>
            </w:pPr>
            <w:r w:rsidRPr="00FA288E">
              <w:rPr>
                <w:rFonts w:ascii="Calibri" w:hAnsi="Calibri" w:cs="Calibri"/>
                <w:szCs w:val="20"/>
                <w:lang w:val="en-AU"/>
              </w:rPr>
              <w:t>Uses the</w:t>
            </w:r>
            <w:r w:rsidR="001D736D" w:rsidRPr="00FA288E">
              <w:rPr>
                <w:rFonts w:ascii="Calibri" w:hAnsi="Calibri" w:cs="Calibri"/>
                <w:szCs w:val="20"/>
                <w:lang w:val="en-AU"/>
              </w:rPr>
              <w:t xml:space="preserve"> Bloom Reader </w:t>
            </w:r>
            <w:r w:rsidRPr="00FA288E">
              <w:rPr>
                <w:rFonts w:ascii="Calibri" w:hAnsi="Calibri" w:cs="Calibri"/>
                <w:szCs w:val="20"/>
                <w:lang w:val="en-AU"/>
              </w:rPr>
              <w:t xml:space="preserve">mobile application supported by a Teacher Presenter Kit </w:t>
            </w:r>
            <w:r w:rsidR="001D736D" w:rsidRPr="00FA288E">
              <w:rPr>
                <w:rFonts w:ascii="Calibri" w:hAnsi="Calibri" w:cs="Calibri"/>
                <w:szCs w:val="20"/>
                <w:lang w:val="en-AU"/>
              </w:rPr>
              <w:t xml:space="preserve">for classroom </w:t>
            </w:r>
            <w:r w:rsidRPr="00FA288E">
              <w:rPr>
                <w:rFonts w:ascii="Calibri" w:hAnsi="Calibri" w:cs="Calibri"/>
                <w:szCs w:val="20"/>
                <w:lang w:val="en-AU"/>
              </w:rPr>
              <w:t>use. The kit included a</w:t>
            </w:r>
            <w:r w:rsidR="001D736D" w:rsidRPr="00FA288E">
              <w:rPr>
                <w:rFonts w:ascii="Calibri" w:hAnsi="Calibri" w:cs="Calibri"/>
                <w:szCs w:val="20"/>
                <w:lang w:val="en-AU"/>
              </w:rPr>
              <w:t xml:space="preserve"> solar panel, mobile phone and small project</w:t>
            </w:r>
            <w:r w:rsidRPr="00FA288E">
              <w:rPr>
                <w:rFonts w:ascii="Calibri" w:hAnsi="Calibri" w:cs="Calibri"/>
                <w:szCs w:val="20"/>
                <w:lang w:val="en-AU"/>
              </w:rPr>
              <w:t>or</w:t>
            </w:r>
            <w:r w:rsidR="001D736D" w:rsidRPr="00FA288E">
              <w:rPr>
                <w:rFonts w:ascii="Calibri" w:hAnsi="Calibri" w:cs="Calibri"/>
                <w:szCs w:val="20"/>
                <w:lang w:val="en-AU"/>
              </w:rPr>
              <w:t xml:space="preserve">. 30 </w:t>
            </w:r>
            <w:r w:rsidRPr="00FA288E">
              <w:rPr>
                <w:rFonts w:ascii="Calibri" w:hAnsi="Calibri" w:cs="Calibri"/>
                <w:szCs w:val="20"/>
                <w:lang w:val="en-AU"/>
              </w:rPr>
              <w:t>schools are piloting the Education for Life kit</w:t>
            </w:r>
          </w:p>
        </w:tc>
      </w:tr>
      <w:tr w:rsidR="001D736D" w:rsidRPr="00FA288E" w14:paraId="1B967C8C" w14:textId="77777777" w:rsidTr="001D736D">
        <w:tc>
          <w:tcPr>
            <w:tcW w:w="817" w:type="dxa"/>
            <w:shd w:val="clear" w:color="auto" w:fill="262626" w:themeFill="text1" w:themeFillTint="D9"/>
          </w:tcPr>
          <w:p w14:paraId="729C4ABA" w14:textId="77777777" w:rsidR="001D736D" w:rsidRPr="00FA288E" w:rsidRDefault="001D736D" w:rsidP="00575FA9">
            <w:pPr>
              <w:pStyle w:val="Bullets"/>
              <w:numPr>
                <w:ilvl w:val="0"/>
                <w:numId w:val="0"/>
              </w:numPr>
              <w:spacing w:after="0"/>
              <w:rPr>
                <w:rFonts w:ascii="Calibri" w:hAnsi="Calibri" w:cs="Calibri"/>
                <w:szCs w:val="20"/>
                <w:lang w:val="en-AU"/>
              </w:rPr>
            </w:pPr>
          </w:p>
        </w:tc>
        <w:tc>
          <w:tcPr>
            <w:tcW w:w="1968" w:type="dxa"/>
          </w:tcPr>
          <w:p w14:paraId="70EBB4A8" w14:textId="77777777" w:rsidR="001D736D" w:rsidRPr="00FA288E" w:rsidRDefault="001D736D" w:rsidP="00575FA9">
            <w:pPr>
              <w:pStyle w:val="Bullets"/>
              <w:numPr>
                <w:ilvl w:val="0"/>
                <w:numId w:val="0"/>
              </w:numPr>
              <w:spacing w:after="0"/>
              <w:jc w:val="left"/>
              <w:rPr>
                <w:rFonts w:ascii="Calibri" w:hAnsi="Calibri" w:cs="Calibri"/>
                <w:szCs w:val="20"/>
                <w:lang w:val="en-AU"/>
              </w:rPr>
            </w:pPr>
            <w:r w:rsidRPr="00FA288E">
              <w:rPr>
                <w:rFonts w:ascii="Calibri" w:hAnsi="Calibri" w:cs="Calibri"/>
                <w:szCs w:val="20"/>
                <w:lang w:val="en-AU"/>
              </w:rPr>
              <w:t>Peer Learning Circles</w:t>
            </w:r>
          </w:p>
        </w:tc>
        <w:tc>
          <w:tcPr>
            <w:tcW w:w="6930" w:type="dxa"/>
          </w:tcPr>
          <w:p w14:paraId="1D7E913C" w14:textId="77777777" w:rsidR="001D736D" w:rsidRPr="00FA288E" w:rsidRDefault="001D736D" w:rsidP="00575FA9">
            <w:pPr>
              <w:pStyle w:val="Bullets"/>
              <w:numPr>
                <w:ilvl w:val="0"/>
                <w:numId w:val="0"/>
              </w:numPr>
              <w:spacing w:after="0"/>
              <w:jc w:val="left"/>
              <w:rPr>
                <w:rFonts w:ascii="Calibri" w:hAnsi="Calibri" w:cs="Calibri"/>
                <w:szCs w:val="20"/>
                <w:lang w:val="en-AU"/>
              </w:rPr>
            </w:pPr>
            <w:r w:rsidRPr="00FA288E">
              <w:rPr>
                <w:rFonts w:ascii="Calibri" w:hAnsi="Calibri" w:cs="Calibri"/>
                <w:szCs w:val="20"/>
                <w:lang w:val="en-AU"/>
              </w:rPr>
              <w:t>Attempts are being made to establish P</w:t>
            </w:r>
            <w:r w:rsidR="00164170" w:rsidRPr="00FA288E">
              <w:rPr>
                <w:rFonts w:ascii="Calibri" w:hAnsi="Calibri" w:cs="Calibri"/>
                <w:szCs w:val="20"/>
                <w:lang w:val="en-AU"/>
              </w:rPr>
              <w:t>eer Learning Circle</w:t>
            </w:r>
            <w:r w:rsidRPr="00FA288E">
              <w:rPr>
                <w:rFonts w:ascii="Calibri" w:hAnsi="Calibri" w:cs="Calibri"/>
                <w:szCs w:val="20"/>
                <w:lang w:val="en-AU"/>
              </w:rPr>
              <w:t>s, but there is limited progress to date.  This</w:t>
            </w:r>
            <w:r w:rsidR="005B0F71" w:rsidRPr="00FA288E">
              <w:rPr>
                <w:rFonts w:ascii="Calibri" w:hAnsi="Calibri" w:cs="Calibri"/>
                <w:szCs w:val="20"/>
                <w:lang w:val="en-AU"/>
              </w:rPr>
              <w:t xml:space="preserve"> concept</w:t>
            </w:r>
            <w:r w:rsidRPr="00FA288E">
              <w:rPr>
                <w:rFonts w:ascii="Calibri" w:hAnsi="Calibri" w:cs="Calibri"/>
                <w:szCs w:val="20"/>
                <w:lang w:val="en-AU"/>
              </w:rPr>
              <w:t xml:space="preserve"> is promising </w:t>
            </w:r>
            <w:r w:rsidR="005B0F71" w:rsidRPr="00FA288E">
              <w:rPr>
                <w:rFonts w:ascii="Calibri" w:hAnsi="Calibri" w:cs="Calibri"/>
                <w:szCs w:val="20"/>
                <w:lang w:val="en-AU"/>
              </w:rPr>
              <w:t>to support teachers at the local school level</w:t>
            </w:r>
            <w:r w:rsidRPr="00FA288E">
              <w:rPr>
                <w:rFonts w:ascii="Calibri" w:hAnsi="Calibri" w:cs="Calibri"/>
                <w:szCs w:val="20"/>
                <w:lang w:val="en-AU"/>
              </w:rPr>
              <w:t>.</w:t>
            </w:r>
          </w:p>
        </w:tc>
      </w:tr>
      <w:tr w:rsidR="001D736D" w:rsidRPr="00FA288E" w14:paraId="179C30CB" w14:textId="77777777" w:rsidTr="001D736D">
        <w:tc>
          <w:tcPr>
            <w:tcW w:w="817" w:type="dxa"/>
            <w:shd w:val="clear" w:color="auto" w:fill="262626" w:themeFill="text1" w:themeFillTint="D9"/>
          </w:tcPr>
          <w:p w14:paraId="7734C0DA" w14:textId="77777777" w:rsidR="001D736D" w:rsidRPr="00FA288E" w:rsidRDefault="001D736D" w:rsidP="00575FA9">
            <w:pPr>
              <w:pStyle w:val="Bullets"/>
              <w:numPr>
                <w:ilvl w:val="0"/>
                <w:numId w:val="0"/>
              </w:numPr>
              <w:spacing w:after="0"/>
              <w:rPr>
                <w:rFonts w:ascii="Calibri" w:hAnsi="Calibri" w:cs="Calibri"/>
                <w:szCs w:val="20"/>
                <w:lang w:val="en-AU"/>
              </w:rPr>
            </w:pPr>
            <w:r w:rsidRPr="00FA288E">
              <w:rPr>
                <w:rFonts w:ascii="Calibri" w:hAnsi="Calibri" w:cs="Calibri"/>
                <w:szCs w:val="20"/>
                <w:lang w:val="en-AU"/>
              </w:rPr>
              <w:t>T4E</w:t>
            </w:r>
          </w:p>
        </w:tc>
        <w:tc>
          <w:tcPr>
            <w:tcW w:w="1968" w:type="dxa"/>
          </w:tcPr>
          <w:p w14:paraId="3DD75BAA" w14:textId="77777777" w:rsidR="001D736D" w:rsidRPr="00FA288E" w:rsidRDefault="001D736D" w:rsidP="00575FA9">
            <w:pPr>
              <w:pStyle w:val="Bullets"/>
              <w:numPr>
                <w:ilvl w:val="0"/>
                <w:numId w:val="0"/>
              </w:numPr>
              <w:spacing w:after="0"/>
              <w:jc w:val="left"/>
              <w:rPr>
                <w:rFonts w:ascii="Calibri" w:hAnsi="Calibri" w:cs="Calibri"/>
                <w:szCs w:val="20"/>
                <w:lang w:val="en-AU"/>
              </w:rPr>
            </w:pPr>
            <w:r w:rsidRPr="00FA288E">
              <w:rPr>
                <w:rFonts w:ascii="Calibri" w:hAnsi="Calibri" w:cs="Calibri"/>
                <w:szCs w:val="20"/>
                <w:lang w:val="en-AU"/>
              </w:rPr>
              <w:t>Library for All kits</w:t>
            </w:r>
          </w:p>
        </w:tc>
        <w:tc>
          <w:tcPr>
            <w:tcW w:w="6930" w:type="dxa"/>
          </w:tcPr>
          <w:p w14:paraId="09E454F7" w14:textId="77777777" w:rsidR="001D736D" w:rsidRPr="00FA288E" w:rsidRDefault="001D736D" w:rsidP="00575FA9">
            <w:pPr>
              <w:pStyle w:val="Bullets"/>
              <w:numPr>
                <w:ilvl w:val="0"/>
                <w:numId w:val="0"/>
              </w:numPr>
              <w:spacing w:after="0"/>
              <w:jc w:val="left"/>
              <w:rPr>
                <w:rFonts w:ascii="Calibri" w:hAnsi="Calibri" w:cs="Calibri"/>
                <w:szCs w:val="20"/>
                <w:lang w:val="en-AU"/>
              </w:rPr>
            </w:pPr>
            <w:r w:rsidRPr="00FA288E">
              <w:rPr>
                <w:rFonts w:ascii="Calibri" w:hAnsi="Calibri" w:cs="Calibri"/>
                <w:szCs w:val="20"/>
                <w:lang w:val="en-AU"/>
              </w:rPr>
              <w:t xml:space="preserve">40 tablets </w:t>
            </w:r>
            <w:r w:rsidR="005B0F71" w:rsidRPr="00FA288E">
              <w:rPr>
                <w:rFonts w:ascii="Calibri" w:hAnsi="Calibri" w:cs="Calibri"/>
                <w:szCs w:val="20"/>
                <w:lang w:val="en-AU"/>
              </w:rPr>
              <w:t xml:space="preserve">in a kit </w:t>
            </w:r>
            <w:r w:rsidRPr="00FA288E">
              <w:rPr>
                <w:rFonts w:ascii="Calibri" w:hAnsi="Calibri" w:cs="Calibri"/>
                <w:szCs w:val="20"/>
                <w:lang w:val="en-AU"/>
              </w:rPr>
              <w:t>pre-loaded with reading materials. Piloted in 12 schools</w:t>
            </w:r>
          </w:p>
        </w:tc>
      </w:tr>
      <w:tr w:rsidR="001D736D" w:rsidRPr="00FA288E" w14:paraId="227E07AE" w14:textId="77777777" w:rsidTr="001D736D">
        <w:tc>
          <w:tcPr>
            <w:tcW w:w="817" w:type="dxa"/>
            <w:shd w:val="clear" w:color="auto" w:fill="262626" w:themeFill="text1" w:themeFillTint="D9"/>
          </w:tcPr>
          <w:p w14:paraId="5E08A3E7" w14:textId="77777777" w:rsidR="001D736D" w:rsidRPr="00FA288E" w:rsidRDefault="001D736D" w:rsidP="00575FA9">
            <w:pPr>
              <w:pStyle w:val="Bullets"/>
              <w:numPr>
                <w:ilvl w:val="0"/>
                <w:numId w:val="0"/>
              </w:numPr>
              <w:spacing w:after="0"/>
              <w:rPr>
                <w:rFonts w:ascii="Calibri" w:hAnsi="Calibri" w:cs="Calibri"/>
                <w:szCs w:val="20"/>
                <w:lang w:val="en-AU"/>
              </w:rPr>
            </w:pPr>
          </w:p>
        </w:tc>
        <w:tc>
          <w:tcPr>
            <w:tcW w:w="1968" w:type="dxa"/>
          </w:tcPr>
          <w:p w14:paraId="0C84ABB0" w14:textId="77777777" w:rsidR="001D736D" w:rsidRPr="00FA288E" w:rsidRDefault="001D736D" w:rsidP="00575FA9">
            <w:pPr>
              <w:pStyle w:val="Bullets"/>
              <w:numPr>
                <w:ilvl w:val="0"/>
                <w:numId w:val="0"/>
              </w:numPr>
              <w:spacing w:after="0"/>
              <w:jc w:val="left"/>
              <w:rPr>
                <w:rFonts w:ascii="Calibri" w:hAnsi="Calibri" w:cs="Calibri"/>
                <w:szCs w:val="20"/>
                <w:lang w:val="en-AU"/>
              </w:rPr>
            </w:pPr>
            <w:r w:rsidRPr="00FA288E">
              <w:rPr>
                <w:rFonts w:ascii="Calibri" w:hAnsi="Calibri" w:cs="Calibri"/>
                <w:szCs w:val="20"/>
                <w:lang w:val="en-AU"/>
              </w:rPr>
              <w:t>Resource Teachers</w:t>
            </w:r>
          </w:p>
        </w:tc>
        <w:tc>
          <w:tcPr>
            <w:tcW w:w="6930" w:type="dxa"/>
          </w:tcPr>
          <w:p w14:paraId="58BB3F73" w14:textId="77777777" w:rsidR="001D736D" w:rsidRPr="00FA288E" w:rsidRDefault="005B0F71" w:rsidP="00575FA9">
            <w:pPr>
              <w:pStyle w:val="Bullets"/>
              <w:numPr>
                <w:ilvl w:val="0"/>
                <w:numId w:val="0"/>
              </w:numPr>
              <w:spacing w:after="0"/>
              <w:jc w:val="left"/>
              <w:rPr>
                <w:rFonts w:ascii="Calibri" w:hAnsi="Calibri" w:cs="Calibri"/>
                <w:szCs w:val="20"/>
                <w:lang w:val="en-AU"/>
              </w:rPr>
            </w:pPr>
            <w:r w:rsidRPr="00FA288E">
              <w:rPr>
                <w:rFonts w:ascii="Calibri" w:hAnsi="Calibri" w:cs="Calibri"/>
                <w:szCs w:val="20"/>
                <w:lang w:val="en-AU"/>
              </w:rPr>
              <w:t xml:space="preserve">26 </w:t>
            </w:r>
            <w:r w:rsidR="001D736D" w:rsidRPr="00FA288E">
              <w:rPr>
                <w:rFonts w:ascii="Calibri" w:hAnsi="Calibri" w:cs="Calibri"/>
                <w:szCs w:val="20"/>
                <w:lang w:val="en-AU"/>
              </w:rPr>
              <w:t>Teachers who demonstrated promising skills were provided additional training to serve as a resource and coach to other teachers in the same or nearby schools</w:t>
            </w:r>
          </w:p>
        </w:tc>
      </w:tr>
      <w:tr w:rsidR="001D736D" w:rsidRPr="00FA288E" w14:paraId="5F3CF2DB" w14:textId="77777777" w:rsidTr="001D736D">
        <w:tc>
          <w:tcPr>
            <w:tcW w:w="817" w:type="dxa"/>
            <w:shd w:val="clear" w:color="auto" w:fill="262626" w:themeFill="text1" w:themeFillTint="D9"/>
          </w:tcPr>
          <w:p w14:paraId="57F95D13" w14:textId="77777777" w:rsidR="001D736D" w:rsidRPr="00FA288E" w:rsidRDefault="001D736D" w:rsidP="00575FA9">
            <w:pPr>
              <w:pStyle w:val="Bullets"/>
              <w:numPr>
                <w:ilvl w:val="0"/>
                <w:numId w:val="0"/>
              </w:numPr>
              <w:spacing w:after="0"/>
              <w:rPr>
                <w:rFonts w:ascii="Calibri" w:hAnsi="Calibri" w:cs="Calibri"/>
                <w:szCs w:val="20"/>
                <w:lang w:val="en-AU"/>
              </w:rPr>
            </w:pPr>
            <w:r w:rsidRPr="00FA288E">
              <w:rPr>
                <w:rFonts w:ascii="Calibri" w:hAnsi="Calibri" w:cs="Calibri"/>
                <w:szCs w:val="20"/>
                <w:lang w:val="en-AU"/>
              </w:rPr>
              <w:t>PKS</w:t>
            </w:r>
          </w:p>
        </w:tc>
        <w:tc>
          <w:tcPr>
            <w:tcW w:w="1968" w:type="dxa"/>
          </w:tcPr>
          <w:p w14:paraId="14748AF4" w14:textId="77777777" w:rsidR="001D736D" w:rsidRPr="00FA288E" w:rsidRDefault="001D736D" w:rsidP="00575FA9">
            <w:pPr>
              <w:pStyle w:val="Bullets"/>
              <w:numPr>
                <w:ilvl w:val="0"/>
                <w:numId w:val="0"/>
              </w:numPr>
              <w:spacing w:after="0"/>
              <w:jc w:val="left"/>
              <w:rPr>
                <w:rFonts w:ascii="Calibri" w:hAnsi="Calibri" w:cs="Calibri"/>
                <w:szCs w:val="20"/>
                <w:lang w:val="en-AU"/>
              </w:rPr>
            </w:pPr>
            <w:r w:rsidRPr="00FA288E">
              <w:rPr>
                <w:rFonts w:ascii="Calibri" w:hAnsi="Calibri" w:cs="Calibri"/>
                <w:szCs w:val="20"/>
                <w:lang w:val="en-AU"/>
              </w:rPr>
              <w:t>Knowledge Hub</w:t>
            </w:r>
          </w:p>
        </w:tc>
        <w:tc>
          <w:tcPr>
            <w:tcW w:w="6930" w:type="dxa"/>
          </w:tcPr>
          <w:p w14:paraId="56037F71" w14:textId="77777777" w:rsidR="001D736D" w:rsidRPr="00FA288E" w:rsidRDefault="001D736D" w:rsidP="00575FA9">
            <w:pPr>
              <w:pStyle w:val="Bullets"/>
              <w:numPr>
                <w:ilvl w:val="0"/>
                <w:numId w:val="0"/>
              </w:numPr>
              <w:spacing w:after="0"/>
              <w:jc w:val="left"/>
              <w:rPr>
                <w:rFonts w:ascii="Calibri" w:hAnsi="Calibri" w:cs="Calibri"/>
                <w:szCs w:val="20"/>
                <w:lang w:val="en-AU"/>
              </w:rPr>
            </w:pPr>
            <w:r w:rsidRPr="00FA288E">
              <w:rPr>
                <w:rFonts w:ascii="Calibri" w:hAnsi="Calibri" w:cs="Calibri"/>
                <w:szCs w:val="20"/>
                <w:lang w:val="en-AU"/>
              </w:rPr>
              <w:t>Electronic platform/portal for sharing information on education for teachers, parents and education officials.</w:t>
            </w:r>
          </w:p>
        </w:tc>
      </w:tr>
      <w:tr w:rsidR="001D736D" w:rsidRPr="00FA288E" w14:paraId="1AE7DD28" w14:textId="77777777" w:rsidTr="001D736D">
        <w:tc>
          <w:tcPr>
            <w:tcW w:w="817" w:type="dxa"/>
            <w:shd w:val="clear" w:color="auto" w:fill="262626" w:themeFill="text1" w:themeFillTint="D9"/>
          </w:tcPr>
          <w:p w14:paraId="403DAF79" w14:textId="77777777" w:rsidR="001D736D" w:rsidRPr="00FA288E" w:rsidRDefault="001D736D" w:rsidP="00575FA9">
            <w:pPr>
              <w:pStyle w:val="Bullets"/>
              <w:numPr>
                <w:ilvl w:val="0"/>
                <w:numId w:val="0"/>
              </w:numPr>
              <w:spacing w:after="0"/>
              <w:rPr>
                <w:rFonts w:ascii="Calibri" w:hAnsi="Calibri" w:cs="Calibri"/>
                <w:szCs w:val="20"/>
                <w:lang w:val="en-AU"/>
              </w:rPr>
            </w:pPr>
          </w:p>
        </w:tc>
        <w:tc>
          <w:tcPr>
            <w:tcW w:w="1968" w:type="dxa"/>
          </w:tcPr>
          <w:p w14:paraId="19818EB9" w14:textId="77777777" w:rsidR="001D736D" w:rsidRPr="00FA288E" w:rsidRDefault="001D736D" w:rsidP="00575FA9">
            <w:pPr>
              <w:pStyle w:val="Bullets"/>
              <w:numPr>
                <w:ilvl w:val="0"/>
                <w:numId w:val="0"/>
              </w:numPr>
              <w:spacing w:after="0"/>
              <w:jc w:val="left"/>
              <w:rPr>
                <w:rFonts w:ascii="Calibri" w:hAnsi="Calibri" w:cs="Calibri"/>
                <w:szCs w:val="20"/>
                <w:lang w:val="en-AU"/>
              </w:rPr>
            </w:pPr>
            <w:r w:rsidRPr="00FA288E">
              <w:rPr>
                <w:rFonts w:ascii="Calibri" w:hAnsi="Calibri" w:cs="Calibri"/>
                <w:szCs w:val="20"/>
                <w:lang w:val="en-AU"/>
              </w:rPr>
              <w:t>S</w:t>
            </w:r>
            <w:r w:rsidR="00FD2EFC" w:rsidRPr="00FA288E">
              <w:rPr>
                <w:rFonts w:ascii="Calibri" w:hAnsi="Calibri" w:cs="Calibri"/>
                <w:szCs w:val="20"/>
                <w:lang w:val="en-AU"/>
              </w:rPr>
              <w:t>ecure Digital (S</w:t>
            </w:r>
            <w:r w:rsidRPr="00FA288E">
              <w:rPr>
                <w:rFonts w:ascii="Calibri" w:hAnsi="Calibri" w:cs="Calibri"/>
                <w:szCs w:val="20"/>
                <w:lang w:val="en-AU"/>
              </w:rPr>
              <w:t>D</w:t>
            </w:r>
            <w:r w:rsidR="00FD2EFC" w:rsidRPr="00FA288E">
              <w:rPr>
                <w:rFonts w:ascii="Calibri" w:hAnsi="Calibri" w:cs="Calibri"/>
                <w:szCs w:val="20"/>
                <w:lang w:val="en-AU"/>
              </w:rPr>
              <w:t>)</w:t>
            </w:r>
            <w:r w:rsidRPr="00FA288E">
              <w:rPr>
                <w:rFonts w:ascii="Calibri" w:hAnsi="Calibri" w:cs="Calibri"/>
                <w:szCs w:val="20"/>
                <w:lang w:val="en-AU"/>
              </w:rPr>
              <w:t xml:space="preserve"> Cards for Teachers</w:t>
            </w:r>
          </w:p>
        </w:tc>
        <w:tc>
          <w:tcPr>
            <w:tcW w:w="6930" w:type="dxa"/>
          </w:tcPr>
          <w:p w14:paraId="1A4D19EA" w14:textId="77777777" w:rsidR="001D736D" w:rsidRPr="00FA288E" w:rsidRDefault="001D736D" w:rsidP="00575FA9">
            <w:pPr>
              <w:pStyle w:val="Bullets"/>
              <w:numPr>
                <w:ilvl w:val="0"/>
                <w:numId w:val="0"/>
              </w:numPr>
              <w:spacing w:after="0"/>
              <w:jc w:val="left"/>
              <w:rPr>
                <w:rFonts w:ascii="Calibri" w:hAnsi="Calibri" w:cs="Calibri"/>
                <w:szCs w:val="20"/>
                <w:lang w:val="en-AU"/>
              </w:rPr>
            </w:pPr>
            <w:r w:rsidRPr="00FA288E">
              <w:rPr>
                <w:rFonts w:ascii="Calibri" w:hAnsi="Calibri" w:cs="Calibri"/>
                <w:szCs w:val="20"/>
                <w:lang w:val="en-AU"/>
              </w:rPr>
              <w:t>S</w:t>
            </w:r>
            <w:r w:rsidR="00164170" w:rsidRPr="00FA288E">
              <w:rPr>
                <w:rFonts w:ascii="Calibri" w:hAnsi="Calibri" w:cs="Calibri"/>
                <w:szCs w:val="20"/>
                <w:lang w:val="en-AU"/>
              </w:rPr>
              <w:t xml:space="preserve">ecure </w:t>
            </w:r>
            <w:r w:rsidRPr="00FA288E">
              <w:rPr>
                <w:rFonts w:ascii="Calibri" w:hAnsi="Calibri" w:cs="Calibri"/>
                <w:szCs w:val="20"/>
                <w:lang w:val="en-AU"/>
              </w:rPr>
              <w:t>D</w:t>
            </w:r>
            <w:r w:rsidR="00164170" w:rsidRPr="00FA288E">
              <w:rPr>
                <w:rFonts w:ascii="Calibri" w:hAnsi="Calibri" w:cs="Calibri"/>
                <w:szCs w:val="20"/>
                <w:lang w:val="en-AU"/>
              </w:rPr>
              <w:t>igital</w:t>
            </w:r>
            <w:r w:rsidRPr="00FA288E">
              <w:rPr>
                <w:rFonts w:ascii="Calibri" w:hAnsi="Calibri" w:cs="Calibri"/>
                <w:szCs w:val="20"/>
                <w:lang w:val="en-AU"/>
              </w:rPr>
              <w:t xml:space="preserve"> Cards, pre-loaded with SBC teacher’s guides, teaching videos, stories, songs and games provided to each teacher trained</w:t>
            </w:r>
            <w:r w:rsidR="005B0F71" w:rsidRPr="00FA288E">
              <w:rPr>
                <w:rFonts w:ascii="Calibri" w:hAnsi="Calibri" w:cs="Calibri"/>
                <w:szCs w:val="20"/>
                <w:lang w:val="en-AU"/>
              </w:rPr>
              <w:t xml:space="preserve"> (1313 teachers: 941 targeted)</w:t>
            </w:r>
          </w:p>
        </w:tc>
      </w:tr>
    </w:tbl>
    <w:p w14:paraId="4C1C1562" w14:textId="77777777" w:rsidR="006674C5" w:rsidRPr="00FA288E" w:rsidRDefault="006674C5" w:rsidP="00575FA9">
      <w:pPr>
        <w:pStyle w:val="Bullets"/>
        <w:numPr>
          <w:ilvl w:val="0"/>
          <w:numId w:val="0"/>
        </w:numPr>
        <w:spacing w:after="80" w:line="240" w:lineRule="auto"/>
        <w:jc w:val="both"/>
        <w:rPr>
          <w:rFonts w:ascii="Calibri" w:hAnsi="Calibri" w:cs="Calibri"/>
          <w:sz w:val="21"/>
          <w:szCs w:val="21"/>
        </w:rPr>
      </w:pPr>
    </w:p>
    <w:p w14:paraId="6C6D1FE0" w14:textId="0618C8AD" w:rsidR="001D736D" w:rsidRPr="00FA288E" w:rsidRDefault="00614C93" w:rsidP="00575FA9">
      <w:pPr>
        <w:pStyle w:val="Bullets"/>
        <w:numPr>
          <w:ilvl w:val="0"/>
          <w:numId w:val="0"/>
        </w:numPr>
        <w:spacing w:after="80" w:line="240" w:lineRule="auto"/>
        <w:jc w:val="both"/>
        <w:rPr>
          <w:rFonts w:ascii="Calibri" w:hAnsi="Calibri" w:cs="Calibri"/>
          <w:sz w:val="21"/>
          <w:szCs w:val="21"/>
        </w:rPr>
      </w:pPr>
      <w:r w:rsidRPr="00FA288E">
        <w:rPr>
          <w:rFonts w:ascii="Calibri" w:hAnsi="Calibri" w:cs="Calibri"/>
          <w:sz w:val="21"/>
          <w:szCs w:val="21"/>
        </w:rPr>
        <w:t>Most of these innovations are relatively early in their implementation, thus is difficult to assess whether or not they will “</w:t>
      </w:r>
      <w:r w:rsidRPr="00FA288E">
        <w:rPr>
          <w:rFonts w:ascii="Calibri" w:hAnsi="Calibri" w:cs="Calibri"/>
          <w:i/>
          <w:iCs/>
          <w:sz w:val="21"/>
          <w:szCs w:val="21"/>
        </w:rPr>
        <w:t>create a positive impact that is significantly greater than can be realised through current practice</w:t>
      </w:r>
      <w:r w:rsidRPr="00FA288E">
        <w:rPr>
          <w:rFonts w:ascii="Calibri" w:hAnsi="Calibri" w:cs="Calibri"/>
          <w:sz w:val="21"/>
          <w:szCs w:val="21"/>
        </w:rPr>
        <w:t>”.</w:t>
      </w:r>
      <w:r w:rsidR="00EF5BC0" w:rsidRPr="00FA288E">
        <w:rPr>
          <w:rStyle w:val="FootnoteReference"/>
          <w:rFonts w:ascii="Calibri" w:hAnsi="Calibri" w:cs="Calibri"/>
          <w:sz w:val="21"/>
          <w:szCs w:val="21"/>
        </w:rPr>
        <w:footnoteReference w:id="43"/>
      </w:r>
      <w:r w:rsidRPr="00FA288E">
        <w:rPr>
          <w:rFonts w:ascii="Calibri" w:hAnsi="Calibri" w:cs="Calibri"/>
          <w:sz w:val="21"/>
          <w:szCs w:val="21"/>
        </w:rPr>
        <w:t xml:space="preserve"> Using one example to demonstrate, the case of Resource Teachers, which presents as a promising innovation, currently experiences some barriers to the full application of this concept (</w:t>
      </w:r>
      <w:r w:rsidR="006674C5" w:rsidRPr="00FA288E">
        <w:rPr>
          <w:rFonts w:ascii="Calibri" w:hAnsi="Calibri" w:cs="Calibri"/>
          <w:sz w:val="21"/>
          <w:szCs w:val="21"/>
        </w:rPr>
        <w:t>see</w:t>
      </w:r>
      <w:r w:rsidR="001D736D" w:rsidRPr="00FA288E">
        <w:rPr>
          <w:rFonts w:ascii="Calibri" w:hAnsi="Calibri" w:cs="Calibri"/>
          <w:sz w:val="21"/>
          <w:szCs w:val="21"/>
        </w:rPr>
        <w:t xml:space="preserve"> </w:t>
      </w:r>
      <w:hyperlink w:anchor="_Box_2._Barriers" w:history="1">
        <w:r w:rsidRPr="00FA288E">
          <w:rPr>
            <w:rStyle w:val="Hyperlink"/>
            <w:rFonts w:ascii="Calibri" w:hAnsi="Calibri" w:cs="Calibri"/>
            <w:sz w:val="21"/>
            <w:szCs w:val="21"/>
          </w:rPr>
          <w:t xml:space="preserve">Box 2 Annex </w:t>
        </w:r>
        <w:r w:rsidR="008C2C8F" w:rsidRPr="00FA288E">
          <w:rPr>
            <w:rStyle w:val="Hyperlink"/>
            <w:rFonts w:ascii="Calibri" w:hAnsi="Calibri" w:cs="Calibri"/>
            <w:sz w:val="21"/>
            <w:szCs w:val="21"/>
          </w:rPr>
          <w:t>F</w:t>
        </w:r>
        <w:r w:rsidRPr="00FA288E">
          <w:rPr>
            <w:rStyle w:val="Hyperlink"/>
            <w:rFonts w:ascii="Calibri" w:hAnsi="Calibri" w:cs="Calibri"/>
            <w:sz w:val="21"/>
            <w:szCs w:val="21"/>
          </w:rPr>
          <w:t>.1</w:t>
        </w:r>
      </w:hyperlink>
      <w:r w:rsidRPr="00FA288E">
        <w:rPr>
          <w:rFonts w:ascii="Calibri" w:hAnsi="Calibri" w:cs="Calibri"/>
          <w:sz w:val="21"/>
          <w:szCs w:val="21"/>
        </w:rPr>
        <w:t>)</w:t>
      </w:r>
      <w:r w:rsidR="006674C5" w:rsidRPr="00FA288E">
        <w:rPr>
          <w:rFonts w:ascii="Calibri" w:hAnsi="Calibri" w:cs="Calibri"/>
          <w:sz w:val="21"/>
          <w:szCs w:val="21"/>
        </w:rPr>
        <w:t>.</w:t>
      </w:r>
    </w:p>
    <w:p w14:paraId="316CB4F5" w14:textId="77777777" w:rsidR="00614C93" w:rsidRPr="00FA288E" w:rsidRDefault="00A749D1" w:rsidP="00575FA9">
      <w:pPr>
        <w:pStyle w:val="Bullets"/>
        <w:numPr>
          <w:ilvl w:val="0"/>
          <w:numId w:val="0"/>
        </w:numPr>
        <w:spacing w:after="80" w:line="240" w:lineRule="auto"/>
        <w:rPr>
          <w:sz w:val="24"/>
          <w:szCs w:val="24"/>
        </w:rPr>
      </w:pPr>
      <w:r w:rsidRPr="00FA288E">
        <w:rPr>
          <w:sz w:val="24"/>
          <w:szCs w:val="24"/>
        </w:rPr>
        <w:t>3.1.3</w:t>
      </w:r>
      <w:r w:rsidR="00614C93" w:rsidRPr="00FA288E">
        <w:rPr>
          <w:sz w:val="24"/>
          <w:szCs w:val="24"/>
        </w:rPr>
        <w:t xml:space="preserve"> Assessment of Gender and Disability inclusivity </w:t>
      </w:r>
    </w:p>
    <w:p w14:paraId="3266FA17" w14:textId="77777777" w:rsidR="003248FB" w:rsidRPr="00FA288E" w:rsidRDefault="006674C5" w:rsidP="00575FA9">
      <w:pPr>
        <w:spacing w:after="80" w:line="240" w:lineRule="auto"/>
        <w:jc w:val="both"/>
        <w:rPr>
          <w:rFonts w:cs="Calibri"/>
          <w:szCs w:val="21"/>
        </w:rPr>
      </w:pPr>
      <w:r w:rsidRPr="00FA288E">
        <w:rPr>
          <w:rFonts w:cs="Calibri"/>
          <w:szCs w:val="21"/>
        </w:rPr>
        <w:t>Based on</w:t>
      </w:r>
      <w:r w:rsidR="00436470" w:rsidRPr="00FA288E">
        <w:rPr>
          <w:rFonts w:cs="Calibri"/>
          <w:szCs w:val="21"/>
        </w:rPr>
        <w:t xml:space="preserve"> a </w:t>
      </w:r>
      <w:r w:rsidR="00614C93" w:rsidRPr="00FA288E">
        <w:rPr>
          <w:rFonts w:cs="Calibri"/>
          <w:szCs w:val="21"/>
        </w:rPr>
        <w:t>recently prepared report entitled</w:t>
      </w:r>
      <w:r w:rsidR="00436470" w:rsidRPr="00FA288E">
        <w:rPr>
          <w:rFonts w:cs="Calibri"/>
          <w:szCs w:val="21"/>
        </w:rPr>
        <w:t xml:space="preserve"> </w:t>
      </w:r>
      <w:r w:rsidR="00614C93" w:rsidRPr="00FA288E">
        <w:rPr>
          <w:rFonts w:cs="Calibri"/>
          <w:i/>
          <w:szCs w:val="21"/>
        </w:rPr>
        <w:t>Gender and Social Inclusion in the PPF Education Grants</w:t>
      </w:r>
      <w:r w:rsidR="007963ED" w:rsidRPr="00FA288E">
        <w:rPr>
          <w:rFonts w:cs="Calibri"/>
          <w:szCs w:val="21"/>
        </w:rPr>
        <w:t>, all</w:t>
      </w:r>
      <w:r w:rsidR="00614C93" w:rsidRPr="00FA288E">
        <w:rPr>
          <w:rFonts w:cs="Calibri"/>
          <w:szCs w:val="21"/>
        </w:rPr>
        <w:t xml:space="preserve"> projects have </w:t>
      </w:r>
      <w:r w:rsidR="00614C93" w:rsidRPr="00FA288E">
        <w:rPr>
          <w:rFonts w:cs="Calibri"/>
          <w:b/>
          <w:szCs w:val="21"/>
        </w:rPr>
        <w:t>mainstreamed gender and disability inclusion</w:t>
      </w:r>
      <w:r w:rsidR="00614C93" w:rsidRPr="00FA288E">
        <w:rPr>
          <w:rFonts w:cs="Calibri"/>
          <w:szCs w:val="21"/>
        </w:rPr>
        <w:t xml:space="preserve"> as a cross-cutting theme in their training programs, with RISE having specific targets for disability inclusion and PKS having targets for girls’ inclusion. </w:t>
      </w:r>
    </w:p>
    <w:p w14:paraId="33950B17" w14:textId="77777777" w:rsidR="00063F94" w:rsidRPr="00FA288E" w:rsidRDefault="00614C93" w:rsidP="00575FA9">
      <w:pPr>
        <w:spacing w:after="80" w:line="240" w:lineRule="auto"/>
        <w:jc w:val="both"/>
        <w:rPr>
          <w:rFonts w:cs="Calibri"/>
          <w:szCs w:val="21"/>
        </w:rPr>
      </w:pPr>
      <w:r w:rsidRPr="00FA288E">
        <w:rPr>
          <w:rFonts w:cs="Calibri"/>
          <w:szCs w:val="21"/>
        </w:rPr>
        <w:t xml:space="preserve">The projects are able, for the most part, to </w:t>
      </w:r>
      <w:r w:rsidRPr="00FA288E">
        <w:rPr>
          <w:rFonts w:cs="Calibri"/>
          <w:b/>
          <w:szCs w:val="21"/>
        </w:rPr>
        <w:t>report gender-disaggregated data</w:t>
      </w:r>
      <w:r w:rsidRPr="00FA288E">
        <w:rPr>
          <w:rFonts w:cs="Calibri"/>
          <w:szCs w:val="21"/>
        </w:rPr>
        <w:t xml:space="preserve"> at the level of outputs and it is too early in implementation to see this reflected at the level of outcomes. The table below summarises the various</w:t>
      </w:r>
      <w:r w:rsidR="007236E6" w:rsidRPr="00FA288E">
        <w:rPr>
          <w:rFonts w:cs="Calibri"/>
          <w:szCs w:val="21"/>
        </w:rPr>
        <w:t xml:space="preserve"> approaches and</w:t>
      </w:r>
      <w:r w:rsidRPr="00FA288E">
        <w:rPr>
          <w:rFonts w:cs="Calibri"/>
          <w:szCs w:val="21"/>
        </w:rPr>
        <w:t xml:space="preserve"> </w:t>
      </w:r>
      <w:r w:rsidR="00437090" w:rsidRPr="00FA288E">
        <w:rPr>
          <w:rFonts w:cs="Calibri"/>
          <w:szCs w:val="21"/>
        </w:rPr>
        <w:t xml:space="preserve">extent of attention to gender and disability </w:t>
      </w:r>
      <w:r w:rsidR="007236E6" w:rsidRPr="00FA288E">
        <w:rPr>
          <w:rFonts w:cs="Calibri"/>
          <w:szCs w:val="21"/>
        </w:rPr>
        <w:t xml:space="preserve">of each project </w:t>
      </w:r>
      <w:r w:rsidR="00437090" w:rsidRPr="00FA288E">
        <w:rPr>
          <w:rFonts w:cs="Calibri"/>
          <w:szCs w:val="21"/>
        </w:rPr>
        <w:t xml:space="preserve">as reflected in their </w:t>
      </w:r>
      <w:r w:rsidRPr="00FA288E">
        <w:rPr>
          <w:rFonts w:cs="Calibri"/>
          <w:szCs w:val="21"/>
        </w:rPr>
        <w:t>indicators.</w:t>
      </w:r>
    </w:p>
    <w:p w14:paraId="77D736D0" w14:textId="1C6DAC50" w:rsidR="00BF2CC7" w:rsidRPr="00FA288E" w:rsidRDefault="00BF2CC7" w:rsidP="00575FA9">
      <w:pPr>
        <w:pStyle w:val="Caption"/>
        <w:spacing w:before="0" w:after="80" w:line="240" w:lineRule="auto"/>
        <w:ind w:left="0" w:firstLine="0"/>
        <w:rPr>
          <w:b w:val="0"/>
          <w:color w:val="auto"/>
          <w:lang w:val="en-AU"/>
        </w:rPr>
      </w:pPr>
      <w:r w:rsidRPr="00FA288E">
        <w:rPr>
          <w:b w:val="0"/>
          <w:color w:val="auto"/>
          <w:lang w:val="en-AU"/>
        </w:rPr>
        <w:t xml:space="preserve">Table </w:t>
      </w:r>
      <w:r w:rsidRPr="00FA288E">
        <w:rPr>
          <w:b w:val="0"/>
          <w:color w:val="auto"/>
          <w:lang w:val="en-AU"/>
        </w:rPr>
        <w:fldChar w:fldCharType="begin"/>
      </w:r>
      <w:r w:rsidRPr="00FA288E">
        <w:rPr>
          <w:b w:val="0"/>
          <w:color w:val="auto"/>
          <w:lang w:val="en-AU"/>
        </w:rPr>
        <w:instrText xml:space="preserve"> SEQ Table \* ARABIC </w:instrText>
      </w:r>
      <w:r w:rsidRPr="00FA288E">
        <w:rPr>
          <w:b w:val="0"/>
          <w:color w:val="auto"/>
          <w:lang w:val="en-AU"/>
        </w:rPr>
        <w:fldChar w:fldCharType="separate"/>
      </w:r>
      <w:r w:rsidR="00C22013">
        <w:rPr>
          <w:b w:val="0"/>
          <w:noProof/>
          <w:color w:val="auto"/>
          <w:lang w:val="en-AU"/>
        </w:rPr>
        <w:t>6</w:t>
      </w:r>
      <w:r w:rsidRPr="00FA288E">
        <w:rPr>
          <w:b w:val="0"/>
          <w:color w:val="auto"/>
          <w:lang w:val="en-AU"/>
        </w:rPr>
        <w:fldChar w:fldCharType="end"/>
      </w:r>
      <w:r w:rsidRPr="00FA288E">
        <w:rPr>
          <w:b w:val="0"/>
          <w:color w:val="auto"/>
          <w:lang w:val="en-AU"/>
        </w:rPr>
        <w:t xml:space="preserve"> Gender, Disability and Social Inclusions Indicators by Project</w:t>
      </w:r>
    </w:p>
    <w:tbl>
      <w:tblPr>
        <w:tblStyle w:val="TableGrid"/>
        <w:tblW w:w="9805" w:type="dxa"/>
        <w:tblInd w:w="0" w:type="dxa"/>
        <w:tblLook w:val="04A0" w:firstRow="1" w:lastRow="0" w:firstColumn="1" w:lastColumn="0" w:noHBand="0" w:noVBand="1"/>
        <w:tblCaption w:val="Table 6 Gender, Disability and Social Inclusions Indicators by Project"/>
        <w:tblDescription w:val="RISE’s indicators include: Improved gender parity in elementary education; Increased number of vulnerable elementary-aged girls supported to learn in elementary school; % of children with disability receiving support from elementary schools or Inclusive Education Resource Centres. T4E’s indicators include: Number of schools that completed SLIPs addressing gender and disability barriers; Percentage of teachers using/practicing gender-sensitive and disability inclusive practices/strategies. CARE’s indicators include: Increased enrolment and retention of girls in elementary schools; Strengthened sub-national gender-inclusive management and coordination in the elementary education sector - Leadership in Education; % of Community Leadership Program participants with improved knowledge and attitudes towards girls’ education; # of female candidates in remote LLGs support to matriculate and enrol in preservice Certificate of Elementary Teaching; % of schools with a SLIP that include literacy, maths and gender and disability- inclusion activities."/>
      </w:tblPr>
      <w:tblGrid>
        <w:gridCol w:w="3114"/>
        <w:gridCol w:w="3260"/>
        <w:gridCol w:w="3431"/>
      </w:tblGrid>
      <w:tr w:rsidR="001D736D" w:rsidRPr="00FA288E" w14:paraId="1741CFEF" w14:textId="77777777" w:rsidTr="00AE259C">
        <w:trPr>
          <w:tblHeader/>
        </w:trPr>
        <w:tc>
          <w:tcPr>
            <w:tcW w:w="3114" w:type="dxa"/>
            <w:shd w:val="clear" w:color="auto" w:fill="262626" w:themeFill="text1" w:themeFillTint="D9"/>
          </w:tcPr>
          <w:p w14:paraId="165EB204" w14:textId="77777777" w:rsidR="001D736D" w:rsidRPr="00FA288E" w:rsidRDefault="001D736D" w:rsidP="00575FA9">
            <w:pPr>
              <w:jc w:val="center"/>
              <w:rPr>
                <w:rFonts w:cs="Calibri"/>
                <w:sz w:val="20"/>
                <w:szCs w:val="20"/>
                <w:lang w:val="en-AU"/>
              </w:rPr>
            </w:pPr>
            <w:r w:rsidRPr="00FA288E">
              <w:rPr>
                <w:rFonts w:cs="Calibri"/>
                <w:sz w:val="20"/>
                <w:szCs w:val="20"/>
                <w:lang w:val="en-AU"/>
              </w:rPr>
              <w:t>RISE</w:t>
            </w:r>
          </w:p>
        </w:tc>
        <w:tc>
          <w:tcPr>
            <w:tcW w:w="3260" w:type="dxa"/>
            <w:shd w:val="clear" w:color="auto" w:fill="262626" w:themeFill="text1" w:themeFillTint="D9"/>
          </w:tcPr>
          <w:p w14:paraId="49DFFF05" w14:textId="77777777" w:rsidR="001D736D" w:rsidRPr="00FA288E" w:rsidRDefault="001D736D" w:rsidP="00575FA9">
            <w:pPr>
              <w:jc w:val="center"/>
              <w:rPr>
                <w:rFonts w:cs="Calibri"/>
                <w:sz w:val="20"/>
                <w:szCs w:val="20"/>
                <w:lang w:val="en-AU"/>
              </w:rPr>
            </w:pPr>
            <w:r w:rsidRPr="00FA288E">
              <w:rPr>
                <w:rFonts w:cs="Calibri"/>
                <w:sz w:val="20"/>
                <w:szCs w:val="20"/>
                <w:lang w:val="en-AU"/>
              </w:rPr>
              <w:t>T4E</w:t>
            </w:r>
          </w:p>
        </w:tc>
        <w:tc>
          <w:tcPr>
            <w:tcW w:w="3431" w:type="dxa"/>
            <w:shd w:val="clear" w:color="auto" w:fill="262626" w:themeFill="text1" w:themeFillTint="D9"/>
          </w:tcPr>
          <w:p w14:paraId="31474C2B" w14:textId="77777777" w:rsidR="001D736D" w:rsidRPr="00FA288E" w:rsidRDefault="001D736D" w:rsidP="00575FA9">
            <w:pPr>
              <w:jc w:val="center"/>
              <w:rPr>
                <w:rFonts w:cs="Calibri"/>
                <w:sz w:val="20"/>
                <w:szCs w:val="20"/>
                <w:lang w:val="en-AU"/>
              </w:rPr>
            </w:pPr>
            <w:r w:rsidRPr="00FA288E">
              <w:rPr>
                <w:rFonts w:cs="Calibri"/>
                <w:sz w:val="20"/>
                <w:szCs w:val="20"/>
                <w:lang w:val="en-AU"/>
              </w:rPr>
              <w:t>CARE</w:t>
            </w:r>
          </w:p>
        </w:tc>
      </w:tr>
      <w:tr w:rsidR="001D736D" w:rsidRPr="00FA288E" w14:paraId="441EC5A1" w14:textId="77777777" w:rsidTr="00841279">
        <w:tc>
          <w:tcPr>
            <w:tcW w:w="3114" w:type="dxa"/>
          </w:tcPr>
          <w:p w14:paraId="52D2D426" w14:textId="77777777" w:rsidR="00E408AE" w:rsidRPr="00FA288E" w:rsidRDefault="001D736D" w:rsidP="00FF62CC">
            <w:pPr>
              <w:pStyle w:val="ListParagraph"/>
              <w:numPr>
                <w:ilvl w:val="0"/>
                <w:numId w:val="67"/>
              </w:numPr>
              <w:spacing w:line="216" w:lineRule="auto"/>
              <w:ind w:left="288" w:hanging="288"/>
              <w:jc w:val="left"/>
              <w:rPr>
                <w:rFonts w:cs="Calibri"/>
                <w:sz w:val="20"/>
                <w:szCs w:val="20"/>
                <w:lang w:val="en-AU"/>
              </w:rPr>
            </w:pPr>
            <w:r w:rsidRPr="00FA288E">
              <w:rPr>
                <w:rFonts w:cs="Calibri"/>
                <w:sz w:val="20"/>
                <w:szCs w:val="20"/>
                <w:lang w:val="en-AU"/>
              </w:rPr>
              <w:t xml:space="preserve">Improved gender parity in elementary education  </w:t>
            </w:r>
          </w:p>
          <w:p w14:paraId="7D2184DA" w14:textId="77777777" w:rsidR="00E408AE" w:rsidRPr="00FA288E" w:rsidRDefault="001D736D" w:rsidP="00FF62CC">
            <w:pPr>
              <w:pStyle w:val="ListParagraph"/>
              <w:numPr>
                <w:ilvl w:val="0"/>
                <w:numId w:val="67"/>
              </w:numPr>
              <w:spacing w:line="216" w:lineRule="auto"/>
              <w:ind w:left="288" w:hanging="288"/>
              <w:jc w:val="left"/>
              <w:rPr>
                <w:rFonts w:cs="Calibri"/>
                <w:sz w:val="20"/>
                <w:szCs w:val="20"/>
                <w:lang w:val="en-AU"/>
              </w:rPr>
            </w:pPr>
            <w:r w:rsidRPr="00FA288E">
              <w:rPr>
                <w:rFonts w:cs="Calibri"/>
                <w:sz w:val="20"/>
                <w:szCs w:val="20"/>
                <w:lang w:val="en-AU"/>
              </w:rPr>
              <w:t xml:space="preserve">Increased number of vulnerable elementary-aged girls </w:t>
            </w:r>
            <w:r w:rsidRPr="00FA288E">
              <w:rPr>
                <w:rFonts w:cs="Calibri"/>
                <w:sz w:val="20"/>
                <w:szCs w:val="20"/>
                <w:lang w:val="en-AU"/>
              </w:rPr>
              <w:lastRenderedPageBreak/>
              <w:t>supported to learn in elementary school</w:t>
            </w:r>
          </w:p>
          <w:p w14:paraId="09F2913D" w14:textId="77777777" w:rsidR="001D736D" w:rsidRPr="00FA288E" w:rsidRDefault="001D736D" w:rsidP="00FF62CC">
            <w:pPr>
              <w:pStyle w:val="ListParagraph"/>
              <w:numPr>
                <w:ilvl w:val="0"/>
                <w:numId w:val="67"/>
              </w:numPr>
              <w:spacing w:line="216" w:lineRule="auto"/>
              <w:ind w:left="288" w:hanging="288"/>
              <w:jc w:val="left"/>
              <w:rPr>
                <w:rFonts w:cs="Calibri"/>
                <w:sz w:val="20"/>
                <w:szCs w:val="20"/>
                <w:lang w:val="en-AU"/>
              </w:rPr>
            </w:pPr>
            <w:r w:rsidRPr="00FA288E">
              <w:rPr>
                <w:rFonts w:cs="Calibri"/>
                <w:sz w:val="20"/>
                <w:szCs w:val="20"/>
                <w:lang w:val="en-AU"/>
              </w:rPr>
              <w:t>% of children with disability receiving support from elementary schools or I</w:t>
            </w:r>
            <w:r w:rsidR="006B0B89" w:rsidRPr="00FA288E">
              <w:rPr>
                <w:rFonts w:cs="Calibri"/>
                <w:sz w:val="20"/>
                <w:szCs w:val="20"/>
                <w:lang w:val="en-AU"/>
              </w:rPr>
              <w:t>nclusive Education Resource Centres</w:t>
            </w:r>
          </w:p>
        </w:tc>
        <w:tc>
          <w:tcPr>
            <w:tcW w:w="3260" w:type="dxa"/>
          </w:tcPr>
          <w:p w14:paraId="39BA9652" w14:textId="77777777" w:rsidR="001D736D" w:rsidRPr="00FA288E" w:rsidRDefault="001D736D" w:rsidP="00FF62CC">
            <w:pPr>
              <w:pStyle w:val="ListParagraph"/>
              <w:numPr>
                <w:ilvl w:val="0"/>
                <w:numId w:val="68"/>
              </w:numPr>
              <w:spacing w:line="216" w:lineRule="auto"/>
              <w:ind w:left="288" w:hanging="288"/>
              <w:jc w:val="left"/>
              <w:rPr>
                <w:rFonts w:cs="Calibri"/>
                <w:sz w:val="20"/>
                <w:szCs w:val="20"/>
                <w:lang w:val="en-AU"/>
              </w:rPr>
            </w:pPr>
            <w:r w:rsidRPr="00FA288E">
              <w:rPr>
                <w:rFonts w:cs="Calibri"/>
                <w:sz w:val="20"/>
                <w:szCs w:val="20"/>
                <w:lang w:val="en-AU"/>
              </w:rPr>
              <w:lastRenderedPageBreak/>
              <w:t>Number of schools that completed SLIPs addressing gender and disability barriers</w:t>
            </w:r>
          </w:p>
          <w:p w14:paraId="4625945E" w14:textId="77777777" w:rsidR="001D736D" w:rsidRPr="00FA288E" w:rsidRDefault="001D736D" w:rsidP="00FF62CC">
            <w:pPr>
              <w:pStyle w:val="ListParagraph"/>
              <w:numPr>
                <w:ilvl w:val="0"/>
                <w:numId w:val="68"/>
              </w:numPr>
              <w:spacing w:line="216" w:lineRule="auto"/>
              <w:ind w:left="288" w:hanging="288"/>
              <w:jc w:val="left"/>
              <w:rPr>
                <w:rFonts w:cs="Calibri"/>
                <w:sz w:val="20"/>
                <w:szCs w:val="20"/>
                <w:lang w:val="en-AU"/>
              </w:rPr>
            </w:pPr>
            <w:r w:rsidRPr="00FA288E">
              <w:rPr>
                <w:rFonts w:cs="Calibri"/>
                <w:sz w:val="20"/>
                <w:szCs w:val="20"/>
                <w:lang w:val="en-AU"/>
              </w:rPr>
              <w:lastRenderedPageBreak/>
              <w:t>Percentage of teachers using/practicing gender-sensitive and disability inclusive practices/strategies</w:t>
            </w:r>
          </w:p>
        </w:tc>
        <w:tc>
          <w:tcPr>
            <w:tcW w:w="3431" w:type="dxa"/>
          </w:tcPr>
          <w:p w14:paraId="2AB9A60D" w14:textId="77777777" w:rsidR="001D736D" w:rsidRPr="00FA288E" w:rsidRDefault="001D736D" w:rsidP="00FF62CC">
            <w:pPr>
              <w:pStyle w:val="ListParagraph"/>
              <w:numPr>
                <w:ilvl w:val="0"/>
                <w:numId w:val="68"/>
              </w:numPr>
              <w:spacing w:line="216" w:lineRule="auto"/>
              <w:ind w:left="288" w:hanging="288"/>
              <w:jc w:val="left"/>
              <w:rPr>
                <w:rFonts w:cs="Calibri"/>
                <w:sz w:val="20"/>
                <w:szCs w:val="20"/>
                <w:lang w:val="en-AU"/>
              </w:rPr>
            </w:pPr>
            <w:r w:rsidRPr="00FA288E">
              <w:rPr>
                <w:rFonts w:cs="Calibri"/>
                <w:sz w:val="20"/>
                <w:szCs w:val="20"/>
                <w:lang w:val="en-AU"/>
              </w:rPr>
              <w:lastRenderedPageBreak/>
              <w:t>Increased enrolment and retention of girls in elementary schools</w:t>
            </w:r>
          </w:p>
          <w:p w14:paraId="2F241AA3" w14:textId="77777777" w:rsidR="001D736D" w:rsidRPr="00FA288E" w:rsidRDefault="001D736D" w:rsidP="00FF62CC">
            <w:pPr>
              <w:pStyle w:val="ListParagraph"/>
              <w:numPr>
                <w:ilvl w:val="0"/>
                <w:numId w:val="68"/>
              </w:numPr>
              <w:spacing w:line="216" w:lineRule="auto"/>
              <w:ind w:left="288" w:hanging="288"/>
              <w:jc w:val="left"/>
              <w:rPr>
                <w:rFonts w:cs="Calibri"/>
                <w:sz w:val="20"/>
                <w:szCs w:val="20"/>
                <w:lang w:val="en-AU"/>
              </w:rPr>
            </w:pPr>
            <w:r w:rsidRPr="00FA288E">
              <w:rPr>
                <w:rFonts w:cs="Calibri"/>
                <w:sz w:val="20"/>
                <w:szCs w:val="20"/>
                <w:lang w:val="en-AU"/>
              </w:rPr>
              <w:t xml:space="preserve">Strengthened sub-national gender-inclusive management and </w:t>
            </w:r>
            <w:r w:rsidRPr="00FA288E">
              <w:rPr>
                <w:rFonts w:cs="Calibri"/>
                <w:sz w:val="20"/>
                <w:szCs w:val="20"/>
                <w:lang w:val="en-AU"/>
              </w:rPr>
              <w:lastRenderedPageBreak/>
              <w:t>coordination in the elementary education sector - Leadership in Education</w:t>
            </w:r>
          </w:p>
          <w:p w14:paraId="171EB7DC" w14:textId="77777777" w:rsidR="001D736D" w:rsidRPr="00FA288E" w:rsidRDefault="001D736D" w:rsidP="00FF62CC">
            <w:pPr>
              <w:pStyle w:val="ListParagraph"/>
              <w:numPr>
                <w:ilvl w:val="0"/>
                <w:numId w:val="68"/>
              </w:numPr>
              <w:spacing w:line="216" w:lineRule="auto"/>
              <w:ind w:left="288" w:hanging="288"/>
              <w:jc w:val="left"/>
              <w:rPr>
                <w:rFonts w:cs="Calibri"/>
                <w:sz w:val="20"/>
                <w:szCs w:val="20"/>
                <w:lang w:val="en-AU"/>
              </w:rPr>
            </w:pPr>
            <w:r w:rsidRPr="00FA288E">
              <w:rPr>
                <w:rFonts w:cs="Calibri"/>
                <w:sz w:val="20"/>
                <w:szCs w:val="20"/>
                <w:lang w:val="en-AU"/>
              </w:rPr>
              <w:t>% of Community Leadership Program participants with improved knowledge and attitudes towards girls’ education</w:t>
            </w:r>
          </w:p>
          <w:p w14:paraId="108021D5" w14:textId="77777777" w:rsidR="001D736D" w:rsidRPr="00FA288E" w:rsidRDefault="001D736D" w:rsidP="00FF62CC">
            <w:pPr>
              <w:pStyle w:val="ListParagraph"/>
              <w:numPr>
                <w:ilvl w:val="0"/>
                <w:numId w:val="68"/>
              </w:numPr>
              <w:spacing w:line="216" w:lineRule="auto"/>
              <w:ind w:left="288" w:hanging="288"/>
              <w:jc w:val="left"/>
              <w:rPr>
                <w:rFonts w:cs="Calibri"/>
                <w:sz w:val="20"/>
                <w:szCs w:val="20"/>
                <w:lang w:val="en-AU"/>
              </w:rPr>
            </w:pPr>
            <w:r w:rsidRPr="00FA288E">
              <w:rPr>
                <w:rFonts w:cs="Calibri"/>
                <w:sz w:val="20"/>
                <w:szCs w:val="20"/>
                <w:lang w:val="en-AU"/>
              </w:rPr>
              <w:t># of female candidates in remote LLGs support to matriculate and enrol in preservice Certificate of Elementary Teaching</w:t>
            </w:r>
          </w:p>
          <w:p w14:paraId="1E9E909E" w14:textId="77777777" w:rsidR="001D736D" w:rsidRPr="00FA288E" w:rsidRDefault="001D736D" w:rsidP="00FF62CC">
            <w:pPr>
              <w:pStyle w:val="ListParagraph"/>
              <w:numPr>
                <w:ilvl w:val="0"/>
                <w:numId w:val="68"/>
              </w:numPr>
              <w:spacing w:line="216" w:lineRule="auto"/>
              <w:ind w:left="288" w:hanging="288"/>
              <w:jc w:val="left"/>
              <w:rPr>
                <w:rFonts w:cs="Calibri"/>
                <w:sz w:val="20"/>
                <w:szCs w:val="20"/>
                <w:lang w:val="en-AU"/>
              </w:rPr>
            </w:pPr>
            <w:r w:rsidRPr="00FA288E">
              <w:rPr>
                <w:rFonts w:cs="Calibri"/>
                <w:sz w:val="20"/>
                <w:szCs w:val="20"/>
                <w:lang w:val="en-AU"/>
              </w:rPr>
              <w:t>% of schools with a SLIP that include literacy, maths and gender and disability- inclusion activities</w:t>
            </w:r>
          </w:p>
        </w:tc>
      </w:tr>
    </w:tbl>
    <w:p w14:paraId="6B908F39" w14:textId="77777777" w:rsidR="007963ED" w:rsidRPr="00FA288E" w:rsidRDefault="007963ED" w:rsidP="00575FA9">
      <w:pPr>
        <w:spacing w:after="80" w:line="240" w:lineRule="auto"/>
        <w:jc w:val="both"/>
        <w:rPr>
          <w:rFonts w:cs="Calibri"/>
          <w:szCs w:val="21"/>
        </w:rPr>
      </w:pPr>
    </w:p>
    <w:p w14:paraId="23D36077" w14:textId="77777777" w:rsidR="003248FB" w:rsidRPr="00FA288E" w:rsidRDefault="00614C93" w:rsidP="00575FA9">
      <w:pPr>
        <w:spacing w:after="80" w:line="240" w:lineRule="auto"/>
        <w:jc w:val="both"/>
        <w:rPr>
          <w:rFonts w:cs="Calibri"/>
          <w:szCs w:val="21"/>
        </w:rPr>
      </w:pPr>
      <w:r w:rsidRPr="00FA288E">
        <w:rPr>
          <w:rFonts w:cs="Calibri"/>
          <w:szCs w:val="21"/>
        </w:rPr>
        <w:t>The midline evaluations</w:t>
      </w:r>
      <w:r w:rsidR="00A82402" w:rsidRPr="00FA288E">
        <w:rPr>
          <w:rFonts w:cs="Calibri"/>
          <w:szCs w:val="21"/>
        </w:rPr>
        <w:t xml:space="preserve"> undertaken by </w:t>
      </w:r>
      <w:r w:rsidR="00575FA9" w:rsidRPr="00FA288E">
        <w:rPr>
          <w:rFonts w:cs="Calibri"/>
          <w:szCs w:val="21"/>
        </w:rPr>
        <w:t>RISE</w:t>
      </w:r>
      <w:r w:rsidRPr="00FA288E">
        <w:rPr>
          <w:rFonts w:cs="Calibri"/>
          <w:szCs w:val="21"/>
        </w:rPr>
        <w:t xml:space="preserve"> </w:t>
      </w:r>
      <w:r w:rsidR="00A82402" w:rsidRPr="00FA288E">
        <w:rPr>
          <w:rFonts w:cs="Calibri"/>
          <w:szCs w:val="21"/>
        </w:rPr>
        <w:t xml:space="preserve">indicates </w:t>
      </w:r>
      <w:r w:rsidRPr="00FA288E">
        <w:rPr>
          <w:rFonts w:cs="Calibri"/>
          <w:szCs w:val="21"/>
        </w:rPr>
        <w:t xml:space="preserve">that girls in treatment schools scored 4.53% higher in </w:t>
      </w:r>
      <w:r w:rsidR="005B0F71" w:rsidRPr="00FA288E">
        <w:rPr>
          <w:rFonts w:cs="Calibri"/>
          <w:szCs w:val="21"/>
        </w:rPr>
        <w:t xml:space="preserve">combined </w:t>
      </w:r>
      <w:r w:rsidRPr="00FA288E">
        <w:rPr>
          <w:rFonts w:cs="Calibri"/>
          <w:szCs w:val="21"/>
        </w:rPr>
        <w:t xml:space="preserve">literacy and numeracy than girls in control schools, suggesting that the inclusion of gender-sensitive teaching strategies may have some effect on improving girls’ education. </w:t>
      </w:r>
    </w:p>
    <w:p w14:paraId="7F28784A" w14:textId="77777777" w:rsidR="00614C93" w:rsidRPr="00FA288E" w:rsidRDefault="00614C93" w:rsidP="00575FA9">
      <w:pPr>
        <w:spacing w:after="80" w:line="240" w:lineRule="auto"/>
        <w:jc w:val="both"/>
        <w:rPr>
          <w:rFonts w:cs="Calibri"/>
          <w:szCs w:val="21"/>
        </w:rPr>
      </w:pPr>
      <w:r w:rsidRPr="00FA288E">
        <w:rPr>
          <w:rFonts w:cs="Calibri"/>
          <w:szCs w:val="21"/>
        </w:rPr>
        <w:t xml:space="preserve">Targeted interventions in this area should be noted, including the two studies conducted by </w:t>
      </w:r>
      <w:proofErr w:type="spellStart"/>
      <w:r w:rsidRPr="00FA288E">
        <w:rPr>
          <w:rFonts w:cs="Calibri"/>
          <w:szCs w:val="21"/>
        </w:rPr>
        <w:t>StC</w:t>
      </w:r>
      <w:proofErr w:type="spellEnd"/>
      <w:r w:rsidR="00A82402" w:rsidRPr="00FA288E">
        <w:rPr>
          <w:rFonts w:cs="Calibri"/>
          <w:szCs w:val="21"/>
        </w:rPr>
        <w:t xml:space="preserve">: </w:t>
      </w:r>
      <w:r w:rsidRPr="00FA288E">
        <w:rPr>
          <w:rFonts w:cs="Calibri"/>
          <w:szCs w:val="21"/>
        </w:rPr>
        <w:t xml:space="preserve">one on barriers to girls’ enrolment and attendance at school – the results have been shared with the other projects; and, the mapping study of the needs of children with disabilities in accessing elementary education.  Further, the RISE consortium, through the collaboration of </w:t>
      </w:r>
      <w:r w:rsidR="00FD2EFC" w:rsidRPr="00FA288E">
        <w:rPr>
          <w:rFonts w:cs="Calibri"/>
          <w:szCs w:val="21"/>
        </w:rPr>
        <w:t>the S</w:t>
      </w:r>
      <w:r w:rsidRPr="00FA288E">
        <w:rPr>
          <w:rFonts w:cs="Calibri"/>
          <w:szCs w:val="21"/>
        </w:rPr>
        <w:t>IL and Callan Services, applied the Bloom Reader to assist hearing and visually impaired children to develop reading skills, the outcome of which has not been assessed. Additionally, RISE provided training for 2,136 teachers and 30 District inspectors to conduct initial screening of children disabilities and 46 teachers and E</w:t>
      </w:r>
      <w:r w:rsidR="002626C7" w:rsidRPr="00FA288E">
        <w:rPr>
          <w:rFonts w:cs="Calibri"/>
          <w:szCs w:val="21"/>
        </w:rPr>
        <w:t>CCE</w:t>
      </w:r>
      <w:r w:rsidRPr="00FA288E">
        <w:rPr>
          <w:rFonts w:cs="Calibri"/>
          <w:szCs w:val="21"/>
        </w:rPr>
        <w:t xml:space="preserve"> facilitators were trained to use the Reach and Match kits – benefiting 537 children, 226 with disabilities.</w:t>
      </w:r>
      <w:r w:rsidRPr="00FA288E">
        <w:rPr>
          <w:rStyle w:val="FootnoteReference"/>
          <w:rFonts w:cs="Calibri"/>
          <w:szCs w:val="21"/>
        </w:rPr>
        <w:footnoteReference w:id="44"/>
      </w:r>
    </w:p>
    <w:p w14:paraId="4E9B9E87" w14:textId="77777777" w:rsidR="00614C93" w:rsidRPr="00FA288E" w:rsidRDefault="00614C93" w:rsidP="00575FA9">
      <w:pPr>
        <w:spacing w:after="80" w:line="240" w:lineRule="auto"/>
        <w:jc w:val="both"/>
        <w:rPr>
          <w:rFonts w:cs="Calibri"/>
          <w:szCs w:val="21"/>
        </w:rPr>
      </w:pPr>
      <w:r w:rsidRPr="00FA288E">
        <w:rPr>
          <w:rFonts w:cs="Calibri"/>
          <w:szCs w:val="21"/>
        </w:rPr>
        <w:t>T4E specifically monitors and reports on teachers use of gender-sensitive and disability inclusion strategies; reporting during the S</w:t>
      </w:r>
      <w:r w:rsidR="00C12692" w:rsidRPr="00FA288E">
        <w:rPr>
          <w:rFonts w:cs="Calibri"/>
          <w:szCs w:val="21"/>
        </w:rPr>
        <w:t>ix-Monthly Progress Report</w:t>
      </w:r>
      <w:r w:rsidRPr="00FA288E">
        <w:rPr>
          <w:rFonts w:cs="Calibri"/>
          <w:szCs w:val="21"/>
        </w:rPr>
        <w:t xml:space="preserve"> that 174 and 48 teachers respectively were doing so. </w:t>
      </w:r>
    </w:p>
    <w:p w14:paraId="431D6D65" w14:textId="77777777" w:rsidR="00614C93" w:rsidRPr="00FA288E" w:rsidRDefault="00614C93" w:rsidP="00575FA9">
      <w:pPr>
        <w:spacing w:after="80" w:line="240" w:lineRule="auto"/>
        <w:jc w:val="both"/>
        <w:rPr>
          <w:rFonts w:cs="Calibri"/>
          <w:szCs w:val="21"/>
        </w:rPr>
      </w:pPr>
      <w:r w:rsidRPr="00FA288E">
        <w:rPr>
          <w:rFonts w:cs="Calibri"/>
          <w:szCs w:val="21"/>
        </w:rPr>
        <w:t>PKS targeted 30 female teachers to upgrade their academic qualifications, currently reporting 31 females of 37 teachers being supported to obtain Year 12.  PKS also intends to implement a Community Leadership Project in an attempt to address barriers and social norms to girls’ education to increase girls’ enrolment and retention.</w:t>
      </w:r>
    </w:p>
    <w:p w14:paraId="5AFA990D" w14:textId="77777777" w:rsidR="00614C93" w:rsidRPr="00FA288E" w:rsidRDefault="00516BCB" w:rsidP="00CC511A">
      <w:pPr>
        <w:spacing w:after="80" w:line="240" w:lineRule="auto"/>
        <w:jc w:val="both"/>
        <w:rPr>
          <w:rFonts w:cs="Calibri"/>
          <w:szCs w:val="21"/>
        </w:rPr>
      </w:pPr>
      <w:r w:rsidRPr="00FA288E">
        <w:rPr>
          <w:rFonts w:cs="Calibri"/>
          <w:szCs w:val="21"/>
        </w:rPr>
        <w:t xml:space="preserve">These </w:t>
      </w:r>
      <w:r w:rsidR="00614C93" w:rsidRPr="00FA288E">
        <w:rPr>
          <w:rFonts w:cs="Calibri"/>
          <w:szCs w:val="21"/>
        </w:rPr>
        <w:t xml:space="preserve">inclusions are commendable </w:t>
      </w:r>
      <w:r w:rsidRPr="00FA288E">
        <w:rPr>
          <w:rFonts w:cs="Calibri"/>
          <w:szCs w:val="21"/>
        </w:rPr>
        <w:t xml:space="preserve">but </w:t>
      </w:r>
      <w:r w:rsidR="00614C93" w:rsidRPr="00FA288E">
        <w:rPr>
          <w:rFonts w:cs="Calibri"/>
          <w:szCs w:val="21"/>
        </w:rPr>
        <w:t>grantees continue to face challenges with respect to gender and inclusion, including family and community gender and disability stereotypes that affect access to and success in education by girls and children with disabilities, and the limited knowledge and skills (and receptivity) of teachers to ensure inclusive classrooms.</w:t>
      </w:r>
    </w:p>
    <w:p w14:paraId="5ACE6E00" w14:textId="77777777" w:rsidR="008E2685" w:rsidRPr="00FA288E" w:rsidRDefault="00614C93" w:rsidP="004A375B">
      <w:pPr>
        <w:pStyle w:val="Heading1"/>
        <w:numPr>
          <w:ilvl w:val="1"/>
          <w:numId w:val="9"/>
        </w:numPr>
        <w:spacing w:before="0" w:after="80" w:line="240" w:lineRule="auto"/>
        <w:ind w:left="540" w:hanging="540"/>
      </w:pPr>
      <w:bookmarkStart w:id="66" w:name="_Toc26998574"/>
      <w:bookmarkStart w:id="67" w:name="_Toc27048794"/>
      <w:bookmarkStart w:id="68" w:name="_Toc27049450"/>
      <w:bookmarkStart w:id="69" w:name="_Toc27049540"/>
      <w:bookmarkStart w:id="70" w:name="_Toc27049599"/>
      <w:bookmarkStart w:id="71" w:name="_Toc27049652"/>
      <w:bookmarkStart w:id="72" w:name="_Toc30914665"/>
      <w:bookmarkStart w:id="73" w:name="_Toc26914365"/>
      <w:bookmarkStart w:id="74" w:name="_Toc31625589"/>
      <w:bookmarkStart w:id="75" w:name="_Toc42075969"/>
      <w:bookmarkEnd w:id="66"/>
      <w:bookmarkEnd w:id="67"/>
      <w:bookmarkEnd w:id="68"/>
      <w:bookmarkEnd w:id="69"/>
      <w:bookmarkEnd w:id="70"/>
      <w:bookmarkEnd w:id="71"/>
      <w:bookmarkEnd w:id="72"/>
      <w:r w:rsidRPr="00FA288E">
        <w:rPr>
          <w:rFonts w:eastAsia="Calibri"/>
        </w:rPr>
        <w:t>Effectiveness</w:t>
      </w:r>
      <w:r w:rsidRPr="00FA288E">
        <w:t xml:space="preserve"> of the grant approaches in influencing (directly or indirectly</w:t>
      </w:r>
      <w:r w:rsidR="00C40358" w:rsidRPr="00FA288E">
        <w:t>)</w:t>
      </w:r>
      <w:r w:rsidRPr="00FA288E">
        <w:t xml:space="preserve"> GoPNG policies (KRQ 2)</w:t>
      </w:r>
      <w:bookmarkEnd w:id="73"/>
      <w:bookmarkEnd w:id="74"/>
      <w:bookmarkEnd w:id="75"/>
    </w:p>
    <w:p w14:paraId="3C5ECD84" w14:textId="77777777" w:rsidR="00C7205A" w:rsidRPr="00FA288E" w:rsidRDefault="00C7205A" w:rsidP="0084126B">
      <w:pPr>
        <w:spacing w:after="120" w:line="240" w:lineRule="auto"/>
        <w:rPr>
          <w:rFonts w:eastAsia="Calibri" w:cs="Calibri"/>
          <w:szCs w:val="21"/>
        </w:rPr>
      </w:pPr>
      <w:r w:rsidRPr="00FA288E">
        <w:rPr>
          <w:rFonts w:cs="Calibri"/>
          <w:szCs w:val="21"/>
        </w:rPr>
        <w:t xml:space="preserve">This section addresses sub-questions </w:t>
      </w:r>
      <w:r w:rsidRPr="00FA288E">
        <w:rPr>
          <w:rFonts w:cs="Calibri"/>
          <w:b/>
          <w:szCs w:val="21"/>
        </w:rPr>
        <w:t xml:space="preserve">2a, </w:t>
      </w:r>
      <w:r w:rsidRPr="00FA288E">
        <w:rPr>
          <w:rFonts w:cs="Calibri"/>
          <w:szCs w:val="21"/>
        </w:rPr>
        <w:t>the extent of</w:t>
      </w:r>
      <w:r w:rsidRPr="00FA288E">
        <w:rPr>
          <w:rFonts w:cs="Calibri"/>
          <w:b/>
          <w:szCs w:val="21"/>
        </w:rPr>
        <w:t xml:space="preserve"> </w:t>
      </w:r>
      <w:r w:rsidRPr="00FA288E">
        <w:rPr>
          <w:rFonts w:eastAsia="Calibri" w:cs="Calibri"/>
          <w:szCs w:val="21"/>
        </w:rPr>
        <w:t xml:space="preserve">alignment to existing PNG policies; </w:t>
      </w:r>
      <w:r w:rsidRPr="00FA288E">
        <w:rPr>
          <w:rFonts w:eastAsia="Calibri" w:cs="Calibri"/>
          <w:b/>
          <w:szCs w:val="21"/>
        </w:rPr>
        <w:t xml:space="preserve">2c, </w:t>
      </w:r>
      <w:r w:rsidRPr="00FA288E">
        <w:rPr>
          <w:rFonts w:eastAsia="Calibri" w:cs="Calibri"/>
          <w:szCs w:val="21"/>
        </w:rPr>
        <w:t xml:space="preserve">the program’s relationships and extent of policy influence at district, province or national levels; and </w:t>
      </w:r>
      <w:r w:rsidRPr="00FA288E">
        <w:rPr>
          <w:rFonts w:eastAsia="Calibri" w:cs="Calibri"/>
          <w:b/>
          <w:szCs w:val="21"/>
        </w:rPr>
        <w:t xml:space="preserve">2c, </w:t>
      </w:r>
      <w:r w:rsidRPr="00FA288E">
        <w:rPr>
          <w:rFonts w:eastAsia="Calibri" w:cs="Calibri"/>
          <w:szCs w:val="21"/>
        </w:rPr>
        <w:t>approaches to influencing policy have been most successful/promising.</w:t>
      </w:r>
    </w:p>
    <w:p w14:paraId="1BFF20CA" w14:textId="79EA8D70" w:rsidR="0045654B" w:rsidRPr="00FA288E" w:rsidRDefault="0045654B" w:rsidP="0084126B">
      <w:pPr>
        <w:spacing w:after="120" w:line="240" w:lineRule="auto"/>
        <w:jc w:val="both"/>
        <w:rPr>
          <w:rFonts w:eastAsia="Calibri" w:cs="Calibri"/>
          <w:szCs w:val="21"/>
        </w:rPr>
      </w:pPr>
      <w:r w:rsidRPr="00FA288E">
        <w:rPr>
          <w:rFonts w:eastAsia="Calibri" w:cs="Calibri"/>
          <w:b/>
          <w:szCs w:val="21"/>
        </w:rPr>
        <w:t xml:space="preserve">Finding: </w:t>
      </w:r>
      <w:r w:rsidRPr="00FA288E">
        <w:rPr>
          <w:rFonts w:eastAsia="Calibri" w:cs="Calibri"/>
          <w:szCs w:val="21"/>
        </w:rPr>
        <w:t>All grants are closely aligned with PNG education policies with a strong focus on implementing the standards</w:t>
      </w:r>
      <w:r w:rsidR="0084126B" w:rsidRPr="00FA288E">
        <w:rPr>
          <w:rFonts w:eastAsia="Calibri" w:cs="Calibri"/>
          <w:szCs w:val="21"/>
        </w:rPr>
        <w:t>-</w:t>
      </w:r>
      <w:r w:rsidRPr="00FA288E">
        <w:rPr>
          <w:rFonts w:eastAsia="Calibri" w:cs="Calibri"/>
          <w:szCs w:val="21"/>
        </w:rPr>
        <w:t xml:space="preserve">based curriculum with attention to inclusivity. </w:t>
      </w:r>
      <w:r w:rsidR="00054BF4" w:rsidRPr="00FA288E">
        <w:rPr>
          <w:rFonts w:eastAsia="Calibri" w:cs="Calibri"/>
          <w:szCs w:val="21"/>
        </w:rPr>
        <w:t>A</w:t>
      </w:r>
      <w:r w:rsidR="008468F8" w:rsidRPr="00FA288E">
        <w:rPr>
          <w:rFonts w:eastAsia="Calibri" w:cs="Calibri"/>
          <w:szCs w:val="21"/>
        </w:rPr>
        <w:t xml:space="preserve">lthough a senior NDoE officer </w:t>
      </w:r>
      <w:r w:rsidR="00054BF4" w:rsidRPr="00FA288E">
        <w:rPr>
          <w:rFonts w:eastAsia="Calibri" w:cs="Calibri"/>
          <w:szCs w:val="21"/>
        </w:rPr>
        <w:t>participated</w:t>
      </w:r>
      <w:r w:rsidR="008468F8" w:rsidRPr="00FA288E">
        <w:rPr>
          <w:rFonts w:eastAsia="Calibri" w:cs="Calibri"/>
          <w:szCs w:val="21"/>
        </w:rPr>
        <w:t xml:space="preserve"> in the initial grant design and selection </w:t>
      </w:r>
      <w:r w:rsidR="00E31715" w:rsidRPr="00FA288E">
        <w:rPr>
          <w:rFonts w:eastAsia="Calibri" w:cs="Calibri"/>
          <w:szCs w:val="21"/>
        </w:rPr>
        <w:t>process, operational</w:t>
      </w:r>
      <w:r w:rsidR="00A259F6" w:rsidRPr="00FA288E">
        <w:rPr>
          <w:rFonts w:eastAsia="Calibri" w:cs="Calibri"/>
          <w:szCs w:val="21"/>
        </w:rPr>
        <w:t xml:space="preserve"> officers should have also been </w:t>
      </w:r>
      <w:r w:rsidR="00E31715" w:rsidRPr="00FA288E">
        <w:rPr>
          <w:rFonts w:eastAsia="Calibri" w:cs="Calibri"/>
          <w:szCs w:val="21"/>
        </w:rPr>
        <w:t>engaged from</w:t>
      </w:r>
      <w:r w:rsidR="00A259F6" w:rsidRPr="00FA288E">
        <w:rPr>
          <w:rFonts w:eastAsia="Calibri" w:cs="Calibri"/>
          <w:szCs w:val="21"/>
        </w:rPr>
        <w:t xml:space="preserve"> the outset to</w:t>
      </w:r>
      <w:r w:rsidR="00054BF4" w:rsidRPr="00FA288E">
        <w:rPr>
          <w:rFonts w:eastAsia="Calibri" w:cs="Calibri"/>
          <w:szCs w:val="21"/>
        </w:rPr>
        <w:t xml:space="preserve"> minimise blockages to implementation.</w:t>
      </w:r>
      <w:r w:rsidR="00A259F6" w:rsidRPr="00FA288E">
        <w:rPr>
          <w:rFonts w:eastAsia="Calibri" w:cs="Calibri"/>
          <w:szCs w:val="21"/>
        </w:rPr>
        <w:t xml:space="preserve"> These challenges included</w:t>
      </w:r>
      <w:r w:rsidR="00054BF4" w:rsidRPr="00FA288E">
        <w:rPr>
          <w:rFonts w:eastAsia="Calibri" w:cs="Calibri"/>
          <w:szCs w:val="21"/>
        </w:rPr>
        <w:t xml:space="preserve"> </w:t>
      </w:r>
      <w:r w:rsidR="00E31715" w:rsidRPr="00FA288E">
        <w:rPr>
          <w:rFonts w:eastAsia="Calibri" w:cs="Calibri"/>
          <w:szCs w:val="21"/>
        </w:rPr>
        <w:t>interventions not</w:t>
      </w:r>
      <w:r w:rsidRPr="00FA288E">
        <w:rPr>
          <w:rFonts w:eastAsia="Calibri" w:cs="Calibri"/>
          <w:szCs w:val="21"/>
        </w:rPr>
        <w:t xml:space="preserve"> receiv</w:t>
      </w:r>
      <w:r w:rsidR="00A259F6" w:rsidRPr="00FA288E">
        <w:rPr>
          <w:rFonts w:eastAsia="Calibri" w:cs="Calibri"/>
          <w:szCs w:val="21"/>
        </w:rPr>
        <w:t>ing</w:t>
      </w:r>
      <w:r w:rsidRPr="00FA288E">
        <w:rPr>
          <w:rFonts w:eastAsia="Calibri" w:cs="Calibri"/>
          <w:szCs w:val="21"/>
        </w:rPr>
        <w:t xml:space="preserve"> timely endorsement, such as in-service teacher training content, innovative teaching and learning resources, and SLIP training programs and their delivery.</w:t>
      </w:r>
    </w:p>
    <w:p w14:paraId="2599A513" w14:textId="2935097C" w:rsidR="0045654B" w:rsidRPr="00FA288E" w:rsidRDefault="0045654B" w:rsidP="0084126B">
      <w:pPr>
        <w:spacing w:after="120" w:line="240" w:lineRule="auto"/>
        <w:jc w:val="both"/>
        <w:rPr>
          <w:rFonts w:eastAsia="Calibri" w:cs="Calibri"/>
          <w:szCs w:val="21"/>
        </w:rPr>
      </w:pPr>
      <w:r w:rsidRPr="00FA288E">
        <w:rPr>
          <w:rFonts w:eastAsia="Calibri" w:cs="Calibri"/>
          <w:b/>
          <w:szCs w:val="21"/>
        </w:rPr>
        <w:lastRenderedPageBreak/>
        <w:t xml:space="preserve">Finding: </w:t>
      </w:r>
      <w:r w:rsidRPr="00FA288E">
        <w:rPr>
          <w:rFonts w:eastAsia="Calibri" w:cs="Calibri"/>
          <w:szCs w:val="21"/>
        </w:rPr>
        <w:t xml:space="preserve">While the PPF Education Grants did not have an explicit objective of influencing policy, they have been pro-active in engaging with government at the provincial and national levels to inform policy decisions. The most effective approach has been through contributing to the evidence base, for example: </w:t>
      </w:r>
      <w:r w:rsidR="003248FB" w:rsidRPr="00FA288E">
        <w:rPr>
          <w:rFonts w:eastAsia="Calibri" w:cs="Calibri"/>
          <w:szCs w:val="21"/>
        </w:rPr>
        <w:t>presenting</w:t>
      </w:r>
      <w:r w:rsidRPr="00FA288E">
        <w:rPr>
          <w:rFonts w:eastAsia="Calibri" w:cs="Calibri"/>
          <w:szCs w:val="21"/>
        </w:rPr>
        <w:t xml:space="preserve"> comprehensive baseline data related to the state of foundational education, which stimulated renewed NDOE interest in addressing barriers; and piloting ECCE training which is informing the draft NDOE ECCE curriculum – both of which are strongly reflected in the new National Education Plan. Other areas of ongoing potential influence relate to </w:t>
      </w:r>
      <w:r w:rsidR="003248FB" w:rsidRPr="00FA288E">
        <w:rPr>
          <w:rFonts w:eastAsia="Calibri" w:cs="Calibri"/>
          <w:szCs w:val="21"/>
        </w:rPr>
        <w:t>adopting</w:t>
      </w:r>
      <w:r w:rsidRPr="00FA288E">
        <w:rPr>
          <w:rFonts w:eastAsia="Calibri" w:cs="Calibri"/>
          <w:szCs w:val="21"/>
        </w:rPr>
        <w:t xml:space="preserve"> in-service teacher training approaches</w:t>
      </w:r>
      <w:r w:rsidR="00B121A7" w:rsidRPr="00FA288E">
        <w:rPr>
          <w:rFonts w:eastAsia="Calibri" w:cs="Calibri"/>
          <w:szCs w:val="21"/>
        </w:rPr>
        <w:t>, considering</w:t>
      </w:r>
      <w:r w:rsidR="003248FB" w:rsidRPr="00FA288E">
        <w:rPr>
          <w:rFonts w:eastAsia="Calibri" w:cs="Calibri"/>
          <w:szCs w:val="21"/>
        </w:rPr>
        <w:t xml:space="preserve"> </w:t>
      </w:r>
      <w:r w:rsidRPr="00FA288E">
        <w:rPr>
          <w:rFonts w:eastAsia="Calibri" w:cs="Calibri"/>
          <w:szCs w:val="21"/>
        </w:rPr>
        <w:t xml:space="preserve">revising the curriculum to include more reading time, and discussions on the format and content of SLIPs. </w:t>
      </w:r>
    </w:p>
    <w:p w14:paraId="125E8C84" w14:textId="3640EA4A" w:rsidR="0045654B" w:rsidRPr="00FA288E" w:rsidRDefault="0045654B" w:rsidP="0084126B">
      <w:pPr>
        <w:spacing w:after="120" w:line="240" w:lineRule="auto"/>
        <w:jc w:val="both"/>
        <w:rPr>
          <w:rFonts w:eastAsia="Calibri" w:cs="Calibri"/>
          <w:szCs w:val="21"/>
        </w:rPr>
      </w:pPr>
      <w:r w:rsidRPr="00FA288E">
        <w:rPr>
          <w:rFonts w:eastAsia="Calibri" w:cs="Calibri"/>
          <w:b/>
          <w:szCs w:val="21"/>
        </w:rPr>
        <w:t xml:space="preserve">Finding: </w:t>
      </w:r>
      <w:r w:rsidRPr="00FA288E">
        <w:rPr>
          <w:rFonts w:eastAsia="Calibri" w:cs="Calibri"/>
          <w:szCs w:val="21"/>
        </w:rPr>
        <w:t xml:space="preserve">Despite these considerable achievements, relations with the national government in particular (and therefore opportunities to influence policy) could have been vastly improved through the </w:t>
      </w:r>
      <w:r w:rsidR="00F2213E" w:rsidRPr="00FA288E">
        <w:rPr>
          <w:rFonts w:eastAsia="Calibri" w:cs="Calibri"/>
          <w:szCs w:val="21"/>
        </w:rPr>
        <w:t>timelier</w:t>
      </w:r>
      <w:r w:rsidRPr="00FA288E">
        <w:rPr>
          <w:rFonts w:eastAsia="Calibri" w:cs="Calibri"/>
          <w:szCs w:val="21"/>
        </w:rPr>
        <w:t xml:space="preserve"> establishment of a National Oversight Committee and effective communication protocols. At the Provincial and District levels, all grantees have established effective working relationships with varying degrees of emphasis and strength. Challenges include the availability of PDOE staff to participate in on-going training and monitoring activities for RISE in particular, and the need for closer engagement of PDOE staff in the ongoing design and planning of initiative implementation. </w:t>
      </w:r>
    </w:p>
    <w:p w14:paraId="504169C9" w14:textId="77777777" w:rsidR="00255746" w:rsidRPr="00FA288E" w:rsidRDefault="00614C93" w:rsidP="00CC511A">
      <w:pPr>
        <w:pStyle w:val="BodyText"/>
        <w:spacing w:after="80" w:line="240" w:lineRule="auto"/>
        <w:rPr>
          <w:rFonts w:ascii="Calibri" w:hAnsi="Calibri" w:cs="Calibri"/>
          <w:sz w:val="21"/>
          <w:szCs w:val="21"/>
        </w:rPr>
      </w:pPr>
      <w:r w:rsidRPr="00FA288E">
        <w:rPr>
          <w:rFonts w:ascii="Calibri" w:hAnsi="Calibri" w:cs="Calibri"/>
          <w:sz w:val="21"/>
          <w:szCs w:val="21"/>
        </w:rPr>
        <w:t xml:space="preserve">The </w:t>
      </w:r>
      <w:r w:rsidR="00F128E8" w:rsidRPr="00FA288E">
        <w:rPr>
          <w:rFonts w:ascii="Calibri" w:hAnsi="Calibri" w:cs="Calibri"/>
          <w:sz w:val="21"/>
          <w:szCs w:val="21"/>
        </w:rPr>
        <w:t>original</w:t>
      </w:r>
      <w:r w:rsidRPr="00FA288E">
        <w:rPr>
          <w:rFonts w:ascii="Calibri" w:hAnsi="Calibri" w:cs="Calibri"/>
          <w:sz w:val="21"/>
          <w:szCs w:val="21"/>
        </w:rPr>
        <w:t xml:space="preserve"> purposes of the </w:t>
      </w:r>
      <w:r w:rsidRPr="00FA288E">
        <w:rPr>
          <w:rFonts w:ascii="Calibri" w:hAnsi="Calibri" w:cs="Calibri"/>
          <w:b/>
          <w:sz w:val="21"/>
          <w:szCs w:val="21"/>
        </w:rPr>
        <w:t xml:space="preserve">PPF </w:t>
      </w:r>
      <w:r w:rsidR="00285142" w:rsidRPr="00FA288E">
        <w:rPr>
          <w:rFonts w:ascii="Calibri" w:hAnsi="Calibri" w:cs="Calibri"/>
          <w:b/>
          <w:sz w:val="21"/>
          <w:szCs w:val="21"/>
        </w:rPr>
        <w:t>E</w:t>
      </w:r>
      <w:r w:rsidRPr="00FA288E">
        <w:rPr>
          <w:rFonts w:ascii="Calibri" w:hAnsi="Calibri" w:cs="Calibri"/>
          <w:b/>
          <w:sz w:val="21"/>
          <w:szCs w:val="21"/>
        </w:rPr>
        <w:t xml:space="preserve">ducation </w:t>
      </w:r>
      <w:r w:rsidR="00285142" w:rsidRPr="00FA288E">
        <w:rPr>
          <w:rFonts w:ascii="Calibri" w:hAnsi="Calibri" w:cs="Calibri"/>
          <w:b/>
          <w:sz w:val="21"/>
          <w:szCs w:val="21"/>
        </w:rPr>
        <w:t>G</w:t>
      </w:r>
      <w:r w:rsidRPr="00FA288E">
        <w:rPr>
          <w:rFonts w:ascii="Calibri" w:hAnsi="Calibri" w:cs="Calibri"/>
          <w:b/>
          <w:sz w:val="21"/>
          <w:szCs w:val="21"/>
        </w:rPr>
        <w:t>rants did not have as an explicit objective</w:t>
      </w:r>
      <w:r w:rsidR="00F128E8" w:rsidRPr="00FA288E">
        <w:rPr>
          <w:rFonts w:ascii="Calibri" w:hAnsi="Calibri" w:cs="Calibri"/>
          <w:b/>
          <w:sz w:val="21"/>
          <w:szCs w:val="21"/>
        </w:rPr>
        <w:t xml:space="preserve"> an expectation to influence</w:t>
      </w:r>
      <w:r w:rsidRPr="00FA288E">
        <w:rPr>
          <w:rFonts w:ascii="Calibri" w:hAnsi="Calibri" w:cs="Calibri"/>
          <w:b/>
          <w:sz w:val="21"/>
          <w:szCs w:val="21"/>
        </w:rPr>
        <w:t xml:space="preserve"> GoPNG policies</w:t>
      </w:r>
      <w:r w:rsidRPr="00FA288E">
        <w:rPr>
          <w:rFonts w:ascii="Calibri" w:hAnsi="Calibri" w:cs="Calibri"/>
          <w:sz w:val="21"/>
          <w:szCs w:val="21"/>
        </w:rPr>
        <w:t xml:space="preserve"> (</w:t>
      </w:r>
      <w:hyperlink w:anchor="_The_PPF_Education" w:history="1">
        <w:r w:rsidRPr="00FA288E">
          <w:rPr>
            <w:rStyle w:val="Hyperlink"/>
            <w:rFonts w:ascii="Calibri" w:hAnsi="Calibri" w:cs="Calibri"/>
            <w:sz w:val="21"/>
            <w:szCs w:val="21"/>
          </w:rPr>
          <w:t xml:space="preserve">see page </w:t>
        </w:r>
        <w:r w:rsidR="00FC36A3" w:rsidRPr="00FA288E">
          <w:rPr>
            <w:rStyle w:val="Hyperlink"/>
            <w:rFonts w:ascii="Calibri" w:hAnsi="Calibri" w:cs="Calibri"/>
            <w:sz w:val="21"/>
            <w:szCs w:val="21"/>
          </w:rPr>
          <w:t>3</w:t>
        </w:r>
        <w:r w:rsidRPr="00FA288E">
          <w:rPr>
            <w:rStyle w:val="Hyperlink"/>
            <w:rFonts w:ascii="Calibri" w:hAnsi="Calibri" w:cs="Calibri"/>
            <w:sz w:val="21"/>
            <w:szCs w:val="21"/>
          </w:rPr>
          <w:t xml:space="preserve"> above</w:t>
        </w:r>
      </w:hyperlink>
      <w:r w:rsidRPr="00FA288E">
        <w:rPr>
          <w:rFonts w:ascii="Calibri" w:hAnsi="Calibri" w:cs="Calibri"/>
          <w:sz w:val="21"/>
          <w:szCs w:val="21"/>
        </w:rPr>
        <w:t xml:space="preserve">). </w:t>
      </w:r>
      <w:r w:rsidR="00F128E8" w:rsidRPr="00FA288E">
        <w:rPr>
          <w:rFonts w:ascii="Calibri" w:hAnsi="Calibri" w:cs="Calibri"/>
          <w:sz w:val="21"/>
          <w:szCs w:val="21"/>
        </w:rPr>
        <w:t xml:space="preserve">However, as the projects are implemented opportunities arise to engage in policy discussions with government at various levels – either directly or indirectly.  While changes in policies </w:t>
      </w:r>
      <w:r w:rsidR="00BE596D" w:rsidRPr="00FA288E">
        <w:rPr>
          <w:rFonts w:ascii="Calibri" w:hAnsi="Calibri" w:cs="Calibri"/>
          <w:sz w:val="21"/>
          <w:szCs w:val="21"/>
        </w:rPr>
        <w:t xml:space="preserve">are not evident at this time </w:t>
      </w:r>
      <w:r w:rsidR="00BE596D" w:rsidRPr="00FA288E">
        <w:rPr>
          <w:rFonts w:ascii="Calibri" w:hAnsi="Calibri" w:cs="Calibri"/>
          <w:b/>
          <w:sz w:val="21"/>
          <w:szCs w:val="21"/>
        </w:rPr>
        <w:t xml:space="preserve">there are examples of activities and discussions that </w:t>
      </w:r>
      <w:r w:rsidR="00CC511A" w:rsidRPr="00FA288E">
        <w:rPr>
          <w:rFonts w:ascii="Calibri" w:hAnsi="Calibri" w:cs="Calibri"/>
          <w:b/>
          <w:sz w:val="21"/>
          <w:szCs w:val="21"/>
        </w:rPr>
        <w:t xml:space="preserve">appear to be influencing practice and </w:t>
      </w:r>
      <w:r w:rsidR="00BE596D" w:rsidRPr="00FA288E">
        <w:rPr>
          <w:rFonts w:ascii="Calibri" w:hAnsi="Calibri" w:cs="Calibri"/>
          <w:b/>
          <w:sz w:val="21"/>
          <w:szCs w:val="21"/>
        </w:rPr>
        <w:t xml:space="preserve">have the potential to inform </w:t>
      </w:r>
      <w:r w:rsidR="00CC511A" w:rsidRPr="00FA288E">
        <w:rPr>
          <w:rFonts w:ascii="Calibri" w:hAnsi="Calibri" w:cs="Calibri"/>
          <w:b/>
          <w:sz w:val="21"/>
          <w:szCs w:val="21"/>
        </w:rPr>
        <w:t>policy</w:t>
      </w:r>
      <w:r w:rsidR="00BE596D" w:rsidRPr="00FA288E">
        <w:rPr>
          <w:rFonts w:ascii="Calibri" w:hAnsi="Calibri" w:cs="Calibri"/>
          <w:sz w:val="21"/>
          <w:szCs w:val="21"/>
        </w:rPr>
        <w:t xml:space="preserve">.  These include: </w:t>
      </w:r>
      <w:proofErr w:type="spellStart"/>
      <w:r w:rsidR="00BE596D" w:rsidRPr="00FA288E">
        <w:rPr>
          <w:rFonts w:ascii="Calibri" w:hAnsi="Calibri" w:cs="Calibri"/>
          <w:sz w:val="21"/>
          <w:szCs w:val="21"/>
        </w:rPr>
        <w:t>i</w:t>
      </w:r>
      <w:proofErr w:type="spellEnd"/>
      <w:r w:rsidR="00BE596D" w:rsidRPr="00FA288E">
        <w:rPr>
          <w:rFonts w:ascii="Calibri" w:hAnsi="Calibri" w:cs="Calibri"/>
          <w:sz w:val="21"/>
          <w:szCs w:val="21"/>
        </w:rPr>
        <w:t xml:space="preserve">) the RISE ECCE pilot program that is using the draft NDOE ECCE curriculum; ii) the in-service teacher education programs of all projects that have been adopted by the Global Partnership for Education’s Boosting Education Standards Together </w:t>
      </w:r>
      <w:r w:rsidR="001D27A1" w:rsidRPr="00FA288E">
        <w:rPr>
          <w:rFonts w:ascii="Calibri" w:hAnsi="Calibri" w:cs="Calibri"/>
          <w:sz w:val="21"/>
          <w:szCs w:val="21"/>
        </w:rPr>
        <w:t>p</w:t>
      </w:r>
      <w:r w:rsidR="00BE596D" w:rsidRPr="00FA288E">
        <w:rPr>
          <w:rFonts w:ascii="Calibri" w:hAnsi="Calibri" w:cs="Calibri"/>
          <w:sz w:val="21"/>
          <w:szCs w:val="21"/>
        </w:rPr>
        <w:t>rogram; iii) discussions to adjust the elementary school calendar to allow dedicated time for reading; and; iv) exchanges with NDOE on the format and content of the SLIP.</w:t>
      </w:r>
    </w:p>
    <w:p w14:paraId="788428F2" w14:textId="77777777" w:rsidR="00CC511A" w:rsidRPr="00FA288E" w:rsidRDefault="00CC511A" w:rsidP="00CC511A">
      <w:pPr>
        <w:pStyle w:val="BodyText"/>
        <w:spacing w:after="80" w:line="240" w:lineRule="auto"/>
        <w:rPr>
          <w:rFonts w:ascii="Calibri" w:hAnsi="Calibri" w:cs="Calibri"/>
          <w:sz w:val="21"/>
          <w:szCs w:val="21"/>
        </w:rPr>
      </w:pPr>
      <w:r w:rsidRPr="00FA288E">
        <w:rPr>
          <w:rFonts w:ascii="Calibri" w:hAnsi="Calibri" w:cs="Calibri"/>
          <w:sz w:val="21"/>
          <w:szCs w:val="21"/>
        </w:rPr>
        <w:t xml:space="preserve">Additionally, </w:t>
      </w:r>
      <w:r w:rsidR="00772548" w:rsidRPr="00FA288E">
        <w:rPr>
          <w:rFonts w:ascii="Calibri" w:hAnsi="Calibri" w:cs="Calibri"/>
          <w:sz w:val="21"/>
          <w:szCs w:val="21"/>
        </w:rPr>
        <w:t>the</w:t>
      </w:r>
      <w:r w:rsidRPr="00FA288E">
        <w:rPr>
          <w:rFonts w:ascii="Calibri" w:hAnsi="Calibri" w:cs="Calibri"/>
          <w:sz w:val="21"/>
          <w:szCs w:val="21"/>
        </w:rPr>
        <w:t xml:space="preserve"> presentation </w:t>
      </w:r>
      <w:r w:rsidR="00772548" w:rsidRPr="00FA288E">
        <w:rPr>
          <w:rFonts w:ascii="Calibri" w:hAnsi="Calibri" w:cs="Calibri"/>
          <w:sz w:val="21"/>
          <w:szCs w:val="21"/>
        </w:rPr>
        <w:t xml:space="preserve">and discussion </w:t>
      </w:r>
      <w:r w:rsidRPr="00FA288E">
        <w:rPr>
          <w:rFonts w:ascii="Calibri" w:hAnsi="Calibri" w:cs="Calibri"/>
          <w:sz w:val="21"/>
          <w:szCs w:val="21"/>
        </w:rPr>
        <w:t xml:space="preserve">of the baseline findings (and other research conducted by the projects) </w:t>
      </w:r>
      <w:r w:rsidR="00772548" w:rsidRPr="00FA288E">
        <w:rPr>
          <w:rFonts w:ascii="Calibri" w:hAnsi="Calibri" w:cs="Calibri"/>
          <w:sz w:val="21"/>
          <w:szCs w:val="21"/>
        </w:rPr>
        <w:t>with NDOE highlighted the</w:t>
      </w:r>
      <w:r w:rsidR="00255746" w:rsidRPr="00FA288E">
        <w:rPr>
          <w:rFonts w:ascii="Calibri" w:hAnsi="Calibri" w:cs="Calibri"/>
          <w:sz w:val="21"/>
          <w:szCs w:val="21"/>
        </w:rPr>
        <w:t xml:space="preserve"> need for and interest in continuing to strengthen the reach and quality of early years education, importantly for the pre-school years – an interest which is strongly reflected in the draft of the new NEP</w:t>
      </w:r>
      <w:r w:rsidR="00F23E3A" w:rsidRPr="00FA288E">
        <w:rPr>
          <w:rFonts w:ascii="Calibri" w:hAnsi="Calibri" w:cs="Calibri"/>
          <w:sz w:val="21"/>
          <w:szCs w:val="21"/>
        </w:rPr>
        <w:t xml:space="preserve"> 2020-2029</w:t>
      </w:r>
      <w:r w:rsidR="00255746" w:rsidRPr="00FA288E">
        <w:rPr>
          <w:rFonts w:ascii="Calibri" w:hAnsi="Calibri" w:cs="Calibri"/>
          <w:sz w:val="21"/>
          <w:szCs w:val="21"/>
        </w:rPr>
        <w:t xml:space="preserve">. For the Australian Government, the </w:t>
      </w:r>
      <w:r w:rsidR="00772548" w:rsidRPr="00FA288E">
        <w:rPr>
          <w:rFonts w:ascii="Calibri" w:hAnsi="Calibri" w:cs="Calibri"/>
          <w:sz w:val="21"/>
          <w:szCs w:val="21"/>
        </w:rPr>
        <w:t xml:space="preserve">baseline </w:t>
      </w:r>
      <w:r w:rsidR="00255746" w:rsidRPr="00FA288E">
        <w:rPr>
          <w:rFonts w:ascii="Calibri" w:hAnsi="Calibri" w:cs="Calibri"/>
          <w:sz w:val="21"/>
          <w:szCs w:val="21"/>
        </w:rPr>
        <w:t>findings underscore and validate Australia’s intention to continue to invest in supporting improvements to early grades education.</w:t>
      </w:r>
    </w:p>
    <w:p w14:paraId="0123BF75" w14:textId="77777777" w:rsidR="008E2685" w:rsidRPr="00FA288E" w:rsidRDefault="00614C93" w:rsidP="00CC511A">
      <w:pPr>
        <w:pStyle w:val="BodyText"/>
        <w:spacing w:after="80" w:line="240" w:lineRule="auto"/>
        <w:rPr>
          <w:rFonts w:ascii="Calibri" w:hAnsi="Calibri" w:cs="Calibri"/>
          <w:sz w:val="21"/>
          <w:szCs w:val="21"/>
        </w:rPr>
      </w:pPr>
      <w:r w:rsidRPr="00FA288E">
        <w:rPr>
          <w:rFonts w:ascii="Calibri" w:hAnsi="Calibri" w:cs="Calibri"/>
          <w:sz w:val="21"/>
          <w:szCs w:val="21"/>
        </w:rPr>
        <w:t>The</w:t>
      </w:r>
      <w:r w:rsidR="00BE596D" w:rsidRPr="00FA288E">
        <w:rPr>
          <w:rFonts w:ascii="Calibri" w:hAnsi="Calibri" w:cs="Calibri"/>
          <w:sz w:val="21"/>
          <w:szCs w:val="21"/>
        </w:rPr>
        <w:t>re is</w:t>
      </w:r>
      <w:r w:rsidRPr="00FA288E">
        <w:rPr>
          <w:rFonts w:ascii="Calibri" w:hAnsi="Calibri" w:cs="Calibri"/>
          <w:sz w:val="21"/>
          <w:szCs w:val="21"/>
        </w:rPr>
        <w:t xml:space="preserve"> one exception that </w:t>
      </w:r>
      <w:r w:rsidR="00BE596D" w:rsidRPr="00FA288E">
        <w:rPr>
          <w:rFonts w:ascii="Calibri" w:hAnsi="Calibri" w:cs="Calibri"/>
          <w:sz w:val="21"/>
          <w:szCs w:val="21"/>
        </w:rPr>
        <w:t>qualifies as a direct effort</w:t>
      </w:r>
      <w:r w:rsidRPr="00FA288E">
        <w:rPr>
          <w:rFonts w:ascii="Calibri" w:hAnsi="Calibri" w:cs="Calibri"/>
          <w:sz w:val="21"/>
          <w:szCs w:val="21"/>
        </w:rPr>
        <w:t xml:space="preserve"> to </w:t>
      </w:r>
      <w:r w:rsidR="00A876EF" w:rsidRPr="00FA288E">
        <w:rPr>
          <w:rFonts w:ascii="Calibri" w:hAnsi="Calibri" w:cs="Calibri"/>
          <w:sz w:val="21"/>
          <w:szCs w:val="21"/>
        </w:rPr>
        <w:t xml:space="preserve">engage </w:t>
      </w:r>
      <w:r w:rsidRPr="00FA288E">
        <w:rPr>
          <w:rFonts w:ascii="Calibri" w:hAnsi="Calibri" w:cs="Calibri"/>
          <w:sz w:val="21"/>
          <w:szCs w:val="21"/>
        </w:rPr>
        <w:t xml:space="preserve">government </w:t>
      </w:r>
      <w:r w:rsidR="00A876EF" w:rsidRPr="00FA288E">
        <w:rPr>
          <w:rFonts w:ascii="Calibri" w:hAnsi="Calibri" w:cs="Calibri"/>
          <w:sz w:val="21"/>
          <w:szCs w:val="21"/>
        </w:rPr>
        <w:t xml:space="preserve">in </w:t>
      </w:r>
      <w:r w:rsidRPr="00FA288E">
        <w:rPr>
          <w:rFonts w:ascii="Calibri" w:hAnsi="Calibri" w:cs="Calibri"/>
          <w:sz w:val="21"/>
          <w:szCs w:val="21"/>
        </w:rPr>
        <w:t xml:space="preserve">policy </w:t>
      </w:r>
      <w:r w:rsidR="00A876EF" w:rsidRPr="00FA288E">
        <w:rPr>
          <w:rFonts w:ascii="Calibri" w:hAnsi="Calibri" w:cs="Calibri"/>
          <w:sz w:val="21"/>
          <w:szCs w:val="21"/>
        </w:rPr>
        <w:t>di</w:t>
      </w:r>
      <w:r w:rsidR="00BE596D" w:rsidRPr="00FA288E">
        <w:rPr>
          <w:rFonts w:ascii="Calibri" w:hAnsi="Calibri" w:cs="Calibri"/>
          <w:sz w:val="21"/>
          <w:szCs w:val="21"/>
        </w:rPr>
        <w:t>alogue. This exception</w:t>
      </w:r>
      <w:r w:rsidR="00A876EF" w:rsidRPr="00FA288E">
        <w:rPr>
          <w:rFonts w:ascii="Calibri" w:hAnsi="Calibri" w:cs="Calibri"/>
          <w:sz w:val="21"/>
          <w:szCs w:val="21"/>
        </w:rPr>
        <w:t xml:space="preserve"> </w:t>
      </w:r>
      <w:r w:rsidRPr="00FA288E">
        <w:rPr>
          <w:rFonts w:ascii="Calibri" w:hAnsi="Calibri" w:cs="Calibri"/>
          <w:sz w:val="21"/>
          <w:szCs w:val="21"/>
        </w:rPr>
        <w:t>is the engagement by the T4E project of the Consultative Implementation and Monitoring Council (CIMC).</w:t>
      </w:r>
      <w:r w:rsidRPr="00FA288E">
        <w:rPr>
          <w:rStyle w:val="FootnoteReference"/>
          <w:rFonts w:ascii="Calibri" w:hAnsi="Calibri" w:cs="Calibri"/>
          <w:sz w:val="21"/>
          <w:szCs w:val="21"/>
        </w:rPr>
        <w:footnoteReference w:id="45"/>
      </w:r>
      <w:r w:rsidRPr="00FA288E">
        <w:rPr>
          <w:rFonts w:ascii="Calibri" w:hAnsi="Calibri" w:cs="Calibri"/>
          <w:sz w:val="21"/>
          <w:szCs w:val="21"/>
        </w:rPr>
        <w:t xml:space="preserve"> The CIMC is a </w:t>
      </w:r>
      <w:r w:rsidR="00CC511A" w:rsidRPr="00FA288E">
        <w:rPr>
          <w:rFonts w:ascii="Calibri" w:hAnsi="Calibri" w:cs="Calibri"/>
          <w:sz w:val="21"/>
          <w:szCs w:val="21"/>
        </w:rPr>
        <w:t>quasi-</w:t>
      </w:r>
      <w:r w:rsidRPr="00FA288E">
        <w:rPr>
          <w:rFonts w:ascii="Calibri" w:hAnsi="Calibri" w:cs="Calibri"/>
          <w:sz w:val="21"/>
          <w:szCs w:val="21"/>
        </w:rPr>
        <w:t xml:space="preserve">independent organisation that brings together civil society, the private sector and government partners to develop policy and directly influence and monitor government decision making for the long-term development of PNG. </w:t>
      </w:r>
      <w:r w:rsidR="00CC511A" w:rsidRPr="00FA288E">
        <w:rPr>
          <w:rFonts w:ascii="Calibri" w:hAnsi="Calibri" w:cs="Calibri"/>
          <w:sz w:val="21"/>
          <w:szCs w:val="21"/>
        </w:rPr>
        <w:t>As of November 2019,</w:t>
      </w:r>
      <w:r w:rsidRPr="00FA288E">
        <w:rPr>
          <w:rFonts w:ascii="Calibri" w:hAnsi="Calibri" w:cs="Calibri"/>
          <w:sz w:val="21"/>
          <w:szCs w:val="21"/>
        </w:rPr>
        <w:t xml:space="preserve"> the CIMC has conducted three provincial fora (in the </w:t>
      </w:r>
      <w:r w:rsidR="00CC511A" w:rsidRPr="00FA288E">
        <w:rPr>
          <w:rFonts w:ascii="Calibri" w:hAnsi="Calibri" w:cs="Calibri"/>
          <w:sz w:val="21"/>
          <w:szCs w:val="21"/>
        </w:rPr>
        <w:t xml:space="preserve">T4E supported </w:t>
      </w:r>
      <w:r w:rsidRPr="00FA288E">
        <w:rPr>
          <w:rFonts w:ascii="Calibri" w:hAnsi="Calibri" w:cs="Calibri"/>
          <w:sz w:val="21"/>
          <w:szCs w:val="21"/>
        </w:rPr>
        <w:t xml:space="preserve">provinces) on elementary education, and recently convened (with the support </w:t>
      </w:r>
      <w:r w:rsidR="00E46A57" w:rsidRPr="00FA288E">
        <w:rPr>
          <w:rFonts w:ascii="Calibri" w:hAnsi="Calibri" w:cs="Calibri"/>
          <w:sz w:val="21"/>
          <w:szCs w:val="21"/>
        </w:rPr>
        <w:t xml:space="preserve">and participation </w:t>
      </w:r>
      <w:r w:rsidRPr="00FA288E">
        <w:rPr>
          <w:rFonts w:ascii="Calibri" w:hAnsi="Calibri" w:cs="Calibri"/>
          <w:sz w:val="21"/>
          <w:szCs w:val="21"/>
        </w:rPr>
        <w:t>of all three projects) a national forum on elementary education.</w:t>
      </w:r>
      <w:r w:rsidR="00E46A57" w:rsidRPr="00FA288E">
        <w:rPr>
          <w:rStyle w:val="FootnoteReference"/>
          <w:rFonts w:ascii="Calibri" w:hAnsi="Calibri" w:cs="Calibri"/>
          <w:sz w:val="21"/>
          <w:szCs w:val="21"/>
        </w:rPr>
        <w:footnoteReference w:id="46"/>
      </w:r>
      <w:r w:rsidRPr="00FA288E">
        <w:rPr>
          <w:rFonts w:ascii="Calibri" w:hAnsi="Calibri" w:cs="Calibri"/>
          <w:sz w:val="21"/>
          <w:szCs w:val="21"/>
        </w:rPr>
        <w:t xml:space="preserve"> </w:t>
      </w:r>
      <w:r w:rsidR="00E46A57" w:rsidRPr="00FA288E">
        <w:rPr>
          <w:rFonts w:ascii="Calibri" w:hAnsi="Calibri" w:cs="Calibri"/>
          <w:sz w:val="21"/>
          <w:szCs w:val="21"/>
        </w:rPr>
        <w:t xml:space="preserve">No </w:t>
      </w:r>
      <w:r w:rsidRPr="00FA288E">
        <w:rPr>
          <w:rFonts w:ascii="Calibri" w:hAnsi="Calibri" w:cs="Calibri"/>
          <w:sz w:val="21"/>
          <w:szCs w:val="21"/>
        </w:rPr>
        <w:t xml:space="preserve">information </w:t>
      </w:r>
      <w:r w:rsidR="00E46A57" w:rsidRPr="00FA288E">
        <w:rPr>
          <w:rFonts w:ascii="Calibri" w:hAnsi="Calibri" w:cs="Calibri"/>
          <w:sz w:val="21"/>
          <w:szCs w:val="21"/>
        </w:rPr>
        <w:t xml:space="preserve">has been provided </w:t>
      </w:r>
      <w:r w:rsidRPr="00FA288E">
        <w:rPr>
          <w:rFonts w:ascii="Calibri" w:hAnsi="Calibri" w:cs="Calibri"/>
          <w:sz w:val="21"/>
          <w:szCs w:val="21"/>
        </w:rPr>
        <w:t xml:space="preserve">that these fora have </w:t>
      </w:r>
      <w:r w:rsidR="00CC511A" w:rsidRPr="00FA288E">
        <w:rPr>
          <w:rFonts w:ascii="Calibri" w:hAnsi="Calibri" w:cs="Calibri"/>
          <w:sz w:val="21"/>
          <w:szCs w:val="21"/>
        </w:rPr>
        <w:t xml:space="preserve">directly </w:t>
      </w:r>
      <w:r w:rsidRPr="00FA288E">
        <w:rPr>
          <w:rFonts w:ascii="Calibri" w:hAnsi="Calibri" w:cs="Calibri"/>
          <w:sz w:val="21"/>
          <w:szCs w:val="21"/>
        </w:rPr>
        <w:t>resulted in policy change at the national or provincial levels.</w:t>
      </w:r>
    </w:p>
    <w:p w14:paraId="5374A293" w14:textId="77777777" w:rsidR="008E2685" w:rsidRPr="00FA288E" w:rsidRDefault="00614C93" w:rsidP="00CC511A">
      <w:pPr>
        <w:pStyle w:val="Bullets"/>
        <w:numPr>
          <w:ilvl w:val="0"/>
          <w:numId w:val="0"/>
        </w:numPr>
        <w:spacing w:after="80" w:line="240" w:lineRule="auto"/>
        <w:rPr>
          <w:sz w:val="24"/>
          <w:szCs w:val="24"/>
        </w:rPr>
      </w:pPr>
      <w:bookmarkStart w:id="76" w:name="_Toc26914366"/>
      <w:r w:rsidRPr="00FA288E">
        <w:rPr>
          <w:sz w:val="24"/>
          <w:szCs w:val="24"/>
        </w:rPr>
        <w:t>3.2.1 Grant alignment with GoPNG policies</w:t>
      </w:r>
      <w:bookmarkEnd w:id="76"/>
    </w:p>
    <w:p w14:paraId="3C8DCEA6" w14:textId="5162EF23" w:rsidR="00614C93" w:rsidRPr="00FA288E" w:rsidRDefault="00F05CD3" w:rsidP="00CC511A">
      <w:pPr>
        <w:pStyle w:val="BodyText"/>
        <w:spacing w:after="80" w:line="240" w:lineRule="auto"/>
        <w:rPr>
          <w:rFonts w:ascii="Calibri" w:hAnsi="Calibri" w:cs="Calibri"/>
          <w:sz w:val="21"/>
          <w:szCs w:val="21"/>
        </w:rPr>
      </w:pPr>
      <w:r w:rsidRPr="00FA288E">
        <w:rPr>
          <w:rFonts w:ascii="Calibri" w:hAnsi="Calibri" w:cs="Calibri"/>
          <w:sz w:val="21"/>
          <w:szCs w:val="21"/>
        </w:rPr>
        <w:t>A review of the GoPNG Medium Term Development Plan 2018-2022 and the National Education Plan 2015-2019 reveal that the grants are generally aligned with the current national plans of GoPNG and NDOE</w:t>
      </w:r>
      <w:r w:rsidR="008468F8" w:rsidRPr="00FA288E">
        <w:rPr>
          <w:rFonts w:ascii="Calibri" w:hAnsi="Calibri" w:cs="Calibri"/>
          <w:sz w:val="21"/>
          <w:szCs w:val="21"/>
        </w:rPr>
        <w:t xml:space="preserve"> including the new ten year plan 2020-2029</w:t>
      </w:r>
      <w:r w:rsidRPr="00FA288E">
        <w:rPr>
          <w:rFonts w:ascii="Calibri" w:hAnsi="Calibri" w:cs="Calibri"/>
          <w:sz w:val="21"/>
          <w:szCs w:val="21"/>
        </w:rPr>
        <w:t>. However, b</w:t>
      </w:r>
      <w:r w:rsidR="00614C93" w:rsidRPr="00FA288E">
        <w:rPr>
          <w:rFonts w:ascii="Calibri" w:hAnsi="Calibri" w:cs="Calibri"/>
          <w:sz w:val="21"/>
          <w:szCs w:val="21"/>
        </w:rPr>
        <w:t xml:space="preserve">ased on interviews with DNPM and NDOE officials, the proposal for, design, and early implementation of the PPF </w:t>
      </w:r>
      <w:r w:rsidR="00285142" w:rsidRPr="00FA288E">
        <w:rPr>
          <w:rFonts w:ascii="Calibri" w:hAnsi="Calibri" w:cs="Calibri"/>
          <w:sz w:val="21"/>
          <w:szCs w:val="21"/>
        </w:rPr>
        <w:t>E</w:t>
      </w:r>
      <w:r w:rsidR="00614C93" w:rsidRPr="00FA288E">
        <w:rPr>
          <w:rFonts w:ascii="Calibri" w:hAnsi="Calibri" w:cs="Calibri"/>
          <w:sz w:val="21"/>
          <w:szCs w:val="21"/>
        </w:rPr>
        <w:t xml:space="preserve">ducation </w:t>
      </w:r>
      <w:r w:rsidR="00285142" w:rsidRPr="00FA288E">
        <w:rPr>
          <w:rFonts w:ascii="Calibri" w:hAnsi="Calibri" w:cs="Calibri"/>
          <w:sz w:val="21"/>
          <w:szCs w:val="21"/>
        </w:rPr>
        <w:t>G</w:t>
      </w:r>
      <w:r w:rsidR="00614C93" w:rsidRPr="00FA288E">
        <w:rPr>
          <w:rFonts w:ascii="Calibri" w:hAnsi="Calibri" w:cs="Calibri"/>
          <w:sz w:val="21"/>
          <w:szCs w:val="21"/>
        </w:rPr>
        <w:t xml:space="preserve">rants </w:t>
      </w:r>
      <w:r w:rsidRPr="00FA288E">
        <w:rPr>
          <w:rFonts w:ascii="Calibri" w:hAnsi="Calibri" w:cs="Calibri"/>
          <w:sz w:val="21"/>
          <w:szCs w:val="21"/>
        </w:rPr>
        <w:t>does not appear to have comprehensively engaged</w:t>
      </w:r>
      <w:r w:rsidR="00614C93" w:rsidRPr="00FA288E">
        <w:rPr>
          <w:rFonts w:ascii="Calibri" w:hAnsi="Calibri" w:cs="Calibri"/>
          <w:sz w:val="21"/>
          <w:szCs w:val="21"/>
        </w:rPr>
        <w:t xml:space="preserve"> senior officials wi</w:t>
      </w:r>
      <w:r w:rsidR="00AD1741" w:rsidRPr="00FA288E">
        <w:rPr>
          <w:rFonts w:ascii="Calibri" w:hAnsi="Calibri" w:cs="Calibri"/>
          <w:sz w:val="21"/>
          <w:szCs w:val="21"/>
        </w:rPr>
        <w:t>thin government</w:t>
      </w:r>
      <w:r w:rsidRPr="00FA288E">
        <w:rPr>
          <w:rFonts w:ascii="Calibri" w:hAnsi="Calibri" w:cs="Calibri"/>
          <w:sz w:val="21"/>
          <w:szCs w:val="21"/>
        </w:rPr>
        <w:t xml:space="preserve">, even though a NDOE Deputy Secretary had </w:t>
      </w:r>
      <w:r w:rsidR="00AD1741" w:rsidRPr="00FA288E">
        <w:rPr>
          <w:rFonts w:ascii="Calibri" w:hAnsi="Calibri" w:cs="Calibri"/>
          <w:sz w:val="21"/>
          <w:szCs w:val="21"/>
        </w:rPr>
        <w:t>participated</w:t>
      </w:r>
      <w:r w:rsidRPr="00FA288E">
        <w:rPr>
          <w:rFonts w:ascii="Calibri" w:hAnsi="Calibri" w:cs="Calibri"/>
          <w:sz w:val="21"/>
          <w:szCs w:val="21"/>
        </w:rPr>
        <w:t xml:space="preserve"> a member of the PPF Selection Panel for the education grants. DNPM and NDOE </w:t>
      </w:r>
      <w:r w:rsidR="00AD1741" w:rsidRPr="00FA288E">
        <w:rPr>
          <w:rFonts w:ascii="Calibri" w:hAnsi="Calibri" w:cs="Calibri"/>
          <w:sz w:val="21"/>
          <w:szCs w:val="21"/>
        </w:rPr>
        <w:t xml:space="preserve">officials </w:t>
      </w:r>
      <w:r w:rsidRPr="00FA288E">
        <w:rPr>
          <w:rFonts w:ascii="Calibri" w:hAnsi="Calibri" w:cs="Calibri"/>
          <w:sz w:val="21"/>
          <w:szCs w:val="21"/>
        </w:rPr>
        <w:t>expressed the view that they would have expected to have had much greater involvement</w:t>
      </w:r>
      <w:r w:rsidR="009C6B1F" w:rsidRPr="00FA288E">
        <w:rPr>
          <w:rFonts w:ascii="Calibri" w:hAnsi="Calibri" w:cs="Calibri"/>
          <w:sz w:val="21"/>
          <w:szCs w:val="21"/>
        </w:rPr>
        <w:t xml:space="preserve"> during the design of the grants, selection of grantees and during early implementation</w:t>
      </w:r>
      <w:r w:rsidRPr="00FA288E">
        <w:rPr>
          <w:rFonts w:ascii="Calibri" w:hAnsi="Calibri" w:cs="Calibri"/>
          <w:sz w:val="21"/>
          <w:szCs w:val="21"/>
        </w:rPr>
        <w:t xml:space="preserve">. </w:t>
      </w:r>
      <w:r w:rsidR="00AD1741" w:rsidRPr="00FA288E">
        <w:rPr>
          <w:rFonts w:ascii="Calibri" w:hAnsi="Calibri" w:cs="Calibri"/>
          <w:sz w:val="21"/>
          <w:szCs w:val="21"/>
        </w:rPr>
        <w:t>While there is</w:t>
      </w:r>
      <w:r w:rsidR="00614C93" w:rsidRPr="00FA288E">
        <w:rPr>
          <w:rFonts w:ascii="Calibri" w:hAnsi="Calibri" w:cs="Calibri"/>
          <w:sz w:val="21"/>
          <w:szCs w:val="21"/>
        </w:rPr>
        <w:t xml:space="preserve"> general overall alignment </w:t>
      </w:r>
      <w:r w:rsidR="00AD1741" w:rsidRPr="00FA288E">
        <w:rPr>
          <w:rFonts w:ascii="Calibri" w:hAnsi="Calibri" w:cs="Calibri"/>
          <w:sz w:val="21"/>
          <w:szCs w:val="21"/>
        </w:rPr>
        <w:t xml:space="preserve">of the education grants </w:t>
      </w:r>
      <w:r w:rsidR="00614C93" w:rsidRPr="00FA288E">
        <w:rPr>
          <w:rFonts w:ascii="Calibri" w:hAnsi="Calibri" w:cs="Calibri"/>
          <w:sz w:val="21"/>
          <w:szCs w:val="21"/>
        </w:rPr>
        <w:t>with</w:t>
      </w:r>
      <w:r w:rsidR="00E46A57" w:rsidRPr="00FA288E">
        <w:rPr>
          <w:rFonts w:ascii="Calibri" w:hAnsi="Calibri" w:cs="Calibri"/>
          <w:sz w:val="21"/>
          <w:szCs w:val="21"/>
        </w:rPr>
        <w:t xml:space="preserve"> GoPNG and NDOE</w:t>
      </w:r>
      <w:r w:rsidR="00614C93" w:rsidRPr="00FA288E">
        <w:rPr>
          <w:rFonts w:ascii="Calibri" w:hAnsi="Calibri" w:cs="Calibri"/>
          <w:sz w:val="21"/>
          <w:szCs w:val="21"/>
        </w:rPr>
        <w:t xml:space="preserve"> </w:t>
      </w:r>
      <w:r w:rsidR="00AD1741" w:rsidRPr="00FA288E">
        <w:rPr>
          <w:rFonts w:ascii="Calibri" w:hAnsi="Calibri" w:cs="Calibri"/>
          <w:sz w:val="21"/>
          <w:szCs w:val="21"/>
        </w:rPr>
        <w:t>br</w:t>
      </w:r>
      <w:r w:rsidR="00614C93" w:rsidRPr="00FA288E">
        <w:rPr>
          <w:rFonts w:ascii="Calibri" w:hAnsi="Calibri" w:cs="Calibri"/>
          <w:sz w:val="21"/>
          <w:szCs w:val="21"/>
        </w:rPr>
        <w:t xml:space="preserve">oader </w:t>
      </w:r>
      <w:r w:rsidR="00614C93" w:rsidRPr="00FA288E">
        <w:rPr>
          <w:rFonts w:ascii="Calibri" w:hAnsi="Calibri" w:cs="Calibri"/>
          <w:sz w:val="21"/>
          <w:szCs w:val="21"/>
        </w:rPr>
        <w:lastRenderedPageBreak/>
        <w:t>strategies and plans</w:t>
      </w:r>
      <w:r w:rsidR="00AD1741" w:rsidRPr="00FA288E">
        <w:rPr>
          <w:rFonts w:ascii="Calibri" w:hAnsi="Calibri" w:cs="Calibri"/>
          <w:sz w:val="21"/>
          <w:szCs w:val="21"/>
        </w:rPr>
        <w:t>,</w:t>
      </w:r>
      <w:r w:rsidR="00614C93" w:rsidRPr="00FA288E">
        <w:rPr>
          <w:rFonts w:ascii="Calibri" w:hAnsi="Calibri" w:cs="Calibri"/>
          <w:sz w:val="21"/>
          <w:szCs w:val="21"/>
        </w:rPr>
        <w:t xml:space="preserve"> </w:t>
      </w:r>
      <w:r w:rsidR="00407BF9" w:rsidRPr="00FA288E">
        <w:rPr>
          <w:rFonts w:ascii="Calibri" w:hAnsi="Calibri" w:cs="Calibri"/>
          <w:sz w:val="21"/>
          <w:szCs w:val="21"/>
        </w:rPr>
        <w:t xml:space="preserve">some </w:t>
      </w:r>
      <w:r w:rsidR="00614C93" w:rsidRPr="00FA288E">
        <w:rPr>
          <w:rFonts w:ascii="Calibri" w:hAnsi="Calibri" w:cs="Calibri"/>
          <w:sz w:val="21"/>
          <w:szCs w:val="21"/>
        </w:rPr>
        <w:t>NDOE officials</w:t>
      </w:r>
      <w:r w:rsidR="00407BF9" w:rsidRPr="00FA288E">
        <w:rPr>
          <w:rFonts w:ascii="Calibri" w:hAnsi="Calibri" w:cs="Calibri"/>
          <w:sz w:val="21"/>
          <w:szCs w:val="21"/>
        </w:rPr>
        <w:t xml:space="preserve"> </w:t>
      </w:r>
      <w:r w:rsidR="00AD1741" w:rsidRPr="00FA288E">
        <w:rPr>
          <w:rFonts w:ascii="Calibri" w:hAnsi="Calibri" w:cs="Calibri"/>
          <w:sz w:val="21"/>
          <w:szCs w:val="21"/>
        </w:rPr>
        <w:t>commented</w:t>
      </w:r>
      <w:r w:rsidR="00614C93" w:rsidRPr="00FA288E">
        <w:rPr>
          <w:rFonts w:ascii="Calibri" w:hAnsi="Calibri" w:cs="Calibri"/>
          <w:sz w:val="21"/>
          <w:szCs w:val="21"/>
        </w:rPr>
        <w:t xml:space="preserve"> that some </w:t>
      </w:r>
      <w:r w:rsidR="00E46A57" w:rsidRPr="00FA288E">
        <w:rPr>
          <w:rFonts w:ascii="Calibri" w:hAnsi="Calibri" w:cs="Calibri"/>
          <w:sz w:val="21"/>
          <w:szCs w:val="21"/>
        </w:rPr>
        <w:t xml:space="preserve">of the </w:t>
      </w:r>
      <w:r w:rsidR="00614C93" w:rsidRPr="00FA288E">
        <w:rPr>
          <w:rFonts w:ascii="Calibri" w:hAnsi="Calibri" w:cs="Calibri"/>
          <w:sz w:val="21"/>
          <w:szCs w:val="21"/>
        </w:rPr>
        <w:t xml:space="preserve">interventions should have been endorsed by the NDOE prior to implementation.  </w:t>
      </w:r>
      <w:r w:rsidR="00AD1741" w:rsidRPr="00FA288E">
        <w:rPr>
          <w:rFonts w:ascii="Calibri" w:hAnsi="Calibri" w:cs="Calibri"/>
          <w:sz w:val="21"/>
          <w:szCs w:val="21"/>
        </w:rPr>
        <w:t xml:space="preserve">During the review, </w:t>
      </w:r>
      <w:r w:rsidR="00E46A57" w:rsidRPr="00FA288E">
        <w:rPr>
          <w:rFonts w:ascii="Calibri" w:hAnsi="Calibri" w:cs="Calibri"/>
          <w:sz w:val="21"/>
          <w:szCs w:val="21"/>
        </w:rPr>
        <w:t>NDOE gave three example</w:t>
      </w:r>
      <w:r w:rsidR="00AD1741" w:rsidRPr="00FA288E">
        <w:rPr>
          <w:rFonts w:ascii="Calibri" w:hAnsi="Calibri" w:cs="Calibri"/>
          <w:sz w:val="21"/>
          <w:szCs w:val="21"/>
        </w:rPr>
        <w:t>s</w:t>
      </w:r>
      <w:r w:rsidR="00614C93" w:rsidRPr="00FA288E">
        <w:rPr>
          <w:rFonts w:ascii="Calibri" w:hAnsi="Calibri" w:cs="Calibri"/>
          <w:sz w:val="21"/>
          <w:szCs w:val="21"/>
        </w:rPr>
        <w:t>.</w:t>
      </w:r>
    </w:p>
    <w:p w14:paraId="273D952A" w14:textId="77777777" w:rsidR="00614C93" w:rsidRPr="00FA288E" w:rsidRDefault="00614C93" w:rsidP="00CC511A">
      <w:pPr>
        <w:pStyle w:val="BodyText"/>
        <w:spacing w:after="80" w:line="240" w:lineRule="auto"/>
        <w:rPr>
          <w:rFonts w:ascii="Calibri" w:hAnsi="Calibri" w:cs="Calibri"/>
          <w:sz w:val="21"/>
          <w:szCs w:val="21"/>
        </w:rPr>
      </w:pPr>
      <w:r w:rsidRPr="00FA288E">
        <w:rPr>
          <w:rFonts w:ascii="Calibri" w:hAnsi="Calibri" w:cs="Calibri"/>
          <w:sz w:val="21"/>
          <w:szCs w:val="21"/>
        </w:rPr>
        <w:t xml:space="preserve">The first is the content of the teacher in-service training programs that were developed and delivered by the three projects.  These in-service training programs, according to </w:t>
      </w:r>
      <w:r w:rsidR="009C6B1F" w:rsidRPr="00FA288E">
        <w:rPr>
          <w:rFonts w:ascii="Calibri" w:hAnsi="Calibri" w:cs="Calibri"/>
          <w:sz w:val="21"/>
          <w:szCs w:val="21"/>
        </w:rPr>
        <w:t xml:space="preserve">some </w:t>
      </w:r>
      <w:r w:rsidRPr="00FA288E">
        <w:rPr>
          <w:rFonts w:ascii="Calibri" w:hAnsi="Calibri" w:cs="Calibri"/>
          <w:sz w:val="21"/>
          <w:szCs w:val="21"/>
        </w:rPr>
        <w:t xml:space="preserve">NDOE officials, should have been presented to the NDOE Board of Studies for Teacher Development for review and approval prior to being delivered to teachers to ensure </w:t>
      </w:r>
      <w:r w:rsidR="00407BF9" w:rsidRPr="00FA288E">
        <w:rPr>
          <w:rFonts w:ascii="Calibri" w:hAnsi="Calibri" w:cs="Calibri"/>
          <w:sz w:val="21"/>
          <w:szCs w:val="21"/>
        </w:rPr>
        <w:t>alignment</w:t>
      </w:r>
      <w:r w:rsidRPr="00FA288E">
        <w:rPr>
          <w:rFonts w:ascii="Calibri" w:hAnsi="Calibri" w:cs="Calibri"/>
          <w:sz w:val="21"/>
          <w:szCs w:val="21"/>
        </w:rPr>
        <w:t xml:space="preserve"> with NDOE policies and standards. </w:t>
      </w:r>
    </w:p>
    <w:p w14:paraId="00904474" w14:textId="77777777" w:rsidR="00614C93" w:rsidRPr="00FA288E" w:rsidRDefault="00614C93" w:rsidP="00255746">
      <w:pPr>
        <w:pStyle w:val="BodyText"/>
        <w:spacing w:after="80" w:line="240" w:lineRule="auto"/>
        <w:rPr>
          <w:rFonts w:ascii="Calibri" w:hAnsi="Calibri" w:cs="Calibri"/>
          <w:sz w:val="21"/>
          <w:szCs w:val="21"/>
        </w:rPr>
      </w:pPr>
      <w:r w:rsidRPr="00FA288E">
        <w:rPr>
          <w:rFonts w:ascii="Calibri" w:hAnsi="Calibri" w:cs="Calibri"/>
          <w:sz w:val="21"/>
          <w:szCs w:val="21"/>
        </w:rPr>
        <w:t xml:space="preserve">The second example </w:t>
      </w:r>
      <w:r w:rsidR="00AD1741" w:rsidRPr="00FA288E">
        <w:rPr>
          <w:rFonts w:ascii="Calibri" w:hAnsi="Calibri" w:cs="Calibri"/>
          <w:sz w:val="21"/>
          <w:szCs w:val="21"/>
        </w:rPr>
        <w:t>concerns</w:t>
      </w:r>
      <w:r w:rsidRPr="00FA288E">
        <w:rPr>
          <w:rFonts w:ascii="Calibri" w:hAnsi="Calibri" w:cs="Calibri"/>
          <w:sz w:val="21"/>
          <w:szCs w:val="21"/>
        </w:rPr>
        <w:t xml:space="preserve"> teaching and learning resources.  As with the content of the in-service training programs, </w:t>
      </w:r>
      <w:r w:rsidR="009C6B1F" w:rsidRPr="00FA288E">
        <w:rPr>
          <w:rFonts w:ascii="Calibri" w:hAnsi="Calibri" w:cs="Calibri"/>
          <w:sz w:val="21"/>
          <w:szCs w:val="21"/>
        </w:rPr>
        <w:t xml:space="preserve">some </w:t>
      </w:r>
      <w:r w:rsidRPr="00FA288E">
        <w:rPr>
          <w:rFonts w:ascii="Calibri" w:hAnsi="Calibri" w:cs="Calibri"/>
          <w:sz w:val="21"/>
          <w:szCs w:val="21"/>
        </w:rPr>
        <w:t xml:space="preserve">NDOE officials noted that any teaching and learning resources provided to teachers and students require </w:t>
      </w:r>
      <w:r w:rsidR="00AD1741" w:rsidRPr="00FA288E">
        <w:rPr>
          <w:rFonts w:ascii="Calibri" w:hAnsi="Calibri" w:cs="Calibri"/>
          <w:sz w:val="21"/>
          <w:szCs w:val="21"/>
        </w:rPr>
        <w:t xml:space="preserve">prior review and endorsement of </w:t>
      </w:r>
      <w:r w:rsidRPr="00FA288E">
        <w:rPr>
          <w:rFonts w:ascii="Calibri" w:hAnsi="Calibri" w:cs="Calibri"/>
          <w:sz w:val="21"/>
          <w:szCs w:val="21"/>
        </w:rPr>
        <w:t xml:space="preserve">the NDOE Board of Studies for Curriculum.  </w:t>
      </w:r>
      <w:r w:rsidR="00AD1741" w:rsidRPr="00FA288E">
        <w:rPr>
          <w:rFonts w:ascii="Calibri" w:hAnsi="Calibri" w:cs="Calibri"/>
          <w:sz w:val="21"/>
          <w:szCs w:val="21"/>
        </w:rPr>
        <w:t>Grantees advised that they</w:t>
      </w:r>
      <w:r w:rsidRPr="00FA288E">
        <w:rPr>
          <w:rFonts w:ascii="Calibri" w:hAnsi="Calibri" w:cs="Calibri"/>
          <w:sz w:val="21"/>
          <w:szCs w:val="21"/>
        </w:rPr>
        <w:t xml:space="preserve"> had not been aware of this requirement and that the process for review and endorsement was not made clear by NDOE officials who were aware of the different projects.</w:t>
      </w:r>
    </w:p>
    <w:p w14:paraId="399EC19A" w14:textId="77777777" w:rsidR="00614C93" w:rsidRPr="00FA288E" w:rsidRDefault="00614C93" w:rsidP="00255746">
      <w:pPr>
        <w:pStyle w:val="BodyText"/>
        <w:spacing w:after="80" w:line="240" w:lineRule="auto"/>
        <w:rPr>
          <w:rFonts w:ascii="Calibri" w:hAnsi="Calibri" w:cs="Calibri"/>
          <w:sz w:val="21"/>
          <w:szCs w:val="21"/>
        </w:rPr>
      </w:pPr>
      <w:r w:rsidRPr="00FA288E">
        <w:rPr>
          <w:rFonts w:ascii="Calibri" w:hAnsi="Calibri" w:cs="Calibri"/>
          <w:sz w:val="21"/>
          <w:szCs w:val="21"/>
        </w:rPr>
        <w:t xml:space="preserve">The third example is in relation to the interventions to improve school management and planning (for T4E and PKS only). T4E was made aware of the NDOE requirement for </w:t>
      </w:r>
      <w:r w:rsidR="00AD1741" w:rsidRPr="00FA288E">
        <w:rPr>
          <w:rFonts w:ascii="Calibri" w:hAnsi="Calibri" w:cs="Calibri"/>
          <w:sz w:val="21"/>
          <w:szCs w:val="21"/>
        </w:rPr>
        <w:t xml:space="preserve">prior </w:t>
      </w:r>
      <w:r w:rsidRPr="00FA288E">
        <w:rPr>
          <w:rFonts w:ascii="Calibri" w:hAnsi="Calibri" w:cs="Calibri"/>
          <w:sz w:val="21"/>
          <w:szCs w:val="21"/>
        </w:rPr>
        <w:t>review of the training package for school management and planning</w:t>
      </w:r>
      <w:r w:rsidR="00AD1741" w:rsidRPr="00FA288E">
        <w:rPr>
          <w:rFonts w:ascii="Calibri" w:hAnsi="Calibri" w:cs="Calibri"/>
          <w:sz w:val="21"/>
          <w:szCs w:val="21"/>
        </w:rPr>
        <w:t xml:space="preserve"> after it had developed the package. As a result, the training package was adjusted and titled as the</w:t>
      </w:r>
      <w:r w:rsidRPr="00FA288E">
        <w:rPr>
          <w:rFonts w:ascii="Calibri" w:hAnsi="Calibri" w:cs="Calibri"/>
          <w:sz w:val="21"/>
          <w:szCs w:val="21"/>
        </w:rPr>
        <w:t xml:space="preserve"> </w:t>
      </w:r>
      <w:proofErr w:type="spellStart"/>
      <w:r w:rsidRPr="00FA288E">
        <w:rPr>
          <w:rFonts w:ascii="Calibri" w:hAnsi="Calibri" w:cs="Calibri"/>
          <w:sz w:val="21"/>
          <w:szCs w:val="21"/>
        </w:rPr>
        <w:t>SBoM</w:t>
      </w:r>
      <w:proofErr w:type="spellEnd"/>
      <w:r w:rsidRPr="00FA288E">
        <w:rPr>
          <w:rFonts w:ascii="Calibri" w:hAnsi="Calibri" w:cs="Calibri"/>
          <w:sz w:val="21"/>
          <w:szCs w:val="21"/>
        </w:rPr>
        <w:t xml:space="preserve"> Training program, rather than SLIP training. NDOE advised that the SLIP</w:t>
      </w:r>
      <w:r w:rsidR="00FD2EFC" w:rsidRPr="00FA288E">
        <w:rPr>
          <w:rFonts w:ascii="Calibri" w:hAnsi="Calibri" w:cs="Calibri"/>
          <w:sz w:val="21"/>
          <w:szCs w:val="21"/>
        </w:rPr>
        <w:t xml:space="preserve"> </w:t>
      </w:r>
      <w:r w:rsidRPr="00FA288E">
        <w:rPr>
          <w:rFonts w:ascii="Calibri" w:hAnsi="Calibri" w:cs="Calibri"/>
          <w:sz w:val="21"/>
          <w:szCs w:val="21"/>
        </w:rPr>
        <w:t>component of the training would need to follow NDOE requirements</w:t>
      </w:r>
      <w:r w:rsidR="00255746" w:rsidRPr="00FA288E">
        <w:rPr>
          <w:rFonts w:ascii="Calibri" w:hAnsi="Calibri" w:cs="Calibri"/>
          <w:sz w:val="21"/>
          <w:szCs w:val="21"/>
        </w:rPr>
        <w:t>, to ensure consistent guidance,</w:t>
      </w:r>
      <w:r w:rsidRPr="00FA288E">
        <w:rPr>
          <w:rFonts w:ascii="Calibri" w:hAnsi="Calibri" w:cs="Calibri"/>
          <w:sz w:val="21"/>
          <w:szCs w:val="21"/>
        </w:rPr>
        <w:t xml:space="preserve"> and be delivered by approved NDOE trainers (District </w:t>
      </w:r>
      <w:r w:rsidR="00AD1741" w:rsidRPr="00FA288E">
        <w:rPr>
          <w:rFonts w:ascii="Calibri" w:hAnsi="Calibri" w:cs="Calibri"/>
          <w:sz w:val="21"/>
          <w:szCs w:val="21"/>
        </w:rPr>
        <w:t>Elementary Trainers</w:t>
      </w:r>
      <w:r w:rsidRPr="00FA288E">
        <w:rPr>
          <w:rFonts w:ascii="Calibri" w:hAnsi="Calibri" w:cs="Calibri"/>
          <w:sz w:val="21"/>
          <w:szCs w:val="21"/>
        </w:rPr>
        <w:t>)</w:t>
      </w:r>
      <w:r w:rsidR="00255746" w:rsidRPr="00FA288E">
        <w:rPr>
          <w:rFonts w:ascii="Calibri" w:hAnsi="Calibri" w:cs="Calibri"/>
          <w:sz w:val="21"/>
          <w:szCs w:val="21"/>
        </w:rPr>
        <w:t xml:space="preserve">. </w:t>
      </w:r>
      <w:r w:rsidRPr="00FA288E">
        <w:rPr>
          <w:rFonts w:ascii="Calibri" w:hAnsi="Calibri" w:cs="Calibri"/>
          <w:sz w:val="21"/>
          <w:szCs w:val="21"/>
        </w:rPr>
        <w:t xml:space="preserve">T4E reported that the District trainers were not as familiar with SLIP development as had been anticipated nor were some aware of </w:t>
      </w:r>
      <w:r w:rsidR="00255746" w:rsidRPr="00FA288E">
        <w:rPr>
          <w:rFonts w:ascii="Calibri" w:hAnsi="Calibri" w:cs="Calibri"/>
          <w:sz w:val="21"/>
          <w:szCs w:val="21"/>
        </w:rPr>
        <w:t>NDOE</w:t>
      </w:r>
      <w:r w:rsidRPr="00FA288E">
        <w:rPr>
          <w:rFonts w:ascii="Calibri" w:hAnsi="Calibri" w:cs="Calibri"/>
          <w:sz w:val="21"/>
          <w:szCs w:val="21"/>
        </w:rPr>
        <w:t xml:space="preserve"> revised </w:t>
      </w:r>
      <w:r w:rsidR="00255746" w:rsidRPr="00FA288E">
        <w:rPr>
          <w:rFonts w:ascii="Calibri" w:hAnsi="Calibri" w:cs="Calibri"/>
          <w:sz w:val="21"/>
          <w:szCs w:val="21"/>
        </w:rPr>
        <w:t xml:space="preserve">SLIP </w:t>
      </w:r>
      <w:r w:rsidRPr="00FA288E">
        <w:rPr>
          <w:rFonts w:ascii="Calibri" w:hAnsi="Calibri" w:cs="Calibri"/>
          <w:sz w:val="21"/>
          <w:szCs w:val="21"/>
        </w:rPr>
        <w:t xml:space="preserve">formats. In the case of PKS, the school management and planning training (named Education Leadership and Management Training Program) </w:t>
      </w:r>
      <w:r w:rsidR="00255746" w:rsidRPr="00FA288E">
        <w:rPr>
          <w:rFonts w:ascii="Calibri" w:hAnsi="Calibri" w:cs="Calibri"/>
          <w:sz w:val="21"/>
          <w:szCs w:val="21"/>
        </w:rPr>
        <w:t xml:space="preserve">also </w:t>
      </w:r>
      <w:r w:rsidRPr="00FA288E">
        <w:rPr>
          <w:rFonts w:ascii="Calibri" w:hAnsi="Calibri" w:cs="Calibri"/>
          <w:sz w:val="21"/>
          <w:szCs w:val="21"/>
        </w:rPr>
        <w:t>did not seek</w:t>
      </w:r>
      <w:r w:rsidR="00255746" w:rsidRPr="00FA288E">
        <w:rPr>
          <w:rFonts w:ascii="Calibri" w:hAnsi="Calibri" w:cs="Calibri"/>
          <w:sz w:val="21"/>
          <w:szCs w:val="21"/>
        </w:rPr>
        <w:t xml:space="preserve"> prior</w:t>
      </w:r>
      <w:r w:rsidRPr="00FA288E">
        <w:rPr>
          <w:rFonts w:ascii="Calibri" w:hAnsi="Calibri" w:cs="Calibri"/>
          <w:sz w:val="21"/>
          <w:szCs w:val="21"/>
        </w:rPr>
        <w:t xml:space="preserve"> endorsement from the NDOE. </w:t>
      </w:r>
      <w:r w:rsidR="00255746" w:rsidRPr="00FA288E">
        <w:rPr>
          <w:rFonts w:ascii="Calibri" w:hAnsi="Calibri" w:cs="Calibri"/>
          <w:sz w:val="21"/>
          <w:szCs w:val="21"/>
        </w:rPr>
        <w:t>During the review, with the participation of an NDOE senior official there is now a clearer understanding of the NDOE expectations regarding training programs to develop the SLIP. It is of note that b</w:t>
      </w:r>
      <w:r w:rsidRPr="00FA288E">
        <w:rPr>
          <w:rFonts w:ascii="Calibri" w:hAnsi="Calibri" w:cs="Calibri"/>
          <w:sz w:val="21"/>
          <w:szCs w:val="21"/>
        </w:rPr>
        <w:t xml:space="preserve">oth T4E and PKS training packages include extra modules on Child protection, gender and disability inclusion that are not part of the 2007 </w:t>
      </w:r>
      <w:r w:rsidR="00701B27" w:rsidRPr="00FA288E">
        <w:rPr>
          <w:rFonts w:ascii="Calibri" w:hAnsi="Calibri" w:cs="Calibri"/>
          <w:sz w:val="21"/>
          <w:szCs w:val="21"/>
        </w:rPr>
        <w:t xml:space="preserve">NDOE SLIP format </w:t>
      </w:r>
      <w:r w:rsidRPr="00FA288E">
        <w:rPr>
          <w:rFonts w:ascii="Calibri" w:hAnsi="Calibri" w:cs="Calibri"/>
          <w:sz w:val="21"/>
          <w:szCs w:val="21"/>
        </w:rPr>
        <w:t>outline.</w:t>
      </w:r>
      <w:r w:rsidR="00255746" w:rsidRPr="00FA288E">
        <w:rPr>
          <w:rFonts w:ascii="Calibri" w:hAnsi="Calibri" w:cs="Calibri"/>
          <w:sz w:val="21"/>
          <w:szCs w:val="21"/>
        </w:rPr>
        <w:t xml:space="preserve"> It is anticipated that these extra modules will become part of the NDOE SLIP format and training programs.</w:t>
      </w:r>
      <w:r w:rsidR="007213E4" w:rsidRPr="00FA288E">
        <w:rPr>
          <w:rFonts w:ascii="Calibri" w:hAnsi="Calibri" w:cs="Calibri"/>
          <w:sz w:val="21"/>
          <w:szCs w:val="21"/>
        </w:rPr>
        <w:t xml:space="preserve"> </w:t>
      </w:r>
    </w:p>
    <w:p w14:paraId="1A75F1E9" w14:textId="77777777" w:rsidR="00463548" w:rsidRPr="00FA288E" w:rsidRDefault="00463548" w:rsidP="00463548">
      <w:pPr>
        <w:pStyle w:val="Bullets"/>
        <w:numPr>
          <w:ilvl w:val="0"/>
          <w:numId w:val="0"/>
        </w:numPr>
        <w:spacing w:after="80" w:line="240" w:lineRule="auto"/>
        <w:rPr>
          <w:sz w:val="24"/>
          <w:szCs w:val="24"/>
        </w:rPr>
      </w:pPr>
      <w:r w:rsidRPr="00FA288E">
        <w:rPr>
          <w:sz w:val="24"/>
          <w:szCs w:val="24"/>
        </w:rPr>
        <w:t>3.2.2 National level relationships and approaches to practice/policy influence</w:t>
      </w:r>
    </w:p>
    <w:p w14:paraId="39CE4918" w14:textId="77777777" w:rsidR="00463548" w:rsidRPr="00FA288E" w:rsidRDefault="00463548" w:rsidP="00463548">
      <w:pPr>
        <w:pStyle w:val="BodyText"/>
        <w:spacing w:before="60" w:after="60" w:line="216" w:lineRule="auto"/>
        <w:rPr>
          <w:rFonts w:ascii="Calibri" w:hAnsi="Calibri" w:cs="Calibri"/>
          <w:sz w:val="21"/>
          <w:szCs w:val="21"/>
        </w:rPr>
      </w:pPr>
      <w:r w:rsidRPr="00FA288E">
        <w:rPr>
          <w:rFonts w:ascii="Calibri" w:hAnsi="Calibri" w:cs="Calibri"/>
          <w:sz w:val="21"/>
          <w:szCs w:val="21"/>
        </w:rPr>
        <w:t xml:space="preserve">The September 2019 MOU signing between the NDOE, the PPF Secretariat and the three grantees as well as the convening of the PPF </w:t>
      </w:r>
      <w:r w:rsidR="000705D8" w:rsidRPr="00FA288E">
        <w:rPr>
          <w:rFonts w:ascii="Calibri" w:hAnsi="Calibri" w:cs="Calibri"/>
          <w:sz w:val="21"/>
          <w:szCs w:val="21"/>
        </w:rPr>
        <w:t>NOC</w:t>
      </w:r>
      <w:r w:rsidRPr="00FA288E">
        <w:rPr>
          <w:rFonts w:ascii="Calibri" w:hAnsi="Calibri" w:cs="Calibri"/>
          <w:sz w:val="21"/>
          <w:szCs w:val="21"/>
        </w:rPr>
        <w:t xml:space="preserve"> in mid-December 2019 provide</w:t>
      </w:r>
      <w:r w:rsidR="003248FB" w:rsidRPr="00FA288E">
        <w:rPr>
          <w:rFonts w:ascii="Calibri" w:hAnsi="Calibri" w:cs="Calibri"/>
          <w:sz w:val="21"/>
          <w:szCs w:val="21"/>
        </w:rPr>
        <w:t>d</w:t>
      </w:r>
      <w:r w:rsidRPr="00FA288E">
        <w:rPr>
          <w:rFonts w:ascii="Calibri" w:hAnsi="Calibri" w:cs="Calibri"/>
          <w:sz w:val="21"/>
          <w:szCs w:val="21"/>
        </w:rPr>
        <w:t xml:space="preserve"> opportunities to improve the operational relationship between the GoPNG and the Australian Government. The review team was advised that NDOE officials have been invited to participate on PPF Secretariat monitoring visits and have participated in four of the six monitoring visits conducted prior to the mid-term review.</w:t>
      </w:r>
      <w:r w:rsidR="000705D8" w:rsidRPr="00FA288E">
        <w:rPr>
          <w:rStyle w:val="FootnoteReference"/>
          <w:rFonts w:ascii="Calibri" w:hAnsi="Calibri" w:cs="Calibri"/>
          <w:sz w:val="21"/>
          <w:szCs w:val="21"/>
        </w:rPr>
        <w:footnoteReference w:id="47"/>
      </w:r>
      <w:r w:rsidRPr="00FA288E">
        <w:rPr>
          <w:rFonts w:ascii="Calibri" w:hAnsi="Calibri" w:cs="Calibri"/>
          <w:sz w:val="21"/>
          <w:szCs w:val="21"/>
        </w:rPr>
        <w:t xml:space="preserve">  Recent efforts by the Australian Government and the PPF Secretariat to engage in discussions on current investments in education, including participation of senior representatives from the DNPM and NDOE during the </w:t>
      </w:r>
      <w:r w:rsidR="00F84EFB" w:rsidRPr="00FA288E">
        <w:rPr>
          <w:rFonts w:ascii="Calibri" w:hAnsi="Calibri" w:cs="Calibri"/>
          <w:sz w:val="21"/>
          <w:szCs w:val="21"/>
        </w:rPr>
        <w:t xml:space="preserve">mid-term </w:t>
      </w:r>
      <w:r w:rsidRPr="00FA288E">
        <w:rPr>
          <w:rFonts w:ascii="Calibri" w:hAnsi="Calibri" w:cs="Calibri"/>
          <w:sz w:val="21"/>
          <w:szCs w:val="21"/>
        </w:rPr>
        <w:t>review, bode well for future collaboration.</w:t>
      </w:r>
      <w:r w:rsidRPr="00FA288E">
        <w:rPr>
          <w:rStyle w:val="FootnoteReference"/>
          <w:rFonts w:ascii="Calibri" w:hAnsi="Calibri" w:cs="Calibri"/>
          <w:sz w:val="21"/>
          <w:szCs w:val="21"/>
        </w:rPr>
        <w:footnoteReference w:id="48"/>
      </w:r>
      <w:r w:rsidRPr="00FA288E">
        <w:rPr>
          <w:rFonts w:ascii="Calibri" w:hAnsi="Calibri" w:cs="Calibri"/>
          <w:sz w:val="21"/>
          <w:szCs w:val="21"/>
        </w:rPr>
        <w:t xml:space="preserve"> Guidance provided by GoPNG officials during the review indicated that there is a genuine desire to be involved at the early stages of investments by donors, including Australia, in order to avoid potential confusion, help align investment and facilitate implementation.</w:t>
      </w:r>
    </w:p>
    <w:p w14:paraId="39D6E234" w14:textId="77777777" w:rsidR="00463548" w:rsidRPr="00FA288E" w:rsidRDefault="00463548" w:rsidP="00463548">
      <w:pPr>
        <w:pStyle w:val="BodyText"/>
        <w:spacing w:after="80" w:line="240" w:lineRule="auto"/>
        <w:rPr>
          <w:rFonts w:ascii="Calibri" w:hAnsi="Calibri" w:cs="Calibri"/>
          <w:sz w:val="21"/>
          <w:szCs w:val="21"/>
        </w:rPr>
      </w:pPr>
      <w:r w:rsidRPr="00FA288E">
        <w:rPr>
          <w:rFonts w:ascii="Calibri" w:hAnsi="Calibri" w:cs="Calibri"/>
          <w:sz w:val="21"/>
          <w:szCs w:val="21"/>
        </w:rPr>
        <w:t xml:space="preserve">Notwithstanding the concerns noted above, all NDOE officials interviewed expressed gratitude for the investments, their interest in being engaged in the future, and participating in opportunities to learn from the various project interventions, particularly teacher training, the ECCE pilot, use and effect of </w:t>
      </w:r>
      <w:proofErr w:type="spellStart"/>
      <w:r w:rsidRPr="00FA288E">
        <w:rPr>
          <w:rFonts w:ascii="Calibri" w:hAnsi="Calibri" w:cs="Calibri"/>
          <w:sz w:val="21"/>
          <w:szCs w:val="21"/>
        </w:rPr>
        <w:t>Bilum</w:t>
      </w:r>
      <w:proofErr w:type="spellEnd"/>
      <w:r w:rsidRPr="00FA288E">
        <w:rPr>
          <w:rFonts w:ascii="Calibri" w:hAnsi="Calibri" w:cs="Calibri"/>
          <w:sz w:val="21"/>
          <w:szCs w:val="21"/>
        </w:rPr>
        <w:t xml:space="preserve"> Books, piloting of e-learning and technology applications, and reviewing the potential improvements made to SLIP training.</w:t>
      </w:r>
    </w:p>
    <w:p w14:paraId="03B0BF7C" w14:textId="77777777" w:rsidR="008E2685" w:rsidRPr="00FA288E" w:rsidRDefault="00614C93" w:rsidP="00255746">
      <w:pPr>
        <w:pStyle w:val="Bullets"/>
        <w:numPr>
          <w:ilvl w:val="0"/>
          <w:numId w:val="0"/>
        </w:numPr>
        <w:spacing w:after="80" w:line="240" w:lineRule="auto"/>
        <w:rPr>
          <w:sz w:val="24"/>
          <w:szCs w:val="24"/>
        </w:rPr>
      </w:pPr>
      <w:bookmarkStart w:id="77" w:name="_Toc26914367"/>
      <w:r w:rsidRPr="00FA288E">
        <w:rPr>
          <w:sz w:val="24"/>
          <w:szCs w:val="24"/>
        </w:rPr>
        <w:t>3.2.</w:t>
      </w:r>
      <w:r w:rsidR="00463548" w:rsidRPr="00FA288E">
        <w:rPr>
          <w:sz w:val="24"/>
          <w:szCs w:val="24"/>
        </w:rPr>
        <w:t>3</w:t>
      </w:r>
      <w:r w:rsidRPr="00FA288E">
        <w:rPr>
          <w:sz w:val="24"/>
          <w:szCs w:val="24"/>
        </w:rPr>
        <w:t xml:space="preserve"> District and Provincial relationships and approaches to practice/policy influence</w:t>
      </w:r>
      <w:bookmarkEnd w:id="77"/>
    </w:p>
    <w:p w14:paraId="2EAE9C50" w14:textId="77777777" w:rsidR="003248FB" w:rsidRPr="00FA288E" w:rsidRDefault="0019300E" w:rsidP="00255746">
      <w:pPr>
        <w:pStyle w:val="BodyText"/>
        <w:spacing w:after="80" w:line="240" w:lineRule="auto"/>
        <w:rPr>
          <w:rFonts w:ascii="Calibri" w:hAnsi="Calibri" w:cs="Calibri"/>
          <w:sz w:val="21"/>
          <w:szCs w:val="21"/>
        </w:rPr>
      </w:pPr>
      <w:r w:rsidRPr="00FA288E">
        <w:rPr>
          <w:rFonts w:ascii="Calibri" w:hAnsi="Calibri" w:cs="Calibri"/>
          <w:sz w:val="21"/>
          <w:szCs w:val="21"/>
        </w:rPr>
        <w:t>E</w:t>
      </w:r>
      <w:r w:rsidR="00614C93" w:rsidRPr="00FA288E">
        <w:rPr>
          <w:rFonts w:ascii="Calibri" w:hAnsi="Calibri" w:cs="Calibri"/>
          <w:sz w:val="21"/>
          <w:szCs w:val="21"/>
        </w:rPr>
        <w:t>ngagement at the District and Provincial levels by the A</w:t>
      </w:r>
      <w:r w:rsidR="00C06101" w:rsidRPr="00FA288E">
        <w:rPr>
          <w:rFonts w:ascii="Calibri" w:hAnsi="Calibri" w:cs="Calibri"/>
          <w:sz w:val="21"/>
          <w:szCs w:val="21"/>
        </w:rPr>
        <w:t xml:space="preserve">ustralian </w:t>
      </w:r>
      <w:r w:rsidR="001444CE" w:rsidRPr="00FA288E">
        <w:rPr>
          <w:rFonts w:ascii="Calibri" w:hAnsi="Calibri" w:cs="Calibri"/>
          <w:sz w:val="21"/>
          <w:szCs w:val="21"/>
        </w:rPr>
        <w:t>G</w:t>
      </w:r>
      <w:r w:rsidR="00C06101" w:rsidRPr="00FA288E">
        <w:rPr>
          <w:rFonts w:ascii="Calibri" w:hAnsi="Calibri" w:cs="Calibri"/>
          <w:sz w:val="21"/>
          <w:szCs w:val="21"/>
        </w:rPr>
        <w:t>overnment</w:t>
      </w:r>
      <w:r w:rsidR="00614C93" w:rsidRPr="00FA288E">
        <w:rPr>
          <w:rFonts w:ascii="Calibri" w:hAnsi="Calibri" w:cs="Calibri"/>
          <w:sz w:val="21"/>
          <w:szCs w:val="21"/>
        </w:rPr>
        <w:t xml:space="preserve"> or by the PPF Secretariat is not evident</w:t>
      </w:r>
      <w:r w:rsidR="000705D8" w:rsidRPr="00FA288E">
        <w:rPr>
          <w:rFonts w:ascii="Calibri" w:hAnsi="Calibri" w:cs="Calibri"/>
          <w:sz w:val="21"/>
          <w:szCs w:val="21"/>
        </w:rPr>
        <w:t xml:space="preserve"> (aside from PPF Secretariat monitoring visits noted above)</w:t>
      </w:r>
      <w:r w:rsidR="00614C93" w:rsidRPr="00FA288E">
        <w:rPr>
          <w:rFonts w:ascii="Calibri" w:hAnsi="Calibri" w:cs="Calibri"/>
          <w:sz w:val="21"/>
          <w:szCs w:val="21"/>
        </w:rPr>
        <w:t xml:space="preserve">, leaving the relationships at the sub-national level to the three grantees and their consortia partners. </w:t>
      </w:r>
      <w:r w:rsidR="00C06101" w:rsidRPr="00FA288E">
        <w:rPr>
          <w:rFonts w:ascii="Calibri" w:hAnsi="Calibri" w:cs="Calibri"/>
          <w:sz w:val="21"/>
          <w:szCs w:val="21"/>
        </w:rPr>
        <w:t xml:space="preserve">This differentiation in engagement is appropriate as it </w:t>
      </w:r>
      <w:r w:rsidR="00C66A17" w:rsidRPr="00FA288E">
        <w:rPr>
          <w:rFonts w:ascii="Calibri" w:hAnsi="Calibri" w:cs="Calibri"/>
          <w:sz w:val="21"/>
          <w:szCs w:val="21"/>
        </w:rPr>
        <w:t xml:space="preserve">allows the Australian </w:t>
      </w:r>
      <w:r w:rsidR="001444CE" w:rsidRPr="00FA288E">
        <w:rPr>
          <w:rFonts w:ascii="Calibri" w:hAnsi="Calibri" w:cs="Calibri"/>
          <w:sz w:val="21"/>
          <w:szCs w:val="21"/>
        </w:rPr>
        <w:t>G</w:t>
      </w:r>
      <w:r w:rsidR="00C66A17" w:rsidRPr="00FA288E">
        <w:rPr>
          <w:rFonts w:ascii="Calibri" w:hAnsi="Calibri" w:cs="Calibri"/>
          <w:sz w:val="21"/>
          <w:szCs w:val="21"/>
        </w:rPr>
        <w:t>overnment and the PPF Secretariat to attend to pro</w:t>
      </w:r>
      <w:r w:rsidR="001D27A1" w:rsidRPr="00FA288E">
        <w:rPr>
          <w:rFonts w:ascii="Calibri" w:hAnsi="Calibri" w:cs="Calibri"/>
          <w:sz w:val="21"/>
          <w:szCs w:val="21"/>
        </w:rPr>
        <w:t>ject</w:t>
      </w:r>
      <w:r w:rsidR="00C66A17" w:rsidRPr="00FA288E">
        <w:rPr>
          <w:rFonts w:ascii="Calibri" w:hAnsi="Calibri" w:cs="Calibri"/>
          <w:sz w:val="21"/>
          <w:szCs w:val="21"/>
        </w:rPr>
        <w:t xml:space="preserve"> oversight and dialogue with the national level and each consortium to engage at the provincial and district levels </w:t>
      </w:r>
      <w:r w:rsidR="000705D8" w:rsidRPr="00FA288E">
        <w:rPr>
          <w:rFonts w:ascii="Calibri" w:hAnsi="Calibri" w:cs="Calibri"/>
          <w:sz w:val="21"/>
          <w:szCs w:val="21"/>
        </w:rPr>
        <w:t>on</w:t>
      </w:r>
      <w:r w:rsidR="00C66A17" w:rsidRPr="00FA288E">
        <w:rPr>
          <w:rFonts w:ascii="Calibri" w:hAnsi="Calibri" w:cs="Calibri"/>
          <w:sz w:val="21"/>
          <w:szCs w:val="21"/>
        </w:rPr>
        <w:t xml:space="preserve"> implementation. </w:t>
      </w:r>
    </w:p>
    <w:p w14:paraId="7BAF7F9A" w14:textId="77777777" w:rsidR="00614C93" w:rsidRPr="00FA288E" w:rsidRDefault="00C66A17" w:rsidP="00255746">
      <w:pPr>
        <w:pStyle w:val="BodyText"/>
        <w:spacing w:after="80" w:line="240" w:lineRule="auto"/>
        <w:rPr>
          <w:rFonts w:ascii="Calibri" w:hAnsi="Calibri" w:cs="Calibri"/>
          <w:sz w:val="21"/>
          <w:szCs w:val="21"/>
        </w:rPr>
      </w:pPr>
      <w:r w:rsidRPr="00FA288E">
        <w:rPr>
          <w:rFonts w:ascii="Calibri" w:hAnsi="Calibri" w:cs="Calibri"/>
          <w:sz w:val="21"/>
          <w:szCs w:val="21"/>
        </w:rPr>
        <w:lastRenderedPageBreak/>
        <w:t xml:space="preserve">With the establishment of the PPF NOC, the relationships at the national level between the GoPNG, the Australian </w:t>
      </w:r>
      <w:r w:rsidR="001444CE" w:rsidRPr="00FA288E">
        <w:rPr>
          <w:rFonts w:ascii="Calibri" w:hAnsi="Calibri" w:cs="Calibri"/>
          <w:sz w:val="21"/>
          <w:szCs w:val="21"/>
        </w:rPr>
        <w:t>G</w:t>
      </w:r>
      <w:r w:rsidRPr="00FA288E">
        <w:rPr>
          <w:rFonts w:ascii="Calibri" w:hAnsi="Calibri" w:cs="Calibri"/>
          <w:sz w:val="21"/>
          <w:szCs w:val="21"/>
        </w:rPr>
        <w:t>overnment and PPF Secretariat are now formalized.</w:t>
      </w:r>
      <w:r w:rsidRPr="00FA288E">
        <w:rPr>
          <w:rStyle w:val="FootnoteReference"/>
          <w:rFonts w:ascii="Calibri" w:hAnsi="Calibri" w:cs="Calibri"/>
          <w:sz w:val="21"/>
          <w:szCs w:val="21"/>
        </w:rPr>
        <w:footnoteReference w:id="49"/>
      </w:r>
      <w:r w:rsidRPr="00FA288E">
        <w:rPr>
          <w:rFonts w:ascii="Calibri" w:hAnsi="Calibri" w:cs="Calibri"/>
          <w:sz w:val="21"/>
          <w:szCs w:val="21"/>
        </w:rPr>
        <w:t xml:space="preserve"> </w:t>
      </w:r>
      <w:r w:rsidR="00614C93" w:rsidRPr="00FA288E">
        <w:rPr>
          <w:rFonts w:ascii="Calibri" w:hAnsi="Calibri" w:cs="Calibri"/>
          <w:sz w:val="21"/>
          <w:szCs w:val="21"/>
        </w:rPr>
        <w:t xml:space="preserve">As noted elsewhere in this report, the review observed differing levels of engagement between the projects and the officials at the district and provincial levels. All projects </w:t>
      </w:r>
      <w:r w:rsidRPr="00FA288E">
        <w:rPr>
          <w:rFonts w:ascii="Calibri" w:hAnsi="Calibri" w:cs="Calibri"/>
          <w:sz w:val="21"/>
          <w:szCs w:val="21"/>
        </w:rPr>
        <w:t>continue to make</w:t>
      </w:r>
      <w:r w:rsidR="00614C93" w:rsidRPr="00FA288E">
        <w:rPr>
          <w:rFonts w:ascii="Calibri" w:hAnsi="Calibri" w:cs="Calibri"/>
          <w:sz w:val="21"/>
          <w:szCs w:val="21"/>
        </w:rPr>
        <w:t xml:space="preserve"> attempts to engage district and provincial officials and use varying models for doing so, although the common avenue</w:t>
      </w:r>
      <w:r w:rsidR="004E18DC" w:rsidRPr="00FA288E">
        <w:rPr>
          <w:rFonts w:ascii="Calibri" w:hAnsi="Calibri" w:cs="Calibri"/>
          <w:sz w:val="21"/>
          <w:szCs w:val="21"/>
        </w:rPr>
        <w:t xml:space="preserve"> is</w:t>
      </w:r>
      <w:r w:rsidR="00614C93" w:rsidRPr="00FA288E">
        <w:rPr>
          <w:rFonts w:ascii="Calibri" w:hAnsi="Calibri" w:cs="Calibri"/>
          <w:sz w:val="21"/>
          <w:szCs w:val="21"/>
        </w:rPr>
        <w:t xml:space="preserve"> through participation in the training of trainers</w:t>
      </w:r>
      <w:r w:rsidR="004E18DC" w:rsidRPr="00FA288E">
        <w:rPr>
          <w:rFonts w:ascii="Calibri" w:hAnsi="Calibri" w:cs="Calibri"/>
          <w:sz w:val="21"/>
          <w:szCs w:val="21"/>
        </w:rPr>
        <w:t xml:space="preserve">, the </w:t>
      </w:r>
      <w:r w:rsidR="00614C93" w:rsidRPr="00FA288E">
        <w:rPr>
          <w:rFonts w:ascii="Calibri" w:hAnsi="Calibri" w:cs="Calibri"/>
          <w:sz w:val="21"/>
          <w:szCs w:val="21"/>
        </w:rPr>
        <w:t xml:space="preserve">in-service training of teachers, </w:t>
      </w:r>
      <w:r w:rsidR="004E18DC" w:rsidRPr="00FA288E">
        <w:rPr>
          <w:rFonts w:ascii="Calibri" w:hAnsi="Calibri" w:cs="Calibri"/>
          <w:sz w:val="21"/>
          <w:szCs w:val="21"/>
        </w:rPr>
        <w:t>and</w:t>
      </w:r>
      <w:r w:rsidR="00614C93" w:rsidRPr="00FA288E">
        <w:rPr>
          <w:rFonts w:ascii="Calibri" w:hAnsi="Calibri" w:cs="Calibri"/>
          <w:sz w:val="21"/>
          <w:szCs w:val="21"/>
        </w:rPr>
        <w:t xml:space="preserve"> accompanying project personnel during </w:t>
      </w:r>
      <w:r w:rsidR="0019300E" w:rsidRPr="00FA288E">
        <w:rPr>
          <w:rFonts w:ascii="Calibri" w:hAnsi="Calibri" w:cs="Calibri"/>
          <w:sz w:val="21"/>
          <w:szCs w:val="21"/>
        </w:rPr>
        <w:t xml:space="preserve">project coaching and </w:t>
      </w:r>
      <w:r w:rsidR="00614C93" w:rsidRPr="00FA288E">
        <w:rPr>
          <w:rFonts w:ascii="Calibri" w:hAnsi="Calibri" w:cs="Calibri"/>
          <w:sz w:val="21"/>
          <w:szCs w:val="21"/>
        </w:rPr>
        <w:t xml:space="preserve">monitoring visits. For RISE, engagement at the district level </w:t>
      </w:r>
      <w:r w:rsidR="00C06101" w:rsidRPr="00FA288E">
        <w:rPr>
          <w:rFonts w:ascii="Calibri" w:hAnsi="Calibri" w:cs="Calibri"/>
          <w:sz w:val="21"/>
          <w:szCs w:val="21"/>
        </w:rPr>
        <w:t>is challenging</w:t>
      </w:r>
      <w:r w:rsidR="0019300E" w:rsidRPr="00FA288E">
        <w:rPr>
          <w:rFonts w:ascii="Calibri" w:hAnsi="Calibri" w:cs="Calibri"/>
          <w:sz w:val="21"/>
          <w:szCs w:val="21"/>
        </w:rPr>
        <w:t xml:space="preserve"> although there is no clear explanation </w:t>
      </w:r>
      <w:r w:rsidR="00744BE1" w:rsidRPr="00FA288E">
        <w:rPr>
          <w:rFonts w:ascii="Calibri" w:hAnsi="Calibri" w:cs="Calibri"/>
          <w:sz w:val="21"/>
          <w:szCs w:val="21"/>
        </w:rPr>
        <w:t xml:space="preserve">for </w:t>
      </w:r>
      <w:r w:rsidR="0019300E" w:rsidRPr="00FA288E">
        <w:rPr>
          <w:rFonts w:ascii="Calibri" w:hAnsi="Calibri" w:cs="Calibri"/>
          <w:sz w:val="21"/>
          <w:szCs w:val="21"/>
        </w:rPr>
        <w:t>these challenges</w:t>
      </w:r>
      <w:r w:rsidR="00C06101" w:rsidRPr="00FA288E">
        <w:rPr>
          <w:rFonts w:ascii="Calibri" w:hAnsi="Calibri" w:cs="Calibri"/>
          <w:sz w:val="21"/>
          <w:szCs w:val="21"/>
        </w:rPr>
        <w:t xml:space="preserve">. </w:t>
      </w:r>
      <w:r w:rsidR="00614C93" w:rsidRPr="00FA288E">
        <w:rPr>
          <w:rFonts w:ascii="Calibri" w:hAnsi="Calibri" w:cs="Calibri"/>
          <w:sz w:val="21"/>
          <w:szCs w:val="21"/>
        </w:rPr>
        <w:t>Where provincial and district officers ha</w:t>
      </w:r>
      <w:r w:rsidR="004E18DC" w:rsidRPr="00FA288E">
        <w:rPr>
          <w:rFonts w:ascii="Calibri" w:hAnsi="Calibri" w:cs="Calibri"/>
          <w:sz w:val="21"/>
          <w:szCs w:val="21"/>
        </w:rPr>
        <w:t>ve</w:t>
      </w:r>
      <w:r w:rsidR="00614C93" w:rsidRPr="00FA288E">
        <w:rPr>
          <w:rFonts w:ascii="Calibri" w:hAnsi="Calibri" w:cs="Calibri"/>
          <w:sz w:val="21"/>
          <w:szCs w:val="21"/>
        </w:rPr>
        <w:t xml:space="preserve"> been engaged with and participated in training sessions and monitoring visits</w:t>
      </w:r>
      <w:r w:rsidR="0019300E" w:rsidRPr="00FA288E">
        <w:rPr>
          <w:rFonts w:ascii="Calibri" w:hAnsi="Calibri" w:cs="Calibri"/>
          <w:sz w:val="21"/>
          <w:szCs w:val="21"/>
        </w:rPr>
        <w:t xml:space="preserve"> of all projects</w:t>
      </w:r>
      <w:r w:rsidR="00614C93" w:rsidRPr="00FA288E">
        <w:rPr>
          <w:rFonts w:ascii="Calibri" w:hAnsi="Calibri" w:cs="Calibri"/>
          <w:sz w:val="21"/>
          <w:szCs w:val="21"/>
        </w:rPr>
        <w:t xml:space="preserve">, they indicated that they now had a better understanding of their role, had improved their training and inspection practice (particularly in relation to gender and disability inclusion), and shared that they had improved their ability to perform their functions better.  The primary concern </w:t>
      </w:r>
      <w:r w:rsidR="0019300E" w:rsidRPr="00FA288E">
        <w:rPr>
          <w:rFonts w:ascii="Calibri" w:hAnsi="Calibri" w:cs="Calibri"/>
          <w:sz w:val="21"/>
          <w:szCs w:val="21"/>
        </w:rPr>
        <w:t xml:space="preserve">of these officials </w:t>
      </w:r>
      <w:r w:rsidR="00614C93" w:rsidRPr="00FA288E">
        <w:rPr>
          <w:rFonts w:ascii="Calibri" w:hAnsi="Calibri" w:cs="Calibri"/>
          <w:sz w:val="21"/>
          <w:szCs w:val="21"/>
        </w:rPr>
        <w:t xml:space="preserve">was the lack of funding following completion of the projects </w:t>
      </w:r>
      <w:r w:rsidR="0019300E" w:rsidRPr="00FA288E">
        <w:rPr>
          <w:rFonts w:ascii="Calibri" w:hAnsi="Calibri" w:cs="Calibri"/>
          <w:sz w:val="21"/>
          <w:szCs w:val="21"/>
        </w:rPr>
        <w:t>meaning that they would not be able to</w:t>
      </w:r>
      <w:r w:rsidR="00614C93" w:rsidRPr="00FA288E">
        <w:rPr>
          <w:rFonts w:ascii="Calibri" w:hAnsi="Calibri" w:cs="Calibri"/>
          <w:sz w:val="21"/>
          <w:szCs w:val="21"/>
        </w:rPr>
        <w:t xml:space="preserve"> </w:t>
      </w:r>
      <w:r w:rsidR="0019300E" w:rsidRPr="00FA288E">
        <w:rPr>
          <w:rFonts w:ascii="Calibri" w:hAnsi="Calibri" w:cs="Calibri"/>
          <w:sz w:val="21"/>
          <w:szCs w:val="21"/>
        </w:rPr>
        <w:t>continue to apply their newly acquired knowledge, skills and abilities</w:t>
      </w:r>
      <w:r w:rsidR="00614C93" w:rsidRPr="00FA288E">
        <w:rPr>
          <w:rFonts w:ascii="Calibri" w:hAnsi="Calibri" w:cs="Calibri"/>
          <w:sz w:val="21"/>
          <w:szCs w:val="21"/>
        </w:rPr>
        <w:t>.</w:t>
      </w:r>
    </w:p>
    <w:p w14:paraId="16BF2F48" w14:textId="77777777" w:rsidR="00614C93" w:rsidRPr="00FA288E" w:rsidRDefault="00614C93" w:rsidP="00255746">
      <w:pPr>
        <w:pStyle w:val="BodyText"/>
        <w:spacing w:after="80" w:line="240" w:lineRule="auto"/>
        <w:rPr>
          <w:rFonts w:ascii="Calibri" w:hAnsi="Calibri" w:cs="Calibri"/>
          <w:sz w:val="21"/>
          <w:szCs w:val="21"/>
        </w:rPr>
      </w:pPr>
      <w:r w:rsidRPr="00FA288E">
        <w:rPr>
          <w:rFonts w:ascii="Calibri" w:hAnsi="Calibri" w:cs="Calibri"/>
          <w:sz w:val="21"/>
          <w:szCs w:val="21"/>
        </w:rPr>
        <w:t>Interestingly, both RISE and PKS proceeded with the signing of MOUs with the P</w:t>
      </w:r>
      <w:r w:rsidR="00D05B41" w:rsidRPr="00FA288E">
        <w:rPr>
          <w:rFonts w:ascii="Calibri" w:hAnsi="Calibri" w:cs="Calibri"/>
          <w:sz w:val="21"/>
          <w:szCs w:val="21"/>
        </w:rPr>
        <w:t xml:space="preserve">rovincial </w:t>
      </w:r>
      <w:r w:rsidRPr="00FA288E">
        <w:rPr>
          <w:rFonts w:ascii="Calibri" w:hAnsi="Calibri" w:cs="Calibri"/>
          <w:sz w:val="21"/>
          <w:szCs w:val="21"/>
        </w:rPr>
        <w:t>D</w:t>
      </w:r>
      <w:r w:rsidR="00D05B41" w:rsidRPr="00FA288E">
        <w:rPr>
          <w:rFonts w:ascii="Calibri" w:hAnsi="Calibri" w:cs="Calibri"/>
          <w:sz w:val="21"/>
          <w:szCs w:val="21"/>
        </w:rPr>
        <w:t>epartment of Education (PD</w:t>
      </w:r>
      <w:r w:rsidRPr="00FA288E">
        <w:rPr>
          <w:rFonts w:ascii="Calibri" w:hAnsi="Calibri" w:cs="Calibri"/>
          <w:sz w:val="21"/>
          <w:szCs w:val="21"/>
        </w:rPr>
        <w:t>OE</w:t>
      </w:r>
      <w:r w:rsidR="00D05B41" w:rsidRPr="00FA288E">
        <w:rPr>
          <w:rFonts w:ascii="Calibri" w:hAnsi="Calibri" w:cs="Calibri"/>
          <w:sz w:val="21"/>
          <w:szCs w:val="21"/>
        </w:rPr>
        <w:t>)</w:t>
      </w:r>
      <w:r w:rsidRPr="00FA288E">
        <w:rPr>
          <w:rFonts w:ascii="Calibri" w:hAnsi="Calibri" w:cs="Calibri"/>
          <w:sz w:val="21"/>
          <w:szCs w:val="21"/>
        </w:rPr>
        <w:t xml:space="preserve"> in each of the provinces they were working in.  This decision was made to facilitate the development of a relationship between the project and the PDOE.</w:t>
      </w:r>
      <w:r w:rsidR="0019300E" w:rsidRPr="00FA288E">
        <w:rPr>
          <w:rStyle w:val="FootnoteReference"/>
          <w:rFonts w:ascii="Calibri" w:hAnsi="Calibri" w:cs="Calibri"/>
          <w:sz w:val="21"/>
          <w:szCs w:val="21"/>
        </w:rPr>
        <w:footnoteReference w:id="50"/>
      </w:r>
      <w:r w:rsidRPr="00FA288E">
        <w:rPr>
          <w:rFonts w:ascii="Calibri" w:hAnsi="Calibri" w:cs="Calibri"/>
          <w:sz w:val="21"/>
          <w:szCs w:val="21"/>
        </w:rPr>
        <w:t xml:space="preserve">  For T4E, they were advised by an NDOE official that they should not proceed with provincial MOU</w:t>
      </w:r>
      <w:r w:rsidR="00C06101" w:rsidRPr="00FA288E">
        <w:rPr>
          <w:rFonts w:ascii="Calibri" w:hAnsi="Calibri" w:cs="Calibri"/>
          <w:sz w:val="21"/>
          <w:szCs w:val="21"/>
        </w:rPr>
        <w:t>s</w:t>
      </w:r>
      <w:r w:rsidRPr="00FA288E">
        <w:rPr>
          <w:rFonts w:ascii="Calibri" w:hAnsi="Calibri" w:cs="Calibri"/>
          <w:sz w:val="21"/>
          <w:szCs w:val="21"/>
        </w:rPr>
        <w:t xml:space="preserve"> without having a national MOU in place.</w:t>
      </w:r>
      <w:r w:rsidR="00C06101" w:rsidRPr="00FA288E">
        <w:rPr>
          <w:rFonts w:ascii="Calibri" w:hAnsi="Calibri" w:cs="Calibri"/>
          <w:sz w:val="21"/>
          <w:szCs w:val="21"/>
        </w:rPr>
        <w:t xml:space="preserve"> With the national MOU now in place, provincial MOUs</w:t>
      </w:r>
      <w:r w:rsidR="002832DA" w:rsidRPr="00FA288E">
        <w:rPr>
          <w:rFonts w:ascii="Calibri" w:hAnsi="Calibri" w:cs="Calibri"/>
          <w:sz w:val="21"/>
          <w:szCs w:val="21"/>
        </w:rPr>
        <w:t xml:space="preserve"> for T4E should be </w:t>
      </w:r>
      <w:r w:rsidR="00744BE1" w:rsidRPr="00FA288E">
        <w:rPr>
          <w:rFonts w:ascii="Calibri" w:hAnsi="Calibri" w:cs="Calibri"/>
          <w:sz w:val="21"/>
          <w:szCs w:val="21"/>
        </w:rPr>
        <w:t>finalised</w:t>
      </w:r>
      <w:r w:rsidR="00C06101" w:rsidRPr="00FA288E">
        <w:rPr>
          <w:rFonts w:ascii="Calibri" w:hAnsi="Calibri" w:cs="Calibri"/>
          <w:sz w:val="21"/>
          <w:szCs w:val="21"/>
        </w:rPr>
        <w:t>.</w:t>
      </w:r>
    </w:p>
    <w:p w14:paraId="3F85AC35" w14:textId="77777777" w:rsidR="00614C93" w:rsidRPr="00FA288E" w:rsidRDefault="00614C93" w:rsidP="000705D8">
      <w:pPr>
        <w:pStyle w:val="BodyText"/>
        <w:spacing w:after="80" w:line="240" w:lineRule="auto"/>
        <w:rPr>
          <w:rFonts w:ascii="Calibri" w:hAnsi="Calibri" w:cs="Calibri"/>
          <w:sz w:val="21"/>
          <w:szCs w:val="21"/>
        </w:rPr>
      </w:pPr>
      <w:r w:rsidRPr="00FA288E">
        <w:rPr>
          <w:rFonts w:ascii="Calibri" w:hAnsi="Calibri" w:cs="Calibri"/>
          <w:sz w:val="21"/>
          <w:szCs w:val="21"/>
        </w:rPr>
        <w:t xml:space="preserve">What has </w:t>
      </w:r>
      <w:r w:rsidR="007724D9" w:rsidRPr="00FA288E">
        <w:rPr>
          <w:rFonts w:ascii="Calibri" w:hAnsi="Calibri" w:cs="Calibri"/>
          <w:sz w:val="21"/>
          <w:szCs w:val="21"/>
        </w:rPr>
        <w:t xml:space="preserve">perhaps </w:t>
      </w:r>
      <w:r w:rsidRPr="00FA288E">
        <w:rPr>
          <w:rFonts w:ascii="Calibri" w:hAnsi="Calibri" w:cs="Calibri"/>
          <w:sz w:val="21"/>
          <w:szCs w:val="21"/>
        </w:rPr>
        <w:t>been missing is the involvement of Provincial level stakeholders in the design of and ongoing planning for the implementation of pro</w:t>
      </w:r>
      <w:r w:rsidR="001D27A1" w:rsidRPr="00FA288E">
        <w:rPr>
          <w:rFonts w:ascii="Calibri" w:hAnsi="Calibri" w:cs="Calibri"/>
          <w:sz w:val="21"/>
          <w:szCs w:val="21"/>
        </w:rPr>
        <w:t>ject</w:t>
      </w:r>
      <w:r w:rsidRPr="00FA288E">
        <w:rPr>
          <w:rFonts w:ascii="Calibri" w:hAnsi="Calibri" w:cs="Calibri"/>
          <w:sz w:val="21"/>
          <w:szCs w:val="21"/>
        </w:rPr>
        <w:t xml:space="preserve"> initiatives in their provinces. Exacerbated by implementation pressures (grantees) and the frequent unavailability of stakeholders (PDOE/ District) due to other duties, there was little time to engage in effective joint planning beyond agreeing that some </w:t>
      </w:r>
      <w:r w:rsidR="002832DA" w:rsidRPr="00FA288E">
        <w:rPr>
          <w:rFonts w:ascii="Calibri" w:hAnsi="Calibri" w:cs="Calibri"/>
          <w:sz w:val="21"/>
          <w:szCs w:val="21"/>
        </w:rPr>
        <w:t xml:space="preserve">provincial and district </w:t>
      </w:r>
      <w:r w:rsidRPr="00FA288E">
        <w:rPr>
          <w:rFonts w:ascii="Calibri" w:hAnsi="Calibri" w:cs="Calibri"/>
          <w:sz w:val="21"/>
          <w:szCs w:val="21"/>
        </w:rPr>
        <w:t xml:space="preserve">staff would participate.  The </w:t>
      </w:r>
      <w:r w:rsidR="0088614B" w:rsidRPr="00FA288E">
        <w:rPr>
          <w:rFonts w:ascii="Calibri" w:hAnsi="Calibri" w:cs="Calibri"/>
          <w:sz w:val="21"/>
          <w:szCs w:val="21"/>
        </w:rPr>
        <w:t xml:space="preserve">signed </w:t>
      </w:r>
      <w:r w:rsidRPr="00FA288E">
        <w:rPr>
          <w:rFonts w:ascii="Calibri" w:hAnsi="Calibri" w:cs="Calibri"/>
          <w:sz w:val="21"/>
          <w:szCs w:val="21"/>
        </w:rPr>
        <w:t>MOUs (RISE and PKS) provided li</w:t>
      </w:r>
      <w:r w:rsidR="00C06101" w:rsidRPr="00FA288E">
        <w:rPr>
          <w:rFonts w:ascii="Calibri" w:hAnsi="Calibri" w:cs="Calibri"/>
          <w:sz w:val="21"/>
          <w:szCs w:val="21"/>
        </w:rPr>
        <w:t>mited</w:t>
      </w:r>
      <w:r w:rsidRPr="00FA288E">
        <w:rPr>
          <w:rFonts w:ascii="Calibri" w:hAnsi="Calibri" w:cs="Calibri"/>
          <w:sz w:val="21"/>
          <w:szCs w:val="21"/>
        </w:rPr>
        <w:t xml:space="preserve"> guidance on the expectations of engagement. In addition, there was little evidence that PDOE/District staff had been actively engaged in the rich and detailed reflection workshops held by the consortiums in which they reviewed implementation </w:t>
      </w:r>
      <w:r w:rsidR="00C06101" w:rsidRPr="00FA288E">
        <w:rPr>
          <w:rFonts w:ascii="Calibri" w:hAnsi="Calibri" w:cs="Calibri"/>
          <w:sz w:val="21"/>
          <w:szCs w:val="21"/>
        </w:rPr>
        <w:t xml:space="preserve">progress </w:t>
      </w:r>
      <w:r w:rsidRPr="00FA288E">
        <w:rPr>
          <w:rFonts w:ascii="Calibri" w:hAnsi="Calibri" w:cs="Calibri"/>
          <w:sz w:val="21"/>
          <w:szCs w:val="21"/>
        </w:rPr>
        <w:t>and made revisions to intervention</w:t>
      </w:r>
      <w:r w:rsidR="00C06101" w:rsidRPr="00FA288E">
        <w:rPr>
          <w:rFonts w:ascii="Calibri" w:hAnsi="Calibri" w:cs="Calibri"/>
          <w:sz w:val="21"/>
          <w:szCs w:val="21"/>
        </w:rPr>
        <w:t>s</w:t>
      </w:r>
      <w:r w:rsidRPr="00FA288E">
        <w:rPr>
          <w:rFonts w:ascii="Calibri" w:hAnsi="Calibri" w:cs="Calibri"/>
          <w:sz w:val="21"/>
          <w:szCs w:val="21"/>
        </w:rPr>
        <w:t>. This may have been a missed opportunity to influence practice change at this level. Institutionalisation of approaches/practice change is discussed further in section 3.5 below.</w:t>
      </w:r>
      <w:r w:rsidR="007724D9" w:rsidRPr="00FA288E">
        <w:rPr>
          <w:rFonts w:ascii="Calibri" w:hAnsi="Calibri" w:cs="Calibri"/>
          <w:sz w:val="21"/>
          <w:szCs w:val="21"/>
        </w:rPr>
        <w:t xml:space="preserve"> </w:t>
      </w:r>
    </w:p>
    <w:p w14:paraId="062C38EF" w14:textId="77777777" w:rsidR="00614C93" w:rsidRPr="00FA288E" w:rsidRDefault="00614C93" w:rsidP="00FF62CC">
      <w:pPr>
        <w:pStyle w:val="Heading1"/>
        <w:numPr>
          <w:ilvl w:val="1"/>
          <w:numId w:val="66"/>
        </w:numPr>
        <w:spacing w:before="120" w:after="80" w:line="240" w:lineRule="auto"/>
        <w:ind w:left="539" w:hanging="539"/>
      </w:pPr>
      <w:bookmarkStart w:id="78" w:name="_Toc26914369"/>
      <w:bookmarkStart w:id="79" w:name="_Toc31625590"/>
      <w:bookmarkStart w:id="80" w:name="_Toc42075970"/>
      <w:r w:rsidRPr="00FA288E">
        <w:t>Extent to which the monitoring and evaluation systems are adequately measuring implementation progress towards outcomes and supporting reporting and learning (KRQ 3)</w:t>
      </w:r>
      <w:bookmarkEnd w:id="78"/>
      <w:bookmarkEnd w:id="79"/>
      <w:bookmarkEnd w:id="80"/>
    </w:p>
    <w:p w14:paraId="6990EDD5" w14:textId="77777777" w:rsidR="00CE0165" w:rsidRPr="00FA288E" w:rsidRDefault="00CE0165" w:rsidP="00AB2F99">
      <w:pPr>
        <w:spacing w:after="120" w:line="240" w:lineRule="auto"/>
        <w:jc w:val="both"/>
        <w:rPr>
          <w:rFonts w:cs="Calibri"/>
          <w:szCs w:val="21"/>
        </w:rPr>
      </w:pPr>
      <w:r w:rsidRPr="00FA288E">
        <w:rPr>
          <w:rFonts w:cs="Calibri"/>
          <w:szCs w:val="21"/>
        </w:rPr>
        <w:t xml:space="preserve">This section addresses sub-questions </w:t>
      </w:r>
      <w:r w:rsidRPr="00FA288E">
        <w:rPr>
          <w:rFonts w:cs="Calibri"/>
          <w:b/>
          <w:szCs w:val="21"/>
        </w:rPr>
        <w:t xml:space="preserve">3a, </w:t>
      </w:r>
      <w:r w:rsidRPr="00FA288E">
        <w:rPr>
          <w:rFonts w:cs="Calibri"/>
          <w:szCs w:val="21"/>
        </w:rPr>
        <w:t xml:space="preserve">the robustness and coherence of program logics; </w:t>
      </w:r>
      <w:r w:rsidRPr="00FA288E">
        <w:rPr>
          <w:rFonts w:cs="Calibri"/>
          <w:b/>
          <w:szCs w:val="21"/>
        </w:rPr>
        <w:t xml:space="preserve">3b. </w:t>
      </w:r>
      <w:r w:rsidRPr="00FA288E">
        <w:rPr>
          <w:rFonts w:cs="Calibri"/>
          <w:szCs w:val="21"/>
        </w:rPr>
        <w:t xml:space="preserve">adequacy of the data and assessment tools for measuring progress; and </w:t>
      </w:r>
      <w:r w:rsidRPr="00FA288E">
        <w:rPr>
          <w:rFonts w:cs="Calibri"/>
          <w:b/>
          <w:szCs w:val="21"/>
        </w:rPr>
        <w:t>3c,</w:t>
      </w:r>
      <w:r w:rsidRPr="00FA288E">
        <w:rPr>
          <w:rFonts w:cs="Calibri"/>
          <w:szCs w:val="21"/>
        </w:rPr>
        <w:t xml:space="preserve"> the extent to which reporting is meeting information and learning needs of stakeholders.</w:t>
      </w:r>
    </w:p>
    <w:p w14:paraId="7800E961" w14:textId="19C07EAC" w:rsidR="0045654B" w:rsidRPr="00FA288E" w:rsidRDefault="0045654B" w:rsidP="00AB2F99">
      <w:pPr>
        <w:spacing w:after="120" w:line="240" w:lineRule="auto"/>
        <w:jc w:val="both"/>
      </w:pPr>
      <w:r w:rsidRPr="00FA288E">
        <w:rPr>
          <w:b/>
        </w:rPr>
        <w:t>Finding:</w:t>
      </w:r>
      <w:r w:rsidRPr="00FA288E">
        <w:t xml:space="preserve"> Overall, the monitoring and evaluation systems of the three projects were adequate, with reasonably robust program logics. Coherence across programs could be greatly enhanced by </w:t>
      </w:r>
      <w:r w:rsidR="002E1D89" w:rsidRPr="00FA288E">
        <w:t>developing</w:t>
      </w:r>
      <w:r w:rsidRPr="00FA288E">
        <w:t xml:space="preserve"> an overall Theory of Change with clear outcomes to which each grantee would contribute based on their strengths and interest. </w:t>
      </w:r>
    </w:p>
    <w:p w14:paraId="560628BF" w14:textId="473D7B8B" w:rsidR="0045654B" w:rsidRPr="00FA288E" w:rsidRDefault="0045654B" w:rsidP="00AB2F99">
      <w:pPr>
        <w:spacing w:after="120" w:line="240" w:lineRule="auto"/>
        <w:jc w:val="both"/>
      </w:pPr>
      <w:r w:rsidRPr="00FA288E">
        <w:rPr>
          <w:b/>
        </w:rPr>
        <w:t>Finding:</w:t>
      </w:r>
      <w:r w:rsidRPr="00FA288E">
        <w:t xml:space="preserve"> All grantees</w:t>
      </w:r>
      <w:r w:rsidR="00A259F6" w:rsidRPr="00FA288E">
        <w:t xml:space="preserve"> felt the impact of not having a</w:t>
      </w:r>
      <w:r w:rsidRPr="00FA288E">
        <w:t xml:space="preserve"> comprehensive monitoring, evaluation and learning (MEL) framework from the outset, and the PPF secretariat was </w:t>
      </w:r>
      <w:r w:rsidR="00A259F6" w:rsidRPr="00FA288E">
        <w:t>delayed</w:t>
      </w:r>
      <w:r w:rsidRPr="00FA288E">
        <w:t xml:space="preserve"> in developing an overall performance assessment framework. The consequent (and significant) differences between the three projects in the indicators used and the ways in which the indicators are measured hampered aggregation of results and comparability. The reliance on proving changes in baseline literacy and numeracy through the use of control groups has provided rich data, but this has proved less useful in assessing which interventions were most impactful. </w:t>
      </w:r>
      <w:r w:rsidR="00FA288E" w:rsidRPr="00FA288E">
        <w:t>End line</w:t>
      </w:r>
      <w:r w:rsidRPr="00FA288E">
        <w:t xml:space="preserve"> study designs are expected to provide more detailed, qualitative data for assessment purposes. There is an appropriate level of data disaggregation by gender and disability with some notable gaps. These are being addressed through the PPF Secretariat’s </w:t>
      </w:r>
      <w:r w:rsidR="002E1D89" w:rsidRPr="00FA288E">
        <w:t xml:space="preserve">2019 </w:t>
      </w:r>
      <w:r w:rsidRPr="00FA288E">
        <w:t>Gender and Social Inclusion Report recommendations.</w:t>
      </w:r>
    </w:p>
    <w:p w14:paraId="455600A0" w14:textId="77777777" w:rsidR="0045654B" w:rsidRPr="00FA288E" w:rsidRDefault="0045654B" w:rsidP="00AB2F99">
      <w:pPr>
        <w:spacing w:after="120" w:line="240" w:lineRule="auto"/>
        <w:jc w:val="both"/>
        <w:rPr>
          <w:b/>
        </w:rPr>
      </w:pPr>
      <w:r w:rsidRPr="00FA288E">
        <w:rPr>
          <w:b/>
        </w:rPr>
        <w:lastRenderedPageBreak/>
        <w:t xml:space="preserve">Finding: </w:t>
      </w:r>
      <w:r w:rsidRPr="00FA288E">
        <w:t>Progress reporting by grantees is fit for purpose and generally meets the information needs of the Australian Government and the learning needs of the grantees. There is a need for improvement in sharing of reports both internally and with various GoPNG departments. The PPF Secretariat Monitoring Trip Reports provide high quality snapshots of progress and implementation challenges, however their combined PPF progress reporting provided to the Australian Government does not adequately provide for adequate reporting against the</w:t>
      </w:r>
      <w:r w:rsidR="002E1D89" w:rsidRPr="00FA288E">
        <w:t xml:space="preserve"> Australian Government’s</w:t>
      </w:r>
      <w:r w:rsidRPr="00FA288E">
        <w:t xml:space="preserve"> Education Leadership Portfolio Plan.  </w:t>
      </w:r>
    </w:p>
    <w:p w14:paraId="0F62E0C8" w14:textId="760A0709" w:rsidR="00614C93" w:rsidRPr="00FA288E" w:rsidRDefault="00614C93" w:rsidP="002832DA">
      <w:pPr>
        <w:pStyle w:val="Bullets"/>
        <w:numPr>
          <w:ilvl w:val="0"/>
          <w:numId w:val="0"/>
        </w:numPr>
        <w:spacing w:after="80" w:line="240" w:lineRule="auto"/>
        <w:rPr>
          <w:sz w:val="24"/>
          <w:szCs w:val="24"/>
        </w:rPr>
      </w:pPr>
      <w:bookmarkStart w:id="81" w:name="_Toc26914370"/>
      <w:r w:rsidRPr="00FA288E">
        <w:rPr>
          <w:sz w:val="24"/>
          <w:szCs w:val="24"/>
        </w:rPr>
        <w:t xml:space="preserve">3.3.1 </w:t>
      </w:r>
      <w:bookmarkEnd w:id="81"/>
      <w:r w:rsidR="002E1D89" w:rsidRPr="00FA288E">
        <w:rPr>
          <w:sz w:val="24"/>
          <w:szCs w:val="24"/>
        </w:rPr>
        <w:t>Program logic</w:t>
      </w:r>
    </w:p>
    <w:p w14:paraId="5F560649" w14:textId="77777777" w:rsidR="00614C93" w:rsidRPr="00FA288E" w:rsidRDefault="00614C93" w:rsidP="002832DA">
      <w:pPr>
        <w:pStyle w:val="BodyText"/>
        <w:spacing w:after="80" w:line="240" w:lineRule="auto"/>
        <w:rPr>
          <w:rFonts w:ascii="Calibri" w:hAnsi="Calibri" w:cs="Calibri"/>
          <w:sz w:val="21"/>
          <w:szCs w:val="21"/>
        </w:rPr>
      </w:pPr>
      <w:r w:rsidRPr="00FA288E">
        <w:rPr>
          <w:rFonts w:ascii="Calibri" w:hAnsi="Calibri" w:cs="Calibri"/>
          <w:sz w:val="21"/>
          <w:szCs w:val="21"/>
        </w:rPr>
        <w:t xml:space="preserve">During </w:t>
      </w:r>
      <w:r w:rsidR="002832DA" w:rsidRPr="00FA288E">
        <w:rPr>
          <w:rFonts w:ascii="Calibri" w:hAnsi="Calibri" w:cs="Calibri"/>
          <w:sz w:val="21"/>
          <w:szCs w:val="21"/>
        </w:rPr>
        <w:t xml:space="preserve">the </w:t>
      </w:r>
      <w:r w:rsidRPr="00FA288E">
        <w:rPr>
          <w:rFonts w:ascii="Calibri" w:hAnsi="Calibri" w:cs="Calibri"/>
          <w:sz w:val="21"/>
          <w:szCs w:val="21"/>
        </w:rPr>
        <w:t xml:space="preserve">initial call for </w:t>
      </w:r>
      <w:r w:rsidR="002832DA" w:rsidRPr="00FA288E">
        <w:rPr>
          <w:rFonts w:ascii="Calibri" w:hAnsi="Calibri" w:cs="Calibri"/>
          <w:sz w:val="21"/>
          <w:szCs w:val="21"/>
        </w:rPr>
        <w:t>proposals</w:t>
      </w:r>
      <w:r w:rsidRPr="00FA288E">
        <w:rPr>
          <w:rFonts w:ascii="Calibri" w:hAnsi="Calibri" w:cs="Calibri"/>
          <w:sz w:val="21"/>
          <w:szCs w:val="21"/>
        </w:rPr>
        <w:t>, consortia were encouraged to develop program</w:t>
      </w:r>
      <w:r w:rsidR="00D361A9" w:rsidRPr="00FA288E">
        <w:rPr>
          <w:rFonts w:ascii="Calibri" w:hAnsi="Calibri" w:cs="Calibri"/>
          <w:sz w:val="21"/>
          <w:szCs w:val="21"/>
        </w:rPr>
        <w:t>s</w:t>
      </w:r>
      <w:r w:rsidRPr="00FA288E">
        <w:rPr>
          <w:rFonts w:ascii="Calibri" w:hAnsi="Calibri" w:cs="Calibri"/>
          <w:sz w:val="21"/>
          <w:szCs w:val="21"/>
        </w:rPr>
        <w:t xml:space="preserve"> to deliver one or more of five </w:t>
      </w:r>
      <w:r w:rsidR="00116F97" w:rsidRPr="00FA288E">
        <w:rPr>
          <w:rFonts w:ascii="Calibri" w:hAnsi="Calibri" w:cs="Calibri"/>
          <w:sz w:val="21"/>
          <w:szCs w:val="21"/>
        </w:rPr>
        <w:t>pre-identified o</w:t>
      </w:r>
      <w:r w:rsidRPr="00FA288E">
        <w:rPr>
          <w:rFonts w:ascii="Calibri" w:hAnsi="Calibri" w:cs="Calibri"/>
          <w:sz w:val="21"/>
          <w:szCs w:val="21"/>
        </w:rPr>
        <w:t>utcomes.</w:t>
      </w:r>
      <w:r w:rsidRPr="00FA288E">
        <w:rPr>
          <w:rStyle w:val="FootnoteReference"/>
          <w:rFonts w:ascii="Calibri" w:hAnsi="Calibri" w:cs="Calibri"/>
          <w:sz w:val="21"/>
          <w:szCs w:val="21"/>
        </w:rPr>
        <w:footnoteReference w:id="51"/>
      </w:r>
      <w:r w:rsidRPr="00FA288E">
        <w:rPr>
          <w:rFonts w:ascii="Calibri" w:hAnsi="Calibri" w:cs="Calibri"/>
          <w:sz w:val="21"/>
          <w:szCs w:val="21"/>
        </w:rPr>
        <w:t xml:space="preserve"> </w:t>
      </w:r>
      <w:r w:rsidR="002832DA" w:rsidRPr="00FA288E">
        <w:rPr>
          <w:rFonts w:ascii="Calibri" w:hAnsi="Calibri" w:cs="Calibri"/>
          <w:sz w:val="21"/>
          <w:szCs w:val="21"/>
        </w:rPr>
        <w:t>Interesting</w:t>
      </w:r>
      <w:r w:rsidR="00A204C2" w:rsidRPr="00FA288E">
        <w:rPr>
          <w:rFonts w:ascii="Calibri" w:hAnsi="Calibri" w:cs="Calibri"/>
          <w:sz w:val="21"/>
          <w:szCs w:val="21"/>
        </w:rPr>
        <w:t>ly</w:t>
      </w:r>
      <w:r w:rsidR="002832DA" w:rsidRPr="00FA288E">
        <w:rPr>
          <w:rFonts w:ascii="Calibri" w:hAnsi="Calibri" w:cs="Calibri"/>
          <w:sz w:val="21"/>
          <w:szCs w:val="21"/>
        </w:rPr>
        <w:t>, a</w:t>
      </w:r>
      <w:r w:rsidRPr="00FA288E">
        <w:rPr>
          <w:rFonts w:ascii="Calibri" w:hAnsi="Calibri" w:cs="Calibri"/>
          <w:sz w:val="21"/>
          <w:szCs w:val="21"/>
        </w:rPr>
        <w:t xml:space="preserve">ll grantees </w:t>
      </w:r>
      <w:r w:rsidR="00D361A9" w:rsidRPr="00FA288E">
        <w:rPr>
          <w:rFonts w:ascii="Calibri" w:hAnsi="Calibri" w:cs="Calibri"/>
          <w:sz w:val="21"/>
          <w:szCs w:val="21"/>
        </w:rPr>
        <w:t xml:space="preserve">designed </w:t>
      </w:r>
      <w:r w:rsidR="00116F97" w:rsidRPr="00FA288E">
        <w:rPr>
          <w:rFonts w:ascii="Calibri" w:hAnsi="Calibri" w:cs="Calibri"/>
          <w:sz w:val="21"/>
          <w:szCs w:val="21"/>
        </w:rPr>
        <w:t>a range of</w:t>
      </w:r>
      <w:r w:rsidRPr="00FA288E">
        <w:rPr>
          <w:rFonts w:ascii="Calibri" w:hAnsi="Calibri" w:cs="Calibri"/>
          <w:sz w:val="21"/>
          <w:szCs w:val="21"/>
        </w:rPr>
        <w:t xml:space="preserve"> </w:t>
      </w:r>
      <w:r w:rsidR="00116F97" w:rsidRPr="00FA288E">
        <w:rPr>
          <w:rFonts w:ascii="Calibri" w:hAnsi="Calibri" w:cs="Calibri"/>
          <w:sz w:val="21"/>
          <w:szCs w:val="21"/>
        </w:rPr>
        <w:t xml:space="preserve">interventions </w:t>
      </w:r>
      <w:r w:rsidRPr="00FA288E">
        <w:rPr>
          <w:rFonts w:ascii="Calibri" w:hAnsi="Calibri" w:cs="Calibri"/>
          <w:sz w:val="21"/>
          <w:szCs w:val="21"/>
        </w:rPr>
        <w:t xml:space="preserve">to contribute towards </w:t>
      </w:r>
      <w:r w:rsidRPr="00FA288E">
        <w:rPr>
          <w:rFonts w:ascii="Calibri" w:hAnsi="Calibri" w:cs="Calibri"/>
          <w:i/>
          <w:sz w:val="21"/>
          <w:szCs w:val="21"/>
        </w:rPr>
        <w:t>all</w:t>
      </w:r>
      <w:r w:rsidRPr="00FA288E">
        <w:rPr>
          <w:rFonts w:ascii="Calibri" w:hAnsi="Calibri" w:cs="Calibri"/>
          <w:sz w:val="21"/>
          <w:szCs w:val="21"/>
        </w:rPr>
        <w:t xml:space="preserve"> of five </w:t>
      </w:r>
      <w:r w:rsidR="002832DA" w:rsidRPr="00FA288E">
        <w:rPr>
          <w:rFonts w:ascii="Calibri" w:hAnsi="Calibri" w:cs="Calibri"/>
          <w:sz w:val="21"/>
          <w:szCs w:val="21"/>
        </w:rPr>
        <w:t xml:space="preserve">of the possible </w:t>
      </w:r>
      <w:r w:rsidRPr="00FA288E">
        <w:rPr>
          <w:rFonts w:ascii="Calibri" w:hAnsi="Calibri" w:cs="Calibri"/>
          <w:sz w:val="21"/>
          <w:szCs w:val="21"/>
        </w:rPr>
        <w:t>outcomes.</w:t>
      </w:r>
    </w:p>
    <w:p w14:paraId="023C101D" w14:textId="77777777" w:rsidR="00614C93" w:rsidRPr="00FA288E" w:rsidRDefault="00614C93" w:rsidP="002832DA">
      <w:pPr>
        <w:spacing w:after="80" w:line="240" w:lineRule="auto"/>
        <w:rPr>
          <w:rFonts w:cs="Calibri"/>
          <w:i/>
        </w:rPr>
      </w:pPr>
      <w:r w:rsidRPr="00FA288E">
        <w:rPr>
          <w:rFonts w:cs="Calibri"/>
          <w:i/>
        </w:rPr>
        <w:t xml:space="preserve">Robustness of individual program logics </w:t>
      </w:r>
    </w:p>
    <w:p w14:paraId="5542EA19" w14:textId="77777777" w:rsidR="00614C93" w:rsidRPr="00FA288E" w:rsidRDefault="00614C93" w:rsidP="002832DA">
      <w:pPr>
        <w:pStyle w:val="BodyText"/>
        <w:spacing w:after="80" w:line="240" w:lineRule="auto"/>
        <w:rPr>
          <w:rFonts w:ascii="Calibri" w:hAnsi="Calibri" w:cs="Calibri"/>
          <w:sz w:val="21"/>
          <w:szCs w:val="21"/>
        </w:rPr>
      </w:pPr>
      <w:r w:rsidRPr="00FA288E">
        <w:rPr>
          <w:rFonts w:ascii="Calibri" w:hAnsi="Calibri" w:cs="Calibri"/>
          <w:sz w:val="21"/>
          <w:szCs w:val="21"/>
        </w:rPr>
        <w:t xml:space="preserve">Grantee program logics are generally well considered and conceptually robust – drawing on the considerable implementation experience of the lead NGOs. All address goals broader than literacy and numeracy outcomes, which, according to the individual theories of change, </w:t>
      </w:r>
      <w:r w:rsidR="003C438B" w:rsidRPr="00FA288E">
        <w:rPr>
          <w:rFonts w:ascii="Calibri" w:hAnsi="Calibri" w:cs="Calibri"/>
          <w:sz w:val="21"/>
          <w:szCs w:val="21"/>
        </w:rPr>
        <w:t xml:space="preserve">are </w:t>
      </w:r>
      <w:r w:rsidRPr="00FA288E">
        <w:rPr>
          <w:rFonts w:ascii="Calibri" w:hAnsi="Calibri" w:cs="Calibri"/>
          <w:sz w:val="21"/>
          <w:szCs w:val="21"/>
        </w:rPr>
        <w:t xml:space="preserve">underpinned </w:t>
      </w:r>
      <w:r w:rsidR="003C438B" w:rsidRPr="00FA288E">
        <w:rPr>
          <w:rFonts w:ascii="Calibri" w:hAnsi="Calibri" w:cs="Calibri"/>
          <w:sz w:val="21"/>
          <w:szCs w:val="21"/>
        </w:rPr>
        <w:t xml:space="preserve">by </w:t>
      </w:r>
      <w:r w:rsidRPr="00FA288E">
        <w:rPr>
          <w:rFonts w:ascii="Calibri" w:hAnsi="Calibri" w:cs="Calibri"/>
          <w:sz w:val="21"/>
          <w:szCs w:val="21"/>
        </w:rPr>
        <w:t>shorter</w:t>
      </w:r>
      <w:r w:rsidR="009632FD" w:rsidRPr="00FA288E">
        <w:rPr>
          <w:rFonts w:ascii="Calibri" w:hAnsi="Calibri" w:cs="Calibri"/>
          <w:sz w:val="21"/>
          <w:szCs w:val="21"/>
        </w:rPr>
        <w:t>-</w:t>
      </w:r>
      <w:r w:rsidRPr="00FA288E">
        <w:rPr>
          <w:rFonts w:ascii="Calibri" w:hAnsi="Calibri" w:cs="Calibri"/>
          <w:sz w:val="21"/>
          <w:szCs w:val="21"/>
        </w:rPr>
        <w:t xml:space="preserve">term </w:t>
      </w:r>
      <w:r w:rsidR="003C438B" w:rsidRPr="00FA288E">
        <w:rPr>
          <w:rFonts w:ascii="Calibri" w:hAnsi="Calibri" w:cs="Calibri"/>
          <w:sz w:val="21"/>
          <w:szCs w:val="21"/>
        </w:rPr>
        <w:t xml:space="preserve">improved </w:t>
      </w:r>
      <w:r w:rsidRPr="00FA288E">
        <w:rPr>
          <w:rFonts w:ascii="Calibri" w:hAnsi="Calibri" w:cs="Calibri"/>
          <w:sz w:val="21"/>
          <w:szCs w:val="21"/>
        </w:rPr>
        <w:t>effective teaching and learning strategies.</w:t>
      </w:r>
    </w:p>
    <w:p w14:paraId="031B9874" w14:textId="691C7316" w:rsidR="00614C93" w:rsidRPr="00FA288E" w:rsidRDefault="00614C93" w:rsidP="002832DA">
      <w:pPr>
        <w:pStyle w:val="BodyText"/>
        <w:spacing w:after="80" w:line="240" w:lineRule="auto"/>
        <w:rPr>
          <w:rFonts w:ascii="Calibri" w:hAnsi="Calibri" w:cs="Calibri"/>
          <w:sz w:val="21"/>
          <w:szCs w:val="21"/>
        </w:rPr>
      </w:pPr>
      <w:r w:rsidRPr="00FA288E">
        <w:rPr>
          <w:rFonts w:ascii="Calibri" w:hAnsi="Calibri" w:cs="Calibri"/>
          <w:sz w:val="21"/>
          <w:szCs w:val="21"/>
        </w:rPr>
        <w:t xml:space="preserve">Consistent with good design practice, grantee program logics evolved over time (through internal review processes) to incorporate contextual changes and respond to initial assumptions </w:t>
      </w:r>
      <w:r w:rsidR="0042274A" w:rsidRPr="00FA288E">
        <w:rPr>
          <w:rFonts w:ascii="Calibri" w:hAnsi="Calibri" w:cs="Calibri"/>
          <w:sz w:val="21"/>
          <w:szCs w:val="21"/>
        </w:rPr>
        <w:t xml:space="preserve">that </w:t>
      </w:r>
      <w:r w:rsidRPr="00FA288E">
        <w:rPr>
          <w:rFonts w:ascii="Calibri" w:hAnsi="Calibri" w:cs="Calibri"/>
          <w:sz w:val="21"/>
          <w:szCs w:val="21"/>
        </w:rPr>
        <w:t>have not held true. Many involved ‘tweaks’ to implementation strategies and outcome</w:t>
      </w:r>
      <w:r w:rsidR="002325E4" w:rsidRPr="00FA288E">
        <w:rPr>
          <w:rFonts w:ascii="Calibri" w:hAnsi="Calibri" w:cs="Calibri"/>
          <w:sz w:val="21"/>
          <w:szCs w:val="21"/>
        </w:rPr>
        <w:t xml:space="preserve"> statements</w:t>
      </w:r>
      <w:r w:rsidRPr="00FA288E">
        <w:rPr>
          <w:rFonts w:ascii="Calibri" w:hAnsi="Calibri" w:cs="Calibri"/>
          <w:sz w:val="21"/>
          <w:szCs w:val="21"/>
        </w:rPr>
        <w:t xml:space="preserve"> rather than </w:t>
      </w:r>
      <w:r w:rsidR="003C438B" w:rsidRPr="00FA288E">
        <w:rPr>
          <w:rFonts w:ascii="Calibri" w:hAnsi="Calibri" w:cs="Calibri"/>
          <w:sz w:val="21"/>
          <w:szCs w:val="21"/>
        </w:rPr>
        <w:t>significant</w:t>
      </w:r>
      <w:r w:rsidRPr="00FA288E">
        <w:rPr>
          <w:rFonts w:ascii="Calibri" w:hAnsi="Calibri" w:cs="Calibri"/>
          <w:sz w:val="21"/>
          <w:szCs w:val="21"/>
        </w:rPr>
        <w:t xml:space="preserve"> revisions</w:t>
      </w:r>
      <w:r w:rsidR="003C438B" w:rsidRPr="00FA288E">
        <w:rPr>
          <w:rFonts w:ascii="Calibri" w:hAnsi="Calibri" w:cs="Calibri"/>
          <w:sz w:val="21"/>
          <w:szCs w:val="21"/>
        </w:rPr>
        <w:t>. Examples of significant revisions include:</w:t>
      </w:r>
      <w:r w:rsidRPr="00FA288E">
        <w:rPr>
          <w:rFonts w:ascii="Calibri" w:hAnsi="Calibri" w:cs="Calibri"/>
          <w:sz w:val="21"/>
          <w:szCs w:val="21"/>
        </w:rPr>
        <w:t xml:space="preserve"> </w:t>
      </w:r>
      <w:proofErr w:type="spellStart"/>
      <w:r w:rsidR="002325E4" w:rsidRPr="00FA288E">
        <w:rPr>
          <w:rFonts w:ascii="Calibri" w:hAnsi="Calibri" w:cs="Calibri"/>
          <w:sz w:val="21"/>
          <w:szCs w:val="21"/>
        </w:rPr>
        <w:t>i</w:t>
      </w:r>
      <w:proofErr w:type="spellEnd"/>
      <w:r w:rsidR="002325E4" w:rsidRPr="00FA288E">
        <w:rPr>
          <w:rFonts w:ascii="Calibri" w:hAnsi="Calibri" w:cs="Calibri"/>
          <w:sz w:val="21"/>
          <w:szCs w:val="21"/>
        </w:rPr>
        <w:t xml:space="preserve">) </w:t>
      </w:r>
      <w:r w:rsidRPr="00FA288E">
        <w:rPr>
          <w:rFonts w:ascii="Calibri" w:hAnsi="Calibri" w:cs="Calibri"/>
          <w:sz w:val="21"/>
          <w:szCs w:val="21"/>
        </w:rPr>
        <w:t>a shift in focus from girls</w:t>
      </w:r>
      <w:r w:rsidR="002E1D89" w:rsidRPr="00FA288E">
        <w:rPr>
          <w:rFonts w:ascii="Calibri" w:hAnsi="Calibri" w:cs="Calibri"/>
          <w:sz w:val="21"/>
          <w:szCs w:val="21"/>
        </w:rPr>
        <w:t>’</w:t>
      </w:r>
      <w:r w:rsidRPr="00FA288E">
        <w:rPr>
          <w:rFonts w:ascii="Calibri" w:hAnsi="Calibri" w:cs="Calibri"/>
          <w:sz w:val="21"/>
          <w:szCs w:val="21"/>
        </w:rPr>
        <w:t xml:space="preserve"> inclusion to </w:t>
      </w:r>
      <w:r w:rsidR="003C438B" w:rsidRPr="00FA288E">
        <w:rPr>
          <w:rFonts w:ascii="Calibri" w:hAnsi="Calibri" w:cs="Calibri"/>
          <w:sz w:val="21"/>
          <w:szCs w:val="21"/>
        </w:rPr>
        <w:t xml:space="preserve">increasing enrolment of </w:t>
      </w:r>
      <w:r w:rsidRPr="00FA288E">
        <w:rPr>
          <w:rFonts w:ascii="Calibri" w:hAnsi="Calibri" w:cs="Calibri"/>
          <w:sz w:val="21"/>
          <w:szCs w:val="21"/>
        </w:rPr>
        <w:t xml:space="preserve">children with a disability </w:t>
      </w:r>
      <w:r w:rsidR="003C438B" w:rsidRPr="00FA288E">
        <w:rPr>
          <w:rFonts w:ascii="Calibri" w:hAnsi="Calibri" w:cs="Calibri"/>
          <w:sz w:val="21"/>
          <w:szCs w:val="21"/>
        </w:rPr>
        <w:t xml:space="preserve">in schools </w:t>
      </w:r>
      <w:r w:rsidRPr="00FA288E">
        <w:rPr>
          <w:rFonts w:ascii="Calibri" w:hAnsi="Calibri" w:cs="Calibri"/>
          <w:sz w:val="21"/>
          <w:szCs w:val="21"/>
        </w:rPr>
        <w:t xml:space="preserve">(RISE); </w:t>
      </w:r>
      <w:r w:rsidR="002325E4" w:rsidRPr="00FA288E">
        <w:rPr>
          <w:rFonts w:ascii="Calibri" w:hAnsi="Calibri" w:cs="Calibri"/>
          <w:sz w:val="21"/>
          <w:szCs w:val="21"/>
        </w:rPr>
        <w:t xml:space="preserve">ii) </w:t>
      </w:r>
      <w:r w:rsidRPr="00FA288E">
        <w:rPr>
          <w:rFonts w:ascii="Calibri" w:hAnsi="Calibri" w:cs="Calibri"/>
          <w:sz w:val="21"/>
          <w:szCs w:val="21"/>
        </w:rPr>
        <w:t xml:space="preserve">decreased emphasis on outcomes in relation to enrolment of girls, teachers enrolling in the Certificate of Elementary Teaching, and </w:t>
      </w:r>
      <w:r w:rsidR="007B1946" w:rsidRPr="00FA288E">
        <w:rPr>
          <w:rFonts w:ascii="Calibri" w:hAnsi="Calibri" w:cs="Calibri"/>
          <w:sz w:val="21"/>
          <w:szCs w:val="21"/>
        </w:rPr>
        <w:t>having w</w:t>
      </w:r>
      <w:r w:rsidRPr="00FA288E">
        <w:rPr>
          <w:rFonts w:ascii="Calibri" w:hAnsi="Calibri" w:cs="Calibri"/>
          <w:sz w:val="21"/>
          <w:szCs w:val="21"/>
        </w:rPr>
        <w:t>omen</w:t>
      </w:r>
      <w:r w:rsidR="007B1946" w:rsidRPr="00FA288E">
        <w:rPr>
          <w:rFonts w:ascii="Calibri" w:hAnsi="Calibri" w:cs="Calibri"/>
          <w:sz w:val="21"/>
          <w:szCs w:val="21"/>
        </w:rPr>
        <w:t xml:space="preserve"> representatives</w:t>
      </w:r>
      <w:r w:rsidRPr="00FA288E">
        <w:rPr>
          <w:rFonts w:ascii="Calibri" w:hAnsi="Calibri" w:cs="Calibri"/>
          <w:sz w:val="21"/>
          <w:szCs w:val="21"/>
        </w:rPr>
        <w:t xml:space="preserve"> on </w:t>
      </w:r>
      <w:proofErr w:type="spellStart"/>
      <w:r w:rsidRPr="00FA288E">
        <w:rPr>
          <w:rFonts w:ascii="Calibri" w:hAnsi="Calibri" w:cs="Calibri"/>
          <w:sz w:val="21"/>
          <w:szCs w:val="21"/>
        </w:rPr>
        <w:t>SBoMs</w:t>
      </w:r>
      <w:proofErr w:type="spellEnd"/>
      <w:r w:rsidRPr="00FA288E">
        <w:rPr>
          <w:rFonts w:ascii="Calibri" w:hAnsi="Calibri" w:cs="Calibri"/>
          <w:sz w:val="21"/>
          <w:szCs w:val="21"/>
        </w:rPr>
        <w:t xml:space="preserve"> (PKS); and</w:t>
      </w:r>
      <w:r w:rsidR="002325E4" w:rsidRPr="00FA288E">
        <w:rPr>
          <w:rFonts w:ascii="Calibri" w:hAnsi="Calibri" w:cs="Calibri"/>
          <w:sz w:val="21"/>
          <w:szCs w:val="21"/>
        </w:rPr>
        <w:t>, iii)</w:t>
      </w:r>
      <w:r w:rsidR="003C438B" w:rsidRPr="00FA288E">
        <w:rPr>
          <w:rFonts w:ascii="Calibri" w:hAnsi="Calibri" w:cs="Calibri"/>
          <w:sz w:val="21"/>
          <w:szCs w:val="21"/>
        </w:rPr>
        <w:t xml:space="preserve"> removing</w:t>
      </w:r>
      <w:r w:rsidRPr="00FA288E">
        <w:rPr>
          <w:rFonts w:ascii="Calibri" w:hAnsi="Calibri" w:cs="Calibri"/>
          <w:sz w:val="21"/>
          <w:szCs w:val="21"/>
        </w:rPr>
        <w:t xml:space="preserve"> systemic outcomes related to sub-national </w:t>
      </w:r>
      <w:r w:rsidR="00340801" w:rsidRPr="00FA288E">
        <w:rPr>
          <w:rFonts w:ascii="Calibri" w:hAnsi="Calibri" w:cs="Calibri"/>
          <w:sz w:val="21"/>
          <w:szCs w:val="21"/>
        </w:rPr>
        <w:t>ability</w:t>
      </w:r>
      <w:r w:rsidRPr="00FA288E">
        <w:rPr>
          <w:rFonts w:ascii="Calibri" w:hAnsi="Calibri" w:cs="Calibri"/>
          <w:sz w:val="21"/>
          <w:szCs w:val="21"/>
        </w:rPr>
        <w:t xml:space="preserve"> to carry out school inspections more regularly (RISE, T4E) </w:t>
      </w:r>
      <w:r w:rsidR="002325E4" w:rsidRPr="00FA288E">
        <w:rPr>
          <w:rFonts w:ascii="Calibri" w:hAnsi="Calibri" w:cs="Calibri"/>
          <w:sz w:val="21"/>
          <w:szCs w:val="21"/>
        </w:rPr>
        <w:t>although</w:t>
      </w:r>
      <w:r w:rsidRPr="00FA288E">
        <w:rPr>
          <w:rFonts w:ascii="Calibri" w:hAnsi="Calibri" w:cs="Calibri"/>
          <w:sz w:val="21"/>
          <w:szCs w:val="21"/>
        </w:rPr>
        <w:t xml:space="preserve"> </w:t>
      </w:r>
      <w:r w:rsidR="003C438B" w:rsidRPr="00FA288E">
        <w:rPr>
          <w:rFonts w:ascii="Calibri" w:hAnsi="Calibri" w:cs="Calibri"/>
          <w:sz w:val="21"/>
          <w:szCs w:val="21"/>
        </w:rPr>
        <w:t xml:space="preserve">continued efforts to </w:t>
      </w:r>
      <w:r w:rsidRPr="00FA288E">
        <w:rPr>
          <w:rFonts w:ascii="Calibri" w:hAnsi="Calibri" w:cs="Calibri"/>
          <w:sz w:val="21"/>
          <w:szCs w:val="21"/>
        </w:rPr>
        <w:t xml:space="preserve">improve </w:t>
      </w:r>
      <w:r w:rsidR="00340801" w:rsidRPr="00FA288E">
        <w:rPr>
          <w:rFonts w:ascii="Calibri" w:hAnsi="Calibri" w:cs="Calibri"/>
          <w:sz w:val="21"/>
          <w:szCs w:val="21"/>
        </w:rPr>
        <w:t xml:space="preserve">the abilities of </w:t>
      </w:r>
      <w:r w:rsidR="003C438B" w:rsidRPr="00FA288E">
        <w:rPr>
          <w:rFonts w:ascii="Calibri" w:hAnsi="Calibri" w:cs="Calibri"/>
          <w:sz w:val="21"/>
          <w:szCs w:val="21"/>
        </w:rPr>
        <w:t xml:space="preserve">sub-national </w:t>
      </w:r>
      <w:r w:rsidR="00340801" w:rsidRPr="00FA288E">
        <w:rPr>
          <w:rFonts w:ascii="Calibri" w:hAnsi="Calibri" w:cs="Calibri"/>
          <w:sz w:val="21"/>
          <w:szCs w:val="21"/>
        </w:rPr>
        <w:t>officials</w:t>
      </w:r>
      <w:r w:rsidR="002325E4" w:rsidRPr="00FA288E">
        <w:rPr>
          <w:rFonts w:ascii="Calibri" w:hAnsi="Calibri" w:cs="Calibri"/>
          <w:sz w:val="21"/>
          <w:szCs w:val="21"/>
        </w:rPr>
        <w:t xml:space="preserve"> </w:t>
      </w:r>
      <w:r w:rsidR="00340801" w:rsidRPr="00FA288E">
        <w:rPr>
          <w:rFonts w:ascii="Calibri" w:hAnsi="Calibri" w:cs="Calibri"/>
          <w:sz w:val="21"/>
          <w:szCs w:val="21"/>
        </w:rPr>
        <w:t>continues.</w:t>
      </w:r>
      <w:r w:rsidRPr="00FA288E">
        <w:rPr>
          <w:rFonts w:ascii="Calibri" w:hAnsi="Calibri" w:cs="Calibri"/>
          <w:sz w:val="21"/>
          <w:szCs w:val="21"/>
        </w:rPr>
        <w:t xml:space="preserve"> </w:t>
      </w:r>
    </w:p>
    <w:p w14:paraId="54B45CAD" w14:textId="77777777" w:rsidR="00614C93" w:rsidRPr="00FA288E" w:rsidRDefault="00614C93" w:rsidP="002832DA">
      <w:pPr>
        <w:pStyle w:val="BodyText"/>
        <w:spacing w:after="80" w:line="240" w:lineRule="auto"/>
        <w:rPr>
          <w:rFonts w:ascii="Calibri" w:hAnsi="Calibri" w:cs="Calibri"/>
        </w:rPr>
      </w:pPr>
      <w:r w:rsidRPr="00FA288E">
        <w:rPr>
          <w:rFonts w:ascii="Calibri" w:hAnsi="Calibri" w:cs="Calibri"/>
          <w:sz w:val="21"/>
          <w:szCs w:val="21"/>
        </w:rPr>
        <w:t xml:space="preserve">Consortia partners needed to adjust the scope of some of their original </w:t>
      </w:r>
      <w:r w:rsidR="0007208B" w:rsidRPr="00FA288E">
        <w:rPr>
          <w:rFonts w:ascii="Calibri" w:hAnsi="Calibri" w:cs="Calibri"/>
          <w:sz w:val="21"/>
          <w:szCs w:val="21"/>
        </w:rPr>
        <w:t>expectations</w:t>
      </w:r>
      <w:r w:rsidRPr="00FA288E">
        <w:rPr>
          <w:rFonts w:ascii="Calibri" w:hAnsi="Calibri" w:cs="Calibri"/>
          <w:sz w:val="21"/>
          <w:szCs w:val="21"/>
        </w:rPr>
        <w:t xml:space="preserve"> to reflect implementation realities. Assuming that the shorter-term outcomes around teacher training and reading will be sufficient to contribute to the overall achievement of the ‘quality education’ aspects of their broader goals, the integrity of their program logics </w:t>
      </w:r>
      <w:r w:rsidR="0007208B" w:rsidRPr="00FA288E">
        <w:rPr>
          <w:rFonts w:ascii="Calibri" w:hAnsi="Calibri" w:cs="Calibri"/>
          <w:sz w:val="21"/>
          <w:szCs w:val="21"/>
        </w:rPr>
        <w:t>has not been compromised</w:t>
      </w:r>
      <w:r w:rsidRPr="00FA288E">
        <w:rPr>
          <w:rFonts w:ascii="Calibri" w:hAnsi="Calibri" w:cs="Calibri"/>
          <w:sz w:val="21"/>
          <w:szCs w:val="21"/>
        </w:rPr>
        <w:t xml:space="preserve">. </w:t>
      </w:r>
    </w:p>
    <w:p w14:paraId="26543E14" w14:textId="77777777" w:rsidR="00614C93" w:rsidRPr="00FA288E" w:rsidRDefault="00614C93" w:rsidP="002832DA">
      <w:pPr>
        <w:spacing w:after="80" w:line="240" w:lineRule="auto"/>
        <w:rPr>
          <w:rFonts w:cs="Calibri"/>
          <w:i/>
        </w:rPr>
      </w:pPr>
      <w:r w:rsidRPr="00FA288E">
        <w:rPr>
          <w:rFonts w:cs="Calibri"/>
          <w:i/>
        </w:rPr>
        <w:t>Coherence between program logics</w:t>
      </w:r>
    </w:p>
    <w:p w14:paraId="08DE5EF5" w14:textId="2D1B5E27" w:rsidR="002E1D89" w:rsidRPr="00FA288E" w:rsidRDefault="00614C93" w:rsidP="002832DA">
      <w:pPr>
        <w:pStyle w:val="BodyText"/>
        <w:spacing w:after="80" w:line="240" w:lineRule="auto"/>
        <w:rPr>
          <w:rFonts w:ascii="Calibri" w:hAnsi="Calibri" w:cs="Calibri"/>
          <w:sz w:val="21"/>
          <w:szCs w:val="21"/>
        </w:rPr>
      </w:pPr>
      <w:r w:rsidRPr="00FA288E">
        <w:rPr>
          <w:rFonts w:ascii="Calibri" w:hAnsi="Calibri" w:cs="Calibri"/>
          <w:sz w:val="21"/>
          <w:szCs w:val="21"/>
        </w:rPr>
        <w:t>Several interview participants indicated that over time, the initial broader suite of outcomes has come to be more narrowly associated with achieving real and measurable improvements in literacy and numeracy (often referred to during interviews</w:t>
      </w:r>
      <w:r w:rsidR="0007208B" w:rsidRPr="00FA288E">
        <w:rPr>
          <w:rFonts w:ascii="Calibri" w:hAnsi="Calibri" w:cs="Calibri"/>
          <w:sz w:val="21"/>
          <w:szCs w:val="21"/>
        </w:rPr>
        <w:t xml:space="preserve"> with project staff</w:t>
      </w:r>
      <w:r w:rsidRPr="00FA288E">
        <w:rPr>
          <w:rFonts w:ascii="Calibri" w:hAnsi="Calibri" w:cs="Calibri"/>
          <w:sz w:val="21"/>
          <w:szCs w:val="21"/>
        </w:rPr>
        <w:t xml:space="preserve"> as the </w:t>
      </w:r>
      <w:r w:rsidR="0007208B" w:rsidRPr="00FA288E">
        <w:rPr>
          <w:rFonts w:ascii="Calibri" w:hAnsi="Calibri" w:cs="Calibri"/>
          <w:sz w:val="21"/>
          <w:szCs w:val="21"/>
        </w:rPr>
        <w:t>‘</w:t>
      </w:r>
      <w:r w:rsidRPr="00FA288E">
        <w:rPr>
          <w:rFonts w:ascii="Calibri" w:hAnsi="Calibri" w:cs="Calibri"/>
          <w:sz w:val="21"/>
          <w:szCs w:val="21"/>
        </w:rPr>
        <w:t xml:space="preserve">ultimate goal’). This </w:t>
      </w:r>
      <w:r w:rsidR="00B45D42" w:rsidRPr="00FA288E">
        <w:rPr>
          <w:rFonts w:ascii="Calibri" w:hAnsi="Calibri" w:cs="Calibri"/>
          <w:sz w:val="21"/>
          <w:szCs w:val="21"/>
        </w:rPr>
        <w:t xml:space="preserve">shift </w:t>
      </w:r>
      <w:r w:rsidRPr="00FA288E">
        <w:rPr>
          <w:rFonts w:ascii="Calibri" w:hAnsi="Calibri" w:cs="Calibri"/>
          <w:sz w:val="21"/>
          <w:szCs w:val="21"/>
        </w:rPr>
        <w:t xml:space="preserve">is reflected in the draft Performance Assessment Framework (PAF) of the </w:t>
      </w:r>
      <w:r w:rsidR="002E1D89" w:rsidRPr="00FA288E">
        <w:rPr>
          <w:rFonts w:ascii="Calibri" w:hAnsi="Calibri" w:cs="Calibri"/>
          <w:sz w:val="21"/>
          <w:szCs w:val="21"/>
        </w:rPr>
        <w:t xml:space="preserve">Australian Government’s </w:t>
      </w:r>
      <w:r w:rsidRPr="00FA288E">
        <w:rPr>
          <w:rFonts w:ascii="Calibri" w:hAnsi="Calibri" w:cs="Calibri"/>
          <w:sz w:val="21"/>
          <w:szCs w:val="21"/>
        </w:rPr>
        <w:t xml:space="preserve">Education and Leadership Portfolio Plan. </w:t>
      </w:r>
      <w:r w:rsidR="00B45D42" w:rsidRPr="00FA288E">
        <w:rPr>
          <w:rFonts w:ascii="Calibri" w:hAnsi="Calibri" w:cs="Calibri"/>
          <w:sz w:val="21"/>
          <w:szCs w:val="21"/>
        </w:rPr>
        <w:t>O</w:t>
      </w:r>
      <w:r w:rsidRPr="00FA288E">
        <w:rPr>
          <w:rFonts w:ascii="Calibri" w:hAnsi="Calibri" w:cs="Calibri"/>
          <w:sz w:val="21"/>
          <w:szCs w:val="21"/>
        </w:rPr>
        <w:t xml:space="preserve">ne </w:t>
      </w:r>
      <w:r w:rsidR="0042274A" w:rsidRPr="00FA288E">
        <w:rPr>
          <w:rFonts w:ascii="Calibri" w:hAnsi="Calibri" w:cs="Calibri"/>
          <w:sz w:val="21"/>
          <w:szCs w:val="21"/>
        </w:rPr>
        <w:t>strength</w:t>
      </w:r>
      <w:r w:rsidRPr="00FA288E">
        <w:rPr>
          <w:rFonts w:ascii="Calibri" w:hAnsi="Calibri" w:cs="Calibri"/>
          <w:sz w:val="21"/>
          <w:szCs w:val="21"/>
        </w:rPr>
        <w:t xml:space="preserve"> of the PPF mechanism has been the flexibility with which consortia partners could develop their individual theories of how change happens and </w:t>
      </w:r>
      <w:r w:rsidR="00B45D42" w:rsidRPr="00FA288E">
        <w:rPr>
          <w:rFonts w:ascii="Calibri" w:hAnsi="Calibri" w:cs="Calibri"/>
          <w:sz w:val="21"/>
          <w:szCs w:val="21"/>
        </w:rPr>
        <w:t xml:space="preserve">develop </w:t>
      </w:r>
      <w:r w:rsidRPr="00FA288E">
        <w:rPr>
          <w:rFonts w:ascii="Calibri" w:hAnsi="Calibri" w:cs="Calibri"/>
          <w:sz w:val="21"/>
          <w:szCs w:val="21"/>
        </w:rPr>
        <w:t xml:space="preserve">corresponding </w:t>
      </w:r>
      <w:r w:rsidR="00B45D42" w:rsidRPr="00FA288E">
        <w:rPr>
          <w:rFonts w:ascii="Calibri" w:hAnsi="Calibri" w:cs="Calibri"/>
          <w:sz w:val="21"/>
          <w:szCs w:val="21"/>
        </w:rPr>
        <w:t xml:space="preserve">implementation </w:t>
      </w:r>
      <w:r w:rsidRPr="00FA288E">
        <w:rPr>
          <w:rFonts w:ascii="Calibri" w:hAnsi="Calibri" w:cs="Calibri"/>
          <w:sz w:val="21"/>
          <w:szCs w:val="21"/>
        </w:rPr>
        <w:t>programming pathways</w:t>
      </w:r>
      <w:r w:rsidR="00B45D42" w:rsidRPr="00FA288E">
        <w:rPr>
          <w:rFonts w:ascii="Calibri" w:hAnsi="Calibri" w:cs="Calibri"/>
          <w:sz w:val="21"/>
          <w:szCs w:val="21"/>
        </w:rPr>
        <w:t>. However,</w:t>
      </w:r>
      <w:r w:rsidRPr="00FA288E">
        <w:rPr>
          <w:rFonts w:ascii="Calibri" w:hAnsi="Calibri" w:cs="Calibri"/>
          <w:sz w:val="21"/>
          <w:szCs w:val="21"/>
        </w:rPr>
        <w:t xml:space="preserve"> more recently</w:t>
      </w:r>
      <w:r w:rsidR="00B45D42" w:rsidRPr="00FA288E">
        <w:rPr>
          <w:rFonts w:ascii="Calibri" w:hAnsi="Calibri" w:cs="Calibri"/>
          <w:sz w:val="21"/>
          <w:szCs w:val="21"/>
        </w:rPr>
        <w:t xml:space="preserve"> there is</w:t>
      </w:r>
      <w:r w:rsidRPr="00FA288E">
        <w:rPr>
          <w:rFonts w:ascii="Calibri" w:hAnsi="Calibri" w:cs="Calibri"/>
          <w:sz w:val="21"/>
          <w:szCs w:val="21"/>
        </w:rPr>
        <w:t xml:space="preserve"> a perceived lack of overall cohesion across </w:t>
      </w:r>
      <w:r w:rsidR="00B45D42" w:rsidRPr="00FA288E">
        <w:rPr>
          <w:rFonts w:ascii="Calibri" w:hAnsi="Calibri" w:cs="Calibri"/>
          <w:sz w:val="21"/>
          <w:szCs w:val="21"/>
        </w:rPr>
        <w:t xml:space="preserve">the </w:t>
      </w:r>
      <w:r w:rsidRPr="00FA288E">
        <w:rPr>
          <w:rFonts w:ascii="Calibri" w:hAnsi="Calibri" w:cs="Calibri"/>
          <w:sz w:val="21"/>
          <w:szCs w:val="21"/>
        </w:rPr>
        <w:t>three pro</w:t>
      </w:r>
      <w:r w:rsidR="001D27A1" w:rsidRPr="00FA288E">
        <w:rPr>
          <w:rFonts w:ascii="Calibri" w:hAnsi="Calibri" w:cs="Calibri"/>
          <w:sz w:val="21"/>
          <w:szCs w:val="21"/>
        </w:rPr>
        <w:t>ject</w:t>
      </w:r>
      <w:r w:rsidRPr="00FA288E">
        <w:rPr>
          <w:rFonts w:ascii="Calibri" w:hAnsi="Calibri" w:cs="Calibri"/>
          <w:sz w:val="21"/>
          <w:szCs w:val="21"/>
        </w:rPr>
        <w:t xml:space="preserve">s </w:t>
      </w:r>
      <w:r w:rsidR="00B45D42" w:rsidRPr="00FA288E">
        <w:rPr>
          <w:rFonts w:ascii="Calibri" w:hAnsi="Calibri" w:cs="Calibri"/>
          <w:sz w:val="21"/>
          <w:szCs w:val="21"/>
        </w:rPr>
        <w:t>and</w:t>
      </w:r>
      <w:r w:rsidRPr="00FA288E">
        <w:rPr>
          <w:rFonts w:ascii="Calibri" w:hAnsi="Calibri" w:cs="Calibri"/>
          <w:sz w:val="21"/>
          <w:szCs w:val="21"/>
        </w:rPr>
        <w:t xml:space="preserve"> are increasingly encouraged to be more similar than different. </w:t>
      </w:r>
    </w:p>
    <w:p w14:paraId="55EDA0BD" w14:textId="77777777" w:rsidR="009C509C" w:rsidRPr="00FA288E" w:rsidRDefault="00614C93" w:rsidP="002832DA">
      <w:pPr>
        <w:pStyle w:val="BodyText"/>
        <w:spacing w:after="80" w:line="240" w:lineRule="auto"/>
        <w:rPr>
          <w:rFonts w:ascii="Calibri" w:hAnsi="Calibri" w:cs="Calibri"/>
          <w:sz w:val="21"/>
          <w:szCs w:val="21"/>
        </w:rPr>
      </w:pPr>
      <w:r w:rsidRPr="00FA288E">
        <w:rPr>
          <w:rFonts w:ascii="Calibri" w:hAnsi="Calibri" w:cs="Calibri"/>
          <w:sz w:val="21"/>
          <w:szCs w:val="21"/>
        </w:rPr>
        <w:t xml:space="preserve">More fundamentally, </w:t>
      </w:r>
      <w:r w:rsidR="00B45D42" w:rsidRPr="00FA288E">
        <w:rPr>
          <w:rFonts w:ascii="Calibri" w:hAnsi="Calibri" w:cs="Calibri"/>
          <w:sz w:val="21"/>
          <w:szCs w:val="21"/>
        </w:rPr>
        <w:t xml:space="preserve">perhaps this perception has emerged due to </w:t>
      </w:r>
      <w:r w:rsidRPr="00FA288E">
        <w:rPr>
          <w:rFonts w:ascii="Calibri" w:hAnsi="Calibri" w:cs="Calibri"/>
          <w:sz w:val="21"/>
          <w:szCs w:val="21"/>
        </w:rPr>
        <w:t xml:space="preserve">the lack of clarity around the extent to which the PPF mechanism was conceived as a ‘service delivery’ program as opposed to ‘demonstration’, where solutions are developed, trialled and assessed. This </w:t>
      </w:r>
      <w:r w:rsidR="00420BE2" w:rsidRPr="00FA288E">
        <w:rPr>
          <w:rFonts w:ascii="Calibri" w:hAnsi="Calibri" w:cs="Calibri"/>
          <w:sz w:val="21"/>
          <w:szCs w:val="21"/>
        </w:rPr>
        <w:t xml:space="preserve">situation </w:t>
      </w:r>
      <w:r w:rsidRPr="00FA288E">
        <w:rPr>
          <w:rFonts w:ascii="Calibri" w:hAnsi="Calibri" w:cs="Calibri"/>
          <w:sz w:val="21"/>
          <w:szCs w:val="21"/>
        </w:rPr>
        <w:t>has been partly driven by what the Q</w:t>
      </w:r>
      <w:r w:rsidR="00420BE2" w:rsidRPr="00FA288E">
        <w:rPr>
          <w:rFonts w:ascii="Calibri" w:hAnsi="Calibri" w:cs="Calibri"/>
          <w:sz w:val="21"/>
          <w:szCs w:val="21"/>
        </w:rPr>
        <w:t xml:space="preserve">uality </w:t>
      </w:r>
      <w:r w:rsidRPr="00FA288E">
        <w:rPr>
          <w:rFonts w:ascii="Calibri" w:hAnsi="Calibri" w:cs="Calibri"/>
          <w:sz w:val="21"/>
          <w:szCs w:val="21"/>
        </w:rPr>
        <w:t>T</w:t>
      </w:r>
      <w:r w:rsidR="00420BE2" w:rsidRPr="00FA288E">
        <w:rPr>
          <w:rFonts w:ascii="Calibri" w:hAnsi="Calibri" w:cs="Calibri"/>
          <w:sz w:val="21"/>
          <w:szCs w:val="21"/>
        </w:rPr>
        <w:t xml:space="preserve">echnical </w:t>
      </w:r>
      <w:r w:rsidRPr="00FA288E">
        <w:rPr>
          <w:rFonts w:ascii="Calibri" w:hAnsi="Calibri" w:cs="Calibri"/>
          <w:sz w:val="21"/>
          <w:szCs w:val="21"/>
        </w:rPr>
        <w:t>A</w:t>
      </w:r>
      <w:r w:rsidR="00420BE2" w:rsidRPr="00FA288E">
        <w:rPr>
          <w:rFonts w:ascii="Calibri" w:hAnsi="Calibri" w:cs="Calibri"/>
          <w:sz w:val="21"/>
          <w:szCs w:val="21"/>
        </w:rPr>
        <w:t xml:space="preserve">ssurance </w:t>
      </w:r>
      <w:r w:rsidRPr="00FA288E">
        <w:rPr>
          <w:rFonts w:ascii="Calibri" w:hAnsi="Calibri" w:cs="Calibri"/>
          <w:sz w:val="21"/>
          <w:szCs w:val="21"/>
        </w:rPr>
        <w:t>G</w:t>
      </w:r>
      <w:r w:rsidR="00420BE2" w:rsidRPr="00FA288E">
        <w:rPr>
          <w:rFonts w:ascii="Calibri" w:hAnsi="Calibri" w:cs="Calibri"/>
          <w:sz w:val="21"/>
          <w:szCs w:val="21"/>
        </w:rPr>
        <w:t>roup</w:t>
      </w:r>
      <w:r w:rsidRPr="00FA288E">
        <w:rPr>
          <w:rFonts w:ascii="Calibri" w:hAnsi="Calibri" w:cs="Calibri"/>
          <w:sz w:val="21"/>
          <w:szCs w:val="21"/>
        </w:rPr>
        <w:t xml:space="preserve"> identified as the absence of consensus between the PPF </w:t>
      </w:r>
      <w:r w:rsidR="00420BE2" w:rsidRPr="00FA288E">
        <w:rPr>
          <w:rFonts w:ascii="Calibri" w:hAnsi="Calibri" w:cs="Calibri"/>
          <w:sz w:val="21"/>
          <w:szCs w:val="21"/>
        </w:rPr>
        <w:t>S</w:t>
      </w:r>
      <w:r w:rsidRPr="00FA288E">
        <w:rPr>
          <w:rFonts w:ascii="Calibri" w:hAnsi="Calibri" w:cs="Calibri"/>
          <w:sz w:val="21"/>
          <w:szCs w:val="21"/>
        </w:rPr>
        <w:t xml:space="preserve">ecretariat and </w:t>
      </w:r>
      <w:r w:rsidR="00521831" w:rsidRPr="00FA288E">
        <w:rPr>
          <w:rFonts w:ascii="Calibri" w:hAnsi="Calibri" w:cs="Calibri"/>
          <w:sz w:val="21"/>
          <w:szCs w:val="21"/>
        </w:rPr>
        <w:t xml:space="preserve">the Australian </w:t>
      </w:r>
      <w:r w:rsidR="001444CE" w:rsidRPr="00FA288E">
        <w:rPr>
          <w:rFonts w:ascii="Calibri" w:hAnsi="Calibri" w:cs="Calibri"/>
          <w:sz w:val="21"/>
          <w:szCs w:val="21"/>
        </w:rPr>
        <w:t>G</w:t>
      </w:r>
      <w:r w:rsidR="00521831" w:rsidRPr="00FA288E">
        <w:rPr>
          <w:rFonts w:ascii="Calibri" w:hAnsi="Calibri" w:cs="Calibri"/>
          <w:sz w:val="21"/>
          <w:szCs w:val="21"/>
        </w:rPr>
        <w:t xml:space="preserve">overnment </w:t>
      </w:r>
      <w:r w:rsidRPr="00FA288E">
        <w:rPr>
          <w:rFonts w:ascii="Calibri" w:hAnsi="Calibri" w:cs="Calibri"/>
          <w:sz w:val="21"/>
          <w:szCs w:val="21"/>
        </w:rPr>
        <w:t>on the overall strategic intent of the Governance Partnership under which the grants are administered.</w:t>
      </w:r>
      <w:r w:rsidRPr="00FA288E">
        <w:rPr>
          <w:rStyle w:val="FootnoteReference"/>
          <w:rFonts w:ascii="Calibri" w:hAnsi="Calibri" w:cs="Calibri"/>
          <w:sz w:val="21"/>
          <w:szCs w:val="21"/>
        </w:rPr>
        <w:footnoteReference w:id="52"/>
      </w:r>
      <w:r w:rsidRPr="00FA288E">
        <w:rPr>
          <w:rFonts w:ascii="Calibri" w:hAnsi="Calibri" w:cs="Calibri"/>
          <w:sz w:val="21"/>
          <w:szCs w:val="21"/>
        </w:rPr>
        <w:t xml:space="preserve"> It is the view of the review team that solution</w:t>
      </w:r>
      <w:r w:rsidR="00521831" w:rsidRPr="00FA288E">
        <w:rPr>
          <w:rFonts w:ascii="Calibri" w:hAnsi="Calibri" w:cs="Calibri"/>
          <w:sz w:val="21"/>
          <w:szCs w:val="21"/>
        </w:rPr>
        <w:t>s which introduce</w:t>
      </w:r>
      <w:r w:rsidRPr="00FA288E">
        <w:rPr>
          <w:rFonts w:ascii="Calibri" w:hAnsi="Calibri" w:cs="Calibri"/>
          <w:sz w:val="21"/>
          <w:szCs w:val="21"/>
        </w:rPr>
        <w:t xml:space="preserve"> innovation</w:t>
      </w:r>
      <w:r w:rsidR="00521831" w:rsidRPr="00FA288E">
        <w:rPr>
          <w:rFonts w:ascii="Calibri" w:hAnsi="Calibri" w:cs="Calibri"/>
          <w:sz w:val="21"/>
          <w:szCs w:val="21"/>
        </w:rPr>
        <w:t>s</w:t>
      </w:r>
      <w:r w:rsidRPr="00FA288E">
        <w:rPr>
          <w:rFonts w:ascii="Calibri" w:hAnsi="Calibri" w:cs="Calibri"/>
          <w:sz w:val="21"/>
          <w:szCs w:val="21"/>
        </w:rPr>
        <w:t xml:space="preserve"> </w:t>
      </w:r>
      <w:r w:rsidR="00521831" w:rsidRPr="00FA288E">
        <w:rPr>
          <w:rFonts w:ascii="Calibri" w:hAnsi="Calibri" w:cs="Calibri"/>
          <w:sz w:val="21"/>
          <w:szCs w:val="21"/>
        </w:rPr>
        <w:t xml:space="preserve">or are intended to </w:t>
      </w:r>
      <w:r w:rsidRPr="00FA288E">
        <w:rPr>
          <w:rFonts w:ascii="Calibri" w:hAnsi="Calibri" w:cs="Calibri"/>
          <w:sz w:val="21"/>
          <w:szCs w:val="21"/>
        </w:rPr>
        <w:t>demonstrat</w:t>
      </w:r>
      <w:r w:rsidR="00521831" w:rsidRPr="00FA288E">
        <w:rPr>
          <w:rFonts w:ascii="Calibri" w:hAnsi="Calibri" w:cs="Calibri"/>
          <w:sz w:val="21"/>
          <w:szCs w:val="21"/>
        </w:rPr>
        <w:t>e a potential solution</w:t>
      </w:r>
      <w:r w:rsidRPr="00FA288E">
        <w:rPr>
          <w:rFonts w:ascii="Calibri" w:hAnsi="Calibri" w:cs="Calibri"/>
          <w:sz w:val="21"/>
          <w:szCs w:val="21"/>
        </w:rPr>
        <w:t xml:space="preserve"> should only be accommodated </w:t>
      </w:r>
      <w:r w:rsidR="00521831" w:rsidRPr="00FA288E">
        <w:rPr>
          <w:rFonts w:ascii="Calibri" w:hAnsi="Calibri" w:cs="Calibri"/>
          <w:sz w:val="21"/>
          <w:szCs w:val="21"/>
        </w:rPr>
        <w:t>if they do</w:t>
      </w:r>
      <w:r w:rsidRPr="00FA288E">
        <w:rPr>
          <w:rFonts w:ascii="Calibri" w:hAnsi="Calibri" w:cs="Calibri"/>
          <w:sz w:val="21"/>
          <w:szCs w:val="21"/>
        </w:rPr>
        <w:t xml:space="preserve"> not detract from the </w:t>
      </w:r>
      <w:r w:rsidR="00521831" w:rsidRPr="00FA288E">
        <w:rPr>
          <w:rFonts w:ascii="Calibri" w:hAnsi="Calibri" w:cs="Calibri"/>
          <w:sz w:val="21"/>
          <w:szCs w:val="21"/>
        </w:rPr>
        <w:t xml:space="preserve">quality </w:t>
      </w:r>
      <w:r w:rsidRPr="00FA288E">
        <w:rPr>
          <w:rFonts w:ascii="Calibri" w:hAnsi="Calibri" w:cs="Calibri"/>
          <w:sz w:val="21"/>
          <w:szCs w:val="21"/>
        </w:rPr>
        <w:t>delivery of core activities</w:t>
      </w:r>
      <w:r w:rsidR="00521831" w:rsidRPr="00FA288E">
        <w:rPr>
          <w:rFonts w:ascii="Calibri" w:hAnsi="Calibri" w:cs="Calibri"/>
          <w:sz w:val="21"/>
          <w:szCs w:val="21"/>
        </w:rPr>
        <w:t>, such as</w:t>
      </w:r>
      <w:r w:rsidRPr="00FA288E">
        <w:rPr>
          <w:rFonts w:ascii="Calibri" w:hAnsi="Calibri" w:cs="Calibri"/>
          <w:sz w:val="21"/>
          <w:szCs w:val="21"/>
        </w:rPr>
        <w:t xml:space="preserve"> teacher training</w:t>
      </w:r>
      <w:r w:rsidR="00521831" w:rsidRPr="00FA288E">
        <w:rPr>
          <w:rFonts w:ascii="Calibri" w:hAnsi="Calibri" w:cs="Calibri"/>
          <w:sz w:val="21"/>
          <w:szCs w:val="21"/>
        </w:rPr>
        <w:t xml:space="preserve"> and </w:t>
      </w:r>
      <w:r w:rsidR="00420BE2" w:rsidRPr="00FA288E">
        <w:rPr>
          <w:rFonts w:ascii="Calibri" w:hAnsi="Calibri" w:cs="Calibri"/>
          <w:sz w:val="21"/>
          <w:szCs w:val="21"/>
        </w:rPr>
        <w:t xml:space="preserve">the </w:t>
      </w:r>
      <w:r w:rsidR="00521831" w:rsidRPr="00FA288E">
        <w:rPr>
          <w:rFonts w:ascii="Calibri" w:hAnsi="Calibri" w:cs="Calibri"/>
          <w:sz w:val="21"/>
          <w:szCs w:val="21"/>
        </w:rPr>
        <w:t xml:space="preserve">corresponding support to teachers </w:t>
      </w:r>
      <w:r w:rsidR="00420BE2" w:rsidRPr="00FA288E">
        <w:rPr>
          <w:rFonts w:ascii="Calibri" w:hAnsi="Calibri" w:cs="Calibri"/>
          <w:sz w:val="21"/>
          <w:szCs w:val="21"/>
        </w:rPr>
        <w:t xml:space="preserve">that is necessary </w:t>
      </w:r>
      <w:r w:rsidR="00521831" w:rsidRPr="00FA288E">
        <w:rPr>
          <w:rFonts w:ascii="Calibri" w:hAnsi="Calibri" w:cs="Calibri"/>
          <w:sz w:val="21"/>
          <w:szCs w:val="21"/>
        </w:rPr>
        <w:t xml:space="preserve">to </w:t>
      </w:r>
      <w:r w:rsidR="00420BE2" w:rsidRPr="00FA288E">
        <w:rPr>
          <w:rFonts w:ascii="Calibri" w:hAnsi="Calibri" w:cs="Calibri"/>
          <w:sz w:val="21"/>
          <w:szCs w:val="21"/>
        </w:rPr>
        <w:t xml:space="preserve">effectively </w:t>
      </w:r>
      <w:r w:rsidR="00521831" w:rsidRPr="00FA288E">
        <w:rPr>
          <w:rFonts w:ascii="Calibri" w:hAnsi="Calibri" w:cs="Calibri"/>
          <w:sz w:val="21"/>
          <w:szCs w:val="21"/>
        </w:rPr>
        <w:t xml:space="preserve">apply </w:t>
      </w:r>
      <w:r w:rsidR="00420BE2" w:rsidRPr="00FA288E">
        <w:rPr>
          <w:rFonts w:ascii="Calibri" w:hAnsi="Calibri" w:cs="Calibri"/>
          <w:sz w:val="21"/>
          <w:szCs w:val="21"/>
        </w:rPr>
        <w:t xml:space="preserve">and sustain </w:t>
      </w:r>
      <w:r w:rsidR="00521831" w:rsidRPr="00FA288E">
        <w:rPr>
          <w:rFonts w:ascii="Calibri" w:hAnsi="Calibri" w:cs="Calibri"/>
          <w:sz w:val="21"/>
          <w:szCs w:val="21"/>
        </w:rPr>
        <w:t xml:space="preserve">the new </w:t>
      </w:r>
      <w:r w:rsidR="00521831" w:rsidRPr="00FA288E">
        <w:rPr>
          <w:rFonts w:ascii="Calibri" w:hAnsi="Calibri" w:cs="Calibri"/>
          <w:sz w:val="21"/>
          <w:szCs w:val="21"/>
        </w:rPr>
        <w:lastRenderedPageBreak/>
        <w:t xml:space="preserve">knowledge and skills gained from training programs. This is particularly true for </w:t>
      </w:r>
      <w:r w:rsidR="001D27A1" w:rsidRPr="00FA288E">
        <w:rPr>
          <w:rFonts w:ascii="Calibri" w:hAnsi="Calibri" w:cs="Calibri"/>
          <w:sz w:val="21"/>
          <w:szCs w:val="21"/>
        </w:rPr>
        <w:t>projects</w:t>
      </w:r>
      <w:r w:rsidRPr="00FA288E">
        <w:rPr>
          <w:rFonts w:ascii="Calibri" w:hAnsi="Calibri" w:cs="Calibri"/>
          <w:sz w:val="21"/>
          <w:szCs w:val="21"/>
        </w:rPr>
        <w:t xml:space="preserve"> of </w:t>
      </w:r>
      <w:r w:rsidR="00332FAF" w:rsidRPr="00FA288E">
        <w:rPr>
          <w:rFonts w:ascii="Calibri" w:hAnsi="Calibri" w:cs="Calibri"/>
          <w:sz w:val="21"/>
          <w:szCs w:val="21"/>
        </w:rPr>
        <w:t>short</w:t>
      </w:r>
      <w:r w:rsidRPr="00FA288E">
        <w:rPr>
          <w:rFonts w:ascii="Calibri" w:hAnsi="Calibri" w:cs="Calibri"/>
          <w:sz w:val="21"/>
          <w:szCs w:val="21"/>
        </w:rPr>
        <w:t xml:space="preserve"> duration</w:t>
      </w:r>
      <w:r w:rsidR="00521831" w:rsidRPr="00FA288E">
        <w:rPr>
          <w:rFonts w:ascii="Calibri" w:hAnsi="Calibri" w:cs="Calibri"/>
          <w:sz w:val="21"/>
          <w:szCs w:val="21"/>
        </w:rPr>
        <w:t xml:space="preserve"> that ha</w:t>
      </w:r>
      <w:r w:rsidR="001D27A1" w:rsidRPr="00FA288E">
        <w:rPr>
          <w:rFonts w:ascii="Calibri" w:hAnsi="Calibri" w:cs="Calibri"/>
          <w:sz w:val="21"/>
          <w:szCs w:val="21"/>
        </w:rPr>
        <w:t>ve</w:t>
      </w:r>
      <w:r w:rsidR="00521831" w:rsidRPr="00FA288E">
        <w:rPr>
          <w:rFonts w:ascii="Calibri" w:hAnsi="Calibri" w:cs="Calibri"/>
          <w:sz w:val="21"/>
          <w:szCs w:val="21"/>
        </w:rPr>
        <w:t xml:space="preserve"> the objective to improve literacy and numeracy</w:t>
      </w:r>
      <w:r w:rsidRPr="00FA288E">
        <w:rPr>
          <w:rFonts w:ascii="Calibri" w:hAnsi="Calibri" w:cs="Calibri"/>
          <w:sz w:val="21"/>
          <w:szCs w:val="21"/>
        </w:rPr>
        <w:t xml:space="preserve">. </w:t>
      </w:r>
      <w:r w:rsidR="00521831" w:rsidRPr="00FA288E">
        <w:rPr>
          <w:rFonts w:ascii="Calibri" w:hAnsi="Calibri" w:cs="Calibri"/>
          <w:sz w:val="21"/>
          <w:szCs w:val="21"/>
        </w:rPr>
        <w:t>A useful approach would be the</w:t>
      </w:r>
      <w:r w:rsidRPr="00FA288E">
        <w:rPr>
          <w:rFonts w:ascii="Calibri" w:hAnsi="Calibri" w:cs="Calibri"/>
          <w:sz w:val="21"/>
          <w:szCs w:val="21"/>
        </w:rPr>
        <w:t xml:space="preserve"> development of an overall program logic </w:t>
      </w:r>
      <w:r w:rsidR="00A72362" w:rsidRPr="00FA288E">
        <w:rPr>
          <w:rFonts w:ascii="Calibri" w:hAnsi="Calibri" w:cs="Calibri"/>
          <w:sz w:val="21"/>
          <w:szCs w:val="21"/>
        </w:rPr>
        <w:t xml:space="preserve">coordinated </w:t>
      </w:r>
      <w:r w:rsidRPr="00FA288E">
        <w:rPr>
          <w:rFonts w:ascii="Calibri" w:hAnsi="Calibri" w:cs="Calibri"/>
          <w:sz w:val="21"/>
          <w:szCs w:val="21"/>
        </w:rPr>
        <w:t xml:space="preserve">by the PPF Secretariat </w:t>
      </w:r>
      <w:r w:rsidR="00521831" w:rsidRPr="00FA288E">
        <w:rPr>
          <w:rFonts w:ascii="Calibri" w:hAnsi="Calibri" w:cs="Calibri"/>
          <w:sz w:val="21"/>
          <w:szCs w:val="21"/>
        </w:rPr>
        <w:t xml:space="preserve">that would clarify </w:t>
      </w:r>
      <w:r w:rsidR="00CC7CCE" w:rsidRPr="00FA288E">
        <w:rPr>
          <w:rFonts w:ascii="Calibri" w:hAnsi="Calibri" w:cs="Calibri"/>
          <w:sz w:val="21"/>
          <w:szCs w:val="21"/>
        </w:rPr>
        <w:t xml:space="preserve">the core objectives and activities </w:t>
      </w:r>
      <w:r w:rsidRPr="00FA288E">
        <w:rPr>
          <w:rFonts w:ascii="Calibri" w:hAnsi="Calibri" w:cs="Calibri"/>
          <w:sz w:val="21"/>
          <w:szCs w:val="21"/>
        </w:rPr>
        <w:t xml:space="preserve">to which </w:t>
      </w:r>
      <w:r w:rsidR="00CC7CCE" w:rsidRPr="00FA288E">
        <w:rPr>
          <w:rFonts w:ascii="Calibri" w:hAnsi="Calibri" w:cs="Calibri"/>
          <w:sz w:val="21"/>
          <w:szCs w:val="21"/>
        </w:rPr>
        <w:t xml:space="preserve">each </w:t>
      </w:r>
      <w:r w:rsidRPr="00FA288E">
        <w:rPr>
          <w:rFonts w:ascii="Calibri" w:hAnsi="Calibri" w:cs="Calibri"/>
          <w:sz w:val="21"/>
          <w:szCs w:val="21"/>
        </w:rPr>
        <w:t>grantee would be expected to contribute to through their own projects</w:t>
      </w:r>
      <w:r w:rsidR="00CC7CCE" w:rsidRPr="00FA288E">
        <w:rPr>
          <w:rFonts w:ascii="Calibri" w:hAnsi="Calibri" w:cs="Calibri"/>
          <w:sz w:val="21"/>
          <w:szCs w:val="21"/>
        </w:rPr>
        <w:t xml:space="preserve"> until completion in 2022</w:t>
      </w:r>
      <w:r w:rsidRPr="00FA288E">
        <w:rPr>
          <w:rFonts w:ascii="Calibri" w:hAnsi="Calibri" w:cs="Calibri"/>
          <w:sz w:val="21"/>
          <w:szCs w:val="21"/>
        </w:rPr>
        <w:t>.</w:t>
      </w:r>
      <w:r w:rsidR="00CC7CCE" w:rsidRPr="00FA288E">
        <w:rPr>
          <w:rFonts w:ascii="Calibri" w:hAnsi="Calibri" w:cs="Calibri"/>
          <w:sz w:val="21"/>
          <w:szCs w:val="21"/>
        </w:rPr>
        <w:t xml:space="preserve"> Innovation and demonstration activities could then serve as unique contributions of each project.</w:t>
      </w:r>
    </w:p>
    <w:p w14:paraId="183C544B" w14:textId="77777777" w:rsidR="00614C93" w:rsidRPr="00FA288E" w:rsidRDefault="00614C93" w:rsidP="002832DA">
      <w:pPr>
        <w:pStyle w:val="Bullets"/>
        <w:numPr>
          <w:ilvl w:val="0"/>
          <w:numId w:val="0"/>
        </w:numPr>
        <w:spacing w:after="80" w:line="240" w:lineRule="auto"/>
        <w:rPr>
          <w:sz w:val="24"/>
          <w:szCs w:val="24"/>
        </w:rPr>
      </w:pPr>
      <w:bookmarkStart w:id="82" w:name="_Toc26914371"/>
      <w:r w:rsidRPr="00FA288E">
        <w:rPr>
          <w:sz w:val="24"/>
          <w:szCs w:val="24"/>
        </w:rPr>
        <w:t xml:space="preserve">3.3.2 Adequacy of the </w:t>
      </w:r>
      <w:r w:rsidR="00C628BA" w:rsidRPr="00FA288E">
        <w:rPr>
          <w:sz w:val="24"/>
          <w:szCs w:val="24"/>
        </w:rPr>
        <w:t>m</w:t>
      </w:r>
      <w:r w:rsidRPr="00FA288E">
        <w:rPr>
          <w:sz w:val="24"/>
          <w:szCs w:val="24"/>
        </w:rPr>
        <w:t xml:space="preserve">onitoring and evaluation </w:t>
      </w:r>
      <w:r w:rsidR="008D0DA3" w:rsidRPr="00FA288E">
        <w:rPr>
          <w:sz w:val="24"/>
          <w:szCs w:val="24"/>
        </w:rPr>
        <w:t xml:space="preserve">and learning </w:t>
      </w:r>
      <w:r w:rsidR="00C628BA" w:rsidRPr="00FA288E">
        <w:rPr>
          <w:sz w:val="24"/>
          <w:szCs w:val="24"/>
        </w:rPr>
        <w:t xml:space="preserve">(MEL) </w:t>
      </w:r>
      <w:r w:rsidRPr="00FA288E">
        <w:rPr>
          <w:sz w:val="24"/>
          <w:szCs w:val="24"/>
        </w:rPr>
        <w:t>frameworks and tools</w:t>
      </w:r>
      <w:bookmarkEnd w:id="82"/>
    </w:p>
    <w:p w14:paraId="5D7A8EB8" w14:textId="77777777" w:rsidR="00614C93" w:rsidRPr="00FA288E" w:rsidRDefault="00614C93" w:rsidP="002832DA">
      <w:pPr>
        <w:spacing w:after="80" w:line="240" w:lineRule="auto"/>
        <w:rPr>
          <w:rFonts w:cs="Calibri"/>
          <w:i/>
          <w:szCs w:val="21"/>
        </w:rPr>
      </w:pPr>
      <w:r w:rsidRPr="00FA288E">
        <w:rPr>
          <w:rFonts w:cs="Calibri"/>
          <w:i/>
          <w:szCs w:val="21"/>
        </w:rPr>
        <w:t>Assessment of overall adequacy of the MEL system</w:t>
      </w:r>
    </w:p>
    <w:p w14:paraId="41C22201" w14:textId="77777777" w:rsidR="002E1D89" w:rsidRPr="00FA288E" w:rsidRDefault="00614C93" w:rsidP="008D5AD5">
      <w:pPr>
        <w:pStyle w:val="BodyText"/>
        <w:spacing w:after="80" w:line="240" w:lineRule="auto"/>
        <w:rPr>
          <w:rFonts w:ascii="Calibri" w:hAnsi="Calibri" w:cs="Calibri"/>
          <w:sz w:val="21"/>
          <w:szCs w:val="21"/>
        </w:rPr>
      </w:pPr>
      <w:r w:rsidRPr="00FA288E">
        <w:rPr>
          <w:rFonts w:ascii="Calibri" w:hAnsi="Calibri" w:cs="Calibri"/>
          <w:sz w:val="21"/>
          <w:szCs w:val="21"/>
        </w:rPr>
        <w:t>In keeping with the grant program concept note format, MEL frameworks w</w:t>
      </w:r>
      <w:r w:rsidR="007D5DD4" w:rsidRPr="00FA288E">
        <w:rPr>
          <w:rFonts w:ascii="Calibri" w:hAnsi="Calibri" w:cs="Calibri"/>
          <w:sz w:val="21"/>
          <w:szCs w:val="21"/>
        </w:rPr>
        <w:t>ere</w:t>
      </w:r>
      <w:r w:rsidRPr="00FA288E">
        <w:rPr>
          <w:rFonts w:ascii="Calibri" w:hAnsi="Calibri" w:cs="Calibri"/>
          <w:sz w:val="21"/>
          <w:szCs w:val="21"/>
        </w:rPr>
        <w:t xml:space="preserve"> not required to be captured in a single document or plan for the first two </w:t>
      </w:r>
      <w:r w:rsidR="00643720" w:rsidRPr="00FA288E">
        <w:rPr>
          <w:rFonts w:ascii="Calibri" w:hAnsi="Calibri" w:cs="Calibri"/>
          <w:sz w:val="21"/>
          <w:szCs w:val="21"/>
        </w:rPr>
        <w:t>grantees (</w:t>
      </w:r>
      <w:proofErr w:type="spellStart"/>
      <w:r w:rsidR="00643720" w:rsidRPr="00FA288E">
        <w:rPr>
          <w:rFonts w:ascii="Calibri" w:hAnsi="Calibri" w:cs="Calibri"/>
          <w:sz w:val="21"/>
          <w:szCs w:val="21"/>
        </w:rPr>
        <w:t>StC</w:t>
      </w:r>
      <w:proofErr w:type="spellEnd"/>
      <w:r w:rsidR="00643720" w:rsidRPr="00FA288E">
        <w:rPr>
          <w:rFonts w:ascii="Calibri" w:hAnsi="Calibri" w:cs="Calibri"/>
          <w:sz w:val="21"/>
          <w:szCs w:val="21"/>
        </w:rPr>
        <w:t xml:space="preserve"> and WV)</w:t>
      </w:r>
      <w:r w:rsidRPr="00FA288E">
        <w:rPr>
          <w:rFonts w:ascii="Calibri" w:hAnsi="Calibri" w:cs="Calibri"/>
          <w:sz w:val="21"/>
          <w:szCs w:val="21"/>
        </w:rPr>
        <w:t xml:space="preserve">. Information on the </w:t>
      </w:r>
      <w:r w:rsidR="00643720" w:rsidRPr="00FA288E">
        <w:rPr>
          <w:rFonts w:ascii="Calibri" w:hAnsi="Calibri" w:cs="Calibri"/>
          <w:sz w:val="21"/>
          <w:szCs w:val="21"/>
        </w:rPr>
        <w:t>usual</w:t>
      </w:r>
      <w:r w:rsidRPr="00FA288E">
        <w:rPr>
          <w:rFonts w:ascii="Calibri" w:hAnsi="Calibri" w:cs="Calibri"/>
          <w:sz w:val="21"/>
          <w:szCs w:val="21"/>
        </w:rPr>
        <w:t xml:space="preserve"> components of a MEL framework, such as the purpose, audience, methods, tools </w:t>
      </w:r>
      <w:r w:rsidR="00643720" w:rsidRPr="00FA288E">
        <w:rPr>
          <w:rFonts w:ascii="Calibri" w:hAnsi="Calibri" w:cs="Calibri"/>
          <w:sz w:val="21"/>
          <w:szCs w:val="21"/>
        </w:rPr>
        <w:t>and</w:t>
      </w:r>
      <w:r w:rsidRPr="00FA288E">
        <w:rPr>
          <w:rFonts w:ascii="Calibri" w:hAnsi="Calibri" w:cs="Calibri"/>
          <w:sz w:val="21"/>
          <w:szCs w:val="21"/>
        </w:rPr>
        <w:t xml:space="preserve"> intended data usage was not included in initial documentation</w:t>
      </w:r>
      <w:r w:rsidR="00643720" w:rsidRPr="00FA288E">
        <w:rPr>
          <w:rFonts w:ascii="Calibri" w:hAnsi="Calibri" w:cs="Calibri"/>
          <w:sz w:val="21"/>
          <w:szCs w:val="21"/>
        </w:rPr>
        <w:t xml:space="preserve">. </w:t>
      </w:r>
      <w:r w:rsidRPr="00FA288E">
        <w:rPr>
          <w:rFonts w:ascii="Calibri" w:hAnsi="Calibri" w:cs="Calibri"/>
          <w:sz w:val="21"/>
          <w:szCs w:val="21"/>
        </w:rPr>
        <w:t xml:space="preserve"> </w:t>
      </w:r>
      <w:r w:rsidR="00643720" w:rsidRPr="00FA288E">
        <w:rPr>
          <w:rFonts w:ascii="Calibri" w:hAnsi="Calibri" w:cs="Calibri"/>
          <w:sz w:val="21"/>
          <w:szCs w:val="21"/>
        </w:rPr>
        <w:t>A</w:t>
      </w:r>
      <w:r w:rsidRPr="00FA288E">
        <w:rPr>
          <w:rFonts w:ascii="Calibri" w:hAnsi="Calibri" w:cs="Calibri"/>
          <w:sz w:val="21"/>
          <w:szCs w:val="21"/>
        </w:rPr>
        <w:t xml:space="preserve">ssessment of MEL systems </w:t>
      </w:r>
      <w:r w:rsidR="00643720" w:rsidRPr="00FA288E">
        <w:rPr>
          <w:rFonts w:ascii="Calibri" w:hAnsi="Calibri" w:cs="Calibri"/>
          <w:sz w:val="21"/>
          <w:szCs w:val="21"/>
        </w:rPr>
        <w:t>is</w:t>
      </w:r>
      <w:r w:rsidRPr="00FA288E">
        <w:rPr>
          <w:rFonts w:ascii="Calibri" w:hAnsi="Calibri" w:cs="Calibri"/>
          <w:sz w:val="21"/>
          <w:szCs w:val="21"/>
        </w:rPr>
        <w:t xml:space="preserve"> based on the Concept </w:t>
      </w:r>
      <w:r w:rsidR="00643720" w:rsidRPr="00FA288E">
        <w:rPr>
          <w:rFonts w:ascii="Calibri" w:hAnsi="Calibri" w:cs="Calibri"/>
          <w:sz w:val="21"/>
          <w:szCs w:val="21"/>
        </w:rPr>
        <w:t>N</w:t>
      </w:r>
      <w:r w:rsidRPr="00FA288E">
        <w:rPr>
          <w:rFonts w:ascii="Calibri" w:hAnsi="Calibri" w:cs="Calibri"/>
          <w:sz w:val="21"/>
          <w:szCs w:val="21"/>
        </w:rPr>
        <w:t xml:space="preserve">otes; Grant Agreements; the 2018 Annual and 2019 </w:t>
      </w:r>
      <w:r w:rsidR="00C12692" w:rsidRPr="00FA288E">
        <w:rPr>
          <w:rFonts w:ascii="Calibri" w:hAnsi="Calibri" w:cs="Calibri"/>
          <w:sz w:val="21"/>
          <w:szCs w:val="21"/>
        </w:rPr>
        <w:t>S</w:t>
      </w:r>
      <w:r w:rsidRPr="00FA288E">
        <w:rPr>
          <w:rFonts w:ascii="Calibri" w:hAnsi="Calibri" w:cs="Calibri"/>
          <w:sz w:val="21"/>
          <w:szCs w:val="21"/>
        </w:rPr>
        <w:t>ix</w:t>
      </w:r>
      <w:r w:rsidR="00C12692" w:rsidRPr="00FA288E">
        <w:rPr>
          <w:rFonts w:ascii="Calibri" w:hAnsi="Calibri" w:cs="Calibri"/>
          <w:sz w:val="21"/>
          <w:szCs w:val="21"/>
        </w:rPr>
        <w:t>-M</w:t>
      </w:r>
      <w:r w:rsidRPr="00FA288E">
        <w:rPr>
          <w:rFonts w:ascii="Calibri" w:hAnsi="Calibri" w:cs="Calibri"/>
          <w:sz w:val="21"/>
          <w:szCs w:val="21"/>
        </w:rPr>
        <w:t xml:space="preserve">onthly Progress </w:t>
      </w:r>
      <w:r w:rsidR="00C12692" w:rsidRPr="00FA288E">
        <w:rPr>
          <w:rFonts w:ascii="Calibri" w:hAnsi="Calibri" w:cs="Calibri"/>
          <w:sz w:val="21"/>
          <w:szCs w:val="21"/>
        </w:rPr>
        <w:t>R</w:t>
      </w:r>
      <w:r w:rsidRPr="00FA288E">
        <w:rPr>
          <w:rFonts w:ascii="Calibri" w:hAnsi="Calibri" w:cs="Calibri"/>
          <w:sz w:val="21"/>
          <w:szCs w:val="21"/>
        </w:rPr>
        <w:t xml:space="preserve">eports, and updated Monitoring and Evaluation Plans (MEP). MEPs are presented in a logical framework (log-frame) style format. The third grantee (CARE) </w:t>
      </w:r>
      <w:r w:rsidR="00643720" w:rsidRPr="00FA288E">
        <w:rPr>
          <w:rFonts w:ascii="Calibri" w:hAnsi="Calibri" w:cs="Calibri"/>
          <w:sz w:val="21"/>
          <w:szCs w:val="21"/>
        </w:rPr>
        <w:t>produced</w:t>
      </w:r>
      <w:r w:rsidRPr="00FA288E">
        <w:rPr>
          <w:rFonts w:ascii="Calibri" w:hAnsi="Calibri" w:cs="Calibri"/>
          <w:sz w:val="21"/>
          <w:szCs w:val="21"/>
        </w:rPr>
        <w:t xml:space="preserve"> a more coherent </w:t>
      </w:r>
      <w:r w:rsidR="00643720" w:rsidRPr="00FA288E">
        <w:rPr>
          <w:rFonts w:ascii="Calibri" w:hAnsi="Calibri" w:cs="Calibri"/>
          <w:sz w:val="21"/>
          <w:szCs w:val="21"/>
        </w:rPr>
        <w:t>MEP as a</w:t>
      </w:r>
      <w:r w:rsidRPr="00FA288E">
        <w:rPr>
          <w:rFonts w:ascii="Calibri" w:hAnsi="Calibri" w:cs="Calibri"/>
          <w:sz w:val="21"/>
          <w:szCs w:val="21"/>
        </w:rPr>
        <w:t xml:space="preserve"> ‘Roadmap’ in the initial implementation phase</w:t>
      </w:r>
      <w:r w:rsidR="00643720" w:rsidRPr="00FA288E">
        <w:rPr>
          <w:rFonts w:ascii="Calibri" w:hAnsi="Calibri" w:cs="Calibri"/>
          <w:sz w:val="21"/>
          <w:szCs w:val="21"/>
        </w:rPr>
        <w:t>. O</w:t>
      </w:r>
      <w:r w:rsidRPr="00FA288E">
        <w:rPr>
          <w:rFonts w:ascii="Calibri" w:hAnsi="Calibri" w:cs="Calibri"/>
          <w:sz w:val="21"/>
          <w:szCs w:val="21"/>
        </w:rPr>
        <w:t xml:space="preserve">ther grantees have progressively developed additional documents which </w:t>
      </w:r>
      <w:r w:rsidR="00F262A8" w:rsidRPr="00FA288E">
        <w:rPr>
          <w:rFonts w:ascii="Calibri" w:hAnsi="Calibri" w:cs="Calibri"/>
          <w:sz w:val="21"/>
          <w:szCs w:val="21"/>
        </w:rPr>
        <w:t>include</w:t>
      </w:r>
      <w:r w:rsidRPr="00FA288E">
        <w:rPr>
          <w:rFonts w:ascii="Calibri" w:hAnsi="Calibri" w:cs="Calibri"/>
          <w:sz w:val="21"/>
          <w:szCs w:val="21"/>
        </w:rPr>
        <w:t xml:space="preserve"> baseline and midline methodology, as well as other study designs and methods. </w:t>
      </w:r>
    </w:p>
    <w:p w14:paraId="4F9F4F30" w14:textId="41C71C4B" w:rsidR="008D5AD5" w:rsidRPr="00FA288E" w:rsidRDefault="007D5DD4" w:rsidP="008D5AD5">
      <w:pPr>
        <w:pStyle w:val="BodyText"/>
        <w:spacing w:after="80" w:line="240" w:lineRule="auto"/>
        <w:rPr>
          <w:rFonts w:ascii="Calibri" w:hAnsi="Calibri" w:cs="Calibri"/>
          <w:sz w:val="21"/>
          <w:szCs w:val="21"/>
        </w:rPr>
      </w:pPr>
      <w:r w:rsidRPr="00FA288E">
        <w:rPr>
          <w:rFonts w:ascii="Calibri" w:hAnsi="Calibri" w:cs="Calibri"/>
          <w:sz w:val="21"/>
          <w:szCs w:val="21"/>
        </w:rPr>
        <w:t>The review team</w:t>
      </w:r>
      <w:r w:rsidR="00614C93" w:rsidRPr="00FA288E">
        <w:rPr>
          <w:rFonts w:ascii="Calibri" w:hAnsi="Calibri" w:cs="Calibri"/>
          <w:sz w:val="21"/>
          <w:szCs w:val="21"/>
        </w:rPr>
        <w:t xml:space="preserve"> assessed </w:t>
      </w:r>
      <w:r w:rsidRPr="00FA288E">
        <w:rPr>
          <w:rFonts w:ascii="Calibri" w:hAnsi="Calibri" w:cs="Calibri"/>
          <w:sz w:val="21"/>
          <w:szCs w:val="21"/>
        </w:rPr>
        <w:t xml:space="preserve">the MEL related documents of each grantee </w:t>
      </w:r>
      <w:r w:rsidR="00614C93" w:rsidRPr="00FA288E">
        <w:rPr>
          <w:rFonts w:ascii="Calibri" w:hAnsi="Calibri" w:cs="Calibri"/>
          <w:sz w:val="21"/>
          <w:szCs w:val="21"/>
        </w:rPr>
        <w:t>against</w:t>
      </w:r>
      <w:r w:rsidR="008A5483" w:rsidRPr="00FA288E">
        <w:rPr>
          <w:rFonts w:ascii="Calibri" w:hAnsi="Calibri" w:cs="Calibri"/>
          <w:sz w:val="21"/>
          <w:szCs w:val="21"/>
        </w:rPr>
        <w:t xml:space="preserve"> </w:t>
      </w:r>
      <w:r w:rsidR="00614C93" w:rsidRPr="00FA288E">
        <w:rPr>
          <w:rFonts w:ascii="Calibri" w:hAnsi="Calibri" w:cs="Calibri"/>
          <w:b/>
          <w:sz w:val="21"/>
          <w:szCs w:val="21"/>
        </w:rPr>
        <w:t xml:space="preserve">14 </w:t>
      </w:r>
      <w:r w:rsidR="008A5483" w:rsidRPr="00FA288E">
        <w:rPr>
          <w:rFonts w:ascii="Calibri" w:hAnsi="Calibri" w:cs="Calibri"/>
          <w:b/>
          <w:sz w:val="21"/>
          <w:szCs w:val="21"/>
        </w:rPr>
        <w:t xml:space="preserve">of DFAT’s </w:t>
      </w:r>
      <w:r w:rsidR="00614C93" w:rsidRPr="00FA288E">
        <w:rPr>
          <w:rFonts w:ascii="Calibri" w:hAnsi="Calibri" w:cs="Calibri"/>
          <w:b/>
          <w:sz w:val="21"/>
          <w:szCs w:val="21"/>
        </w:rPr>
        <w:t>Monitoring and Evaluation Standards</w:t>
      </w:r>
      <w:r w:rsidR="008A5483" w:rsidRPr="00FA288E">
        <w:rPr>
          <w:rFonts w:ascii="Calibri" w:hAnsi="Calibri" w:cs="Calibri"/>
          <w:sz w:val="21"/>
          <w:szCs w:val="21"/>
        </w:rPr>
        <w:t>, specifically Standards</w:t>
      </w:r>
      <w:r w:rsidR="00614C93" w:rsidRPr="00FA288E">
        <w:rPr>
          <w:rFonts w:ascii="Calibri" w:hAnsi="Calibri" w:cs="Calibri"/>
          <w:sz w:val="21"/>
          <w:szCs w:val="21"/>
        </w:rPr>
        <w:t xml:space="preserve"> 2.6 – 2.20</w:t>
      </w:r>
      <w:r w:rsidR="00614C93" w:rsidRPr="00FA288E">
        <w:rPr>
          <w:rStyle w:val="FootnoteReference"/>
          <w:rFonts w:ascii="Calibri" w:hAnsi="Calibri" w:cs="Calibri"/>
          <w:sz w:val="21"/>
          <w:szCs w:val="21"/>
        </w:rPr>
        <w:footnoteReference w:id="53"/>
      </w:r>
      <w:r w:rsidR="00E32895" w:rsidRPr="00FA288E">
        <w:rPr>
          <w:rFonts w:ascii="Calibri" w:hAnsi="Calibri" w:cs="Calibri"/>
          <w:sz w:val="21"/>
          <w:szCs w:val="21"/>
        </w:rPr>
        <w:t xml:space="preserve"> (Monitoring and Evaluation Systems</w:t>
      </w:r>
      <w:r w:rsidR="008E376C">
        <w:rPr>
          <w:rFonts w:ascii="Calibri" w:hAnsi="Calibri" w:cs="Calibri"/>
          <w:sz w:val="21"/>
          <w:szCs w:val="21"/>
        </w:rPr>
        <w:t xml:space="preserve">- </w:t>
      </w:r>
      <w:hyperlink w:anchor="_Annex_H:_DFAT" w:history="1">
        <w:r w:rsidR="008E376C" w:rsidRPr="008E376C">
          <w:rPr>
            <w:rStyle w:val="Hyperlink"/>
            <w:rFonts w:ascii="Calibri" w:hAnsi="Calibri" w:cs="Calibri"/>
            <w:sz w:val="21"/>
            <w:szCs w:val="21"/>
          </w:rPr>
          <w:t>see Annex H</w:t>
        </w:r>
      </w:hyperlink>
      <w:r w:rsidR="00E32895" w:rsidRPr="00FA288E">
        <w:rPr>
          <w:rFonts w:ascii="Calibri" w:hAnsi="Calibri" w:cs="Calibri"/>
          <w:sz w:val="21"/>
          <w:szCs w:val="21"/>
        </w:rPr>
        <w:t>)</w:t>
      </w:r>
      <w:r w:rsidRPr="00FA288E">
        <w:rPr>
          <w:rFonts w:ascii="Calibri" w:hAnsi="Calibri" w:cs="Calibri"/>
          <w:sz w:val="21"/>
          <w:szCs w:val="21"/>
        </w:rPr>
        <w:t xml:space="preserve">. </w:t>
      </w:r>
      <w:r w:rsidR="008A5483" w:rsidRPr="00FA288E">
        <w:rPr>
          <w:rFonts w:ascii="Calibri" w:hAnsi="Calibri" w:cs="Calibri"/>
          <w:sz w:val="21"/>
          <w:szCs w:val="21"/>
        </w:rPr>
        <w:t>The table below summari</w:t>
      </w:r>
      <w:r w:rsidR="00E32895" w:rsidRPr="00FA288E">
        <w:rPr>
          <w:rFonts w:ascii="Calibri" w:hAnsi="Calibri" w:cs="Calibri"/>
          <w:sz w:val="21"/>
          <w:szCs w:val="21"/>
        </w:rPr>
        <w:t>s</w:t>
      </w:r>
      <w:r w:rsidR="008A5483" w:rsidRPr="00FA288E">
        <w:rPr>
          <w:rFonts w:ascii="Calibri" w:hAnsi="Calibri" w:cs="Calibri"/>
          <w:sz w:val="21"/>
          <w:szCs w:val="21"/>
        </w:rPr>
        <w:t>es the assessment of each grantees’ ability to meet the criteri</w:t>
      </w:r>
      <w:r w:rsidR="00F262A8" w:rsidRPr="00FA288E">
        <w:rPr>
          <w:rFonts w:ascii="Calibri" w:hAnsi="Calibri" w:cs="Calibri"/>
          <w:sz w:val="21"/>
          <w:szCs w:val="21"/>
        </w:rPr>
        <w:t>a</w:t>
      </w:r>
      <w:r w:rsidR="008A5483" w:rsidRPr="00FA288E">
        <w:rPr>
          <w:rFonts w:ascii="Calibri" w:hAnsi="Calibri" w:cs="Calibri"/>
          <w:sz w:val="21"/>
          <w:szCs w:val="21"/>
        </w:rPr>
        <w:t xml:space="preserve"> for each of the 14 standards. For example, the RISE MEL documents </w:t>
      </w:r>
      <w:r w:rsidR="009E247C" w:rsidRPr="00FA288E">
        <w:rPr>
          <w:rFonts w:ascii="Calibri" w:hAnsi="Calibri" w:cs="Calibri"/>
          <w:sz w:val="21"/>
          <w:szCs w:val="21"/>
        </w:rPr>
        <w:t>had</w:t>
      </w:r>
      <w:r w:rsidR="008A5483" w:rsidRPr="00FA288E">
        <w:rPr>
          <w:rFonts w:ascii="Calibri" w:hAnsi="Calibri" w:cs="Calibri"/>
          <w:sz w:val="21"/>
          <w:szCs w:val="21"/>
        </w:rPr>
        <w:t xml:space="preserve"> one </w:t>
      </w:r>
      <w:r w:rsidR="009E247C" w:rsidRPr="00FA288E">
        <w:rPr>
          <w:rFonts w:ascii="Calibri" w:hAnsi="Calibri" w:cs="Calibri"/>
          <w:sz w:val="21"/>
          <w:szCs w:val="21"/>
        </w:rPr>
        <w:t>criteria</w:t>
      </w:r>
      <w:r w:rsidR="008A5483" w:rsidRPr="00FA288E">
        <w:rPr>
          <w:rFonts w:ascii="Calibri" w:hAnsi="Calibri" w:cs="Calibri"/>
          <w:sz w:val="21"/>
          <w:szCs w:val="21"/>
        </w:rPr>
        <w:t xml:space="preserve"> </w:t>
      </w:r>
      <w:r w:rsidR="007F3B03" w:rsidRPr="00FA288E">
        <w:rPr>
          <w:rFonts w:ascii="Calibri" w:hAnsi="Calibri" w:cs="Calibri"/>
          <w:sz w:val="21"/>
          <w:szCs w:val="21"/>
        </w:rPr>
        <w:t>assessed</w:t>
      </w:r>
      <w:r w:rsidR="008A5483" w:rsidRPr="00FA288E">
        <w:rPr>
          <w:rFonts w:ascii="Calibri" w:hAnsi="Calibri" w:cs="Calibri"/>
          <w:sz w:val="21"/>
          <w:szCs w:val="21"/>
        </w:rPr>
        <w:t xml:space="preserve"> </w:t>
      </w:r>
      <w:r w:rsidR="007D6214" w:rsidRPr="00FA288E">
        <w:rPr>
          <w:rFonts w:ascii="Calibri" w:hAnsi="Calibri" w:cs="Calibri"/>
          <w:sz w:val="21"/>
          <w:szCs w:val="21"/>
        </w:rPr>
        <w:t>‘</w:t>
      </w:r>
      <w:r w:rsidR="008A5483" w:rsidRPr="00FA288E">
        <w:rPr>
          <w:rFonts w:ascii="Calibri" w:hAnsi="Calibri" w:cs="Calibri"/>
          <w:sz w:val="21"/>
          <w:szCs w:val="21"/>
        </w:rPr>
        <w:t>excellent</w:t>
      </w:r>
      <w:r w:rsidR="007D6214" w:rsidRPr="00FA288E">
        <w:rPr>
          <w:rFonts w:ascii="Calibri" w:hAnsi="Calibri" w:cs="Calibri"/>
          <w:sz w:val="21"/>
          <w:szCs w:val="21"/>
        </w:rPr>
        <w:t>’</w:t>
      </w:r>
      <w:r w:rsidR="008A5483" w:rsidRPr="00FA288E">
        <w:rPr>
          <w:rFonts w:ascii="Calibri" w:hAnsi="Calibri" w:cs="Calibri"/>
          <w:sz w:val="21"/>
          <w:szCs w:val="21"/>
        </w:rPr>
        <w:t xml:space="preserve">, one as </w:t>
      </w:r>
      <w:r w:rsidR="007D6214" w:rsidRPr="00FA288E">
        <w:rPr>
          <w:rFonts w:ascii="Calibri" w:hAnsi="Calibri" w:cs="Calibri"/>
          <w:sz w:val="21"/>
          <w:szCs w:val="21"/>
        </w:rPr>
        <w:t>‘</w:t>
      </w:r>
      <w:r w:rsidR="008A5483" w:rsidRPr="00FA288E">
        <w:rPr>
          <w:rFonts w:ascii="Calibri" w:hAnsi="Calibri" w:cs="Calibri"/>
          <w:sz w:val="21"/>
          <w:szCs w:val="21"/>
        </w:rPr>
        <w:t>very good</w:t>
      </w:r>
      <w:r w:rsidR="007D6214" w:rsidRPr="00FA288E">
        <w:rPr>
          <w:rFonts w:ascii="Calibri" w:hAnsi="Calibri" w:cs="Calibri"/>
          <w:sz w:val="21"/>
          <w:szCs w:val="21"/>
        </w:rPr>
        <w:t>’</w:t>
      </w:r>
      <w:r w:rsidR="008A5483" w:rsidRPr="00FA288E">
        <w:rPr>
          <w:rFonts w:ascii="Calibri" w:hAnsi="Calibri" w:cs="Calibri"/>
          <w:sz w:val="21"/>
          <w:szCs w:val="21"/>
        </w:rPr>
        <w:t>, eight</w:t>
      </w:r>
      <w:r w:rsidR="007F3B03" w:rsidRPr="00FA288E">
        <w:rPr>
          <w:rFonts w:ascii="Calibri" w:hAnsi="Calibri" w:cs="Calibri"/>
          <w:sz w:val="21"/>
          <w:szCs w:val="21"/>
        </w:rPr>
        <w:t xml:space="preserve"> criteria</w:t>
      </w:r>
      <w:r w:rsidR="008A5483" w:rsidRPr="00FA288E">
        <w:rPr>
          <w:rFonts w:ascii="Calibri" w:hAnsi="Calibri" w:cs="Calibri"/>
          <w:sz w:val="21"/>
          <w:szCs w:val="21"/>
        </w:rPr>
        <w:t xml:space="preserve"> as </w:t>
      </w:r>
      <w:r w:rsidR="007D6214" w:rsidRPr="00FA288E">
        <w:rPr>
          <w:rFonts w:ascii="Calibri" w:hAnsi="Calibri" w:cs="Calibri"/>
          <w:sz w:val="21"/>
          <w:szCs w:val="21"/>
        </w:rPr>
        <w:t>‘</w:t>
      </w:r>
      <w:r w:rsidR="008A5483" w:rsidRPr="00FA288E">
        <w:rPr>
          <w:rFonts w:ascii="Calibri" w:hAnsi="Calibri" w:cs="Calibri"/>
          <w:sz w:val="21"/>
          <w:szCs w:val="21"/>
        </w:rPr>
        <w:t>adequate</w:t>
      </w:r>
      <w:r w:rsidR="007D6214" w:rsidRPr="00FA288E">
        <w:rPr>
          <w:rFonts w:ascii="Calibri" w:hAnsi="Calibri" w:cs="Calibri"/>
          <w:sz w:val="21"/>
          <w:szCs w:val="21"/>
        </w:rPr>
        <w:t>’</w:t>
      </w:r>
      <w:r w:rsidR="008A5483" w:rsidRPr="00FA288E">
        <w:rPr>
          <w:rFonts w:ascii="Calibri" w:hAnsi="Calibri" w:cs="Calibri"/>
          <w:sz w:val="21"/>
          <w:szCs w:val="21"/>
        </w:rPr>
        <w:t xml:space="preserve">, </w:t>
      </w:r>
      <w:r w:rsidR="003E397B" w:rsidRPr="00FA288E">
        <w:rPr>
          <w:rFonts w:ascii="Calibri" w:hAnsi="Calibri" w:cs="Calibri"/>
          <w:sz w:val="21"/>
          <w:szCs w:val="21"/>
        </w:rPr>
        <w:t xml:space="preserve">two as </w:t>
      </w:r>
      <w:r w:rsidR="007D6214" w:rsidRPr="00FA288E">
        <w:rPr>
          <w:rFonts w:ascii="Calibri" w:hAnsi="Calibri" w:cs="Calibri"/>
          <w:sz w:val="21"/>
          <w:szCs w:val="21"/>
        </w:rPr>
        <w:t>‘</w:t>
      </w:r>
      <w:r w:rsidR="003E397B" w:rsidRPr="00FA288E">
        <w:rPr>
          <w:rFonts w:ascii="Calibri" w:hAnsi="Calibri" w:cs="Calibri"/>
          <w:sz w:val="21"/>
          <w:szCs w:val="21"/>
        </w:rPr>
        <w:t>less than adequate</w:t>
      </w:r>
      <w:r w:rsidR="007D6214" w:rsidRPr="00FA288E">
        <w:rPr>
          <w:rFonts w:ascii="Calibri" w:hAnsi="Calibri" w:cs="Calibri"/>
          <w:sz w:val="21"/>
          <w:szCs w:val="21"/>
        </w:rPr>
        <w:t>’</w:t>
      </w:r>
      <w:r w:rsidR="003E397B" w:rsidRPr="00FA288E">
        <w:rPr>
          <w:rFonts w:ascii="Calibri" w:hAnsi="Calibri" w:cs="Calibri"/>
          <w:sz w:val="21"/>
          <w:szCs w:val="21"/>
        </w:rPr>
        <w:t xml:space="preserve"> and two as </w:t>
      </w:r>
      <w:r w:rsidR="007D6214" w:rsidRPr="00FA288E">
        <w:rPr>
          <w:rFonts w:ascii="Calibri" w:hAnsi="Calibri" w:cs="Calibri"/>
          <w:sz w:val="21"/>
          <w:szCs w:val="21"/>
        </w:rPr>
        <w:t>‘</w:t>
      </w:r>
      <w:r w:rsidR="003E397B" w:rsidRPr="00FA288E">
        <w:rPr>
          <w:rFonts w:ascii="Calibri" w:hAnsi="Calibri" w:cs="Calibri"/>
          <w:sz w:val="21"/>
          <w:szCs w:val="21"/>
        </w:rPr>
        <w:t>poor</w:t>
      </w:r>
      <w:r w:rsidR="007D6214" w:rsidRPr="00FA288E">
        <w:rPr>
          <w:rFonts w:ascii="Calibri" w:hAnsi="Calibri" w:cs="Calibri"/>
          <w:sz w:val="21"/>
          <w:szCs w:val="21"/>
        </w:rPr>
        <w:t>’</w:t>
      </w:r>
      <w:r w:rsidR="003E397B" w:rsidRPr="00FA288E">
        <w:rPr>
          <w:rFonts w:ascii="Calibri" w:hAnsi="Calibri" w:cs="Calibri"/>
          <w:sz w:val="21"/>
          <w:szCs w:val="21"/>
        </w:rPr>
        <w:t>.</w:t>
      </w:r>
      <w:r w:rsidR="008D5AD5" w:rsidRPr="00FA288E">
        <w:rPr>
          <w:rFonts w:ascii="Calibri" w:hAnsi="Calibri" w:cs="Calibri"/>
          <w:sz w:val="21"/>
          <w:szCs w:val="21"/>
        </w:rPr>
        <w:t xml:space="preserve"> </w:t>
      </w:r>
    </w:p>
    <w:p w14:paraId="2DADC193" w14:textId="77777777" w:rsidR="008D5AD5" w:rsidRPr="00FA288E" w:rsidRDefault="008D5AD5" w:rsidP="008D5AD5">
      <w:pPr>
        <w:pStyle w:val="BodyText"/>
        <w:spacing w:after="80" w:line="240" w:lineRule="auto"/>
        <w:rPr>
          <w:rFonts w:ascii="Calibri" w:hAnsi="Calibri" w:cs="Calibri"/>
          <w:sz w:val="21"/>
          <w:szCs w:val="21"/>
        </w:rPr>
      </w:pPr>
      <w:r w:rsidRPr="00FA288E">
        <w:rPr>
          <w:rFonts w:ascii="Calibri" w:hAnsi="Calibri" w:cs="Calibri"/>
          <w:sz w:val="21"/>
          <w:szCs w:val="21"/>
        </w:rPr>
        <w:t xml:space="preserve">Despite the lack of coherent MEL frameworks and plans, </w:t>
      </w:r>
      <w:r w:rsidRPr="00FA288E">
        <w:rPr>
          <w:rFonts w:ascii="Calibri" w:hAnsi="Calibri" w:cs="Calibri"/>
          <w:b/>
          <w:sz w:val="21"/>
          <w:szCs w:val="21"/>
        </w:rPr>
        <w:t>overall the systems in place for all grantees are assessed as adequate</w:t>
      </w:r>
      <w:r w:rsidRPr="00FA288E">
        <w:rPr>
          <w:rFonts w:ascii="Calibri" w:hAnsi="Calibri" w:cs="Calibri"/>
          <w:sz w:val="21"/>
          <w:szCs w:val="21"/>
        </w:rPr>
        <w:t xml:space="preserve">. Low scores were mostly attributed </w:t>
      </w:r>
      <w:proofErr w:type="gramStart"/>
      <w:r w:rsidRPr="00FA288E">
        <w:rPr>
          <w:rFonts w:ascii="Calibri" w:hAnsi="Calibri" w:cs="Calibri"/>
          <w:sz w:val="21"/>
          <w:szCs w:val="21"/>
        </w:rPr>
        <w:t>to:</w:t>
      </w:r>
      <w:proofErr w:type="gramEnd"/>
      <w:r w:rsidRPr="00FA288E">
        <w:rPr>
          <w:rFonts w:ascii="Calibri" w:hAnsi="Calibri" w:cs="Calibri"/>
          <w:sz w:val="21"/>
          <w:szCs w:val="21"/>
        </w:rPr>
        <w:t xml:space="preserve"> </w:t>
      </w:r>
      <w:proofErr w:type="spellStart"/>
      <w:r w:rsidRPr="00FA288E">
        <w:rPr>
          <w:rFonts w:ascii="Calibri" w:hAnsi="Calibri" w:cs="Calibri"/>
          <w:sz w:val="21"/>
          <w:szCs w:val="21"/>
        </w:rPr>
        <w:t>i</w:t>
      </w:r>
      <w:proofErr w:type="spellEnd"/>
      <w:r w:rsidRPr="00FA288E">
        <w:rPr>
          <w:rFonts w:ascii="Calibri" w:hAnsi="Calibri" w:cs="Calibri"/>
          <w:sz w:val="21"/>
          <w:szCs w:val="21"/>
        </w:rPr>
        <w:t>) lack of information about ethics considerations; ii) lack of an overall MEL plan; iii) lack of information about data collection scheduling; and, iv) mutual accountability. The review team’s view is that grantees can meet the standards if tasked to systematically document their MEL systems.</w:t>
      </w:r>
    </w:p>
    <w:p w14:paraId="7DE7F5C5" w14:textId="77777777" w:rsidR="00B17E15" w:rsidRPr="00FA288E" w:rsidRDefault="00B17E15" w:rsidP="008D5AD5">
      <w:pPr>
        <w:pStyle w:val="BodyText"/>
        <w:spacing w:after="80" w:line="240" w:lineRule="auto"/>
        <w:rPr>
          <w:rFonts w:ascii="Calibri" w:hAnsi="Calibri" w:cs="Calibri"/>
          <w:sz w:val="21"/>
          <w:szCs w:val="21"/>
        </w:rPr>
      </w:pPr>
    </w:p>
    <w:p w14:paraId="46CC90CF" w14:textId="417F767B" w:rsidR="00BF2CC7" w:rsidRPr="00FA288E" w:rsidRDefault="00BF2CC7" w:rsidP="002832DA">
      <w:pPr>
        <w:spacing w:after="80" w:line="240" w:lineRule="auto"/>
        <w:rPr>
          <w:rFonts w:cs="Calibri"/>
          <w:sz w:val="18"/>
          <w:szCs w:val="18"/>
        </w:rPr>
      </w:pPr>
      <w:r w:rsidRPr="00FA288E">
        <w:rPr>
          <w:sz w:val="18"/>
          <w:szCs w:val="18"/>
        </w:rPr>
        <w:t xml:space="preserve">Table </w:t>
      </w:r>
      <w:r w:rsidRPr="00FA288E">
        <w:rPr>
          <w:sz w:val="18"/>
          <w:szCs w:val="18"/>
        </w:rPr>
        <w:fldChar w:fldCharType="begin"/>
      </w:r>
      <w:r w:rsidRPr="00FA288E">
        <w:rPr>
          <w:sz w:val="18"/>
          <w:szCs w:val="18"/>
        </w:rPr>
        <w:instrText xml:space="preserve"> SEQ Table \* ARABIC </w:instrText>
      </w:r>
      <w:r w:rsidRPr="00FA288E">
        <w:rPr>
          <w:sz w:val="18"/>
          <w:szCs w:val="18"/>
        </w:rPr>
        <w:fldChar w:fldCharType="separate"/>
      </w:r>
      <w:r w:rsidR="00C22013">
        <w:rPr>
          <w:noProof/>
          <w:sz w:val="18"/>
          <w:szCs w:val="18"/>
        </w:rPr>
        <w:t>7</w:t>
      </w:r>
      <w:r w:rsidRPr="00FA288E">
        <w:rPr>
          <w:sz w:val="18"/>
          <w:szCs w:val="18"/>
        </w:rPr>
        <w:fldChar w:fldCharType="end"/>
      </w:r>
      <w:r w:rsidRPr="00FA288E">
        <w:rPr>
          <w:sz w:val="18"/>
          <w:szCs w:val="18"/>
        </w:rPr>
        <w:t xml:space="preserve"> </w:t>
      </w:r>
      <w:r w:rsidR="0075643B" w:rsidRPr="00FA288E">
        <w:rPr>
          <w:sz w:val="18"/>
          <w:szCs w:val="18"/>
        </w:rPr>
        <w:t>Assessment of grantee M&amp;E systems</w:t>
      </w:r>
      <w:r w:rsidRPr="00FA288E">
        <w:rPr>
          <w:sz w:val="18"/>
          <w:szCs w:val="18"/>
        </w:rPr>
        <w:t xml:space="preserve"> against</w:t>
      </w:r>
      <w:r w:rsidR="008A5483" w:rsidRPr="00FA288E">
        <w:rPr>
          <w:sz w:val="18"/>
          <w:szCs w:val="18"/>
        </w:rPr>
        <w:t xml:space="preserve"> </w:t>
      </w:r>
      <w:r w:rsidRPr="00FA288E">
        <w:rPr>
          <w:sz w:val="18"/>
          <w:szCs w:val="18"/>
        </w:rPr>
        <w:t xml:space="preserve">DFAT M&amp;E </w:t>
      </w:r>
      <w:r w:rsidR="007F3B03" w:rsidRPr="00FA288E">
        <w:rPr>
          <w:sz w:val="18"/>
          <w:szCs w:val="18"/>
        </w:rPr>
        <w:t>criteria</w:t>
      </w:r>
      <w:r w:rsidRPr="00FA288E">
        <w:rPr>
          <w:sz w:val="18"/>
          <w:szCs w:val="18"/>
        </w:rPr>
        <w:t xml:space="preserve"> 2.6 – 2.20</w:t>
      </w:r>
      <w:r w:rsidRPr="00FA288E">
        <w:rPr>
          <w:rStyle w:val="FootnoteReference"/>
          <w:rFonts w:eastAsiaTheme="majorEastAsia" w:cs="Calibri"/>
          <w:sz w:val="18"/>
          <w:szCs w:val="18"/>
        </w:rPr>
        <w:footnoteReference w:id="54"/>
      </w:r>
    </w:p>
    <w:tbl>
      <w:tblPr>
        <w:tblStyle w:val="TableGrid"/>
        <w:tblW w:w="0" w:type="auto"/>
        <w:tblInd w:w="-5" w:type="dxa"/>
        <w:tblLook w:val="04A0" w:firstRow="1" w:lastRow="0" w:firstColumn="1" w:lastColumn="0" w:noHBand="0" w:noVBand="1"/>
        <w:tblCaption w:val="Table 7 Assessment of grantee M&amp;E systems against DFAT M&amp;E criteria 2.6 - 2.20"/>
        <w:tblDescription w:val="RISE had 1 excellent; 1 very good; 8 adequate; 2 less than adequate; and 2 poor. T4E had 2 very good; 7 adequate; 4 less than adequate; and 1 poor. PKS had 1 excellent; 2 very good; 7 adequate; 2 less than adequate; and 2 poor."/>
      </w:tblPr>
      <w:tblGrid>
        <w:gridCol w:w="900"/>
        <w:gridCol w:w="1350"/>
        <w:gridCol w:w="1530"/>
        <w:gridCol w:w="1620"/>
        <w:gridCol w:w="1620"/>
        <w:gridCol w:w="1440"/>
        <w:gridCol w:w="1260"/>
      </w:tblGrid>
      <w:tr w:rsidR="001D736D" w:rsidRPr="00FA288E" w14:paraId="4E2754A2" w14:textId="77777777" w:rsidTr="00AE259C">
        <w:trPr>
          <w:trHeight w:val="530"/>
          <w:tblHeader/>
        </w:trPr>
        <w:tc>
          <w:tcPr>
            <w:tcW w:w="900" w:type="dxa"/>
            <w:shd w:val="clear" w:color="auto" w:fill="262626" w:themeFill="text1" w:themeFillTint="D9"/>
          </w:tcPr>
          <w:p w14:paraId="30DC33FC" w14:textId="77777777" w:rsidR="001D736D" w:rsidRPr="00FA288E" w:rsidRDefault="001D736D" w:rsidP="00F262A8">
            <w:pPr>
              <w:spacing w:line="216" w:lineRule="auto"/>
              <w:jc w:val="left"/>
              <w:rPr>
                <w:rFonts w:cs="Calibri"/>
                <w:szCs w:val="21"/>
                <w:lang w:val="en-AU"/>
              </w:rPr>
            </w:pPr>
          </w:p>
        </w:tc>
        <w:tc>
          <w:tcPr>
            <w:tcW w:w="1350" w:type="dxa"/>
            <w:shd w:val="clear" w:color="auto" w:fill="262626" w:themeFill="text1" w:themeFillTint="D9"/>
          </w:tcPr>
          <w:p w14:paraId="0AC31BC6"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Excellent</w:t>
            </w:r>
          </w:p>
        </w:tc>
        <w:tc>
          <w:tcPr>
            <w:tcW w:w="1530" w:type="dxa"/>
            <w:shd w:val="clear" w:color="auto" w:fill="262626" w:themeFill="text1" w:themeFillTint="D9"/>
          </w:tcPr>
          <w:p w14:paraId="7A0D2A82"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Very Good</w:t>
            </w:r>
          </w:p>
        </w:tc>
        <w:tc>
          <w:tcPr>
            <w:tcW w:w="1620" w:type="dxa"/>
            <w:shd w:val="clear" w:color="auto" w:fill="262626" w:themeFill="text1" w:themeFillTint="D9"/>
          </w:tcPr>
          <w:p w14:paraId="6624A42D"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Adequate</w:t>
            </w:r>
          </w:p>
        </w:tc>
        <w:tc>
          <w:tcPr>
            <w:tcW w:w="1620" w:type="dxa"/>
            <w:shd w:val="clear" w:color="auto" w:fill="262626" w:themeFill="text1" w:themeFillTint="D9"/>
          </w:tcPr>
          <w:p w14:paraId="26BB425E"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Less than Adequate</w:t>
            </w:r>
          </w:p>
        </w:tc>
        <w:tc>
          <w:tcPr>
            <w:tcW w:w="1440" w:type="dxa"/>
            <w:shd w:val="clear" w:color="auto" w:fill="262626" w:themeFill="text1" w:themeFillTint="D9"/>
          </w:tcPr>
          <w:p w14:paraId="78EDD8D3"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Poor</w:t>
            </w:r>
          </w:p>
        </w:tc>
        <w:tc>
          <w:tcPr>
            <w:tcW w:w="1260" w:type="dxa"/>
            <w:shd w:val="clear" w:color="auto" w:fill="262626" w:themeFill="text1" w:themeFillTint="D9"/>
          </w:tcPr>
          <w:p w14:paraId="57A41E32"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Very Poor</w:t>
            </w:r>
          </w:p>
        </w:tc>
      </w:tr>
      <w:tr w:rsidR="001D736D" w:rsidRPr="00FA288E" w14:paraId="1BF9B200" w14:textId="77777777" w:rsidTr="001D736D">
        <w:tc>
          <w:tcPr>
            <w:tcW w:w="900" w:type="dxa"/>
            <w:shd w:val="clear" w:color="auto" w:fill="262626" w:themeFill="text1" w:themeFillTint="D9"/>
          </w:tcPr>
          <w:p w14:paraId="55E696FA" w14:textId="77777777" w:rsidR="001D736D" w:rsidRPr="00FA288E" w:rsidRDefault="001D736D" w:rsidP="00F262A8">
            <w:pPr>
              <w:spacing w:line="216" w:lineRule="auto"/>
              <w:jc w:val="left"/>
              <w:rPr>
                <w:rFonts w:cs="Calibri"/>
                <w:szCs w:val="21"/>
                <w:lang w:val="en-AU"/>
              </w:rPr>
            </w:pPr>
            <w:r w:rsidRPr="00FA288E">
              <w:rPr>
                <w:rFonts w:cs="Calibri"/>
                <w:szCs w:val="21"/>
                <w:lang w:val="en-AU"/>
              </w:rPr>
              <w:t>RISE</w:t>
            </w:r>
          </w:p>
        </w:tc>
        <w:tc>
          <w:tcPr>
            <w:tcW w:w="1350" w:type="dxa"/>
          </w:tcPr>
          <w:p w14:paraId="0A3AE3A5"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1</w:t>
            </w:r>
          </w:p>
        </w:tc>
        <w:tc>
          <w:tcPr>
            <w:tcW w:w="1530" w:type="dxa"/>
          </w:tcPr>
          <w:p w14:paraId="103BD6DC"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1</w:t>
            </w:r>
          </w:p>
        </w:tc>
        <w:tc>
          <w:tcPr>
            <w:tcW w:w="1620" w:type="dxa"/>
          </w:tcPr>
          <w:p w14:paraId="62AE65F3"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8</w:t>
            </w:r>
          </w:p>
        </w:tc>
        <w:tc>
          <w:tcPr>
            <w:tcW w:w="1620" w:type="dxa"/>
          </w:tcPr>
          <w:p w14:paraId="578A05AD"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2</w:t>
            </w:r>
          </w:p>
        </w:tc>
        <w:tc>
          <w:tcPr>
            <w:tcW w:w="1440" w:type="dxa"/>
          </w:tcPr>
          <w:p w14:paraId="650894FD"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2</w:t>
            </w:r>
          </w:p>
        </w:tc>
        <w:tc>
          <w:tcPr>
            <w:tcW w:w="1260" w:type="dxa"/>
          </w:tcPr>
          <w:p w14:paraId="15489145" w14:textId="77777777" w:rsidR="001D736D" w:rsidRPr="00FA288E" w:rsidRDefault="001D736D" w:rsidP="00F262A8">
            <w:pPr>
              <w:spacing w:line="216" w:lineRule="auto"/>
              <w:jc w:val="center"/>
              <w:rPr>
                <w:rFonts w:cs="Calibri"/>
                <w:szCs w:val="21"/>
                <w:lang w:val="en-AU"/>
              </w:rPr>
            </w:pPr>
          </w:p>
        </w:tc>
      </w:tr>
      <w:tr w:rsidR="001D736D" w:rsidRPr="00FA288E" w14:paraId="5FAEBC8A" w14:textId="77777777" w:rsidTr="001D736D">
        <w:tc>
          <w:tcPr>
            <w:tcW w:w="900" w:type="dxa"/>
            <w:shd w:val="clear" w:color="auto" w:fill="262626" w:themeFill="text1" w:themeFillTint="D9"/>
          </w:tcPr>
          <w:p w14:paraId="552E6ABD" w14:textId="77777777" w:rsidR="001D736D" w:rsidRPr="00FA288E" w:rsidRDefault="001D736D" w:rsidP="00F262A8">
            <w:pPr>
              <w:spacing w:line="216" w:lineRule="auto"/>
              <w:jc w:val="left"/>
              <w:rPr>
                <w:rFonts w:cs="Calibri"/>
                <w:szCs w:val="21"/>
                <w:lang w:val="en-AU"/>
              </w:rPr>
            </w:pPr>
            <w:r w:rsidRPr="00FA288E">
              <w:rPr>
                <w:rFonts w:cs="Calibri"/>
                <w:szCs w:val="21"/>
                <w:lang w:val="en-AU"/>
              </w:rPr>
              <w:t>T4E</w:t>
            </w:r>
          </w:p>
        </w:tc>
        <w:tc>
          <w:tcPr>
            <w:tcW w:w="1350" w:type="dxa"/>
          </w:tcPr>
          <w:p w14:paraId="70C1AC19" w14:textId="77777777" w:rsidR="001D736D" w:rsidRPr="00FA288E" w:rsidRDefault="001D736D" w:rsidP="00F262A8">
            <w:pPr>
              <w:spacing w:line="216" w:lineRule="auto"/>
              <w:jc w:val="center"/>
              <w:rPr>
                <w:rFonts w:cs="Calibri"/>
                <w:szCs w:val="21"/>
                <w:lang w:val="en-AU"/>
              </w:rPr>
            </w:pPr>
          </w:p>
        </w:tc>
        <w:tc>
          <w:tcPr>
            <w:tcW w:w="1530" w:type="dxa"/>
          </w:tcPr>
          <w:p w14:paraId="50F43A4F"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2</w:t>
            </w:r>
          </w:p>
        </w:tc>
        <w:tc>
          <w:tcPr>
            <w:tcW w:w="1620" w:type="dxa"/>
          </w:tcPr>
          <w:p w14:paraId="446DD306"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7</w:t>
            </w:r>
          </w:p>
        </w:tc>
        <w:tc>
          <w:tcPr>
            <w:tcW w:w="1620" w:type="dxa"/>
          </w:tcPr>
          <w:p w14:paraId="44455D5A"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4</w:t>
            </w:r>
          </w:p>
        </w:tc>
        <w:tc>
          <w:tcPr>
            <w:tcW w:w="1440" w:type="dxa"/>
          </w:tcPr>
          <w:p w14:paraId="341B2D2C"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1</w:t>
            </w:r>
          </w:p>
        </w:tc>
        <w:tc>
          <w:tcPr>
            <w:tcW w:w="1260" w:type="dxa"/>
          </w:tcPr>
          <w:p w14:paraId="11A0C4E8" w14:textId="77777777" w:rsidR="001D736D" w:rsidRPr="00FA288E" w:rsidRDefault="001D736D" w:rsidP="00F262A8">
            <w:pPr>
              <w:spacing w:line="216" w:lineRule="auto"/>
              <w:jc w:val="center"/>
              <w:rPr>
                <w:rFonts w:cs="Calibri"/>
                <w:szCs w:val="21"/>
                <w:lang w:val="en-AU"/>
              </w:rPr>
            </w:pPr>
          </w:p>
        </w:tc>
      </w:tr>
      <w:tr w:rsidR="001D736D" w:rsidRPr="00FA288E" w14:paraId="018B8C26" w14:textId="77777777" w:rsidTr="001D736D">
        <w:tc>
          <w:tcPr>
            <w:tcW w:w="900" w:type="dxa"/>
            <w:shd w:val="clear" w:color="auto" w:fill="262626" w:themeFill="text1" w:themeFillTint="D9"/>
          </w:tcPr>
          <w:p w14:paraId="4D83E62E" w14:textId="77777777" w:rsidR="001D736D" w:rsidRPr="00FA288E" w:rsidRDefault="001D736D" w:rsidP="00F262A8">
            <w:pPr>
              <w:spacing w:line="216" w:lineRule="auto"/>
              <w:jc w:val="left"/>
              <w:rPr>
                <w:rFonts w:cs="Calibri"/>
                <w:szCs w:val="21"/>
                <w:lang w:val="en-AU"/>
              </w:rPr>
            </w:pPr>
            <w:r w:rsidRPr="00FA288E">
              <w:rPr>
                <w:rFonts w:cs="Calibri"/>
                <w:szCs w:val="21"/>
                <w:lang w:val="en-AU"/>
              </w:rPr>
              <w:t>PKS</w:t>
            </w:r>
          </w:p>
        </w:tc>
        <w:tc>
          <w:tcPr>
            <w:tcW w:w="1350" w:type="dxa"/>
          </w:tcPr>
          <w:p w14:paraId="582249B4"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1</w:t>
            </w:r>
          </w:p>
        </w:tc>
        <w:tc>
          <w:tcPr>
            <w:tcW w:w="1530" w:type="dxa"/>
          </w:tcPr>
          <w:p w14:paraId="367253CF"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2</w:t>
            </w:r>
          </w:p>
        </w:tc>
        <w:tc>
          <w:tcPr>
            <w:tcW w:w="1620" w:type="dxa"/>
          </w:tcPr>
          <w:p w14:paraId="5B0608BC"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7</w:t>
            </w:r>
          </w:p>
        </w:tc>
        <w:tc>
          <w:tcPr>
            <w:tcW w:w="1620" w:type="dxa"/>
          </w:tcPr>
          <w:p w14:paraId="1189FAA7"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2</w:t>
            </w:r>
          </w:p>
        </w:tc>
        <w:tc>
          <w:tcPr>
            <w:tcW w:w="1440" w:type="dxa"/>
          </w:tcPr>
          <w:p w14:paraId="756190C9" w14:textId="77777777" w:rsidR="001D736D" w:rsidRPr="00FA288E" w:rsidRDefault="001D736D" w:rsidP="00F262A8">
            <w:pPr>
              <w:spacing w:line="216" w:lineRule="auto"/>
              <w:jc w:val="center"/>
              <w:rPr>
                <w:rFonts w:cs="Calibri"/>
                <w:szCs w:val="21"/>
                <w:lang w:val="en-AU"/>
              </w:rPr>
            </w:pPr>
            <w:r w:rsidRPr="00FA288E">
              <w:rPr>
                <w:rFonts w:cs="Calibri"/>
                <w:szCs w:val="21"/>
                <w:lang w:val="en-AU"/>
              </w:rPr>
              <w:t>2</w:t>
            </w:r>
          </w:p>
        </w:tc>
        <w:tc>
          <w:tcPr>
            <w:tcW w:w="1260" w:type="dxa"/>
          </w:tcPr>
          <w:p w14:paraId="3AFC7118" w14:textId="77777777" w:rsidR="001D736D" w:rsidRPr="00FA288E" w:rsidRDefault="001D736D" w:rsidP="00F262A8">
            <w:pPr>
              <w:spacing w:line="216" w:lineRule="auto"/>
              <w:jc w:val="center"/>
              <w:rPr>
                <w:rFonts w:cs="Calibri"/>
                <w:szCs w:val="21"/>
                <w:lang w:val="en-AU"/>
              </w:rPr>
            </w:pPr>
          </w:p>
        </w:tc>
      </w:tr>
    </w:tbl>
    <w:p w14:paraId="618C4CE5" w14:textId="77777777" w:rsidR="001D736D" w:rsidRPr="00FA288E" w:rsidRDefault="001D736D" w:rsidP="00F262A8">
      <w:pPr>
        <w:pStyle w:val="BodyText"/>
        <w:spacing w:after="0" w:line="120" w:lineRule="auto"/>
        <w:rPr>
          <w:rFonts w:ascii="Calibri" w:hAnsi="Calibri" w:cs="Calibri"/>
          <w:sz w:val="21"/>
          <w:szCs w:val="21"/>
        </w:rPr>
      </w:pPr>
    </w:p>
    <w:p w14:paraId="5E6EC4C8" w14:textId="77777777" w:rsidR="001D736D" w:rsidRPr="00FA288E" w:rsidRDefault="00FA140F" w:rsidP="002832DA">
      <w:pPr>
        <w:pStyle w:val="BodyText"/>
        <w:spacing w:after="80" w:line="240" w:lineRule="auto"/>
        <w:rPr>
          <w:rFonts w:ascii="Calibri" w:hAnsi="Calibri" w:cs="Calibri"/>
          <w:sz w:val="21"/>
          <w:szCs w:val="21"/>
        </w:rPr>
      </w:pPr>
      <w:r w:rsidRPr="00FA288E">
        <w:rPr>
          <w:rFonts w:ascii="Calibri" w:hAnsi="Calibri" w:cs="Calibri"/>
          <w:sz w:val="21"/>
          <w:szCs w:val="21"/>
        </w:rPr>
        <w:t>To</w:t>
      </w:r>
      <w:r w:rsidR="00614C93" w:rsidRPr="00FA288E">
        <w:rPr>
          <w:rFonts w:ascii="Calibri" w:hAnsi="Calibri" w:cs="Calibri"/>
          <w:sz w:val="21"/>
          <w:szCs w:val="21"/>
        </w:rPr>
        <w:t xml:space="preserve"> </w:t>
      </w:r>
      <w:r w:rsidR="00156525" w:rsidRPr="00FA288E">
        <w:rPr>
          <w:rFonts w:ascii="Calibri" w:hAnsi="Calibri" w:cs="Calibri"/>
          <w:sz w:val="21"/>
          <w:szCs w:val="21"/>
        </w:rPr>
        <w:t xml:space="preserve">help </w:t>
      </w:r>
      <w:r w:rsidR="00614C93" w:rsidRPr="00FA288E">
        <w:rPr>
          <w:rFonts w:ascii="Calibri" w:hAnsi="Calibri" w:cs="Calibri"/>
          <w:sz w:val="21"/>
          <w:szCs w:val="21"/>
        </w:rPr>
        <w:t xml:space="preserve">provide coherence to the MEL frameworks, the PPF secretariat provided a MEL Framework Document (June 2018). This provided guidance </w:t>
      </w:r>
      <w:r w:rsidR="00156525" w:rsidRPr="00FA288E">
        <w:rPr>
          <w:rFonts w:ascii="Calibri" w:hAnsi="Calibri" w:cs="Calibri"/>
          <w:sz w:val="21"/>
          <w:szCs w:val="21"/>
        </w:rPr>
        <w:t>and</w:t>
      </w:r>
      <w:r w:rsidR="00614C93" w:rsidRPr="00FA288E">
        <w:rPr>
          <w:rFonts w:ascii="Calibri" w:hAnsi="Calibri" w:cs="Calibri"/>
          <w:sz w:val="21"/>
          <w:szCs w:val="21"/>
        </w:rPr>
        <w:t xml:space="preserve"> standardised templates for </w:t>
      </w:r>
      <w:r w:rsidR="00614C93" w:rsidRPr="00FA288E">
        <w:rPr>
          <w:rFonts w:ascii="Calibri" w:hAnsi="Calibri" w:cs="Calibri"/>
          <w:i/>
          <w:sz w:val="21"/>
          <w:szCs w:val="21"/>
        </w:rPr>
        <w:t xml:space="preserve">individual </w:t>
      </w:r>
      <w:r w:rsidR="00614C93" w:rsidRPr="00FA288E">
        <w:rPr>
          <w:rFonts w:ascii="Calibri" w:hAnsi="Calibri" w:cs="Calibri"/>
          <w:sz w:val="21"/>
          <w:szCs w:val="21"/>
        </w:rPr>
        <w:t xml:space="preserve">grantees (including for health) and does not guide integrated reporting across </w:t>
      </w:r>
      <w:r w:rsidR="00156525" w:rsidRPr="00FA288E">
        <w:rPr>
          <w:rFonts w:ascii="Calibri" w:hAnsi="Calibri" w:cs="Calibri"/>
          <w:sz w:val="21"/>
          <w:szCs w:val="21"/>
        </w:rPr>
        <w:t>projects</w:t>
      </w:r>
      <w:r w:rsidR="00614C93" w:rsidRPr="00FA288E">
        <w:rPr>
          <w:rFonts w:ascii="Calibri" w:hAnsi="Calibri" w:cs="Calibri"/>
          <w:sz w:val="21"/>
          <w:szCs w:val="21"/>
        </w:rPr>
        <w:t xml:space="preserve">. </w:t>
      </w:r>
      <w:r w:rsidR="00156525" w:rsidRPr="00FA288E">
        <w:rPr>
          <w:rFonts w:ascii="Calibri" w:hAnsi="Calibri" w:cs="Calibri"/>
          <w:sz w:val="21"/>
          <w:szCs w:val="21"/>
        </w:rPr>
        <w:t>T</w:t>
      </w:r>
      <w:r w:rsidR="00614C93" w:rsidRPr="00FA288E">
        <w:rPr>
          <w:rFonts w:ascii="Calibri" w:hAnsi="Calibri" w:cs="Calibri"/>
          <w:sz w:val="21"/>
          <w:szCs w:val="21"/>
        </w:rPr>
        <w:t>he PPF Secretariat commence</w:t>
      </w:r>
      <w:r w:rsidR="00156525" w:rsidRPr="00FA288E">
        <w:rPr>
          <w:rFonts w:ascii="Calibri" w:hAnsi="Calibri" w:cs="Calibri"/>
          <w:sz w:val="21"/>
          <w:szCs w:val="21"/>
        </w:rPr>
        <w:t>d</w:t>
      </w:r>
      <w:r w:rsidR="00614C93" w:rsidRPr="00FA288E">
        <w:rPr>
          <w:rFonts w:ascii="Calibri" w:hAnsi="Calibri" w:cs="Calibri"/>
          <w:sz w:val="21"/>
          <w:szCs w:val="21"/>
        </w:rPr>
        <w:t xml:space="preserve"> work on an overarching </w:t>
      </w:r>
      <w:r w:rsidR="00E22599" w:rsidRPr="00FA288E">
        <w:rPr>
          <w:rFonts w:ascii="Calibri" w:hAnsi="Calibri" w:cs="Calibri"/>
          <w:sz w:val="21"/>
          <w:szCs w:val="21"/>
        </w:rPr>
        <w:t>PAF</w:t>
      </w:r>
      <w:r w:rsidR="00614C93" w:rsidRPr="00FA288E">
        <w:rPr>
          <w:rFonts w:ascii="Calibri" w:hAnsi="Calibri" w:cs="Calibri"/>
          <w:sz w:val="21"/>
          <w:szCs w:val="21"/>
        </w:rPr>
        <w:t xml:space="preserve"> for </w:t>
      </w:r>
      <w:r w:rsidR="00156525" w:rsidRPr="00FA288E">
        <w:rPr>
          <w:rFonts w:ascii="Calibri" w:hAnsi="Calibri" w:cs="Calibri"/>
          <w:sz w:val="21"/>
          <w:szCs w:val="21"/>
        </w:rPr>
        <w:t xml:space="preserve">the </w:t>
      </w:r>
      <w:r w:rsidR="00614C93" w:rsidRPr="00FA288E">
        <w:rPr>
          <w:rFonts w:ascii="Calibri" w:hAnsi="Calibri" w:cs="Calibri"/>
          <w:sz w:val="21"/>
          <w:szCs w:val="21"/>
        </w:rPr>
        <w:t xml:space="preserve">PFF in early 2019, </w:t>
      </w:r>
      <w:r w:rsidR="00156525" w:rsidRPr="00FA288E">
        <w:rPr>
          <w:rFonts w:ascii="Calibri" w:hAnsi="Calibri" w:cs="Calibri"/>
          <w:sz w:val="21"/>
          <w:szCs w:val="21"/>
        </w:rPr>
        <w:t xml:space="preserve">with </w:t>
      </w:r>
      <w:r w:rsidR="00614C93" w:rsidRPr="00FA288E">
        <w:rPr>
          <w:rFonts w:ascii="Calibri" w:hAnsi="Calibri" w:cs="Calibri"/>
          <w:sz w:val="21"/>
          <w:szCs w:val="21"/>
        </w:rPr>
        <w:t xml:space="preserve">the first report in June 2019 combining both the health and education grants and reported against two broad outcomes: Improved Service Delivery Scope and Reach; and Transformative </w:t>
      </w:r>
      <w:r w:rsidR="00156525" w:rsidRPr="00FA288E">
        <w:rPr>
          <w:rFonts w:ascii="Calibri" w:hAnsi="Calibri" w:cs="Calibri"/>
          <w:sz w:val="21"/>
          <w:szCs w:val="21"/>
        </w:rPr>
        <w:t>S</w:t>
      </w:r>
      <w:r w:rsidR="00614C93" w:rsidRPr="00FA288E">
        <w:rPr>
          <w:rFonts w:ascii="Calibri" w:hAnsi="Calibri" w:cs="Calibri"/>
          <w:sz w:val="21"/>
          <w:szCs w:val="21"/>
        </w:rPr>
        <w:t xml:space="preserve">ector </w:t>
      </w:r>
      <w:r w:rsidR="00156525" w:rsidRPr="00FA288E">
        <w:rPr>
          <w:rFonts w:ascii="Calibri" w:hAnsi="Calibri" w:cs="Calibri"/>
          <w:sz w:val="21"/>
          <w:szCs w:val="21"/>
        </w:rPr>
        <w:t>G</w:t>
      </w:r>
      <w:r w:rsidR="00614C93" w:rsidRPr="00FA288E">
        <w:rPr>
          <w:rFonts w:ascii="Calibri" w:hAnsi="Calibri" w:cs="Calibri"/>
          <w:sz w:val="21"/>
          <w:szCs w:val="21"/>
        </w:rPr>
        <w:t>overnance</w:t>
      </w:r>
      <w:r w:rsidR="00156525" w:rsidRPr="00FA288E">
        <w:rPr>
          <w:rFonts w:ascii="Calibri" w:hAnsi="Calibri" w:cs="Calibri"/>
          <w:sz w:val="21"/>
          <w:szCs w:val="21"/>
        </w:rPr>
        <w:t>. Unfortunately, this</w:t>
      </w:r>
      <w:r w:rsidR="00614C93" w:rsidRPr="00FA288E">
        <w:rPr>
          <w:rFonts w:ascii="Calibri" w:hAnsi="Calibri" w:cs="Calibri"/>
          <w:sz w:val="21"/>
          <w:szCs w:val="21"/>
        </w:rPr>
        <w:t xml:space="preserve"> </w:t>
      </w:r>
      <w:r w:rsidR="00156525" w:rsidRPr="00FA288E">
        <w:rPr>
          <w:rFonts w:ascii="Calibri" w:hAnsi="Calibri" w:cs="Calibri"/>
          <w:sz w:val="21"/>
          <w:szCs w:val="21"/>
        </w:rPr>
        <w:t>report</w:t>
      </w:r>
      <w:r w:rsidR="00614C93" w:rsidRPr="00FA288E">
        <w:rPr>
          <w:rFonts w:ascii="Calibri" w:hAnsi="Calibri" w:cs="Calibri"/>
          <w:sz w:val="21"/>
          <w:szCs w:val="21"/>
        </w:rPr>
        <w:t xml:space="preserve"> did not capture the nuances of the education grant outcomes (discussed further below under use of reporting). Given the similarities across the program logics of the education grants, there is a need for a common, shared results framework for th</w:t>
      </w:r>
      <w:r w:rsidR="00156525" w:rsidRPr="00FA288E">
        <w:rPr>
          <w:rFonts w:ascii="Calibri" w:hAnsi="Calibri" w:cs="Calibri"/>
          <w:sz w:val="21"/>
          <w:szCs w:val="21"/>
        </w:rPr>
        <w:t xml:space="preserve">e </w:t>
      </w:r>
      <w:r w:rsidR="00614C93" w:rsidRPr="00FA288E">
        <w:rPr>
          <w:rFonts w:ascii="Calibri" w:hAnsi="Calibri" w:cs="Calibri"/>
          <w:sz w:val="21"/>
          <w:szCs w:val="21"/>
        </w:rPr>
        <w:t>grant</w:t>
      </w:r>
      <w:r w:rsidR="00156525" w:rsidRPr="00FA288E">
        <w:rPr>
          <w:rFonts w:ascii="Calibri" w:hAnsi="Calibri" w:cs="Calibri"/>
          <w:sz w:val="21"/>
          <w:szCs w:val="21"/>
        </w:rPr>
        <w:t>s</w:t>
      </w:r>
      <w:r w:rsidR="00614C93" w:rsidRPr="00FA288E">
        <w:rPr>
          <w:rFonts w:ascii="Calibri" w:hAnsi="Calibri" w:cs="Calibri"/>
          <w:sz w:val="21"/>
          <w:szCs w:val="21"/>
        </w:rPr>
        <w:t xml:space="preserve"> to better aggregate and report results and meet the </w:t>
      </w:r>
      <w:r w:rsidR="00156525" w:rsidRPr="00FA288E">
        <w:rPr>
          <w:rFonts w:ascii="Calibri" w:hAnsi="Calibri" w:cs="Calibri"/>
          <w:sz w:val="21"/>
          <w:szCs w:val="21"/>
        </w:rPr>
        <w:t xml:space="preserve">information </w:t>
      </w:r>
      <w:r w:rsidR="00614C93" w:rsidRPr="00FA288E">
        <w:rPr>
          <w:rFonts w:ascii="Calibri" w:hAnsi="Calibri" w:cs="Calibri"/>
          <w:sz w:val="21"/>
          <w:szCs w:val="21"/>
        </w:rPr>
        <w:t xml:space="preserve">needs of the </w:t>
      </w:r>
      <w:r w:rsidR="00E22599" w:rsidRPr="00FA288E">
        <w:rPr>
          <w:rFonts w:ascii="Calibri" w:hAnsi="Calibri" w:cs="Calibri"/>
          <w:sz w:val="21"/>
          <w:szCs w:val="21"/>
        </w:rPr>
        <w:t>Education Leadership Portfolio Plan</w:t>
      </w:r>
      <w:r w:rsidR="00614C93" w:rsidRPr="00FA288E">
        <w:rPr>
          <w:rFonts w:ascii="Calibri" w:hAnsi="Calibri" w:cs="Calibri"/>
          <w:sz w:val="21"/>
          <w:szCs w:val="21"/>
        </w:rPr>
        <w:t xml:space="preserve">. </w:t>
      </w:r>
      <w:r w:rsidR="00614C93" w:rsidRPr="00FA288E">
        <w:rPr>
          <w:rFonts w:ascii="Calibri" w:hAnsi="Calibri" w:cs="Calibri"/>
          <w:b/>
          <w:sz w:val="21"/>
          <w:szCs w:val="21"/>
        </w:rPr>
        <w:t>The A</w:t>
      </w:r>
      <w:r w:rsidR="00D54281" w:rsidRPr="00FA288E">
        <w:rPr>
          <w:rFonts w:ascii="Calibri" w:hAnsi="Calibri" w:cs="Calibri"/>
          <w:b/>
          <w:sz w:val="21"/>
          <w:szCs w:val="21"/>
        </w:rPr>
        <w:t xml:space="preserve">ustralian </w:t>
      </w:r>
      <w:r w:rsidR="001444CE" w:rsidRPr="00FA288E">
        <w:rPr>
          <w:rFonts w:ascii="Calibri" w:hAnsi="Calibri" w:cs="Calibri"/>
          <w:b/>
          <w:sz w:val="21"/>
          <w:szCs w:val="21"/>
        </w:rPr>
        <w:t>G</w:t>
      </w:r>
      <w:r w:rsidR="00D54281" w:rsidRPr="00FA288E">
        <w:rPr>
          <w:rFonts w:ascii="Calibri" w:hAnsi="Calibri" w:cs="Calibri"/>
          <w:b/>
          <w:sz w:val="21"/>
          <w:szCs w:val="21"/>
        </w:rPr>
        <w:t>overnment</w:t>
      </w:r>
      <w:r w:rsidR="00614C93" w:rsidRPr="00FA288E">
        <w:rPr>
          <w:rFonts w:ascii="Calibri" w:hAnsi="Calibri" w:cs="Calibri"/>
          <w:b/>
          <w:sz w:val="21"/>
          <w:szCs w:val="21"/>
        </w:rPr>
        <w:t xml:space="preserve"> should consider tasking the PPF Secretariat to lead this process with the collaboration of the three grantees – with the aim to develop a common PPF Education </w:t>
      </w:r>
      <w:r w:rsidR="00285142" w:rsidRPr="00FA288E">
        <w:rPr>
          <w:rFonts w:ascii="Calibri" w:hAnsi="Calibri" w:cs="Calibri"/>
          <w:b/>
          <w:sz w:val="21"/>
          <w:szCs w:val="21"/>
        </w:rPr>
        <w:t xml:space="preserve">Grant’s </w:t>
      </w:r>
      <w:r w:rsidR="00614C93" w:rsidRPr="00FA288E">
        <w:rPr>
          <w:rFonts w:ascii="Calibri" w:hAnsi="Calibri" w:cs="Calibri"/>
          <w:b/>
          <w:sz w:val="21"/>
          <w:szCs w:val="21"/>
        </w:rPr>
        <w:t>program logic and results framework</w:t>
      </w:r>
      <w:r w:rsidR="00E22599" w:rsidRPr="00FA288E">
        <w:rPr>
          <w:rFonts w:ascii="Calibri" w:hAnsi="Calibri" w:cs="Calibri"/>
          <w:b/>
          <w:sz w:val="21"/>
          <w:szCs w:val="21"/>
        </w:rPr>
        <w:t xml:space="preserve"> to </w:t>
      </w:r>
      <w:r w:rsidR="00614C93" w:rsidRPr="00FA288E">
        <w:rPr>
          <w:rFonts w:ascii="Calibri" w:hAnsi="Calibri" w:cs="Calibri"/>
          <w:b/>
          <w:sz w:val="21"/>
          <w:szCs w:val="21"/>
        </w:rPr>
        <w:t>which</w:t>
      </w:r>
      <w:r w:rsidR="00E22599" w:rsidRPr="00FA288E">
        <w:rPr>
          <w:rFonts w:ascii="Calibri" w:hAnsi="Calibri" w:cs="Calibri"/>
          <w:b/>
          <w:sz w:val="21"/>
          <w:szCs w:val="21"/>
        </w:rPr>
        <w:t xml:space="preserve"> </w:t>
      </w:r>
      <w:r w:rsidR="00614C93" w:rsidRPr="00FA288E">
        <w:rPr>
          <w:rFonts w:ascii="Calibri" w:hAnsi="Calibri" w:cs="Calibri"/>
          <w:b/>
          <w:sz w:val="21"/>
          <w:szCs w:val="21"/>
        </w:rPr>
        <w:t xml:space="preserve">the three projects </w:t>
      </w:r>
      <w:r w:rsidR="00E22599" w:rsidRPr="00FA288E">
        <w:rPr>
          <w:rFonts w:ascii="Calibri" w:hAnsi="Calibri" w:cs="Calibri"/>
          <w:b/>
          <w:sz w:val="21"/>
          <w:szCs w:val="21"/>
        </w:rPr>
        <w:t>will contribute</w:t>
      </w:r>
      <w:r w:rsidR="00E22599" w:rsidRPr="00FA288E">
        <w:rPr>
          <w:rFonts w:ascii="Calibri" w:hAnsi="Calibri" w:cs="Calibri"/>
          <w:sz w:val="21"/>
          <w:szCs w:val="21"/>
        </w:rPr>
        <w:t>.</w:t>
      </w:r>
    </w:p>
    <w:p w14:paraId="5A801EEC" w14:textId="77777777" w:rsidR="00614C93" w:rsidRPr="00FA288E" w:rsidRDefault="00614C93" w:rsidP="002832DA">
      <w:pPr>
        <w:pStyle w:val="BodyText"/>
        <w:spacing w:after="80" w:line="240" w:lineRule="auto"/>
        <w:rPr>
          <w:rFonts w:ascii="Calibri" w:hAnsi="Calibri" w:cs="Calibri"/>
          <w:i/>
          <w:iCs/>
          <w:sz w:val="21"/>
          <w:szCs w:val="21"/>
        </w:rPr>
      </w:pPr>
      <w:r w:rsidRPr="00FA288E">
        <w:rPr>
          <w:rFonts w:ascii="Calibri" w:hAnsi="Calibri" w:cs="Calibri"/>
          <w:i/>
          <w:iCs/>
          <w:sz w:val="21"/>
          <w:szCs w:val="21"/>
        </w:rPr>
        <w:lastRenderedPageBreak/>
        <w:t>Appropriateness of the approach to MEL</w:t>
      </w:r>
    </w:p>
    <w:p w14:paraId="002F1DA7" w14:textId="255A8AB2" w:rsidR="00614C93" w:rsidRPr="00FA288E" w:rsidRDefault="00614C93" w:rsidP="002832DA">
      <w:pPr>
        <w:pStyle w:val="BodyText"/>
        <w:spacing w:after="80" w:line="240" w:lineRule="auto"/>
        <w:rPr>
          <w:rFonts w:cstheme="minorHAnsi"/>
          <w:sz w:val="21"/>
          <w:szCs w:val="21"/>
        </w:rPr>
      </w:pPr>
      <w:r w:rsidRPr="00FA288E">
        <w:rPr>
          <w:rFonts w:cstheme="minorHAnsi"/>
          <w:sz w:val="21"/>
          <w:szCs w:val="21"/>
        </w:rPr>
        <w:t xml:space="preserve">The approach taken to MEL </w:t>
      </w:r>
      <w:r w:rsidR="00E22599" w:rsidRPr="00FA288E">
        <w:rPr>
          <w:rFonts w:cstheme="minorHAnsi"/>
          <w:sz w:val="21"/>
          <w:szCs w:val="21"/>
        </w:rPr>
        <w:t xml:space="preserve">by the PPF </w:t>
      </w:r>
      <w:r w:rsidRPr="00FA288E">
        <w:rPr>
          <w:rFonts w:cstheme="minorHAnsi"/>
          <w:sz w:val="21"/>
          <w:szCs w:val="21"/>
        </w:rPr>
        <w:t xml:space="preserve">can be broadly described as a summative impact approach, seeking to prove that, as a result of ‘treatment’ </w:t>
      </w:r>
      <w:r w:rsidR="00E22599" w:rsidRPr="00FA288E">
        <w:rPr>
          <w:rFonts w:cstheme="minorHAnsi"/>
          <w:sz w:val="21"/>
          <w:szCs w:val="21"/>
        </w:rPr>
        <w:t>interventions</w:t>
      </w:r>
      <w:r w:rsidRPr="00FA288E">
        <w:rPr>
          <w:rFonts w:cstheme="minorHAnsi"/>
          <w:sz w:val="21"/>
          <w:szCs w:val="21"/>
        </w:rPr>
        <w:t>, the ability of teachers to teach the SBC i</w:t>
      </w:r>
      <w:r w:rsidR="00E22599" w:rsidRPr="00FA288E">
        <w:rPr>
          <w:rFonts w:cstheme="minorHAnsi"/>
          <w:sz w:val="21"/>
          <w:szCs w:val="21"/>
        </w:rPr>
        <w:t>mproves</w:t>
      </w:r>
      <w:r w:rsidRPr="00FA288E">
        <w:rPr>
          <w:rFonts w:cstheme="minorHAnsi"/>
          <w:sz w:val="21"/>
          <w:szCs w:val="21"/>
        </w:rPr>
        <w:t>; student</w:t>
      </w:r>
      <w:r w:rsidR="00E22599" w:rsidRPr="00FA288E">
        <w:rPr>
          <w:rFonts w:cstheme="minorHAnsi"/>
          <w:sz w:val="21"/>
          <w:szCs w:val="21"/>
        </w:rPr>
        <w:t>s</w:t>
      </w:r>
      <w:r w:rsidRPr="00FA288E">
        <w:rPr>
          <w:rFonts w:cstheme="minorHAnsi"/>
          <w:sz w:val="21"/>
          <w:szCs w:val="21"/>
        </w:rPr>
        <w:t xml:space="preserve"> read more; and the literacy and numeracy of boys and girls improv</w:t>
      </w:r>
      <w:r w:rsidR="00E22599" w:rsidRPr="00FA288E">
        <w:rPr>
          <w:rFonts w:cstheme="minorHAnsi"/>
          <w:sz w:val="21"/>
          <w:szCs w:val="21"/>
        </w:rPr>
        <w:t>es</w:t>
      </w:r>
      <w:r w:rsidRPr="00FA288E">
        <w:rPr>
          <w:rFonts w:cstheme="minorHAnsi"/>
          <w:sz w:val="21"/>
          <w:szCs w:val="21"/>
        </w:rPr>
        <w:t xml:space="preserve"> when compared to a control group. </w:t>
      </w:r>
      <w:r w:rsidR="00A0689C" w:rsidRPr="00FA288E">
        <w:rPr>
          <w:rFonts w:cstheme="minorHAnsi"/>
          <w:sz w:val="21"/>
          <w:szCs w:val="21"/>
        </w:rPr>
        <w:t>Most of the</w:t>
      </w:r>
      <w:r w:rsidRPr="00FA288E">
        <w:rPr>
          <w:rFonts w:cstheme="minorHAnsi"/>
          <w:sz w:val="21"/>
          <w:szCs w:val="21"/>
        </w:rPr>
        <w:t xml:space="preserve"> data </w:t>
      </w:r>
      <w:r w:rsidR="00A0689C" w:rsidRPr="00FA288E">
        <w:rPr>
          <w:rFonts w:cstheme="minorHAnsi"/>
          <w:sz w:val="21"/>
          <w:szCs w:val="21"/>
        </w:rPr>
        <w:t xml:space="preserve">to determine effect of the interventions is </w:t>
      </w:r>
      <w:r w:rsidRPr="00FA288E">
        <w:rPr>
          <w:rFonts w:cstheme="minorHAnsi"/>
          <w:sz w:val="21"/>
          <w:szCs w:val="21"/>
        </w:rPr>
        <w:t xml:space="preserve">to come from </w:t>
      </w:r>
      <w:r w:rsidR="00A0689C" w:rsidRPr="00FA288E">
        <w:rPr>
          <w:rFonts w:cstheme="minorHAnsi"/>
          <w:sz w:val="21"/>
          <w:szCs w:val="21"/>
        </w:rPr>
        <w:t xml:space="preserve">the </w:t>
      </w:r>
      <w:r w:rsidRPr="00FA288E">
        <w:rPr>
          <w:rFonts w:cstheme="minorHAnsi"/>
          <w:sz w:val="21"/>
          <w:szCs w:val="21"/>
        </w:rPr>
        <w:t xml:space="preserve">baseline, midline and </w:t>
      </w:r>
      <w:r w:rsidR="00FA288E">
        <w:rPr>
          <w:rFonts w:cstheme="minorHAnsi"/>
          <w:sz w:val="21"/>
          <w:szCs w:val="21"/>
        </w:rPr>
        <w:t>end line</w:t>
      </w:r>
      <w:r w:rsidRPr="00FA288E">
        <w:rPr>
          <w:rFonts w:cstheme="minorHAnsi"/>
          <w:sz w:val="21"/>
          <w:szCs w:val="21"/>
        </w:rPr>
        <w:t xml:space="preserve"> studies which adapted off-the-shelf, valid measurement tools such as the E</w:t>
      </w:r>
      <w:r w:rsidR="00A0689C" w:rsidRPr="00FA288E">
        <w:rPr>
          <w:rFonts w:cstheme="minorHAnsi"/>
          <w:sz w:val="21"/>
          <w:szCs w:val="21"/>
        </w:rPr>
        <w:t xml:space="preserve">arly </w:t>
      </w:r>
      <w:r w:rsidRPr="00FA288E">
        <w:rPr>
          <w:rFonts w:cstheme="minorHAnsi"/>
          <w:sz w:val="21"/>
          <w:szCs w:val="21"/>
        </w:rPr>
        <w:t>G</w:t>
      </w:r>
      <w:r w:rsidR="00A0689C" w:rsidRPr="00FA288E">
        <w:rPr>
          <w:rFonts w:cstheme="minorHAnsi"/>
          <w:sz w:val="21"/>
          <w:szCs w:val="21"/>
        </w:rPr>
        <w:t xml:space="preserve">rade </w:t>
      </w:r>
      <w:r w:rsidRPr="00FA288E">
        <w:rPr>
          <w:rFonts w:cstheme="minorHAnsi"/>
          <w:sz w:val="21"/>
          <w:szCs w:val="21"/>
        </w:rPr>
        <w:t>R</w:t>
      </w:r>
      <w:r w:rsidR="00A0689C" w:rsidRPr="00FA288E">
        <w:rPr>
          <w:rFonts w:cstheme="minorHAnsi"/>
          <w:sz w:val="21"/>
          <w:szCs w:val="21"/>
        </w:rPr>
        <w:t xml:space="preserve">eading </w:t>
      </w:r>
      <w:r w:rsidRPr="00FA288E">
        <w:rPr>
          <w:rFonts w:cstheme="minorHAnsi"/>
          <w:sz w:val="21"/>
          <w:szCs w:val="21"/>
        </w:rPr>
        <w:t>A</w:t>
      </w:r>
      <w:r w:rsidR="00A0689C" w:rsidRPr="00FA288E">
        <w:rPr>
          <w:rFonts w:cstheme="minorHAnsi"/>
          <w:sz w:val="21"/>
          <w:szCs w:val="21"/>
        </w:rPr>
        <w:t>ssessment, the Early Grade Math Assessment</w:t>
      </w:r>
      <w:r w:rsidRPr="00FA288E">
        <w:rPr>
          <w:rFonts w:cstheme="minorHAnsi"/>
          <w:sz w:val="21"/>
          <w:szCs w:val="21"/>
        </w:rPr>
        <w:t xml:space="preserve"> and for </w:t>
      </w:r>
      <w:r w:rsidR="00A0689C" w:rsidRPr="00FA288E">
        <w:rPr>
          <w:rFonts w:cstheme="minorHAnsi"/>
          <w:sz w:val="21"/>
          <w:szCs w:val="21"/>
        </w:rPr>
        <w:t xml:space="preserve">assessing </w:t>
      </w:r>
      <w:r w:rsidRPr="00FA288E">
        <w:rPr>
          <w:rFonts w:cstheme="minorHAnsi"/>
          <w:sz w:val="21"/>
          <w:szCs w:val="21"/>
        </w:rPr>
        <w:t xml:space="preserve">early childhood learning, </w:t>
      </w:r>
      <w:r w:rsidR="00A0689C" w:rsidRPr="00FA288E">
        <w:rPr>
          <w:rFonts w:cstheme="minorHAnsi"/>
          <w:sz w:val="21"/>
          <w:szCs w:val="21"/>
        </w:rPr>
        <w:t xml:space="preserve">the </w:t>
      </w:r>
      <w:r w:rsidRPr="00FA288E">
        <w:rPr>
          <w:rFonts w:cstheme="minorHAnsi"/>
          <w:sz w:val="21"/>
          <w:szCs w:val="21"/>
        </w:rPr>
        <w:t>I</w:t>
      </w:r>
      <w:r w:rsidR="00A0689C" w:rsidRPr="00FA288E">
        <w:rPr>
          <w:rFonts w:cstheme="minorHAnsi"/>
          <w:sz w:val="21"/>
          <w:szCs w:val="21"/>
        </w:rPr>
        <w:t xml:space="preserve">nternational </w:t>
      </w:r>
      <w:r w:rsidRPr="00FA288E">
        <w:rPr>
          <w:rFonts w:cstheme="minorHAnsi"/>
          <w:sz w:val="21"/>
          <w:szCs w:val="21"/>
        </w:rPr>
        <w:t>D</w:t>
      </w:r>
      <w:r w:rsidR="00A0689C" w:rsidRPr="00FA288E">
        <w:rPr>
          <w:rFonts w:cstheme="minorHAnsi"/>
          <w:sz w:val="21"/>
          <w:szCs w:val="21"/>
        </w:rPr>
        <w:t xml:space="preserve">evelopment and </w:t>
      </w:r>
      <w:r w:rsidRPr="00FA288E">
        <w:rPr>
          <w:rFonts w:cstheme="minorHAnsi"/>
          <w:sz w:val="21"/>
          <w:szCs w:val="21"/>
        </w:rPr>
        <w:t>E</w:t>
      </w:r>
      <w:r w:rsidR="00A0689C" w:rsidRPr="00FA288E">
        <w:rPr>
          <w:rFonts w:cstheme="minorHAnsi"/>
          <w:sz w:val="21"/>
          <w:szCs w:val="21"/>
        </w:rPr>
        <w:t xml:space="preserve">arly </w:t>
      </w:r>
      <w:r w:rsidRPr="00FA288E">
        <w:rPr>
          <w:rFonts w:cstheme="minorHAnsi"/>
          <w:sz w:val="21"/>
          <w:szCs w:val="21"/>
        </w:rPr>
        <w:t>L</w:t>
      </w:r>
      <w:r w:rsidR="00A0689C" w:rsidRPr="00FA288E">
        <w:rPr>
          <w:rFonts w:cstheme="minorHAnsi"/>
          <w:sz w:val="21"/>
          <w:szCs w:val="21"/>
        </w:rPr>
        <w:t xml:space="preserve">earning </w:t>
      </w:r>
      <w:r w:rsidRPr="00FA288E">
        <w:rPr>
          <w:rFonts w:cstheme="minorHAnsi"/>
          <w:sz w:val="21"/>
          <w:szCs w:val="21"/>
        </w:rPr>
        <w:t>A</w:t>
      </w:r>
      <w:r w:rsidR="00A0689C" w:rsidRPr="00FA288E">
        <w:rPr>
          <w:rFonts w:cstheme="minorHAnsi"/>
          <w:sz w:val="21"/>
          <w:szCs w:val="21"/>
        </w:rPr>
        <w:t>ssessment</w:t>
      </w:r>
      <w:r w:rsidRPr="00FA288E">
        <w:rPr>
          <w:rFonts w:cstheme="minorHAnsi"/>
          <w:sz w:val="21"/>
          <w:szCs w:val="21"/>
        </w:rPr>
        <w:t xml:space="preserve">. </w:t>
      </w:r>
      <w:r w:rsidR="00A0689C" w:rsidRPr="00FA288E">
        <w:rPr>
          <w:rFonts w:cstheme="minorHAnsi"/>
          <w:sz w:val="21"/>
          <w:szCs w:val="21"/>
        </w:rPr>
        <w:t>T</w:t>
      </w:r>
      <w:r w:rsidRPr="00FA288E">
        <w:rPr>
          <w:rFonts w:cstheme="minorHAnsi"/>
          <w:sz w:val="21"/>
          <w:szCs w:val="21"/>
        </w:rPr>
        <w:t xml:space="preserve">ested </w:t>
      </w:r>
      <w:r w:rsidR="00A0689C" w:rsidRPr="00FA288E">
        <w:rPr>
          <w:rFonts w:cstheme="minorHAnsi"/>
          <w:sz w:val="21"/>
          <w:szCs w:val="21"/>
        </w:rPr>
        <w:t xml:space="preserve">classroom </w:t>
      </w:r>
      <w:r w:rsidRPr="00FA288E">
        <w:rPr>
          <w:rFonts w:cstheme="minorHAnsi"/>
          <w:sz w:val="21"/>
          <w:szCs w:val="21"/>
        </w:rPr>
        <w:t>observation methods (adapted Stallings</w:t>
      </w:r>
      <w:r w:rsidR="00A0689C" w:rsidRPr="00FA288E">
        <w:rPr>
          <w:rFonts w:cstheme="minorHAnsi"/>
          <w:sz w:val="21"/>
          <w:szCs w:val="21"/>
        </w:rPr>
        <w:t xml:space="preserve"> and the World Bank</w:t>
      </w:r>
      <w:r w:rsidRPr="00FA288E">
        <w:rPr>
          <w:rFonts w:cstheme="minorHAnsi"/>
          <w:sz w:val="21"/>
          <w:szCs w:val="21"/>
        </w:rPr>
        <w:t xml:space="preserve"> TEACH</w:t>
      </w:r>
      <w:r w:rsidR="00A0689C" w:rsidRPr="00FA288E">
        <w:rPr>
          <w:rFonts w:cstheme="minorHAnsi"/>
          <w:sz w:val="21"/>
          <w:szCs w:val="21"/>
        </w:rPr>
        <w:t xml:space="preserve"> tools</w:t>
      </w:r>
      <w:r w:rsidRPr="00FA288E">
        <w:rPr>
          <w:rFonts w:cstheme="minorHAnsi"/>
          <w:sz w:val="21"/>
          <w:szCs w:val="21"/>
        </w:rPr>
        <w:t>) and surveys were used to assess teacher confidence and practice change</w:t>
      </w:r>
      <w:r w:rsidR="00A0689C" w:rsidRPr="00FA288E">
        <w:rPr>
          <w:rFonts w:cstheme="minorHAnsi"/>
          <w:sz w:val="21"/>
          <w:szCs w:val="21"/>
        </w:rPr>
        <w:t>. P</w:t>
      </w:r>
      <w:r w:rsidRPr="00FA288E">
        <w:rPr>
          <w:rFonts w:cstheme="minorHAnsi"/>
          <w:sz w:val="21"/>
          <w:szCs w:val="21"/>
        </w:rPr>
        <w:t>roxies</w:t>
      </w:r>
      <w:r w:rsidR="007B1946" w:rsidRPr="00FA288E">
        <w:rPr>
          <w:rFonts w:cstheme="minorHAnsi"/>
          <w:sz w:val="21"/>
          <w:szCs w:val="21"/>
        </w:rPr>
        <w:t xml:space="preserve"> (</w:t>
      </w:r>
      <w:hyperlink r:id="rId15" w:tooltip="Variable (mathematics)" w:history="1">
        <w:r w:rsidR="007B1946" w:rsidRPr="00FA288E">
          <w:rPr>
            <w:rStyle w:val="Hyperlink"/>
            <w:rFonts w:cstheme="minorHAnsi"/>
            <w:color w:val="auto"/>
            <w:sz w:val="21"/>
            <w:szCs w:val="21"/>
          </w:rPr>
          <w:t>variable</w:t>
        </w:r>
      </w:hyperlink>
      <w:r w:rsidR="007B1946" w:rsidRPr="00FA288E">
        <w:rPr>
          <w:rFonts w:cstheme="minorHAnsi"/>
          <w:sz w:val="21"/>
          <w:szCs w:val="21"/>
        </w:rPr>
        <w:t>s</w:t>
      </w:r>
      <w:r w:rsidR="007B1946" w:rsidRPr="00FA288E">
        <w:rPr>
          <w:rFonts w:cstheme="minorHAnsi"/>
          <w:color w:val="222222"/>
          <w:sz w:val="21"/>
          <w:szCs w:val="21"/>
        </w:rPr>
        <w:t xml:space="preserve"> that are not in itself directly relevant, but that serves in place of an unobservable or immeasurable variable</w:t>
      </w:r>
      <w:r w:rsidRPr="00FA288E">
        <w:rPr>
          <w:rFonts w:cstheme="minorHAnsi"/>
          <w:sz w:val="21"/>
          <w:szCs w:val="21"/>
        </w:rPr>
        <w:t xml:space="preserve"> for </w:t>
      </w:r>
      <w:r w:rsidR="00A0689C" w:rsidRPr="00FA288E">
        <w:rPr>
          <w:rFonts w:cstheme="minorHAnsi"/>
          <w:sz w:val="21"/>
          <w:szCs w:val="21"/>
        </w:rPr>
        <w:t xml:space="preserve">measuring </w:t>
      </w:r>
      <w:r w:rsidRPr="00FA288E">
        <w:rPr>
          <w:rFonts w:cstheme="minorHAnsi"/>
          <w:sz w:val="21"/>
          <w:szCs w:val="21"/>
        </w:rPr>
        <w:t xml:space="preserve">increased practice of reading (such as books borrowed, home reading practices </w:t>
      </w:r>
      <w:r w:rsidR="00FA288E" w:rsidRPr="00FA288E">
        <w:rPr>
          <w:rFonts w:cstheme="minorHAnsi"/>
          <w:sz w:val="21"/>
          <w:szCs w:val="21"/>
        </w:rPr>
        <w:t>etc.</w:t>
      </w:r>
      <w:r w:rsidRPr="00FA288E">
        <w:rPr>
          <w:rFonts w:cstheme="minorHAnsi"/>
          <w:sz w:val="21"/>
          <w:szCs w:val="21"/>
        </w:rPr>
        <w:t xml:space="preserve">) were developed to assess contribution of reading material distribution. </w:t>
      </w:r>
    </w:p>
    <w:p w14:paraId="2A9141F2" w14:textId="3574A4B1" w:rsidR="00614C93" w:rsidRPr="00FA288E" w:rsidRDefault="00614C93" w:rsidP="002832DA">
      <w:pPr>
        <w:pStyle w:val="BodyText"/>
        <w:spacing w:after="80" w:line="240" w:lineRule="auto"/>
        <w:rPr>
          <w:rFonts w:ascii="Calibri" w:hAnsi="Calibri" w:cs="Calibri"/>
          <w:sz w:val="21"/>
          <w:szCs w:val="21"/>
        </w:rPr>
      </w:pPr>
      <w:r w:rsidRPr="00FA288E">
        <w:rPr>
          <w:rFonts w:ascii="Calibri" w:hAnsi="Calibri" w:cs="Calibri"/>
          <w:sz w:val="21"/>
          <w:szCs w:val="21"/>
        </w:rPr>
        <w:t>While the baselines appear</w:t>
      </w:r>
      <w:r w:rsidR="002D64DB" w:rsidRPr="00FA288E">
        <w:rPr>
          <w:rFonts w:ascii="Calibri" w:hAnsi="Calibri" w:cs="Calibri"/>
          <w:sz w:val="21"/>
          <w:szCs w:val="21"/>
        </w:rPr>
        <w:t xml:space="preserve"> </w:t>
      </w:r>
      <w:r w:rsidRPr="00FA288E">
        <w:rPr>
          <w:rFonts w:ascii="Calibri" w:hAnsi="Calibri" w:cs="Calibri"/>
          <w:sz w:val="21"/>
          <w:szCs w:val="21"/>
        </w:rPr>
        <w:t>well designed and provide a</w:t>
      </w:r>
      <w:r w:rsidR="002D64DB" w:rsidRPr="00FA288E">
        <w:rPr>
          <w:rFonts w:ascii="Calibri" w:hAnsi="Calibri" w:cs="Calibri"/>
          <w:sz w:val="21"/>
          <w:szCs w:val="21"/>
        </w:rPr>
        <w:t xml:space="preserve"> </w:t>
      </w:r>
      <w:r w:rsidRPr="00FA288E">
        <w:rPr>
          <w:rFonts w:ascii="Calibri" w:hAnsi="Calibri" w:cs="Calibri"/>
          <w:sz w:val="21"/>
          <w:szCs w:val="21"/>
        </w:rPr>
        <w:t xml:space="preserve">foundation against which to assess </w:t>
      </w:r>
      <w:r w:rsidR="002D64DB" w:rsidRPr="00FA288E">
        <w:rPr>
          <w:rFonts w:ascii="Calibri" w:hAnsi="Calibri" w:cs="Calibri"/>
          <w:sz w:val="21"/>
          <w:szCs w:val="21"/>
        </w:rPr>
        <w:t>the effects of</w:t>
      </w:r>
      <w:r w:rsidRPr="00FA288E">
        <w:rPr>
          <w:rFonts w:ascii="Calibri" w:hAnsi="Calibri" w:cs="Calibri"/>
          <w:sz w:val="21"/>
          <w:szCs w:val="21"/>
        </w:rPr>
        <w:t xml:space="preserve"> </w:t>
      </w:r>
      <w:r w:rsidR="002D64DB" w:rsidRPr="00FA288E">
        <w:rPr>
          <w:rFonts w:ascii="Calibri" w:hAnsi="Calibri" w:cs="Calibri"/>
          <w:sz w:val="21"/>
          <w:szCs w:val="21"/>
        </w:rPr>
        <w:t>a</w:t>
      </w:r>
      <w:r w:rsidRPr="00FA288E">
        <w:rPr>
          <w:rFonts w:ascii="Calibri" w:hAnsi="Calibri" w:cs="Calibri"/>
          <w:sz w:val="21"/>
          <w:szCs w:val="21"/>
        </w:rPr>
        <w:t xml:space="preserve"> short-term service delivery-style pro</w:t>
      </w:r>
      <w:r w:rsidR="001D27A1" w:rsidRPr="00FA288E">
        <w:rPr>
          <w:rFonts w:ascii="Calibri" w:hAnsi="Calibri" w:cs="Calibri"/>
          <w:sz w:val="21"/>
          <w:szCs w:val="21"/>
        </w:rPr>
        <w:t>ject</w:t>
      </w:r>
      <w:r w:rsidRPr="00FA288E">
        <w:rPr>
          <w:rFonts w:ascii="Calibri" w:hAnsi="Calibri" w:cs="Calibri"/>
          <w:sz w:val="21"/>
          <w:szCs w:val="21"/>
        </w:rPr>
        <w:t xml:space="preserve">, the approach </w:t>
      </w:r>
      <w:r w:rsidR="002D64DB" w:rsidRPr="00FA288E">
        <w:rPr>
          <w:rFonts w:ascii="Calibri" w:hAnsi="Calibri" w:cs="Calibri"/>
          <w:sz w:val="21"/>
          <w:szCs w:val="21"/>
        </w:rPr>
        <w:t>is</w:t>
      </w:r>
      <w:r w:rsidRPr="00FA288E">
        <w:rPr>
          <w:rFonts w:ascii="Calibri" w:hAnsi="Calibri" w:cs="Calibri"/>
          <w:sz w:val="21"/>
          <w:szCs w:val="21"/>
        </w:rPr>
        <w:t xml:space="preserve"> less useful for examining contribution of some of the longer</w:t>
      </w:r>
      <w:r w:rsidR="009632FD" w:rsidRPr="00FA288E">
        <w:rPr>
          <w:rFonts w:ascii="Calibri" w:hAnsi="Calibri" w:cs="Calibri"/>
          <w:sz w:val="21"/>
          <w:szCs w:val="21"/>
        </w:rPr>
        <w:t>-</w:t>
      </w:r>
      <w:r w:rsidRPr="00FA288E">
        <w:rPr>
          <w:rFonts w:ascii="Calibri" w:hAnsi="Calibri" w:cs="Calibri"/>
          <w:sz w:val="21"/>
          <w:szCs w:val="21"/>
        </w:rPr>
        <w:t xml:space="preserve">term implementation variables </w:t>
      </w:r>
      <w:r w:rsidR="002D64DB" w:rsidRPr="00FA288E">
        <w:rPr>
          <w:rFonts w:ascii="Calibri" w:hAnsi="Calibri" w:cs="Calibri"/>
          <w:sz w:val="21"/>
          <w:szCs w:val="21"/>
        </w:rPr>
        <w:t>that emphasise</w:t>
      </w:r>
      <w:r w:rsidRPr="00FA288E">
        <w:rPr>
          <w:rFonts w:ascii="Calibri" w:hAnsi="Calibri" w:cs="Calibri"/>
          <w:sz w:val="21"/>
          <w:szCs w:val="21"/>
        </w:rPr>
        <w:t xml:space="preserve"> demonstration and learning. While there is a</w:t>
      </w:r>
      <w:r w:rsidR="002D64DB" w:rsidRPr="00FA288E">
        <w:rPr>
          <w:rFonts w:ascii="Calibri" w:hAnsi="Calibri" w:cs="Calibri"/>
          <w:sz w:val="21"/>
          <w:szCs w:val="21"/>
        </w:rPr>
        <w:t xml:space="preserve"> stated</w:t>
      </w:r>
      <w:r w:rsidRPr="00FA288E">
        <w:rPr>
          <w:rFonts w:ascii="Calibri" w:hAnsi="Calibri" w:cs="Calibri"/>
          <w:sz w:val="21"/>
          <w:szCs w:val="21"/>
        </w:rPr>
        <w:t xml:space="preserve"> intention to </w:t>
      </w:r>
      <w:r w:rsidR="002D64DB" w:rsidRPr="00FA288E">
        <w:rPr>
          <w:rFonts w:ascii="Calibri" w:hAnsi="Calibri" w:cs="Calibri"/>
          <w:sz w:val="21"/>
          <w:szCs w:val="21"/>
        </w:rPr>
        <w:t>add more</w:t>
      </w:r>
      <w:r w:rsidRPr="00FA288E">
        <w:rPr>
          <w:rFonts w:ascii="Calibri" w:hAnsi="Calibri" w:cs="Calibri"/>
          <w:sz w:val="21"/>
          <w:szCs w:val="21"/>
        </w:rPr>
        <w:t xml:space="preserve"> qualitative enquiries at </w:t>
      </w:r>
      <w:r w:rsidR="00FA288E" w:rsidRPr="00FA288E">
        <w:rPr>
          <w:rFonts w:ascii="Calibri" w:hAnsi="Calibri" w:cs="Calibri"/>
          <w:sz w:val="21"/>
          <w:szCs w:val="21"/>
        </w:rPr>
        <w:t>end line</w:t>
      </w:r>
      <w:r w:rsidRPr="00FA288E">
        <w:rPr>
          <w:rFonts w:ascii="Calibri" w:hAnsi="Calibri" w:cs="Calibri"/>
          <w:sz w:val="21"/>
          <w:szCs w:val="21"/>
        </w:rPr>
        <w:t>, a concern expressed by all pro</w:t>
      </w:r>
      <w:r w:rsidR="001D27A1" w:rsidRPr="00FA288E">
        <w:rPr>
          <w:rFonts w:ascii="Calibri" w:hAnsi="Calibri" w:cs="Calibri"/>
          <w:sz w:val="21"/>
          <w:szCs w:val="21"/>
        </w:rPr>
        <w:t>ject</w:t>
      </w:r>
      <w:r w:rsidRPr="00FA288E">
        <w:rPr>
          <w:rFonts w:ascii="Calibri" w:hAnsi="Calibri" w:cs="Calibri"/>
          <w:sz w:val="21"/>
          <w:szCs w:val="21"/>
        </w:rPr>
        <w:t xml:space="preserve">s was the lack of emphasis </w:t>
      </w:r>
      <w:r w:rsidR="002D64DB" w:rsidRPr="00FA288E">
        <w:rPr>
          <w:rFonts w:ascii="Calibri" w:hAnsi="Calibri" w:cs="Calibri"/>
          <w:sz w:val="21"/>
          <w:szCs w:val="21"/>
        </w:rPr>
        <w:t xml:space="preserve">on </w:t>
      </w:r>
      <w:r w:rsidRPr="00FA288E">
        <w:rPr>
          <w:rFonts w:ascii="Calibri" w:hAnsi="Calibri" w:cs="Calibri"/>
          <w:sz w:val="21"/>
          <w:szCs w:val="21"/>
        </w:rPr>
        <w:t xml:space="preserve">and time available to monitor </w:t>
      </w:r>
      <w:r w:rsidR="002D64DB" w:rsidRPr="00FA288E">
        <w:rPr>
          <w:rFonts w:ascii="Calibri" w:hAnsi="Calibri" w:cs="Calibri"/>
          <w:sz w:val="21"/>
          <w:szCs w:val="21"/>
        </w:rPr>
        <w:t>the ‘effect’</w:t>
      </w:r>
      <w:r w:rsidRPr="00FA288E">
        <w:rPr>
          <w:rFonts w:ascii="Calibri" w:hAnsi="Calibri" w:cs="Calibri"/>
          <w:sz w:val="21"/>
          <w:szCs w:val="21"/>
        </w:rPr>
        <w:t xml:space="preserve"> </w:t>
      </w:r>
      <w:r w:rsidR="002D64DB" w:rsidRPr="00FA288E">
        <w:rPr>
          <w:rFonts w:ascii="Calibri" w:hAnsi="Calibri" w:cs="Calibri"/>
          <w:sz w:val="21"/>
          <w:szCs w:val="21"/>
        </w:rPr>
        <w:t>of</w:t>
      </w:r>
      <w:r w:rsidRPr="00FA288E">
        <w:rPr>
          <w:rFonts w:ascii="Calibri" w:hAnsi="Calibri" w:cs="Calibri"/>
          <w:sz w:val="21"/>
          <w:szCs w:val="21"/>
        </w:rPr>
        <w:t xml:space="preserve"> implementation </w:t>
      </w:r>
      <w:r w:rsidR="002D64DB" w:rsidRPr="00FA288E">
        <w:rPr>
          <w:rFonts w:ascii="Calibri" w:hAnsi="Calibri" w:cs="Calibri"/>
          <w:sz w:val="21"/>
          <w:szCs w:val="21"/>
        </w:rPr>
        <w:t>given the pressure</w:t>
      </w:r>
      <w:r w:rsidRPr="00FA288E">
        <w:rPr>
          <w:rFonts w:ascii="Calibri" w:hAnsi="Calibri" w:cs="Calibri"/>
          <w:sz w:val="21"/>
          <w:szCs w:val="21"/>
        </w:rPr>
        <w:t xml:space="preserve"> to achieve output targets. Areas where monitoring </w:t>
      </w:r>
      <w:r w:rsidR="002D64DB" w:rsidRPr="00FA288E">
        <w:rPr>
          <w:rFonts w:ascii="Calibri" w:hAnsi="Calibri" w:cs="Calibri"/>
          <w:sz w:val="21"/>
          <w:szCs w:val="21"/>
        </w:rPr>
        <w:t>could be strengthened to determine effects</w:t>
      </w:r>
      <w:r w:rsidRPr="00FA288E">
        <w:rPr>
          <w:rFonts w:ascii="Calibri" w:hAnsi="Calibri" w:cs="Calibri"/>
          <w:sz w:val="21"/>
          <w:szCs w:val="21"/>
        </w:rPr>
        <w:t xml:space="preserve"> include:</w:t>
      </w:r>
    </w:p>
    <w:p w14:paraId="219BB630" w14:textId="77777777" w:rsidR="00614C93" w:rsidRPr="00FA288E" w:rsidRDefault="00614C93" w:rsidP="005C700B">
      <w:pPr>
        <w:pStyle w:val="Bullets"/>
        <w:numPr>
          <w:ilvl w:val="0"/>
          <w:numId w:val="28"/>
        </w:numPr>
        <w:spacing w:after="0" w:line="240" w:lineRule="auto"/>
        <w:ind w:left="720" w:hanging="357"/>
        <w:jc w:val="both"/>
        <w:rPr>
          <w:rFonts w:ascii="Calibri" w:hAnsi="Calibri" w:cs="Calibri"/>
          <w:sz w:val="21"/>
          <w:szCs w:val="21"/>
        </w:rPr>
      </w:pPr>
      <w:r w:rsidRPr="00FA288E">
        <w:rPr>
          <w:rFonts w:ascii="Calibri" w:hAnsi="Calibri" w:cs="Calibri"/>
          <w:sz w:val="21"/>
          <w:szCs w:val="21"/>
        </w:rPr>
        <w:t xml:space="preserve">verifying the </w:t>
      </w:r>
      <w:r w:rsidRPr="00FA288E">
        <w:rPr>
          <w:rFonts w:ascii="Calibri" w:hAnsi="Calibri" w:cs="Calibri"/>
          <w:i/>
          <w:iCs/>
          <w:sz w:val="21"/>
          <w:szCs w:val="21"/>
        </w:rPr>
        <w:t>actual practice</w:t>
      </w:r>
      <w:r w:rsidRPr="00FA288E">
        <w:rPr>
          <w:rFonts w:ascii="Calibri" w:hAnsi="Calibri" w:cs="Calibri"/>
          <w:sz w:val="21"/>
          <w:szCs w:val="21"/>
        </w:rPr>
        <w:t xml:space="preserve"> of reading activities facilitated by CLVs and reading volunteers</w:t>
      </w:r>
      <w:r w:rsidR="002D64DB" w:rsidRPr="00FA288E">
        <w:rPr>
          <w:rFonts w:ascii="Calibri" w:hAnsi="Calibri" w:cs="Calibri"/>
          <w:sz w:val="21"/>
          <w:szCs w:val="21"/>
        </w:rPr>
        <w:t xml:space="preserve"> considering</w:t>
      </w:r>
      <w:r w:rsidRPr="00FA288E">
        <w:rPr>
          <w:rFonts w:ascii="Calibri" w:hAnsi="Calibri" w:cs="Calibri"/>
          <w:sz w:val="21"/>
          <w:szCs w:val="21"/>
        </w:rPr>
        <w:t xml:space="preserve"> questionable data sometimes provided and </w:t>
      </w:r>
      <w:r w:rsidR="002D64DB" w:rsidRPr="00FA288E">
        <w:rPr>
          <w:rFonts w:ascii="Calibri" w:hAnsi="Calibri" w:cs="Calibri"/>
          <w:sz w:val="21"/>
          <w:szCs w:val="21"/>
        </w:rPr>
        <w:t xml:space="preserve">the </w:t>
      </w:r>
      <w:r w:rsidRPr="00FA288E">
        <w:rPr>
          <w:rFonts w:ascii="Calibri" w:hAnsi="Calibri" w:cs="Calibri"/>
          <w:sz w:val="21"/>
          <w:szCs w:val="21"/>
        </w:rPr>
        <w:t xml:space="preserve">limited </w:t>
      </w:r>
      <w:r w:rsidR="00340801" w:rsidRPr="00FA288E">
        <w:rPr>
          <w:rFonts w:ascii="Calibri" w:hAnsi="Calibri" w:cs="Calibri"/>
          <w:sz w:val="21"/>
          <w:szCs w:val="21"/>
        </w:rPr>
        <w:t>abil</w:t>
      </w:r>
      <w:r w:rsidRPr="00FA288E">
        <w:rPr>
          <w:rFonts w:ascii="Calibri" w:hAnsi="Calibri" w:cs="Calibri"/>
          <w:sz w:val="21"/>
          <w:szCs w:val="21"/>
        </w:rPr>
        <w:t xml:space="preserve">ity </w:t>
      </w:r>
      <w:r w:rsidR="002D64DB" w:rsidRPr="00FA288E">
        <w:rPr>
          <w:rFonts w:ascii="Calibri" w:hAnsi="Calibri" w:cs="Calibri"/>
          <w:sz w:val="21"/>
          <w:szCs w:val="21"/>
        </w:rPr>
        <w:t>to conduct</w:t>
      </w:r>
      <w:r w:rsidRPr="00FA288E">
        <w:rPr>
          <w:rFonts w:ascii="Calibri" w:hAnsi="Calibri" w:cs="Calibri"/>
          <w:sz w:val="21"/>
          <w:szCs w:val="21"/>
        </w:rPr>
        <w:t xml:space="preserve"> spot checks (RISE, T4E)  </w:t>
      </w:r>
    </w:p>
    <w:p w14:paraId="6DA9060F" w14:textId="77777777" w:rsidR="00614C93" w:rsidRPr="00FA288E" w:rsidRDefault="00614C93" w:rsidP="005C700B">
      <w:pPr>
        <w:pStyle w:val="Bullets"/>
        <w:numPr>
          <w:ilvl w:val="0"/>
          <w:numId w:val="28"/>
        </w:numPr>
        <w:spacing w:after="0" w:line="240" w:lineRule="auto"/>
        <w:ind w:left="720"/>
        <w:jc w:val="both"/>
        <w:rPr>
          <w:rFonts w:ascii="Calibri" w:hAnsi="Calibri" w:cs="Calibri"/>
          <w:sz w:val="21"/>
          <w:szCs w:val="21"/>
        </w:rPr>
      </w:pPr>
      <w:r w:rsidRPr="00FA288E">
        <w:rPr>
          <w:rFonts w:ascii="Calibri" w:hAnsi="Calibri" w:cs="Calibri"/>
          <w:sz w:val="21"/>
          <w:szCs w:val="21"/>
        </w:rPr>
        <w:t xml:space="preserve">observation of </w:t>
      </w:r>
      <w:r w:rsidR="002D64DB" w:rsidRPr="00FA288E">
        <w:rPr>
          <w:rFonts w:ascii="Calibri" w:hAnsi="Calibri" w:cs="Calibri"/>
          <w:i/>
          <w:iCs/>
          <w:sz w:val="21"/>
          <w:szCs w:val="21"/>
        </w:rPr>
        <w:t>actual</w:t>
      </w:r>
      <w:r w:rsidR="002D64DB" w:rsidRPr="00FA288E">
        <w:rPr>
          <w:rFonts w:ascii="Calibri" w:hAnsi="Calibri" w:cs="Calibri"/>
          <w:sz w:val="21"/>
          <w:szCs w:val="21"/>
        </w:rPr>
        <w:t xml:space="preserve"> changes in </w:t>
      </w:r>
      <w:r w:rsidRPr="00FA288E">
        <w:rPr>
          <w:rFonts w:ascii="Calibri" w:hAnsi="Calibri" w:cs="Calibri"/>
          <w:sz w:val="21"/>
          <w:szCs w:val="21"/>
        </w:rPr>
        <w:t>teacher practice following training (</w:t>
      </w:r>
      <w:r w:rsidR="002D64DB" w:rsidRPr="00FA288E">
        <w:rPr>
          <w:rFonts w:ascii="Calibri" w:hAnsi="Calibri" w:cs="Calibri"/>
          <w:sz w:val="21"/>
          <w:szCs w:val="21"/>
        </w:rPr>
        <w:t>a</w:t>
      </w:r>
      <w:r w:rsidRPr="00FA288E">
        <w:rPr>
          <w:rFonts w:ascii="Calibri" w:hAnsi="Calibri" w:cs="Calibri"/>
          <w:sz w:val="21"/>
          <w:szCs w:val="21"/>
        </w:rPr>
        <w:t>ll</w:t>
      </w:r>
      <w:r w:rsidR="002D64DB" w:rsidRPr="00FA288E">
        <w:rPr>
          <w:rFonts w:ascii="Calibri" w:hAnsi="Calibri" w:cs="Calibri"/>
          <w:sz w:val="21"/>
          <w:szCs w:val="21"/>
        </w:rPr>
        <w:t xml:space="preserve"> projects</w:t>
      </w:r>
      <w:r w:rsidRPr="00FA288E">
        <w:rPr>
          <w:rFonts w:ascii="Calibri" w:hAnsi="Calibri" w:cs="Calibri"/>
          <w:sz w:val="21"/>
          <w:szCs w:val="21"/>
        </w:rPr>
        <w:t>)</w:t>
      </w:r>
    </w:p>
    <w:p w14:paraId="085A5740" w14:textId="77777777" w:rsidR="00614C93" w:rsidRPr="00FA288E" w:rsidRDefault="002D64DB" w:rsidP="005C700B">
      <w:pPr>
        <w:pStyle w:val="Bullets"/>
        <w:numPr>
          <w:ilvl w:val="0"/>
          <w:numId w:val="28"/>
        </w:numPr>
        <w:spacing w:after="0" w:line="240" w:lineRule="auto"/>
        <w:ind w:left="720"/>
        <w:jc w:val="both"/>
        <w:rPr>
          <w:rFonts w:ascii="Calibri" w:hAnsi="Calibri" w:cs="Calibri"/>
          <w:sz w:val="21"/>
          <w:szCs w:val="21"/>
        </w:rPr>
      </w:pPr>
      <w:r w:rsidRPr="00FA288E">
        <w:rPr>
          <w:rFonts w:ascii="Calibri" w:hAnsi="Calibri" w:cs="Calibri"/>
          <w:sz w:val="21"/>
          <w:szCs w:val="21"/>
        </w:rPr>
        <w:t xml:space="preserve">determining the </w:t>
      </w:r>
      <w:r w:rsidR="00614C93" w:rsidRPr="00FA288E">
        <w:rPr>
          <w:rFonts w:ascii="Calibri" w:hAnsi="Calibri" w:cs="Calibri"/>
          <w:i/>
          <w:iCs/>
          <w:sz w:val="21"/>
          <w:szCs w:val="21"/>
        </w:rPr>
        <w:t>actual</w:t>
      </w:r>
      <w:r w:rsidR="00614C93" w:rsidRPr="00FA288E">
        <w:rPr>
          <w:rFonts w:ascii="Calibri" w:hAnsi="Calibri" w:cs="Calibri"/>
          <w:sz w:val="21"/>
          <w:szCs w:val="21"/>
        </w:rPr>
        <w:t xml:space="preserve"> usage of teacher aides such as videos on effective literacy strategies and digitised SBC materials (T4E, PKS)</w:t>
      </w:r>
    </w:p>
    <w:p w14:paraId="0CD1F803" w14:textId="77777777" w:rsidR="00614C93" w:rsidRPr="00FA288E" w:rsidRDefault="002D64DB" w:rsidP="005C700B">
      <w:pPr>
        <w:pStyle w:val="Bullets"/>
        <w:numPr>
          <w:ilvl w:val="0"/>
          <w:numId w:val="28"/>
        </w:numPr>
        <w:spacing w:after="0" w:line="240" w:lineRule="auto"/>
        <w:ind w:left="720"/>
        <w:jc w:val="both"/>
        <w:rPr>
          <w:rFonts w:ascii="Calibri" w:hAnsi="Calibri" w:cs="Calibri"/>
          <w:sz w:val="21"/>
          <w:szCs w:val="21"/>
        </w:rPr>
      </w:pPr>
      <w:r w:rsidRPr="00FA288E">
        <w:rPr>
          <w:rFonts w:ascii="Calibri" w:hAnsi="Calibri" w:cs="Calibri"/>
          <w:sz w:val="21"/>
          <w:szCs w:val="21"/>
        </w:rPr>
        <w:t xml:space="preserve">assessing </w:t>
      </w:r>
      <w:r w:rsidR="00614C93" w:rsidRPr="00FA288E">
        <w:rPr>
          <w:rFonts w:ascii="Calibri" w:hAnsi="Calibri" w:cs="Calibri"/>
          <w:sz w:val="21"/>
          <w:szCs w:val="21"/>
        </w:rPr>
        <w:t xml:space="preserve">the extent to which SLIPs are improved/completed following training – including </w:t>
      </w:r>
      <w:r w:rsidRPr="00FA288E">
        <w:rPr>
          <w:rFonts w:ascii="Calibri" w:hAnsi="Calibri" w:cs="Calibri"/>
          <w:sz w:val="21"/>
          <w:szCs w:val="21"/>
        </w:rPr>
        <w:t xml:space="preserve">the </w:t>
      </w:r>
      <w:r w:rsidR="00614C93" w:rsidRPr="00FA288E">
        <w:rPr>
          <w:rFonts w:ascii="Calibri" w:hAnsi="Calibri" w:cs="Calibri"/>
          <w:sz w:val="21"/>
          <w:szCs w:val="21"/>
        </w:rPr>
        <w:t xml:space="preserve">level of community participation (PKS); and whether </w:t>
      </w:r>
      <w:r w:rsidRPr="00FA288E">
        <w:rPr>
          <w:rFonts w:ascii="Calibri" w:hAnsi="Calibri" w:cs="Calibri"/>
          <w:sz w:val="21"/>
          <w:szCs w:val="21"/>
        </w:rPr>
        <w:t xml:space="preserve">SLIP </w:t>
      </w:r>
      <w:r w:rsidR="00614C93" w:rsidRPr="00FA288E">
        <w:rPr>
          <w:rFonts w:ascii="Calibri" w:hAnsi="Calibri" w:cs="Calibri"/>
          <w:sz w:val="21"/>
          <w:szCs w:val="21"/>
        </w:rPr>
        <w:t xml:space="preserve">activities are </w:t>
      </w:r>
      <w:r w:rsidR="008D6C44" w:rsidRPr="00FA288E">
        <w:rPr>
          <w:rFonts w:ascii="Calibri" w:hAnsi="Calibri" w:cs="Calibri"/>
          <w:i/>
          <w:iCs/>
          <w:sz w:val="21"/>
          <w:szCs w:val="21"/>
        </w:rPr>
        <w:t xml:space="preserve">actually </w:t>
      </w:r>
      <w:r w:rsidR="00614C93" w:rsidRPr="00FA288E">
        <w:rPr>
          <w:rFonts w:ascii="Calibri" w:hAnsi="Calibri" w:cs="Calibri"/>
          <w:sz w:val="21"/>
          <w:szCs w:val="21"/>
        </w:rPr>
        <w:t>implemented (T4E)</w:t>
      </w:r>
    </w:p>
    <w:p w14:paraId="6E2442AF" w14:textId="77777777" w:rsidR="00614C93" w:rsidRPr="00FA288E" w:rsidRDefault="002D64DB" w:rsidP="005C700B">
      <w:pPr>
        <w:pStyle w:val="Bullets"/>
        <w:numPr>
          <w:ilvl w:val="0"/>
          <w:numId w:val="28"/>
        </w:numPr>
        <w:spacing w:after="80" w:line="240" w:lineRule="auto"/>
        <w:ind w:left="720"/>
        <w:jc w:val="both"/>
        <w:rPr>
          <w:rFonts w:ascii="Calibri" w:hAnsi="Calibri" w:cs="Calibri"/>
          <w:sz w:val="21"/>
          <w:szCs w:val="21"/>
        </w:rPr>
      </w:pPr>
      <w:r w:rsidRPr="00FA288E">
        <w:rPr>
          <w:rFonts w:ascii="Calibri" w:hAnsi="Calibri" w:cs="Calibri"/>
          <w:sz w:val="21"/>
          <w:szCs w:val="21"/>
        </w:rPr>
        <w:t xml:space="preserve">determining </w:t>
      </w:r>
      <w:r w:rsidR="00614C93" w:rsidRPr="00FA288E">
        <w:rPr>
          <w:rFonts w:ascii="Calibri" w:hAnsi="Calibri" w:cs="Calibri"/>
          <w:sz w:val="21"/>
          <w:szCs w:val="21"/>
        </w:rPr>
        <w:t xml:space="preserve">the quality of </w:t>
      </w:r>
      <w:r w:rsidR="008D6C44" w:rsidRPr="00FA288E">
        <w:rPr>
          <w:rFonts w:ascii="Calibri" w:hAnsi="Calibri" w:cs="Calibri"/>
          <w:sz w:val="21"/>
          <w:szCs w:val="21"/>
        </w:rPr>
        <w:t>parent/</w:t>
      </w:r>
      <w:r w:rsidR="00614C93" w:rsidRPr="00FA288E">
        <w:rPr>
          <w:rFonts w:ascii="Calibri" w:hAnsi="Calibri" w:cs="Calibri"/>
          <w:sz w:val="21"/>
          <w:szCs w:val="21"/>
        </w:rPr>
        <w:t>caregiver workshops and</w:t>
      </w:r>
      <w:r w:rsidRPr="00FA288E">
        <w:rPr>
          <w:rFonts w:ascii="Calibri" w:hAnsi="Calibri" w:cs="Calibri"/>
          <w:sz w:val="21"/>
          <w:szCs w:val="21"/>
        </w:rPr>
        <w:t xml:space="preserve"> their </w:t>
      </w:r>
      <w:r w:rsidR="008D6C44" w:rsidRPr="00FA288E">
        <w:rPr>
          <w:rFonts w:ascii="Calibri" w:hAnsi="Calibri" w:cs="Calibri"/>
          <w:i/>
          <w:iCs/>
          <w:sz w:val="21"/>
          <w:szCs w:val="21"/>
        </w:rPr>
        <w:t>actual</w:t>
      </w:r>
      <w:r w:rsidR="008D6C44" w:rsidRPr="00FA288E">
        <w:rPr>
          <w:rFonts w:ascii="Calibri" w:hAnsi="Calibri" w:cs="Calibri"/>
          <w:sz w:val="21"/>
          <w:szCs w:val="21"/>
        </w:rPr>
        <w:t xml:space="preserve"> </w:t>
      </w:r>
      <w:r w:rsidRPr="00FA288E">
        <w:rPr>
          <w:rFonts w:ascii="Calibri" w:hAnsi="Calibri" w:cs="Calibri"/>
          <w:sz w:val="21"/>
          <w:szCs w:val="21"/>
        </w:rPr>
        <w:t>effect</w:t>
      </w:r>
      <w:r w:rsidR="00614C93" w:rsidRPr="00FA288E">
        <w:rPr>
          <w:rFonts w:ascii="Calibri" w:hAnsi="Calibri" w:cs="Calibri"/>
          <w:sz w:val="21"/>
          <w:szCs w:val="21"/>
        </w:rPr>
        <w:t xml:space="preserve"> on </w:t>
      </w:r>
      <w:r w:rsidR="008D6C44" w:rsidRPr="00FA288E">
        <w:rPr>
          <w:rFonts w:ascii="Calibri" w:hAnsi="Calibri" w:cs="Calibri"/>
          <w:sz w:val="21"/>
          <w:szCs w:val="21"/>
        </w:rPr>
        <w:t>parent/</w:t>
      </w:r>
      <w:r w:rsidRPr="00FA288E">
        <w:rPr>
          <w:rFonts w:ascii="Calibri" w:hAnsi="Calibri" w:cs="Calibri"/>
          <w:sz w:val="21"/>
          <w:szCs w:val="21"/>
        </w:rPr>
        <w:t>caregiver</w:t>
      </w:r>
      <w:r w:rsidR="00614C93" w:rsidRPr="00FA288E">
        <w:rPr>
          <w:rFonts w:ascii="Calibri" w:hAnsi="Calibri" w:cs="Calibri"/>
          <w:sz w:val="21"/>
          <w:szCs w:val="21"/>
        </w:rPr>
        <w:t xml:space="preserve"> practices (RISE)</w:t>
      </w:r>
    </w:p>
    <w:p w14:paraId="001F2B3D" w14:textId="50E27EC6" w:rsidR="00614C93" w:rsidRPr="00FA288E" w:rsidRDefault="008D6C44" w:rsidP="002832DA">
      <w:pPr>
        <w:pStyle w:val="BodyText"/>
        <w:spacing w:after="80" w:line="240" w:lineRule="auto"/>
        <w:rPr>
          <w:rFonts w:ascii="Calibri" w:hAnsi="Calibri" w:cs="Calibri"/>
          <w:sz w:val="21"/>
          <w:szCs w:val="21"/>
        </w:rPr>
      </w:pPr>
      <w:r w:rsidRPr="00FA288E">
        <w:rPr>
          <w:rFonts w:ascii="Calibri" w:hAnsi="Calibri" w:cs="Calibri"/>
          <w:sz w:val="21"/>
          <w:szCs w:val="21"/>
        </w:rPr>
        <w:t xml:space="preserve">RISE and T4E </w:t>
      </w:r>
      <w:r w:rsidR="00FA140F" w:rsidRPr="00FA288E">
        <w:rPr>
          <w:rFonts w:ascii="Calibri" w:hAnsi="Calibri" w:cs="Calibri"/>
          <w:sz w:val="21"/>
          <w:szCs w:val="21"/>
        </w:rPr>
        <w:t>understand</w:t>
      </w:r>
      <w:r w:rsidR="00614C93" w:rsidRPr="00FA288E">
        <w:rPr>
          <w:rFonts w:ascii="Calibri" w:hAnsi="Calibri" w:cs="Calibri"/>
          <w:sz w:val="21"/>
          <w:szCs w:val="21"/>
        </w:rPr>
        <w:t xml:space="preserve"> the need </w:t>
      </w:r>
      <w:r w:rsidR="00BF30BC" w:rsidRPr="00FA288E">
        <w:rPr>
          <w:rFonts w:ascii="Calibri" w:hAnsi="Calibri" w:cs="Calibri"/>
          <w:sz w:val="21"/>
          <w:szCs w:val="21"/>
        </w:rPr>
        <w:t xml:space="preserve">to </w:t>
      </w:r>
      <w:r w:rsidR="003E397B" w:rsidRPr="00FA288E">
        <w:rPr>
          <w:rFonts w:ascii="Calibri" w:hAnsi="Calibri" w:cs="Calibri"/>
          <w:sz w:val="21"/>
          <w:szCs w:val="21"/>
        </w:rPr>
        <w:t xml:space="preserve">better interpret, explain and link information </w:t>
      </w:r>
      <w:r w:rsidR="00614C93" w:rsidRPr="00FA288E">
        <w:rPr>
          <w:rFonts w:ascii="Calibri" w:hAnsi="Calibri" w:cs="Calibri"/>
          <w:sz w:val="21"/>
          <w:szCs w:val="21"/>
        </w:rPr>
        <w:t xml:space="preserve">provided by the midline </w:t>
      </w:r>
      <w:r w:rsidRPr="00FA288E">
        <w:rPr>
          <w:rFonts w:ascii="Calibri" w:hAnsi="Calibri" w:cs="Calibri"/>
          <w:sz w:val="21"/>
          <w:szCs w:val="21"/>
        </w:rPr>
        <w:t>evaluations</w:t>
      </w:r>
      <w:r w:rsidR="003E397B" w:rsidRPr="00FA288E">
        <w:rPr>
          <w:rFonts w:ascii="Calibri" w:hAnsi="Calibri" w:cs="Calibri"/>
          <w:sz w:val="21"/>
          <w:szCs w:val="21"/>
        </w:rPr>
        <w:t xml:space="preserve"> to the end of pr</w:t>
      </w:r>
      <w:r w:rsidRPr="00FA288E">
        <w:rPr>
          <w:rFonts w:ascii="Calibri" w:hAnsi="Calibri" w:cs="Calibri"/>
          <w:sz w:val="21"/>
          <w:szCs w:val="21"/>
        </w:rPr>
        <w:t>oject</w:t>
      </w:r>
      <w:r w:rsidR="003E397B" w:rsidRPr="00FA288E">
        <w:rPr>
          <w:rFonts w:ascii="Calibri" w:hAnsi="Calibri" w:cs="Calibri"/>
          <w:sz w:val="21"/>
          <w:szCs w:val="21"/>
        </w:rPr>
        <w:t xml:space="preserve"> objectives</w:t>
      </w:r>
      <w:r w:rsidR="00614C93" w:rsidRPr="00FA288E">
        <w:rPr>
          <w:rFonts w:ascii="Calibri" w:hAnsi="Calibri" w:cs="Calibri"/>
          <w:sz w:val="21"/>
          <w:szCs w:val="21"/>
        </w:rPr>
        <w:t xml:space="preserve"> and are working </w:t>
      </w:r>
      <w:r w:rsidR="003E397B" w:rsidRPr="00FA288E">
        <w:rPr>
          <w:rFonts w:ascii="Calibri" w:hAnsi="Calibri" w:cs="Calibri"/>
          <w:sz w:val="21"/>
          <w:szCs w:val="21"/>
        </w:rPr>
        <w:t xml:space="preserve">to ensure improved analysis for the </w:t>
      </w:r>
      <w:r w:rsidR="00FA288E" w:rsidRPr="00FA288E">
        <w:rPr>
          <w:rFonts w:ascii="Calibri" w:hAnsi="Calibri" w:cs="Calibri"/>
          <w:sz w:val="21"/>
          <w:szCs w:val="21"/>
        </w:rPr>
        <w:t>end line</w:t>
      </w:r>
      <w:r w:rsidR="00614C93" w:rsidRPr="00FA288E">
        <w:rPr>
          <w:rFonts w:ascii="Calibri" w:hAnsi="Calibri" w:cs="Calibri"/>
          <w:sz w:val="21"/>
          <w:szCs w:val="21"/>
        </w:rPr>
        <w:t xml:space="preserve">. This </w:t>
      </w:r>
      <w:r w:rsidR="003E397B" w:rsidRPr="00FA288E">
        <w:rPr>
          <w:rFonts w:ascii="Calibri" w:hAnsi="Calibri" w:cs="Calibri"/>
          <w:sz w:val="21"/>
          <w:szCs w:val="21"/>
        </w:rPr>
        <w:t xml:space="preserve">work </w:t>
      </w:r>
      <w:r w:rsidRPr="00FA288E">
        <w:rPr>
          <w:rFonts w:ascii="Calibri" w:hAnsi="Calibri" w:cs="Calibri"/>
          <w:sz w:val="21"/>
          <w:szCs w:val="21"/>
        </w:rPr>
        <w:t>includes</w:t>
      </w:r>
      <w:r w:rsidR="00614C93" w:rsidRPr="00FA288E">
        <w:rPr>
          <w:rFonts w:ascii="Calibri" w:hAnsi="Calibri" w:cs="Calibri"/>
          <w:sz w:val="21"/>
          <w:szCs w:val="21"/>
        </w:rPr>
        <w:t xml:space="preserve"> the development of generic Terms of Reference and K</w:t>
      </w:r>
      <w:r w:rsidR="003E397B" w:rsidRPr="00FA288E">
        <w:rPr>
          <w:rFonts w:ascii="Calibri" w:hAnsi="Calibri" w:cs="Calibri"/>
          <w:sz w:val="21"/>
          <w:szCs w:val="21"/>
        </w:rPr>
        <w:t xml:space="preserve">ey Evaluation </w:t>
      </w:r>
      <w:r w:rsidR="00614C93" w:rsidRPr="00FA288E">
        <w:rPr>
          <w:rFonts w:ascii="Calibri" w:hAnsi="Calibri" w:cs="Calibri"/>
          <w:sz w:val="21"/>
          <w:szCs w:val="21"/>
        </w:rPr>
        <w:t>Q</w:t>
      </w:r>
      <w:r w:rsidR="003E397B" w:rsidRPr="00FA288E">
        <w:rPr>
          <w:rFonts w:ascii="Calibri" w:hAnsi="Calibri" w:cs="Calibri"/>
          <w:sz w:val="21"/>
          <w:szCs w:val="21"/>
        </w:rPr>
        <w:t>uestion</w:t>
      </w:r>
      <w:r w:rsidR="00614C93" w:rsidRPr="00FA288E">
        <w:rPr>
          <w:rFonts w:ascii="Calibri" w:hAnsi="Calibri" w:cs="Calibri"/>
          <w:sz w:val="21"/>
          <w:szCs w:val="21"/>
        </w:rPr>
        <w:t xml:space="preserve">s for </w:t>
      </w:r>
      <w:r w:rsidRPr="00FA288E">
        <w:rPr>
          <w:rFonts w:ascii="Calibri" w:hAnsi="Calibri" w:cs="Calibri"/>
          <w:sz w:val="21"/>
          <w:szCs w:val="21"/>
        </w:rPr>
        <w:t xml:space="preserve">the </w:t>
      </w:r>
      <w:r w:rsidR="00FA288E" w:rsidRPr="00FA288E">
        <w:rPr>
          <w:rFonts w:ascii="Calibri" w:hAnsi="Calibri" w:cs="Calibri"/>
          <w:sz w:val="21"/>
          <w:szCs w:val="21"/>
        </w:rPr>
        <w:t>end line</w:t>
      </w:r>
      <w:r w:rsidR="00614C93" w:rsidRPr="00FA288E">
        <w:rPr>
          <w:rFonts w:ascii="Calibri" w:hAnsi="Calibri" w:cs="Calibri"/>
          <w:sz w:val="21"/>
          <w:szCs w:val="21"/>
        </w:rPr>
        <w:t xml:space="preserve"> studies </w:t>
      </w:r>
      <w:r w:rsidRPr="00FA288E">
        <w:rPr>
          <w:rFonts w:ascii="Calibri" w:hAnsi="Calibri" w:cs="Calibri"/>
          <w:sz w:val="21"/>
          <w:szCs w:val="21"/>
        </w:rPr>
        <w:t xml:space="preserve">for all projects. As a suggestion, rather </w:t>
      </w:r>
      <w:r w:rsidR="00614C93" w:rsidRPr="00FA288E">
        <w:rPr>
          <w:rFonts w:ascii="Calibri" w:hAnsi="Calibri" w:cs="Calibri"/>
          <w:sz w:val="21"/>
          <w:szCs w:val="21"/>
        </w:rPr>
        <w:t xml:space="preserve">than undertake studies of the contribution of </w:t>
      </w:r>
      <w:r w:rsidR="00614C93" w:rsidRPr="00FA288E">
        <w:rPr>
          <w:rFonts w:ascii="Calibri" w:hAnsi="Calibri" w:cs="Calibri"/>
          <w:i/>
          <w:sz w:val="21"/>
          <w:szCs w:val="21"/>
        </w:rPr>
        <w:t>particular intervention</w:t>
      </w:r>
      <w:r w:rsidRPr="00FA288E">
        <w:rPr>
          <w:rFonts w:ascii="Calibri" w:hAnsi="Calibri" w:cs="Calibri"/>
          <w:i/>
          <w:sz w:val="21"/>
          <w:szCs w:val="21"/>
        </w:rPr>
        <w:t>s</w:t>
      </w:r>
      <w:r w:rsidRPr="00FA288E">
        <w:rPr>
          <w:rFonts w:ascii="Calibri" w:hAnsi="Calibri" w:cs="Calibri"/>
          <w:sz w:val="21"/>
          <w:szCs w:val="21"/>
        </w:rPr>
        <w:t xml:space="preserve">, </w:t>
      </w:r>
      <w:r w:rsidR="00614C93" w:rsidRPr="00FA288E">
        <w:rPr>
          <w:rFonts w:ascii="Calibri" w:hAnsi="Calibri" w:cs="Calibri"/>
          <w:sz w:val="21"/>
          <w:szCs w:val="21"/>
        </w:rPr>
        <w:t xml:space="preserve">it may be more useful to </w:t>
      </w:r>
      <w:r w:rsidRPr="00FA288E">
        <w:rPr>
          <w:rFonts w:ascii="Calibri" w:hAnsi="Calibri" w:cs="Calibri"/>
          <w:sz w:val="21"/>
          <w:szCs w:val="21"/>
        </w:rPr>
        <w:t>analyse</w:t>
      </w:r>
      <w:r w:rsidR="00614C93" w:rsidRPr="00FA288E">
        <w:rPr>
          <w:rFonts w:ascii="Calibri" w:hAnsi="Calibri" w:cs="Calibri"/>
          <w:sz w:val="21"/>
          <w:szCs w:val="21"/>
        </w:rPr>
        <w:t xml:space="preserve"> midline </w:t>
      </w:r>
      <w:r w:rsidRPr="00FA288E">
        <w:rPr>
          <w:rFonts w:ascii="Calibri" w:hAnsi="Calibri" w:cs="Calibri"/>
          <w:sz w:val="21"/>
          <w:szCs w:val="21"/>
        </w:rPr>
        <w:t xml:space="preserve">evaluation data </w:t>
      </w:r>
      <w:r w:rsidR="00614C93" w:rsidRPr="00FA288E">
        <w:rPr>
          <w:rFonts w:ascii="Calibri" w:hAnsi="Calibri" w:cs="Calibri"/>
          <w:sz w:val="21"/>
          <w:szCs w:val="21"/>
        </w:rPr>
        <w:t xml:space="preserve">(RISE, T4E) to identify </w:t>
      </w:r>
      <w:r w:rsidR="00614C93" w:rsidRPr="00FA288E">
        <w:rPr>
          <w:rFonts w:ascii="Calibri" w:hAnsi="Calibri" w:cs="Calibri"/>
          <w:i/>
          <w:sz w:val="21"/>
          <w:szCs w:val="21"/>
        </w:rPr>
        <w:t>schools/geographic areas</w:t>
      </w:r>
      <w:r w:rsidR="00614C93" w:rsidRPr="00FA288E">
        <w:rPr>
          <w:rFonts w:ascii="Calibri" w:hAnsi="Calibri" w:cs="Calibri"/>
          <w:sz w:val="21"/>
          <w:szCs w:val="21"/>
        </w:rPr>
        <w:t xml:space="preserve"> where literacy and numeracy gains </w:t>
      </w:r>
      <w:r w:rsidRPr="00FA288E">
        <w:rPr>
          <w:rFonts w:ascii="Calibri" w:hAnsi="Calibri" w:cs="Calibri"/>
          <w:sz w:val="21"/>
          <w:szCs w:val="21"/>
        </w:rPr>
        <w:t>appear to be</w:t>
      </w:r>
      <w:r w:rsidR="00614C93" w:rsidRPr="00FA288E">
        <w:rPr>
          <w:rFonts w:ascii="Calibri" w:hAnsi="Calibri" w:cs="Calibri"/>
          <w:sz w:val="21"/>
          <w:szCs w:val="21"/>
        </w:rPr>
        <w:t xml:space="preserve"> greatest</w:t>
      </w:r>
      <w:r w:rsidRPr="00FA288E">
        <w:rPr>
          <w:rFonts w:ascii="Calibri" w:hAnsi="Calibri" w:cs="Calibri"/>
          <w:sz w:val="21"/>
          <w:szCs w:val="21"/>
        </w:rPr>
        <w:t xml:space="preserve"> </w:t>
      </w:r>
      <w:r w:rsidR="00614C93" w:rsidRPr="00FA288E">
        <w:rPr>
          <w:rFonts w:ascii="Calibri" w:hAnsi="Calibri" w:cs="Calibri"/>
          <w:sz w:val="21"/>
          <w:szCs w:val="21"/>
        </w:rPr>
        <w:t xml:space="preserve">and </w:t>
      </w:r>
      <w:r w:rsidRPr="00FA288E">
        <w:rPr>
          <w:rFonts w:ascii="Calibri" w:hAnsi="Calibri" w:cs="Calibri"/>
          <w:sz w:val="21"/>
          <w:szCs w:val="21"/>
        </w:rPr>
        <w:t xml:space="preserve">identify and </w:t>
      </w:r>
      <w:r w:rsidR="00614C93" w:rsidRPr="00FA288E">
        <w:rPr>
          <w:rFonts w:ascii="Calibri" w:hAnsi="Calibri" w:cs="Calibri"/>
          <w:sz w:val="21"/>
          <w:szCs w:val="21"/>
        </w:rPr>
        <w:t>correlate factors of success</w:t>
      </w:r>
      <w:r w:rsidRPr="00FA288E">
        <w:rPr>
          <w:rFonts w:ascii="Calibri" w:hAnsi="Calibri" w:cs="Calibri"/>
          <w:sz w:val="21"/>
          <w:szCs w:val="21"/>
        </w:rPr>
        <w:t xml:space="preserve"> and </w:t>
      </w:r>
      <w:r w:rsidR="00614C93" w:rsidRPr="00FA288E">
        <w:rPr>
          <w:rFonts w:ascii="Calibri" w:hAnsi="Calibri" w:cs="Calibri"/>
          <w:sz w:val="21"/>
          <w:szCs w:val="21"/>
        </w:rPr>
        <w:t xml:space="preserve">where gains were </w:t>
      </w:r>
      <w:r w:rsidRPr="00FA288E">
        <w:rPr>
          <w:rFonts w:ascii="Calibri" w:hAnsi="Calibri" w:cs="Calibri"/>
          <w:sz w:val="21"/>
          <w:szCs w:val="21"/>
        </w:rPr>
        <w:t>lowest</w:t>
      </w:r>
      <w:r w:rsidR="00614C93" w:rsidRPr="00FA288E">
        <w:rPr>
          <w:rFonts w:ascii="Calibri" w:hAnsi="Calibri" w:cs="Calibri"/>
          <w:sz w:val="21"/>
          <w:szCs w:val="21"/>
        </w:rPr>
        <w:t xml:space="preserve"> to correlate barriers. This </w:t>
      </w:r>
      <w:r w:rsidRPr="00FA288E">
        <w:rPr>
          <w:rFonts w:ascii="Calibri" w:hAnsi="Calibri" w:cs="Calibri"/>
          <w:sz w:val="21"/>
          <w:szCs w:val="21"/>
        </w:rPr>
        <w:t xml:space="preserve">approach </w:t>
      </w:r>
      <w:r w:rsidR="00614C93" w:rsidRPr="00FA288E">
        <w:rPr>
          <w:rFonts w:ascii="Calibri" w:hAnsi="Calibri" w:cs="Calibri"/>
          <w:sz w:val="21"/>
          <w:szCs w:val="21"/>
        </w:rPr>
        <w:t xml:space="preserve">may </w:t>
      </w:r>
      <w:r w:rsidRPr="00FA288E">
        <w:rPr>
          <w:rFonts w:ascii="Calibri" w:hAnsi="Calibri" w:cs="Calibri"/>
          <w:sz w:val="21"/>
          <w:szCs w:val="21"/>
        </w:rPr>
        <w:t>better</w:t>
      </w:r>
      <w:r w:rsidR="00614C93" w:rsidRPr="00FA288E">
        <w:rPr>
          <w:rFonts w:ascii="Calibri" w:hAnsi="Calibri" w:cs="Calibri"/>
          <w:sz w:val="21"/>
          <w:szCs w:val="21"/>
        </w:rPr>
        <w:t xml:space="preserve"> inform </w:t>
      </w:r>
      <w:r w:rsidRPr="00FA288E">
        <w:rPr>
          <w:rFonts w:ascii="Calibri" w:hAnsi="Calibri" w:cs="Calibri"/>
          <w:sz w:val="21"/>
          <w:szCs w:val="21"/>
        </w:rPr>
        <w:t>the lessons</w:t>
      </w:r>
      <w:r w:rsidR="00614C93" w:rsidRPr="00FA288E">
        <w:rPr>
          <w:rFonts w:ascii="Calibri" w:hAnsi="Calibri" w:cs="Calibri"/>
          <w:sz w:val="21"/>
          <w:szCs w:val="21"/>
        </w:rPr>
        <w:t xml:space="preserve"> on ‘what works’</w:t>
      </w:r>
      <w:r w:rsidRPr="00FA288E">
        <w:rPr>
          <w:rFonts w:ascii="Calibri" w:hAnsi="Calibri" w:cs="Calibri"/>
          <w:sz w:val="21"/>
          <w:szCs w:val="21"/>
        </w:rPr>
        <w:t>.</w:t>
      </w:r>
    </w:p>
    <w:p w14:paraId="46CA79C8" w14:textId="77777777" w:rsidR="00614C93" w:rsidRPr="00FA288E" w:rsidRDefault="00614C93" w:rsidP="002832DA">
      <w:pPr>
        <w:spacing w:after="80" w:line="240" w:lineRule="auto"/>
        <w:rPr>
          <w:rFonts w:cs="Calibri"/>
          <w:i/>
          <w:iCs/>
          <w:szCs w:val="21"/>
        </w:rPr>
      </w:pPr>
      <w:r w:rsidRPr="00FA288E">
        <w:rPr>
          <w:rFonts w:cs="Calibri"/>
          <w:i/>
          <w:iCs/>
          <w:szCs w:val="21"/>
        </w:rPr>
        <w:t>Adequacy of the indicators and tools used to measure outcomes</w:t>
      </w:r>
    </w:p>
    <w:p w14:paraId="60AED774" w14:textId="77777777" w:rsidR="00614C93" w:rsidRPr="00FA288E" w:rsidRDefault="00614C93" w:rsidP="002832DA">
      <w:pPr>
        <w:pStyle w:val="BodyText"/>
        <w:spacing w:after="80" w:line="240" w:lineRule="auto"/>
        <w:rPr>
          <w:rFonts w:ascii="Calibri" w:hAnsi="Calibri" w:cs="Calibri"/>
          <w:sz w:val="21"/>
          <w:szCs w:val="21"/>
        </w:rPr>
      </w:pPr>
      <w:r w:rsidRPr="00FA288E">
        <w:rPr>
          <w:rFonts w:ascii="Calibri" w:hAnsi="Calibri" w:cs="Calibri"/>
          <w:sz w:val="21"/>
          <w:szCs w:val="21"/>
        </w:rPr>
        <w:t>As discussed, individual grantee MEPs evolved in relative isolation</w:t>
      </w:r>
      <w:r w:rsidR="001479C5" w:rsidRPr="00FA288E">
        <w:rPr>
          <w:rFonts w:ascii="Calibri" w:hAnsi="Calibri" w:cs="Calibri"/>
          <w:sz w:val="21"/>
          <w:szCs w:val="21"/>
        </w:rPr>
        <w:t xml:space="preserve"> from one another</w:t>
      </w:r>
      <w:r w:rsidRPr="00FA288E">
        <w:rPr>
          <w:rFonts w:ascii="Calibri" w:hAnsi="Calibri" w:cs="Calibri"/>
          <w:sz w:val="21"/>
          <w:szCs w:val="21"/>
        </w:rPr>
        <w:t xml:space="preserve">. </w:t>
      </w:r>
      <w:r w:rsidR="001479C5" w:rsidRPr="00FA288E">
        <w:rPr>
          <w:rFonts w:ascii="Calibri" w:hAnsi="Calibri" w:cs="Calibri"/>
          <w:sz w:val="21"/>
          <w:szCs w:val="21"/>
        </w:rPr>
        <w:t>As demonstrated in the table below the grantees d</w:t>
      </w:r>
      <w:r w:rsidR="00D12825" w:rsidRPr="00FA288E">
        <w:rPr>
          <w:rFonts w:ascii="Calibri" w:hAnsi="Calibri" w:cs="Calibri"/>
          <w:sz w:val="21"/>
          <w:szCs w:val="21"/>
        </w:rPr>
        <w:t>o</w:t>
      </w:r>
      <w:r w:rsidR="001479C5" w:rsidRPr="00FA288E">
        <w:rPr>
          <w:rFonts w:ascii="Calibri" w:hAnsi="Calibri" w:cs="Calibri"/>
          <w:sz w:val="21"/>
          <w:szCs w:val="21"/>
        </w:rPr>
        <w:t xml:space="preserve"> not use consistent indicators</w:t>
      </w:r>
      <w:r w:rsidR="00D12825" w:rsidRPr="00FA288E">
        <w:rPr>
          <w:rFonts w:ascii="Calibri" w:hAnsi="Calibri" w:cs="Calibri"/>
          <w:sz w:val="21"/>
          <w:szCs w:val="21"/>
        </w:rPr>
        <w:t>, which hampers comparisons and reporting of results</w:t>
      </w:r>
      <w:r w:rsidR="001479C5" w:rsidRPr="00FA288E">
        <w:rPr>
          <w:rFonts w:ascii="Calibri" w:hAnsi="Calibri" w:cs="Calibri"/>
          <w:sz w:val="21"/>
          <w:szCs w:val="21"/>
        </w:rPr>
        <w:t>.</w:t>
      </w:r>
    </w:p>
    <w:p w14:paraId="2E8C77A6" w14:textId="080D4F0B" w:rsidR="00BF2CC7" w:rsidRPr="00FA288E" w:rsidRDefault="00BF2CC7" w:rsidP="002832DA">
      <w:pPr>
        <w:pStyle w:val="Caption"/>
        <w:spacing w:before="0" w:after="80" w:line="240" w:lineRule="auto"/>
        <w:ind w:left="0" w:firstLine="0"/>
        <w:rPr>
          <w:b w:val="0"/>
          <w:color w:val="auto"/>
          <w:lang w:val="en-AU"/>
        </w:rPr>
      </w:pPr>
      <w:r w:rsidRPr="00FA288E">
        <w:rPr>
          <w:b w:val="0"/>
          <w:color w:val="auto"/>
          <w:lang w:val="en-AU"/>
        </w:rPr>
        <w:t xml:space="preserve">Table </w:t>
      </w:r>
      <w:r w:rsidRPr="00FA288E">
        <w:rPr>
          <w:b w:val="0"/>
          <w:color w:val="auto"/>
          <w:lang w:val="en-AU"/>
        </w:rPr>
        <w:fldChar w:fldCharType="begin"/>
      </w:r>
      <w:r w:rsidRPr="00FA288E">
        <w:rPr>
          <w:b w:val="0"/>
          <w:color w:val="auto"/>
          <w:lang w:val="en-AU"/>
        </w:rPr>
        <w:instrText xml:space="preserve"> SEQ Table \* ARABIC </w:instrText>
      </w:r>
      <w:r w:rsidRPr="00FA288E">
        <w:rPr>
          <w:b w:val="0"/>
          <w:color w:val="auto"/>
          <w:lang w:val="en-AU"/>
        </w:rPr>
        <w:fldChar w:fldCharType="separate"/>
      </w:r>
      <w:r w:rsidR="00C22013">
        <w:rPr>
          <w:b w:val="0"/>
          <w:noProof/>
          <w:color w:val="auto"/>
          <w:lang w:val="en-AU"/>
        </w:rPr>
        <w:t>8</w:t>
      </w:r>
      <w:r w:rsidRPr="00FA288E">
        <w:rPr>
          <w:b w:val="0"/>
          <w:color w:val="auto"/>
          <w:lang w:val="en-AU"/>
        </w:rPr>
        <w:fldChar w:fldCharType="end"/>
      </w:r>
      <w:r w:rsidRPr="00FA288E">
        <w:rPr>
          <w:b w:val="0"/>
          <w:color w:val="auto"/>
          <w:lang w:val="en-AU"/>
        </w:rPr>
        <w:t xml:space="preserve"> </w:t>
      </w:r>
      <w:r w:rsidR="00FA140F" w:rsidRPr="00FA288E">
        <w:rPr>
          <w:b w:val="0"/>
          <w:color w:val="auto"/>
          <w:lang w:val="en-AU"/>
        </w:rPr>
        <w:t xml:space="preserve">Variety of </w:t>
      </w:r>
      <w:r w:rsidRPr="00FA288E">
        <w:rPr>
          <w:b w:val="0"/>
          <w:color w:val="auto"/>
          <w:lang w:val="en-AU"/>
        </w:rPr>
        <w:t>indicators for literacy and numeracy, teacher competence and reading material use</w:t>
      </w:r>
    </w:p>
    <w:tbl>
      <w:tblPr>
        <w:tblStyle w:val="TableGrid"/>
        <w:tblW w:w="9715" w:type="dxa"/>
        <w:tblInd w:w="0" w:type="dxa"/>
        <w:tblLook w:val="04A0" w:firstRow="1" w:lastRow="0" w:firstColumn="1" w:lastColumn="0" w:noHBand="0" w:noVBand="1"/>
        <w:tblCaption w:val="Table 8 Variety of Indicators for literacy and numeracy, teacher competence and reading material use"/>
        <w:tblDescription w:val="For literacy and numeracy RISE have an indicator of % who … demonstrate improved literacy and numeracy skills. While T4E’s indicator is 25% … show increased skills compared to the control group. And PKS’s indicator is # of baseline/end line reports produced and disseminated. &#10;For teacher competency, RISE have an indicator of % of teachers demonstrating improved literacy and numeracy instructional practice after receiving Literacy Boost and Numeracy Boost training; while T4E’s has 4 indicators including: % of teachers using/ practicing: gender-sensitive; … disability inclusive; … effective classroom management; … 2 to 3 age-appropriate literacy and numeracy strategies/practices.  PKS’ indicator is % teachers that demonstrate improvements in knowledge, skills and behaviour on pre- and post-tests and lesson observations.&#10;For Reading material use, RISE’s indicators are: NEP 2015-2019 indicator 20: % of schools adequately resourced with relevant learning materials; and NEP 2015-2019 indicator 22: % of schools at each level using relevant learning materials. T4E indicators are: %/ # of E2 children reporting being read to by their parents/caregivers; % of children attended Literacy/ Numeracy Clubs supported by parents/caregivers; % of children in pilot Elementary schools reading e-books on tablets; # of hours spent per week by children reading culturally relevant and language appropriate books in school. PKS’s indicators are: % of teachers who read to students regularly; % of elementary students using classroom libraries, reading camps and/or reading events."/>
      </w:tblPr>
      <w:tblGrid>
        <w:gridCol w:w="575"/>
        <w:gridCol w:w="2581"/>
        <w:gridCol w:w="2966"/>
        <w:gridCol w:w="3593"/>
      </w:tblGrid>
      <w:tr w:rsidR="001D736D" w:rsidRPr="00FA288E" w14:paraId="2CECC2A9" w14:textId="77777777" w:rsidTr="00BF2CC7">
        <w:trPr>
          <w:tblHeader/>
        </w:trPr>
        <w:tc>
          <w:tcPr>
            <w:tcW w:w="575" w:type="dxa"/>
            <w:shd w:val="clear" w:color="auto" w:fill="262626" w:themeFill="text1" w:themeFillTint="D9"/>
          </w:tcPr>
          <w:p w14:paraId="5DD6F478" w14:textId="77777777" w:rsidR="001D736D" w:rsidRPr="00FA288E" w:rsidRDefault="001D736D" w:rsidP="00D12825">
            <w:pPr>
              <w:spacing w:line="216" w:lineRule="auto"/>
              <w:jc w:val="left"/>
              <w:rPr>
                <w:rFonts w:cs="Calibri"/>
                <w:sz w:val="20"/>
                <w:szCs w:val="20"/>
                <w:lang w:val="en-AU"/>
              </w:rPr>
            </w:pPr>
          </w:p>
        </w:tc>
        <w:tc>
          <w:tcPr>
            <w:tcW w:w="2581" w:type="dxa"/>
            <w:shd w:val="clear" w:color="auto" w:fill="262626" w:themeFill="text1" w:themeFillTint="D9"/>
          </w:tcPr>
          <w:p w14:paraId="1A6D7F48" w14:textId="77777777" w:rsidR="001D736D" w:rsidRPr="00FA288E" w:rsidRDefault="001D736D" w:rsidP="00D12825">
            <w:pPr>
              <w:spacing w:line="216" w:lineRule="auto"/>
              <w:jc w:val="center"/>
              <w:rPr>
                <w:rFonts w:cs="Calibri"/>
                <w:sz w:val="20"/>
                <w:szCs w:val="20"/>
                <w:lang w:val="en-AU"/>
              </w:rPr>
            </w:pPr>
            <w:r w:rsidRPr="00FA288E">
              <w:rPr>
                <w:rFonts w:cs="Calibri"/>
                <w:sz w:val="20"/>
                <w:szCs w:val="20"/>
                <w:lang w:val="en-AU"/>
              </w:rPr>
              <w:t>Literacy and numeracy</w:t>
            </w:r>
          </w:p>
        </w:tc>
        <w:tc>
          <w:tcPr>
            <w:tcW w:w="2966" w:type="dxa"/>
            <w:shd w:val="clear" w:color="auto" w:fill="262626" w:themeFill="text1" w:themeFillTint="D9"/>
          </w:tcPr>
          <w:p w14:paraId="75B89EE8" w14:textId="77777777" w:rsidR="001D736D" w:rsidRPr="00FA288E" w:rsidRDefault="001D736D" w:rsidP="00D12825">
            <w:pPr>
              <w:spacing w:line="216" w:lineRule="auto"/>
              <w:jc w:val="center"/>
              <w:rPr>
                <w:rFonts w:cs="Calibri"/>
                <w:sz w:val="20"/>
                <w:szCs w:val="20"/>
                <w:lang w:val="en-AU"/>
              </w:rPr>
            </w:pPr>
            <w:r w:rsidRPr="00FA288E">
              <w:rPr>
                <w:rFonts w:cs="Calibri"/>
                <w:sz w:val="20"/>
                <w:szCs w:val="20"/>
                <w:lang w:val="en-AU"/>
              </w:rPr>
              <w:t>Teacher competency</w:t>
            </w:r>
          </w:p>
        </w:tc>
        <w:tc>
          <w:tcPr>
            <w:tcW w:w="3593" w:type="dxa"/>
            <w:shd w:val="clear" w:color="auto" w:fill="262626" w:themeFill="text1" w:themeFillTint="D9"/>
          </w:tcPr>
          <w:p w14:paraId="46B51B7F" w14:textId="77777777" w:rsidR="001D736D" w:rsidRPr="00FA288E" w:rsidRDefault="001D736D" w:rsidP="00D12825">
            <w:pPr>
              <w:spacing w:line="216" w:lineRule="auto"/>
              <w:jc w:val="center"/>
              <w:rPr>
                <w:rFonts w:cs="Calibri"/>
                <w:sz w:val="20"/>
                <w:szCs w:val="20"/>
                <w:lang w:val="en-AU"/>
              </w:rPr>
            </w:pPr>
            <w:r w:rsidRPr="00FA288E">
              <w:rPr>
                <w:rFonts w:cs="Calibri"/>
                <w:sz w:val="20"/>
                <w:szCs w:val="20"/>
                <w:lang w:val="en-AU"/>
              </w:rPr>
              <w:t>Reading material use</w:t>
            </w:r>
          </w:p>
        </w:tc>
      </w:tr>
      <w:tr w:rsidR="001D736D" w:rsidRPr="00FA288E" w14:paraId="48A5125F" w14:textId="77777777" w:rsidTr="00BF2CC7">
        <w:tc>
          <w:tcPr>
            <w:tcW w:w="575" w:type="dxa"/>
            <w:shd w:val="clear" w:color="auto" w:fill="262626" w:themeFill="text1" w:themeFillTint="D9"/>
          </w:tcPr>
          <w:p w14:paraId="11F499F9" w14:textId="77777777" w:rsidR="001D736D" w:rsidRPr="00FA288E" w:rsidRDefault="001D736D" w:rsidP="00D12825">
            <w:pPr>
              <w:spacing w:line="216" w:lineRule="auto"/>
              <w:jc w:val="left"/>
              <w:rPr>
                <w:rFonts w:cs="Calibri"/>
                <w:sz w:val="20"/>
                <w:szCs w:val="20"/>
                <w:lang w:val="en-AU"/>
              </w:rPr>
            </w:pPr>
            <w:r w:rsidRPr="00FA288E">
              <w:rPr>
                <w:rFonts w:cs="Calibri"/>
                <w:sz w:val="20"/>
                <w:szCs w:val="20"/>
                <w:lang w:val="en-AU"/>
              </w:rPr>
              <w:t>RISE</w:t>
            </w:r>
          </w:p>
        </w:tc>
        <w:tc>
          <w:tcPr>
            <w:tcW w:w="2581" w:type="dxa"/>
          </w:tcPr>
          <w:p w14:paraId="6FC3B15B" w14:textId="77777777" w:rsidR="001D736D" w:rsidRPr="00FA288E" w:rsidRDefault="001D736D" w:rsidP="00D12825">
            <w:pPr>
              <w:spacing w:line="216" w:lineRule="auto"/>
              <w:jc w:val="left"/>
              <w:rPr>
                <w:rFonts w:cs="Calibri"/>
                <w:sz w:val="20"/>
                <w:szCs w:val="20"/>
                <w:lang w:val="en-AU"/>
              </w:rPr>
            </w:pPr>
            <w:r w:rsidRPr="00FA288E">
              <w:rPr>
                <w:rFonts w:cs="Calibri"/>
                <w:sz w:val="20"/>
                <w:szCs w:val="20"/>
                <w:lang w:val="en-AU"/>
              </w:rPr>
              <w:t>% who … demonstrate improved literacy and numeracy skills</w:t>
            </w:r>
          </w:p>
        </w:tc>
        <w:tc>
          <w:tcPr>
            <w:tcW w:w="2966" w:type="dxa"/>
          </w:tcPr>
          <w:p w14:paraId="4177F056" w14:textId="77777777" w:rsidR="001D736D" w:rsidRPr="00FA288E" w:rsidRDefault="001D736D" w:rsidP="00D12825">
            <w:pPr>
              <w:spacing w:line="216" w:lineRule="auto"/>
              <w:jc w:val="left"/>
              <w:rPr>
                <w:rFonts w:cs="Calibri"/>
                <w:sz w:val="20"/>
                <w:szCs w:val="20"/>
                <w:lang w:val="en-AU"/>
              </w:rPr>
            </w:pPr>
            <w:r w:rsidRPr="00FA288E">
              <w:rPr>
                <w:rFonts w:cs="Calibri"/>
                <w:sz w:val="20"/>
                <w:szCs w:val="20"/>
                <w:lang w:val="en-AU"/>
              </w:rPr>
              <w:t>% of teachers demonstrating improved literacy and numeracy instructional practice after receiving Literacy Boost and Numeracy Boost training</w:t>
            </w:r>
          </w:p>
        </w:tc>
        <w:tc>
          <w:tcPr>
            <w:tcW w:w="3593" w:type="dxa"/>
          </w:tcPr>
          <w:p w14:paraId="314BEBE2" w14:textId="175F3FC7" w:rsidR="001D736D" w:rsidRPr="00FA288E" w:rsidRDefault="001D736D" w:rsidP="00D12825">
            <w:pPr>
              <w:spacing w:line="216" w:lineRule="auto"/>
              <w:jc w:val="left"/>
              <w:rPr>
                <w:rFonts w:cs="Calibri"/>
                <w:sz w:val="20"/>
                <w:szCs w:val="20"/>
                <w:lang w:val="en-AU"/>
              </w:rPr>
            </w:pPr>
            <w:r w:rsidRPr="00FA288E">
              <w:rPr>
                <w:rFonts w:cs="Calibri"/>
                <w:sz w:val="20"/>
                <w:szCs w:val="20"/>
                <w:lang w:val="en-AU"/>
              </w:rPr>
              <w:t xml:space="preserve">NEP </w:t>
            </w:r>
            <w:r w:rsidR="00F23E3A" w:rsidRPr="00FA288E">
              <w:rPr>
                <w:rFonts w:cs="Calibri"/>
                <w:sz w:val="20"/>
                <w:szCs w:val="20"/>
                <w:lang w:val="en-AU"/>
              </w:rPr>
              <w:t xml:space="preserve">2015-2019 </w:t>
            </w:r>
            <w:r w:rsidRPr="00FA288E">
              <w:rPr>
                <w:rFonts w:cs="Calibri"/>
                <w:sz w:val="20"/>
                <w:szCs w:val="20"/>
                <w:lang w:val="en-AU"/>
              </w:rPr>
              <w:t xml:space="preserve">indicator 20: % of schools adequately resourced with relevant learning materials                                                          NEP </w:t>
            </w:r>
            <w:r w:rsidR="00F23E3A" w:rsidRPr="00FA288E">
              <w:rPr>
                <w:rFonts w:cs="Calibri"/>
                <w:sz w:val="20"/>
                <w:szCs w:val="20"/>
                <w:lang w:val="en-AU"/>
              </w:rPr>
              <w:t xml:space="preserve">2015-2019 indicator </w:t>
            </w:r>
            <w:r w:rsidRPr="00FA288E">
              <w:rPr>
                <w:rFonts w:cs="Calibri"/>
                <w:sz w:val="20"/>
                <w:szCs w:val="20"/>
                <w:lang w:val="en-AU"/>
              </w:rPr>
              <w:t>22: % of schools at each level using relevant learning materials</w:t>
            </w:r>
          </w:p>
        </w:tc>
      </w:tr>
      <w:tr w:rsidR="001D736D" w:rsidRPr="00FA288E" w14:paraId="7B14E780" w14:textId="77777777" w:rsidTr="00BF2CC7">
        <w:tc>
          <w:tcPr>
            <w:tcW w:w="575" w:type="dxa"/>
            <w:shd w:val="clear" w:color="auto" w:fill="262626" w:themeFill="text1" w:themeFillTint="D9"/>
          </w:tcPr>
          <w:p w14:paraId="7FBE951C" w14:textId="77777777" w:rsidR="001D736D" w:rsidRPr="00FA288E" w:rsidRDefault="001D736D" w:rsidP="00D12825">
            <w:pPr>
              <w:spacing w:line="216" w:lineRule="auto"/>
              <w:jc w:val="left"/>
              <w:rPr>
                <w:rFonts w:cs="Calibri"/>
                <w:sz w:val="20"/>
                <w:szCs w:val="20"/>
                <w:lang w:val="en-AU"/>
              </w:rPr>
            </w:pPr>
            <w:r w:rsidRPr="00FA288E">
              <w:rPr>
                <w:rFonts w:cs="Calibri"/>
                <w:sz w:val="20"/>
                <w:szCs w:val="20"/>
                <w:lang w:val="en-AU"/>
              </w:rPr>
              <w:t>T4E</w:t>
            </w:r>
          </w:p>
        </w:tc>
        <w:tc>
          <w:tcPr>
            <w:tcW w:w="2581" w:type="dxa"/>
          </w:tcPr>
          <w:p w14:paraId="4D6B41C4" w14:textId="77777777" w:rsidR="001D736D" w:rsidRPr="00FA288E" w:rsidRDefault="001D736D" w:rsidP="00D12825">
            <w:pPr>
              <w:spacing w:line="216" w:lineRule="auto"/>
              <w:jc w:val="left"/>
              <w:rPr>
                <w:rFonts w:cs="Calibri"/>
                <w:sz w:val="20"/>
                <w:szCs w:val="20"/>
                <w:lang w:val="en-AU"/>
              </w:rPr>
            </w:pPr>
            <w:r w:rsidRPr="00FA288E">
              <w:rPr>
                <w:rFonts w:cs="Calibri"/>
                <w:sz w:val="20"/>
                <w:szCs w:val="20"/>
                <w:lang w:val="en-AU"/>
              </w:rPr>
              <w:t>25% … show increased skills compared to the control group</w:t>
            </w:r>
          </w:p>
        </w:tc>
        <w:tc>
          <w:tcPr>
            <w:tcW w:w="2966" w:type="dxa"/>
          </w:tcPr>
          <w:p w14:paraId="26C6D9F1" w14:textId="77777777" w:rsidR="001D736D" w:rsidRPr="00FA288E" w:rsidRDefault="001D736D" w:rsidP="00D12825">
            <w:pPr>
              <w:spacing w:line="216" w:lineRule="auto"/>
              <w:jc w:val="left"/>
              <w:rPr>
                <w:rFonts w:cs="Calibri"/>
                <w:sz w:val="20"/>
                <w:szCs w:val="20"/>
                <w:lang w:val="en-AU"/>
              </w:rPr>
            </w:pPr>
            <w:r w:rsidRPr="00FA288E">
              <w:rPr>
                <w:rFonts w:cs="Calibri"/>
                <w:sz w:val="20"/>
                <w:szCs w:val="20"/>
                <w:lang w:val="en-AU"/>
              </w:rPr>
              <w:t>4 indic</w:t>
            </w:r>
            <w:r w:rsidR="00D12825" w:rsidRPr="00FA288E">
              <w:rPr>
                <w:rFonts w:cs="Calibri"/>
                <w:sz w:val="20"/>
                <w:szCs w:val="20"/>
                <w:lang w:val="en-AU"/>
              </w:rPr>
              <w:t>a</w:t>
            </w:r>
            <w:r w:rsidRPr="00FA288E">
              <w:rPr>
                <w:rFonts w:cs="Calibri"/>
                <w:sz w:val="20"/>
                <w:szCs w:val="20"/>
                <w:lang w:val="en-AU"/>
              </w:rPr>
              <w:t xml:space="preserve">tors including: </w:t>
            </w:r>
          </w:p>
          <w:p w14:paraId="35A3AEF2" w14:textId="77777777" w:rsidR="001D736D" w:rsidRPr="00FA288E" w:rsidRDefault="001D736D" w:rsidP="00D12825">
            <w:pPr>
              <w:spacing w:line="216" w:lineRule="auto"/>
              <w:jc w:val="left"/>
              <w:rPr>
                <w:rFonts w:cs="Calibri"/>
                <w:sz w:val="20"/>
                <w:szCs w:val="20"/>
                <w:lang w:val="en-AU"/>
              </w:rPr>
            </w:pPr>
            <w:r w:rsidRPr="00FA288E">
              <w:rPr>
                <w:rFonts w:cs="Calibri"/>
                <w:sz w:val="20"/>
                <w:szCs w:val="20"/>
                <w:lang w:val="en-AU"/>
              </w:rPr>
              <w:t>% of teachers using/ practicing: gender-sensitive; … disability inclusive; … effective classroom management; … 2 to 3 age-appropriate literacy and numeracy strategies/practices</w:t>
            </w:r>
          </w:p>
        </w:tc>
        <w:tc>
          <w:tcPr>
            <w:tcW w:w="3593" w:type="dxa"/>
          </w:tcPr>
          <w:p w14:paraId="637B3CD3" w14:textId="77777777" w:rsidR="001D736D" w:rsidRPr="00FA288E" w:rsidRDefault="001D736D" w:rsidP="00D12825">
            <w:pPr>
              <w:spacing w:line="216" w:lineRule="auto"/>
              <w:jc w:val="left"/>
              <w:rPr>
                <w:rFonts w:cs="Calibri"/>
                <w:sz w:val="20"/>
                <w:szCs w:val="20"/>
                <w:lang w:val="en-AU"/>
              </w:rPr>
            </w:pPr>
            <w:r w:rsidRPr="00FA288E">
              <w:rPr>
                <w:rFonts w:cs="Calibri"/>
                <w:sz w:val="20"/>
                <w:szCs w:val="20"/>
                <w:lang w:val="en-AU"/>
              </w:rPr>
              <w:t>%/ # of E2 children reporting being read to by their parents/caregivers</w:t>
            </w:r>
          </w:p>
          <w:p w14:paraId="09D94C5D" w14:textId="77777777" w:rsidR="001D736D" w:rsidRPr="00FA288E" w:rsidRDefault="001D736D" w:rsidP="00D12825">
            <w:pPr>
              <w:spacing w:line="216" w:lineRule="auto"/>
              <w:jc w:val="left"/>
              <w:rPr>
                <w:rFonts w:cs="Calibri"/>
                <w:sz w:val="20"/>
                <w:szCs w:val="20"/>
                <w:lang w:val="en-AU"/>
              </w:rPr>
            </w:pPr>
            <w:r w:rsidRPr="00FA288E">
              <w:rPr>
                <w:rFonts w:cs="Calibri"/>
                <w:sz w:val="20"/>
                <w:szCs w:val="20"/>
                <w:lang w:val="en-AU"/>
              </w:rPr>
              <w:t>% of children attended Literacy/ Numeracy Clubs supported by parents/caregivers</w:t>
            </w:r>
          </w:p>
          <w:p w14:paraId="705339DD" w14:textId="77777777" w:rsidR="001D736D" w:rsidRPr="00FA288E" w:rsidRDefault="001D736D" w:rsidP="00D12825">
            <w:pPr>
              <w:spacing w:line="216" w:lineRule="auto"/>
              <w:jc w:val="left"/>
              <w:rPr>
                <w:rFonts w:cs="Calibri"/>
                <w:sz w:val="20"/>
                <w:szCs w:val="20"/>
                <w:lang w:val="en-AU"/>
              </w:rPr>
            </w:pPr>
            <w:r w:rsidRPr="00FA288E">
              <w:rPr>
                <w:rFonts w:cs="Calibri"/>
                <w:sz w:val="20"/>
                <w:szCs w:val="20"/>
                <w:lang w:val="en-AU"/>
              </w:rPr>
              <w:t>% of children in pilot Elementary schools reading e-books on tablets</w:t>
            </w:r>
          </w:p>
          <w:p w14:paraId="43DFC853" w14:textId="77777777" w:rsidR="001D736D" w:rsidRPr="00FA288E" w:rsidRDefault="001D736D" w:rsidP="00D12825">
            <w:pPr>
              <w:spacing w:line="216" w:lineRule="auto"/>
              <w:jc w:val="left"/>
              <w:rPr>
                <w:rFonts w:cs="Calibri"/>
                <w:sz w:val="20"/>
                <w:szCs w:val="20"/>
                <w:lang w:val="en-AU"/>
              </w:rPr>
            </w:pPr>
            <w:r w:rsidRPr="00FA288E">
              <w:rPr>
                <w:rFonts w:cs="Calibri"/>
                <w:sz w:val="20"/>
                <w:szCs w:val="20"/>
                <w:lang w:val="en-AU"/>
              </w:rPr>
              <w:lastRenderedPageBreak/>
              <w:t># of hours spent per week by children reading culturally relevant and language appropriate books in school.</w:t>
            </w:r>
          </w:p>
        </w:tc>
      </w:tr>
      <w:tr w:rsidR="001D736D" w:rsidRPr="00FA288E" w14:paraId="17A7F35F" w14:textId="77777777" w:rsidTr="00BF2CC7">
        <w:tc>
          <w:tcPr>
            <w:tcW w:w="575" w:type="dxa"/>
            <w:shd w:val="clear" w:color="auto" w:fill="262626" w:themeFill="text1" w:themeFillTint="D9"/>
          </w:tcPr>
          <w:p w14:paraId="6C02010C" w14:textId="77777777" w:rsidR="001D736D" w:rsidRPr="00FA288E" w:rsidRDefault="001D736D" w:rsidP="00D12825">
            <w:pPr>
              <w:spacing w:line="216" w:lineRule="auto"/>
              <w:jc w:val="left"/>
              <w:rPr>
                <w:rFonts w:cs="Calibri"/>
                <w:sz w:val="20"/>
                <w:szCs w:val="20"/>
                <w:lang w:val="en-AU"/>
              </w:rPr>
            </w:pPr>
            <w:r w:rsidRPr="00FA288E">
              <w:rPr>
                <w:rFonts w:cs="Calibri"/>
                <w:sz w:val="20"/>
                <w:szCs w:val="20"/>
                <w:lang w:val="en-AU"/>
              </w:rPr>
              <w:lastRenderedPageBreak/>
              <w:t>PKS</w:t>
            </w:r>
          </w:p>
        </w:tc>
        <w:tc>
          <w:tcPr>
            <w:tcW w:w="2581" w:type="dxa"/>
          </w:tcPr>
          <w:p w14:paraId="23EF2AC3" w14:textId="2FEE8944" w:rsidR="001D736D" w:rsidRPr="00FA288E" w:rsidRDefault="001D736D" w:rsidP="00D12825">
            <w:pPr>
              <w:spacing w:line="216" w:lineRule="auto"/>
              <w:jc w:val="left"/>
              <w:rPr>
                <w:rFonts w:cs="Calibri"/>
                <w:sz w:val="20"/>
                <w:szCs w:val="20"/>
                <w:lang w:val="en-AU"/>
              </w:rPr>
            </w:pPr>
            <w:r w:rsidRPr="00FA288E">
              <w:rPr>
                <w:rFonts w:cs="Calibri"/>
                <w:sz w:val="20"/>
                <w:szCs w:val="20"/>
                <w:lang w:val="en-AU"/>
              </w:rPr>
              <w:t># of baseline/</w:t>
            </w:r>
            <w:r w:rsidR="00FA288E" w:rsidRPr="00FA288E">
              <w:rPr>
                <w:rFonts w:cs="Calibri"/>
                <w:sz w:val="20"/>
                <w:szCs w:val="20"/>
                <w:lang w:val="en-AU"/>
              </w:rPr>
              <w:t>end line</w:t>
            </w:r>
            <w:r w:rsidRPr="00FA288E">
              <w:rPr>
                <w:rFonts w:cs="Calibri"/>
                <w:sz w:val="20"/>
                <w:szCs w:val="20"/>
                <w:lang w:val="en-AU"/>
              </w:rPr>
              <w:t xml:space="preserve"> reports produced and disseminated</w:t>
            </w:r>
          </w:p>
        </w:tc>
        <w:tc>
          <w:tcPr>
            <w:tcW w:w="2966" w:type="dxa"/>
          </w:tcPr>
          <w:p w14:paraId="294848FE" w14:textId="321E7DE6" w:rsidR="001D736D" w:rsidRPr="00FA288E" w:rsidRDefault="001D736D" w:rsidP="00D12825">
            <w:pPr>
              <w:spacing w:line="216" w:lineRule="auto"/>
              <w:jc w:val="left"/>
              <w:rPr>
                <w:rFonts w:cs="Calibri"/>
                <w:sz w:val="20"/>
                <w:szCs w:val="20"/>
                <w:lang w:val="en-AU"/>
              </w:rPr>
            </w:pPr>
            <w:r w:rsidRPr="00FA288E">
              <w:rPr>
                <w:rFonts w:cs="Calibri"/>
                <w:sz w:val="20"/>
                <w:szCs w:val="20"/>
                <w:lang w:val="en-AU"/>
              </w:rPr>
              <w:t xml:space="preserve">% teachers that demonstrate improvements in knowledge, skills and </w:t>
            </w:r>
            <w:r w:rsidR="00FA288E" w:rsidRPr="00FA288E">
              <w:rPr>
                <w:rFonts w:cs="Calibri"/>
                <w:sz w:val="20"/>
                <w:szCs w:val="20"/>
                <w:lang w:val="en-AU"/>
              </w:rPr>
              <w:t>behaviour</w:t>
            </w:r>
            <w:r w:rsidRPr="00FA288E">
              <w:rPr>
                <w:rFonts w:cs="Calibri"/>
                <w:sz w:val="20"/>
                <w:szCs w:val="20"/>
                <w:lang w:val="en-AU"/>
              </w:rPr>
              <w:t xml:space="preserve"> on pre- and post-tests and lesson observations</w:t>
            </w:r>
          </w:p>
        </w:tc>
        <w:tc>
          <w:tcPr>
            <w:tcW w:w="3593" w:type="dxa"/>
          </w:tcPr>
          <w:p w14:paraId="5524FD0F" w14:textId="77777777" w:rsidR="001D736D" w:rsidRPr="00FA288E" w:rsidRDefault="001D736D" w:rsidP="00D12825">
            <w:pPr>
              <w:spacing w:line="216" w:lineRule="auto"/>
              <w:jc w:val="left"/>
              <w:rPr>
                <w:rFonts w:cs="Calibri"/>
                <w:sz w:val="20"/>
                <w:szCs w:val="20"/>
                <w:lang w:val="en-AU"/>
              </w:rPr>
            </w:pPr>
            <w:r w:rsidRPr="00FA288E">
              <w:rPr>
                <w:rFonts w:cs="Calibri"/>
                <w:sz w:val="20"/>
                <w:szCs w:val="20"/>
                <w:lang w:val="en-AU"/>
              </w:rPr>
              <w:t>% of teachers who read to students regularly</w:t>
            </w:r>
          </w:p>
          <w:p w14:paraId="070CF88D" w14:textId="77777777" w:rsidR="001D736D" w:rsidRPr="00FA288E" w:rsidRDefault="001D736D" w:rsidP="00D12825">
            <w:pPr>
              <w:spacing w:line="216" w:lineRule="auto"/>
              <w:jc w:val="left"/>
              <w:rPr>
                <w:rFonts w:cs="Calibri"/>
                <w:sz w:val="20"/>
                <w:szCs w:val="20"/>
                <w:lang w:val="en-AU"/>
              </w:rPr>
            </w:pPr>
            <w:r w:rsidRPr="00FA288E">
              <w:rPr>
                <w:rFonts w:cs="Calibri"/>
                <w:sz w:val="20"/>
                <w:szCs w:val="20"/>
                <w:lang w:val="en-AU"/>
              </w:rPr>
              <w:t>% of elementary students using classroom libraries, reading camps and/or reading events</w:t>
            </w:r>
          </w:p>
        </w:tc>
      </w:tr>
    </w:tbl>
    <w:p w14:paraId="21303531" w14:textId="77777777" w:rsidR="008D5AD5" w:rsidRPr="00FA288E" w:rsidRDefault="008D5AD5" w:rsidP="002832DA">
      <w:pPr>
        <w:pStyle w:val="BodyText"/>
        <w:spacing w:after="80" w:line="240" w:lineRule="auto"/>
        <w:rPr>
          <w:rFonts w:ascii="Calibri" w:hAnsi="Calibri" w:cs="Calibri"/>
          <w:sz w:val="21"/>
          <w:szCs w:val="21"/>
        </w:rPr>
      </w:pPr>
    </w:p>
    <w:p w14:paraId="51755CAF" w14:textId="75501173" w:rsidR="00614C93" w:rsidRPr="00FA288E" w:rsidRDefault="00614C93" w:rsidP="002832DA">
      <w:pPr>
        <w:pStyle w:val="BodyText"/>
        <w:spacing w:after="80" w:line="240" w:lineRule="auto"/>
        <w:rPr>
          <w:rFonts w:ascii="Calibri" w:hAnsi="Calibri" w:cs="Calibri"/>
          <w:sz w:val="21"/>
          <w:szCs w:val="21"/>
        </w:rPr>
      </w:pPr>
      <w:r w:rsidRPr="00FA288E">
        <w:rPr>
          <w:rFonts w:ascii="Calibri" w:hAnsi="Calibri" w:cs="Calibri"/>
          <w:sz w:val="21"/>
          <w:szCs w:val="21"/>
        </w:rPr>
        <w:t xml:space="preserve">This variability is tied in part to the different emphasis placed </w:t>
      </w:r>
      <w:r w:rsidR="00D12825" w:rsidRPr="00FA288E">
        <w:rPr>
          <w:rFonts w:ascii="Calibri" w:hAnsi="Calibri" w:cs="Calibri"/>
          <w:sz w:val="21"/>
          <w:szCs w:val="21"/>
        </w:rPr>
        <w:t>by projects on the strategies to</w:t>
      </w:r>
      <w:r w:rsidRPr="00FA288E">
        <w:rPr>
          <w:rFonts w:ascii="Calibri" w:hAnsi="Calibri" w:cs="Calibri"/>
          <w:sz w:val="21"/>
          <w:szCs w:val="21"/>
        </w:rPr>
        <w:t xml:space="preserve"> improve literacy </w:t>
      </w:r>
      <w:r w:rsidR="00D12825" w:rsidRPr="00FA288E">
        <w:rPr>
          <w:rFonts w:ascii="Calibri" w:hAnsi="Calibri" w:cs="Calibri"/>
          <w:sz w:val="21"/>
          <w:szCs w:val="21"/>
        </w:rPr>
        <w:t>and numeracy</w:t>
      </w:r>
      <w:r w:rsidRPr="00FA288E">
        <w:rPr>
          <w:rFonts w:ascii="Calibri" w:hAnsi="Calibri" w:cs="Calibri"/>
          <w:sz w:val="21"/>
          <w:szCs w:val="21"/>
        </w:rPr>
        <w:t xml:space="preserve">. Outcomes and indicators for school governance are also </w:t>
      </w:r>
      <w:r w:rsidR="00D12825" w:rsidRPr="00FA288E">
        <w:rPr>
          <w:rFonts w:ascii="Calibri" w:hAnsi="Calibri" w:cs="Calibri"/>
          <w:sz w:val="21"/>
          <w:szCs w:val="21"/>
        </w:rPr>
        <w:t>different (T4E and PKS)</w:t>
      </w:r>
      <w:r w:rsidRPr="00FA288E">
        <w:rPr>
          <w:rFonts w:ascii="Calibri" w:hAnsi="Calibri" w:cs="Calibri"/>
          <w:sz w:val="21"/>
          <w:szCs w:val="21"/>
        </w:rPr>
        <w:t xml:space="preserve">. </w:t>
      </w:r>
      <w:r w:rsidR="00D12825" w:rsidRPr="00FA288E">
        <w:rPr>
          <w:rFonts w:ascii="Calibri" w:hAnsi="Calibri" w:cs="Calibri"/>
          <w:sz w:val="21"/>
          <w:szCs w:val="21"/>
        </w:rPr>
        <w:t>I</w:t>
      </w:r>
      <w:r w:rsidRPr="00FA288E">
        <w:rPr>
          <w:rFonts w:ascii="Calibri" w:hAnsi="Calibri" w:cs="Calibri"/>
          <w:sz w:val="21"/>
          <w:szCs w:val="21"/>
        </w:rPr>
        <w:t>f the overall aim is to compare ‘what works’ across the grants</w:t>
      </w:r>
      <w:r w:rsidR="00D12825" w:rsidRPr="00FA288E">
        <w:rPr>
          <w:rFonts w:ascii="Calibri" w:hAnsi="Calibri" w:cs="Calibri"/>
          <w:sz w:val="21"/>
          <w:szCs w:val="21"/>
        </w:rPr>
        <w:t>,</w:t>
      </w:r>
      <w:r w:rsidRPr="00FA288E">
        <w:rPr>
          <w:rFonts w:ascii="Calibri" w:hAnsi="Calibri" w:cs="Calibri"/>
          <w:sz w:val="21"/>
          <w:szCs w:val="21"/>
        </w:rPr>
        <w:t xml:space="preserve"> the design of the baseline – midline – </w:t>
      </w:r>
      <w:r w:rsidR="00FA288E">
        <w:rPr>
          <w:rFonts w:ascii="Calibri" w:hAnsi="Calibri" w:cs="Calibri"/>
          <w:sz w:val="21"/>
          <w:szCs w:val="21"/>
        </w:rPr>
        <w:t>end line</w:t>
      </w:r>
      <w:r w:rsidRPr="00FA288E">
        <w:rPr>
          <w:rFonts w:ascii="Calibri" w:hAnsi="Calibri" w:cs="Calibri"/>
          <w:sz w:val="21"/>
          <w:szCs w:val="21"/>
        </w:rPr>
        <w:t xml:space="preserve"> evaluations themselves</w:t>
      </w:r>
      <w:r w:rsidR="00D12825" w:rsidRPr="00FA288E">
        <w:rPr>
          <w:rFonts w:ascii="Calibri" w:hAnsi="Calibri" w:cs="Calibri"/>
          <w:sz w:val="21"/>
          <w:szCs w:val="21"/>
        </w:rPr>
        <w:t xml:space="preserve"> also have variation</w:t>
      </w:r>
      <w:r w:rsidRPr="00FA288E">
        <w:rPr>
          <w:rFonts w:ascii="Calibri" w:hAnsi="Calibri" w:cs="Calibri"/>
          <w:sz w:val="21"/>
          <w:szCs w:val="21"/>
        </w:rPr>
        <w:t xml:space="preserve">. Both RISE and T4E have completed midline and </w:t>
      </w:r>
      <w:r w:rsidR="00FA288E">
        <w:rPr>
          <w:rFonts w:ascii="Calibri" w:hAnsi="Calibri" w:cs="Calibri"/>
          <w:sz w:val="21"/>
          <w:szCs w:val="21"/>
        </w:rPr>
        <w:t>end line</w:t>
      </w:r>
      <w:r w:rsidRPr="00FA288E">
        <w:rPr>
          <w:rFonts w:ascii="Calibri" w:hAnsi="Calibri" w:cs="Calibri"/>
          <w:sz w:val="21"/>
          <w:szCs w:val="21"/>
        </w:rPr>
        <w:t xml:space="preserve"> data collection already, with differences noted in </w:t>
      </w:r>
      <w:r w:rsidR="00D12825" w:rsidRPr="00FA288E">
        <w:rPr>
          <w:rFonts w:ascii="Calibri" w:hAnsi="Calibri" w:cs="Calibri"/>
          <w:sz w:val="21"/>
          <w:szCs w:val="21"/>
        </w:rPr>
        <w:t>the education levels assessed. For example</w:t>
      </w:r>
      <w:r w:rsidR="00523A75" w:rsidRPr="00FA288E">
        <w:rPr>
          <w:rFonts w:ascii="Calibri" w:hAnsi="Calibri" w:cs="Calibri"/>
          <w:sz w:val="21"/>
          <w:szCs w:val="21"/>
        </w:rPr>
        <w:t>,</w:t>
      </w:r>
      <w:r w:rsidR="00D12825" w:rsidRPr="00FA288E">
        <w:rPr>
          <w:rFonts w:ascii="Calibri" w:hAnsi="Calibri" w:cs="Calibri"/>
          <w:sz w:val="21"/>
          <w:szCs w:val="21"/>
        </w:rPr>
        <w:t xml:space="preserve"> T4E is </w:t>
      </w:r>
      <w:r w:rsidRPr="00FA288E">
        <w:rPr>
          <w:rFonts w:ascii="Calibri" w:hAnsi="Calibri" w:cs="Calibri"/>
          <w:sz w:val="21"/>
          <w:szCs w:val="21"/>
        </w:rPr>
        <w:t>testing children now in E</w:t>
      </w:r>
      <w:r w:rsidR="003C3AF7" w:rsidRPr="00FA288E">
        <w:rPr>
          <w:rFonts w:ascii="Calibri" w:hAnsi="Calibri" w:cs="Calibri"/>
          <w:sz w:val="21"/>
          <w:szCs w:val="21"/>
        </w:rPr>
        <w:t xml:space="preserve">lementary Year </w:t>
      </w:r>
      <w:r w:rsidRPr="00FA288E">
        <w:rPr>
          <w:rFonts w:ascii="Calibri" w:hAnsi="Calibri" w:cs="Calibri"/>
          <w:sz w:val="21"/>
          <w:szCs w:val="21"/>
        </w:rPr>
        <w:t xml:space="preserve">2 </w:t>
      </w:r>
      <w:r w:rsidR="003C3AF7" w:rsidRPr="00FA288E">
        <w:rPr>
          <w:rFonts w:ascii="Calibri" w:hAnsi="Calibri" w:cs="Calibri"/>
          <w:sz w:val="21"/>
          <w:szCs w:val="21"/>
        </w:rPr>
        <w:t xml:space="preserve">(E2) </w:t>
      </w:r>
      <w:r w:rsidR="00D12825" w:rsidRPr="00FA288E">
        <w:rPr>
          <w:rFonts w:ascii="Calibri" w:hAnsi="Calibri" w:cs="Calibri"/>
          <w:sz w:val="21"/>
          <w:szCs w:val="21"/>
        </w:rPr>
        <w:t>using the original</w:t>
      </w:r>
      <w:r w:rsidRPr="00FA288E">
        <w:rPr>
          <w:rFonts w:ascii="Calibri" w:hAnsi="Calibri" w:cs="Calibri"/>
          <w:sz w:val="21"/>
          <w:szCs w:val="21"/>
        </w:rPr>
        <w:t xml:space="preserve"> E</w:t>
      </w:r>
      <w:r w:rsidR="003C3AF7" w:rsidRPr="00FA288E">
        <w:rPr>
          <w:rFonts w:ascii="Calibri" w:hAnsi="Calibri" w:cs="Calibri"/>
          <w:sz w:val="21"/>
          <w:szCs w:val="21"/>
        </w:rPr>
        <w:t xml:space="preserve">lementary Year </w:t>
      </w:r>
      <w:r w:rsidRPr="00FA288E">
        <w:rPr>
          <w:rFonts w:ascii="Calibri" w:hAnsi="Calibri" w:cs="Calibri"/>
          <w:sz w:val="21"/>
          <w:szCs w:val="21"/>
        </w:rPr>
        <w:t xml:space="preserve">1 </w:t>
      </w:r>
      <w:r w:rsidR="003C3AF7" w:rsidRPr="00FA288E">
        <w:rPr>
          <w:rFonts w:ascii="Calibri" w:hAnsi="Calibri" w:cs="Calibri"/>
          <w:sz w:val="21"/>
          <w:szCs w:val="21"/>
        </w:rPr>
        <w:t xml:space="preserve">(E1) </w:t>
      </w:r>
      <w:r w:rsidRPr="00FA288E">
        <w:rPr>
          <w:rFonts w:ascii="Calibri" w:hAnsi="Calibri" w:cs="Calibri"/>
          <w:sz w:val="21"/>
          <w:szCs w:val="21"/>
        </w:rPr>
        <w:t>test</w:t>
      </w:r>
      <w:r w:rsidR="00D12825" w:rsidRPr="00FA288E">
        <w:rPr>
          <w:rFonts w:ascii="Calibri" w:hAnsi="Calibri" w:cs="Calibri"/>
          <w:sz w:val="21"/>
          <w:szCs w:val="21"/>
        </w:rPr>
        <w:t xml:space="preserve">, while RISE is using </w:t>
      </w:r>
      <w:r w:rsidRPr="00FA288E">
        <w:rPr>
          <w:rFonts w:ascii="Calibri" w:hAnsi="Calibri" w:cs="Calibri"/>
          <w:sz w:val="21"/>
          <w:szCs w:val="21"/>
        </w:rPr>
        <w:t xml:space="preserve">the E2 test. PKS has yet to collect </w:t>
      </w:r>
      <w:r w:rsidR="00FA288E">
        <w:rPr>
          <w:rFonts w:ascii="Calibri" w:hAnsi="Calibri" w:cs="Calibri"/>
          <w:sz w:val="21"/>
          <w:szCs w:val="21"/>
        </w:rPr>
        <w:t>end line</w:t>
      </w:r>
      <w:r w:rsidRPr="00FA288E">
        <w:rPr>
          <w:rFonts w:ascii="Calibri" w:hAnsi="Calibri" w:cs="Calibri"/>
          <w:sz w:val="21"/>
          <w:szCs w:val="21"/>
        </w:rPr>
        <w:t xml:space="preserve"> data and were initially </w:t>
      </w:r>
      <w:r w:rsidR="00B045A9" w:rsidRPr="00FA288E">
        <w:rPr>
          <w:rFonts w:ascii="Calibri" w:hAnsi="Calibri" w:cs="Calibri"/>
          <w:sz w:val="21"/>
          <w:szCs w:val="21"/>
        </w:rPr>
        <w:t xml:space="preserve">planning to </w:t>
      </w:r>
      <w:r w:rsidRPr="00FA288E">
        <w:rPr>
          <w:rFonts w:ascii="Calibri" w:hAnsi="Calibri" w:cs="Calibri"/>
          <w:sz w:val="21"/>
          <w:szCs w:val="21"/>
        </w:rPr>
        <w:t>re-test</w:t>
      </w:r>
      <w:r w:rsidR="00B045A9" w:rsidRPr="00FA288E">
        <w:rPr>
          <w:rFonts w:ascii="Calibri" w:hAnsi="Calibri" w:cs="Calibri"/>
          <w:sz w:val="21"/>
          <w:szCs w:val="21"/>
        </w:rPr>
        <w:t xml:space="preserve"> E2</w:t>
      </w:r>
      <w:r w:rsidRPr="00FA288E">
        <w:rPr>
          <w:rFonts w:ascii="Calibri" w:hAnsi="Calibri" w:cs="Calibri"/>
          <w:sz w:val="21"/>
          <w:szCs w:val="21"/>
        </w:rPr>
        <w:t xml:space="preserve"> against E1</w:t>
      </w:r>
      <w:r w:rsidR="00B045A9" w:rsidRPr="00FA288E">
        <w:rPr>
          <w:rFonts w:ascii="Calibri" w:hAnsi="Calibri" w:cs="Calibri"/>
          <w:sz w:val="21"/>
          <w:szCs w:val="21"/>
        </w:rPr>
        <w:t>.</w:t>
      </w:r>
      <w:r w:rsidRPr="00FA288E">
        <w:rPr>
          <w:rFonts w:ascii="Calibri" w:hAnsi="Calibri" w:cs="Calibri"/>
          <w:sz w:val="21"/>
          <w:szCs w:val="21"/>
        </w:rPr>
        <w:t xml:space="preserve"> </w:t>
      </w:r>
      <w:r w:rsidR="00B045A9" w:rsidRPr="00FA288E">
        <w:rPr>
          <w:rFonts w:ascii="Calibri" w:hAnsi="Calibri" w:cs="Calibri"/>
          <w:sz w:val="21"/>
          <w:szCs w:val="21"/>
        </w:rPr>
        <w:t>I</w:t>
      </w:r>
      <w:r w:rsidRPr="00FA288E">
        <w:rPr>
          <w:rFonts w:ascii="Calibri" w:hAnsi="Calibri" w:cs="Calibri"/>
          <w:sz w:val="21"/>
          <w:szCs w:val="21"/>
        </w:rPr>
        <w:t xml:space="preserve">t is not clear now which assessment </w:t>
      </w:r>
      <w:r w:rsidR="00B045A9" w:rsidRPr="00FA288E">
        <w:rPr>
          <w:rFonts w:ascii="Calibri" w:hAnsi="Calibri" w:cs="Calibri"/>
          <w:sz w:val="21"/>
          <w:szCs w:val="21"/>
        </w:rPr>
        <w:t>PKS</w:t>
      </w:r>
      <w:r w:rsidRPr="00FA288E">
        <w:rPr>
          <w:rFonts w:ascii="Calibri" w:hAnsi="Calibri" w:cs="Calibri"/>
          <w:sz w:val="21"/>
          <w:szCs w:val="21"/>
        </w:rPr>
        <w:t xml:space="preserve"> will use as they tested at a different time in the school </w:t>
      </w:r>
      <w:r w:rsidR="00B045A9" w:rsidRPr="00FA288E">
        <w:rPr>
          <w:rFonts w:ascii="Calibri" w:hAnsi="Calibri" w:cs="Calibri"/>
          <w:sz w:val="21"/>
          <w:szCs w:val="21"/>
        </w:rPr>
        <w:t>year</w:t>
      </w:r>
      <w:r w:rsidRPr="00FA288E">
        <w:rPr>
          <w:rFonts w:ascii="Calibri" w:hAnsi="Calibri" w:cs="Calibri"/>
          <w:sz w:val="21"/>
          <w:szCs w:val="21"/>
        </w:rPr>
        <w:t xml:space="preserve"> to the other pro</w:t>
      </w:r>
      <w:r w:rsidR="001D27A1" w:rsidRPr="00FA288E">
        <w:rPr>
          <w:rFonts w:ascii="Calibri" w:hAnsi="Calibri" w:cs="Calibri"/>
          <w:sz w:val="21"/>
          <w:szCs w:val="21"/>
        </w:rPr>
        <w:t>ject</w:t>
      </w:r>
      <w:r w:rsidRPr="00FA288E">
        <w:rPr>
          <w:rFonts w:ascii="Calibri" w:hAnsi="Calibri" w:cs="Calibri"/>
          <w:sz w:val="21"/>
          <w:szCs w:val="21"/>
        </w:rPr>
        <w:t xml:space="preserve">s. </w:t>
      </w:r>
      <w:r w:rsidR="00B045A9" w:rsidRPr="00FA288E">
        <w:rPr>
          <w:rFonts w:ascii="Calibri" w:hAnsi="Calibri" w:cs="Calibri"/>
          <w:sz w:val="21"/>
          <w:szCs w:val="21"/>
        </w:rPr>
        <w:t xml:space="preserve">The </w:t>
      </w:r>
      <w:r w:rsidRPr="00FA288E">
        <w:rPr>
          <w:rFonts w:ascii="Calibri" w:hAnsi="Calibri" w:cs="Calibri"/>
          <w:sz w:val="21"/>
          <w:szCs w:val="21"/>
        </w:rPr>
        <w:t xml:space="preserve">PPF </w:t>
      </w:r>
      <w:r w:rsidR="00B045A9" w:rsidRPr="00FA288E">
        <w:rPr>
          <w:rFonts w:ascii="Calibri" w:hAnsi="Calibri" w:cs="Calibri"/>
          <w:sz w:val="21"/>
          <w:szCs w:val="21"/>
        </w:rPr>
        <w:t>S</w:t>
      </w:r>
      <w:r w:rsidRPr="00FA288E">
        <w:rPr>
          <w:rFonts w:ascii="Calibri" w:hAnsi="Calibri" w:cs="Calibri"/>
          <w:sz w:val="21"/>
          <w:szCs w:val="21"/>
        </w:rPr>
        <w:t xml:space="preserve">ecretariat </w:t>
      </w:r>
      <w:r w:rsidR="00B045A9" w:rsidRPr="00FA288E">
        <w:rPr>
          <w:rFonts w:ascii="Calibri" w:hAnsi="Calibri" w:cs="Calibri"/>
          <w:sz w:val="21"/>
          <w:szCs w:val="21"/>
        </w:rPr>
        <w:t xml:space="preserve">is recommending </w:t>
      </w:r>
      <w:r w:rsidRPr="00FA288E">
        <w:rPr>
          <w:rFonts w:ascii="Calibri" w:hAnsi="Calibri" w:cs="Calibri"/>
          <w:sz w:val="21"/>
          <w:szCs w:val="21"/>
        </w:rPr>
        <w:t xml:space="preserve">that all testing be </w:t>
      </w:r>
      <w:r w:rsidR="00B045A9" w:rsidRPr="00FA288E">
        <w:rPr>
          <w:rFonts w:ascii="Calibri" w:hAnsi="Calibri" w:cs="Calibri"/>
          <w:sz w:val="21"/>
          <w:szCs w:val="21"/>
        </w:rPr>
        <w:t>at</w:t>
      </w:r>
      <w:r w:rsidRPr="00FA288E">
        <w:rPr>
          <w:rFonts w:ascii="Calibri" w:hAnsi="Calibri" w:cs="Calibri"/>
          <w:sz w:val="21"/>
          <w:szCs w:val="21"/>
        </w:rPr>
        <w:t xml:space="preserve"> E2 standards at </w:t>
      </w:r>
      <w:r w:rsidR="00FA288E">
        <w:rPr>
          <w:rFonts w:ascii="Calibri" w:hAnsi="Calibri" w:cs="Calibri"/>
          <w:sz w:val="21"/>
          <w:szCs w:val="21"/>
        </w:rPr>
        <w:t>end line</w:t>
      </w:r>
      <w:r w:rsidRPr="00FA288E">
        <w:rPr>
          <w:rFonts w:ascii="Calibri" w:hAnsi="Calibri" w:cs="Calibri"/>
          <w:sz w:val="21"/>
          <w:szCs w:val="21"/>
        </w:rPr>
        <w:t xml:space="preserve">. </w:t>
      </w:r>
      <w:r w:rsidR="00B045A9" w:rsidRPr="00FA288E">
        <w:rPr>
          <w:rFonts w:ascii="Calibri" w:hAnsi="Calibri" w:cs="Calibri"/>
          <w:sz w:val="21"/>
          <w:szCs w:val="21"/>
        </w:rPr>
        <w:t>Determining</w:t>
      </w:r>
      <w:r w:rsidRPr="00FA288E">
        <w:rPr>
          <w:rFonts w:ascii="Calibri" w:hAnsi="Calibri" w:cs="Calibri"/>
          <w:sz w:val="21"/>
          <w:szCs w:val="21"/>
        </w:rPr>
        <w:t xml:space="preserve"> whether the data is showing differences due to </w:t>
      </w:r>
      <w:r w:rsidR="00B045A9" w:rsidRPr="00FA288E">
        <w:rPr>
          <w:rFonts w:ascii="Calibri" w:hAnsi="Calibri" w:cs="Calibri"/>
          <w:sz w:val="21"/>
          <w:szCs w:val="21"/>
        </w:rPr>
        <w:t xml:space="preserve">a change in </w:t>
      </w:r>
      <w:r w:rsidRPr="00FA288E">
        <w:rPr>
          <w:rFonts w:ascii="Calibri" w:hAnsi="Calibri" w:cs="Calibri"/>
          <w:sz w:val="21"/>
          <w:szCs w:val="21"/>
        </w:rPr>
        <w:t xml:space="preserve">children’s age (i.e. a year older doing the same test) or progress against expected standards for </w:t>
      </w:r>
      <w:r w:rsidR="00B045A9" w:rsidRPr="00FA288E">
        <w:rPr>
          <w:rFonts w:ascii="Calibri" w:hAnsi="Calibri" w:cs="Calibri"/>
          <w:sz w:val="21"/>
          <w:szCs w:val="21"/>
        </w:rPr>
        <w:t>that education level</w:t>
      </w:r>
      <w:r w:rsidRPr="00FA288E">
        <w:rPr>
          <w:rFonts w:ascii="Calibri" w:hAnsi="Calibri" w:cs="Calibri"/>
          <w:sz w:val="21"/>
          <w:szCs w:val="21"/>
        </w:rPr>
        <w:t xml:space="preserve">. In addition, the decision to </w:t>
      </w:r>
      <w:r w:rsidR="00B045A9" w:rsidRPr="00FA288E">
        <w:rPr>
          <w:rFonts w:ascii="Calibri" w:hAnsi="Calibri" w:cs="Calibri"/>
          <w:sz w:val="21"/>
          <w:szCs w:val="21"/>
        </w:rPr>
        <w:t xml:space="preserve">provide interventions to </w:t>
      </w:r>
      <w:r w:rsidRPr="00FA288E">
        <w:rPr>
          <w:rFonts w:ascii="Calibri" w:hAnsi="Calibri" w:cs="Calibri"/>
          <w:sz w:val="21"/>
          <w:szCs w:val="21"/>
        </w:rPr>
        <w:t xml:space="preserve">the </w:t>
      </w:r>
      <w:r w:rsidR="00B045A9" w:rsidRPr="00FA288E">
        <w:rPr>
          <w:rFonts w:ascii="Calibri" w:hAnsi="Calibri" w:cs="Calibri"/>
          <w:sz w:val="21"/>
          <w:szCs w:val="21"/>
        </w:rPr>
        <w:t xml:space="preserve">2018 </w:t>
      </w:r>
      <w:r w:rsidRPr="00FA288E">
        <w:rPr>
          <w:rFonts w:ascii="Calibri" w:hAnsi="Calibri" w:cs="Calibri"/>
          <w:sz w:val="21"/>
          <w:szCs w:val="21"/>
        </w:rPr>
        <w:t xml:space="preserve">control groups in 2019 (RISE and T4E), while ethically sound, means </w:t>
      </w:r>
      <w:r w:rsidR="00B045A9" w:rsidRPr="00FA288E">
        <w:rPr>
          <w:rFonts w:ascii="Calibri" w:hAnsi="Calibri" w:cs="Calibri"/>
          <w:sz w:val="21"/>
          <w:szCs w:val="21"/>
        </w:rPr>
        <w:t>that the ‘control’ group</w:t>
      </w:r>
      <w:r w:rsidRPr="00FA288E">
        <w:rPr>
          <w:rFonts w:ascii="Calibri" w:hAnsi="Calibri" w:cs="Calibri"/>
          <w:sz w:val="21"/>
          <w:szCs w:val="21"/>
        </w:rPr>
        <w:t xml:space="preserve"> </w:t>
      </w:r>
      <w:r w:rsidR="00B045A9" w:rsidRPr="00FA288E">
        <w:rPr>
          <w:rFonts w:ascii="Calibri" w:hAnsi="Calibri" w:cs="Calibri"/>
          <w:sz w:val="21"/>
          <w:szCs w:val="21"/>
        </w:rPr>
        <w:t>is no longer available to</w:t>
      </w:r>
      <w:r w:rsidRPr="00FA288E">
        <w:rPr>
          <w:rFonts w:ascii="Calibri" w:hAnsi="Calibri" w:cs="Calibri"/>
          <w:sz w:val="21"/>
          <w:szCs w:val="21"/>
        </w:rPr>
        <w:t xml:space="preserve"> </w:t>
      </w:r>
      <w:r w:rsidR="00B045A9" w:rsidRPr="00FA288E">
        <w:rPr>
          <w:rFonts w:ascii="Calibri" w:hAnsi="Calibri" w:cs="Calibri"/>
          <w:sz w:val="21"/>
          <w:szCs w:val="21"/>
        </w:rPr>
        <w:t>measure</w:t>
      </w:r>
      <w:r w:rsidRPr="00FA288E">
        <w:rPr>
          <w:rFonts w:ascii="Calibri" w:hAnsi="Calibri" w:cs="Calibri"/>
          <w:sz w:val="21"/>
          <w:szCs w:val="21"/>
        </w:rPr>
        <w:t xml:space="preserve"> </w:t>
      </w:r>
      <w:r w:rsidR="00B045A9" w:rsidRPr="00FA288E">
        <w:rPr>
          <w:rFonts w:ascii="Calibri" w:hAnsi="Calibri" w:cs="Calibri"/>
          <w:sz w:val="21"/>
          <w:szCs w:val="21"/>
        </w:rPr>
        <w:t xml:space="preserve">the intervention </w:t>
      </w:r>
      <w:r w:rsidRPr="00FA288E">
        <w:rPr>
          <w:rFonts w:ascii="Calibri" w:hAnsi="Calibri" w:cs="Calibri"/>
          <w:sz w:val="21"/>
          <w:szCs w:val="21"/>
        </w:rPr>
        <w:t xml:space="preserve">benefits </w:t>
      </w:r>
      <w:r w:rsidR="00B045A9" w:rsidRPr="00FA288E">
        <w:rPr>
          <w:rFonts w:ascii="Calibri" w:hAnsi="Calibri" w:cs="Calibri"/>
          <w:sz w:val="21"/>
          <w:szCs w:val="21"/>
        </w:rPr>
        <w:t>against</w:t>
      </w:r>
      <w:r w:rsidRPr="00FA288E">
        <w:rPr>
          <w:rFonts w:ascii="Calibri" w:hAnsi="Calibri" w:cs="Calibri"/>
          <w:sz w:val="21"/>
          <w:szCs w:val="21"/>
        </w:rPr>
        <w:t xml:space="preserve">. </w:t>
      </w:r>
      <w:r w:rsidR="00B045A9" w:rsidRPr="00FA288E">
        <w:rPr>
          <w:rFonts w:ascii="Calibri" w:hAnsi="Calibri" w:cs="Calibri"/>
          <w:sz w:val="21"/>
          <w:szCs w:val="21"/>
        </w:rPr>
        <w:t xml:space="preserve">Also noted are </w:t>
      </w:r>
      <w:r w:rsidRPr="00FA288E">
        <w:rPr>
          <w:rFonts w:ascii="Calibri" w:hAnsi="Calibri" w:cs="Calibri"/>
          <w:sz w:val="21"/>
          <w:szCs w:val="21"/>
        </w:rPr>
        <w:t xml:space="preserve">the changes made between year 1 and year 2 </w:t>
      </w:r>
      <w:r w:rsidR="00B045A9" w:rsidRPr="00FA288E">
        <w:rPr>
          <w:rFonts w:ascii="Calibri" w:hAnsi="Calibri" w:cs="Calibri"/>
          <w:sz w:val="21"/>
          <w:szCs w:val="21"/>
        </w:rPr>
        <w:t xml:space="preserve">RISE and T4E </w:t>
      </w:r>
      <w:r w:rsidRPr="00FA288E">
        <w:rPr>
          <w:rFonts w:ascii="Calibri" w:hAnsi="Calibri" w:cs="Calibri"/>
          <w:sz w:val="21"/>
          <w:szCs w:val="21"/>
        </w:rPr>
        <w:t>pro</w:t>
      </w:r>
      <w:r w:rsidR="001D27A1" w:rsidRPr="00FA288E">
        <w:rPr>
          <w:rFonts w:ascii="Calibri" w:hAnsi="Calibri" w:cs="Calibri"/>
          <w:sz w:val="21"/>
          <w:szCs w:val="21"/>
        </w:rPr>
        <w:t>ject</w:t>
      </w:r>
      <w:r w:rsidRPr="00FA288E">
        <w:rPr>
          <w:rFonts w:ascii="Calibri" w:hAnsi="Calibri" w:cs="Calibri"/>
          <w:sz w:val="21"/>
          <w:szCs w:val="21"/>
        </w:rPr>
        <w:t xml:space="preserve"> implementation (</w:t>
      </w:r>
      <w:r w:rsidR="00B045A9" w:rsidRPr="00FA288E">
        <w:rPr>
          <w:rFonts w:ascii="Calibri" w:hAnsi="Calibri" w:cs="Calibri"/>
          <w:sz w:val="21"/>
          <w:szCs w:val="21"/>
        </w:rPr>
        <w:t xml:space="preserve">e.g. </w:t>
      </w:r>
      <w:r w:rsidRPr="00FA288E">
        <w:rPr>
          <w:rFonts w:ascii="Calibri" w:hAnsi="Calibri" w:cs="Calibri"/>
          <w:sz w:val="21"/>
          <w:szCs w:val="21"/>
        </w:rPr>
        <w:t xml:space="preserve">revisions to training materials, different </w:t>
      </w:r>
      <w:r w:rsidR="00B045A9" w:rsidRPr="00FA288E">
        <w:rPr>
          <w:rFonts w:ascii="Calibri" w:hAnsi="Calibri" w:cs="Calibri"/>
          <w:sz w:val="21"/>
          <w:szCs w:val="21"/>
        </w:rPr>
        <w:t xml:space="preserve">trainers and </w:t>
      </w:r>
      <w:r w:rsidRPr="00FA288E">
        <w:rPr>
          <w:rFonts w:ascii="Calibri" w:hAnsi="Calibri" w:cs="Calibri"/>
          <w:sz w:val="21"/>
          <w:szCs w:val="21"/>
        </w:rPr>
        <w:t>combination of trainers</w:t>
      </w:r>
      <w:r w:rsidR="00B045A9" w:rsidRPr="00FA288E">
        <w:rPr>
          <w:rFonts w:ascii="Calibri" w:hAnsi="Calibri" w:cs="Calibri"/>
          <w:sz w:val="21"/>
          <w:szCs w:val="21"/>
        </w:rPr>
        <w:t>,</w:t>
      </w:r>
      <w:r w:rsidRPr="00FA288E">
        <w:rPr>
          <w:rFonts w:ascii="Calibri" w:hAnsi="Calibri" w:cs="Calibri"/>
          <w:sz w:val="21"/>
          <w:szCs w:val="21"/>
        </w:rPr>
        <w:t xml:space="preserve"> and the uneven distribution of supplemental learning resources) may </w:t>
      </w:r>
      <w:r w:rsidR="00B045A9" w:rsidRPr="00FA288E">
        <w:rPr>
          <w:rFonts w:ascii="Calibri" w:hAnsi="Calibri" w:cs="Calibri"/>
          <w:sz w:val="21"/>
          <w:szCs w:val="21"/>
        </w:rPr>
        <w:t xml:space="preserve">well </w:t>
      </w:r>
      <w:r w:rsidRPr="00FA288E">
        <w:rPr>
          <w:rFonts w:ascii="Calibri" w:hAnsi="Calibri" w:cs="Calibri"/>
          <w:sz w:val="21"/>
          <w:szCs w:val="21"/>
        </w:rPr>
        <w:t xml:space="preserve">impact the validity of data </w:t>
      </w:r>
      <w:r w:rsidR="00B045A9" w:rsidRPr="00FA288E">
        <w:rPr>
          <w:rFonts w:ascii="Calibri" w:hAnsi="Calibri" w:cs="Calibri"/>
          <w:sz w:val="21"/>
          <w:szCs w:val="21"/>
        </w:rPr>
        <w:t>obtained.</w:t>
      </w:r>
    </w:p>
    <w:p w14:paraId="1E719525" w14:textId="11058F2B" w:rsidR="00A34CB9" w:rsidRPr="00FA288E" w:rsidRDefault="00B045A9" w:rsidP="002832DA">
      <w:pPr>
        <w:pStyle w:val="BodyText"/>
        <w:spacing w:after="80" w:line="240" w:lineRule="auto"/>
        <w:rPr>
          <w:rFonts w:ascii="Calibri" w:hAnsi="Calibri" w:cs="Calibri"/>
          <w:sz w:val="21"/>
          <w:szCs w:val="21"/>
        </w:rPr>
      </w:pPr>
      <w:r w:rsidRPr="00FA288E">
        <w:rPr>
          <w:rFonts w:ascii="Calibri" w:hAnsi="Calibri" w:cs="Calibri"/>
          <w:sz w:val="21"/>
          <w:szCs w:val="21"/>
        </w:rPr>
        <w:t>C</w:t>
      </w:r>
      <w:r w:rsidR="00614C93" w:rsidRPr="00FA288E">
        <w:rPr>
          <w:rFonts w:ascii="Calibri" w:hAnsi="Calibri" w:cs="Calibri"/>
          <w:sz w:val="21"/>
          <w:szCs w:val="21"/>
        </w:rPr>
        <w:t>hallenges notwithstanding, with the possibility of more unified data collection</w:t>
      </w:r>
      <w:r w:rsidRPr="00FA288E">
        <w:rPr>
          <w:rFonts w:ascii="Calibri" w:hAnsi="Calibri" w:cs="Calibri"/>
          <w:sz w:val="21"/>
          <w:szCs w:val="21"/>
        </w:rPr>
        <w:t xml:space="preserve"> in the future</w:t>
      </w:r>
      <w:r w:rsidR="00614C93" w:rsidRPr="00FA288E">
        <w:rPr>
          <w:rFonts w:ascii="Calibri" w:hAnsi="Calibri" w:cs="Calibri"/>
          <w:sz w:val="21"/>
          <w:szCs w:val="21"/>
        </w:rPr>
        <w:t xml:space="preserve"> and with the ‘loss’ of control groups, there is a need to standardise indicators for the </w:t>
      </w:r>
      <w:r w:rsidR="00FA288E">
        <w:rPr>
          <w:rFonts w:ascii="Calibri" w:hAnsi="Calibri" w:cs="Calibri"/>
          <w:sz w:val="21"/>
          <w:szCs w:val="21"/>
        </w:rPr>
        <w:t>end line</w:t>
      </w:r>
      <w:r w:rsidRPr="00FA288E">
        <w:rPr>
          <w:rFonts w:ascii="Calibri" w:hAnsi="Calibri" w:cs="Calibri"/>
          <w:sz w:val="21"/>
          <w:szCs w:val="21"/>
        </w:rPr>
        <w:t xml:space="preserve"> studies</w:t>
      </w:r>
      <w:r w:rsidR="00614C93" w:rsidRPr="00FA288E">
        <w:rPr>
          <w:rFonts w:ascii="Calibri" w:hAnsi="Calibri" w:cs="Calibri"/>
          <w:sz w:val="21"/>
          <w:szCs w:val="21"/>
        </w:rPr>
        <w:t xml:space="preserve">. </w:t>
      </w:r>
    </w:p>
    <w:p w14:paraId="067371AE" w14:textId="77777777" w:rsidR="00614C93" w:rsidRPr="00FA288E" w:rsidRDefault="00B045A9" w:rsidP="002832DA">
      <w:pPr>
        <w:pStyle w:val="BodyText"/>
        <w:spacing w:after="80" w:line="240" w:lineRule="auto"/>
        <w:rPr>
          <w:rFonts w:ascii="Calibri" w:hAnsi="Calibri" w:cs="Calibri"/>
          <w:sz w:val="21"/>
          <w:szCs w:val="21"/>
        </w:rPr>
      </w:pPr>
      <w:r w:rsidRPr="00FA288E">
        <w:rPr>
          <w:rFonts w:ascii="Calibri" w:hAnsi="Calibri" w:cs="Calibri"/>
          <w:sz w:val="21"/>
          <w:szCs w:val="21"/>
        </w:rPr>
        <w:t>E</w:t>
      </w:r>
      <w:r w:rsidR="00614C93" w:rsidRPr="00FA288E">
        <w:rPr>
          <w:rFonts w:ascii="Calibri" w:hAnsi="Calibri" w:cs="Calibri"/>
          <w:sz w:val="21"/>
          <w:szCs w:val="21"/>
        </w:rPr>
        <w:t>xample</w:t>
      </w:r>
      <w:r w:rsidRPr="00FA288E">
        <w:rPr>
          <w:rFonts w:ascii="Calibri" w:hAnsi="Calibri" w:cs="Calibri"/>
          <w:sz w:val="21"/>
          <w:szCs w:val="21"/>
        </w:rPr>
        <w:t>s of standardised indicators include</w:t>
      </w:r>
    </w:p>
    <w:p w14:paraId="15DCCD65" w14:textId="77777777" w:rsidR="00614C93" w:rsidRPr="00FA288E" w:rsidRDefault="00614C93" w:rsidP="005C700B">
      <w:pPr>
        <w:pStyle w:val="Bullets"/>
        <w:numPr>
          <w:ilvl w:val="0"/>
          <w:numId w:val="29"/>
        </w:numPr>
        <w:spacing w:after="0" w:line="240" w:lineRule="auto"/>
        <w:ind w:left="720"/>
        <w:jc w:val="both"/>
        <w:rPr>
          <w:rFonts w:ascii="Calibri" w:hAnsi="Calibri" w:cs="Calibri"/>
          <w:sz w:val="21"/>
          <w:szCs w:val="21"/>
        </w:rPr>
      </w:pPr>
      <w:r w:rsidRPr="00FA288E">
        <w:rPr>
          <w:rFonts w:ascii="Calibri" w:hAnsi="Calibri" w:cs="Calibri"/>
          <w:sz w:val="21"/>
          <w:szCs w:val="21"/>
        </w:rPr>
        <w:t xml:space="preserve">% of boys and girls with improved literacy / numeracy assessment scores (including reading comprehension) against age-appropriate assessments </w:t>
      </w:r>
    </w:p>
    <w:p w14:paraId="52C06379" w14:textId="77777777" w:rsidR="00614C93" w:rsidRPr="00FA288E" w:rsidRDefault="00614C93" w:rsidP="005C700B">
      <w:pPr>
        <w:pStyle w:val="Bullets"/>
        <w:numPr>
          <w:ilvl w:val="0"/>
          <w:numId w:val="29"/>
        </w:numPr>
        <w:spacing w:after="0" w:line="240" w:lineRule="auto"/>
        <w:ind w:left="720"/>
        <w:jc w:val="both"/>
        <w:rPr>
          <w:rFonts w:ascii="Calibri" w:hAnsi="Calibri" w:cs="Calibri"/>
          <w:sz w:val="21"/>
          <w:szCs w:val="21"/>
        </w:rPr>
      </w:pPr>
      <w:r w:rsidRPr="00FA288E">
        <w:rPr>
          <w:rFonts w:ascii="Calibri" w:hAnsi="Calibri" w:cs="Calibri"/>
          <w:sz w:val="21"/>
          <w:szCs w:val="21"/>
        </w:rPr>
        <w:t>% of teachers using / practicing age-appropriate literacy and numeracy teaching strategies</w:t>
      </w:r>
    </w:p>
    <w:p w14:paraId="39B4F33F" w14:textId="77777777" w:rsidR="00614C93" w:rsidRPr="00FA288E" w:rsidRDefault="00614C93" w:rsidP="005C700B">
      <w:pPr>
        <w:pStyle w:val="Bullets"/>
        <w:numPr>
          <w:ilvl w:val="0"/>
          <w:numId w:val="29"/>
        </w:numPr>
        <w:spacing w:after="0" w:line="240" w:lineRule="auto"/>
        <w:ind w:left="720"/>
        <w:jc w:val="both"/>
        <w:rPr>
          <w:rFonts w:ascii="Calibri" w:hAnsi="Calibri" w:cs="Calibri"/>
          <w:sz w:val="21"/>
          <w:szCs w:val="21"/>
        </w:rPr>
      </w:pPr>
      <w:r w:rsidRPr="00FA288E">
        <w:rPr>
          <w:rFonts w:ascii="Calibri" w:hAnsi="Calibri" w:cs="Calibri"/>
          <w:sz w:val="21"/>
          <w:szCs w:val="21"/>
        </w:rPr>
        <w:t>% of children in target schools reporting having read at least # books from intervention sources in the last # months</w:t>
      </w:r>
    </w:p>
    <w:p w14:paraId="6DE48D01" w14:textId="77777777" w:rsidR="00614C93" w:rsidRPr="00FA288E" w:rsidRDefault="00614C93" w:rsidP="005C700B">
      <w:pPr>
        <w:pStyle w:val="Bullets"/>
        <w:numPr>
          <w:ilvl w:val="0"/>
          <w:numId w:val="29"/>
        </w:numPr>
        <w:spacing w:after="80" w:line="240" w:lineRule="auto"/>
        <w:ind w:left="720"/>
        <w:jc w:val="both"/>
        <w:rPr>
          <w:rFonts w:ascii="Calibri" w:hAnsi="Calibri" w:cs="Calibri"/>
          <w:sz w:val="21"/>
          <w:szCs w:val="21"/>
        </w:rPr>
      </w:pPr>
      <w:r w:rsidRPr="00FA288E">
        <w:rPr>
          <w:rFonts w:ascii="Calibri" w:hAnsi="Calibri" w:cs="Calibri"/>
          <w:sz w:val="21"/>
          <w:szCs w:val="21"/>
        </w:rPr>
        <w:t>% of schools receiving training that have developed current SLIPs and have attracted additional resources as a result</w:t>
      </w:r>
    </w:p>
    <w:p w14:paraId="74024663" w14:textId="77777777" w:rsidR="00614C93" w:rsidRPr="00FA288E" w:rsidRDefault="00614C93" w:rsidP="002832DA">
      <w:pPr>
        <w:pStyle w:val="BodyText"/>
        <w:spacing w:after="80" w:line="240" w:lineRule="auto"/>
        <w:rPr>
          <w:rFonts w:ascii="Calibri" w:hAnsi="Calibri" w:cs="Calibri"/>
          <w:i/>
          <w:sz w:val="21"/>
          <w:szCs w:val="21"/>
        </w:rPr>
      </w:pPr>
      <w:r w:rsidRPr="00FA288E">
        <w:rPr>
          <w:rFonts w:ascii="Calibri" w:hAnsi="Calibri" w:cs="Calibri"/>
          <w:sz w:val="21"/>
          <w:szCs w:val="21"/>
        </w:rPr>
        <w:t xml:space="preserve">Rubrics for </w:t>
      </w:r>
      <w:r w:rsidR="00E81206" w:rsidRPr="00FA288E">
        <w:rPr>
          <w:rFonts w:ascii="Calibri" w:hAnsi="Calibri" w:cs="Calibri"/>
          <w:sz w:val="21"/>
          <w:szCs w:val="21"/>
        </w:rPr>
        <w:t xml:space="preserve">measuring </w:t>
      </w:r>
      <w:r w:rsidR="007514A3" w:rsidRPr="00FA288E">
        <w:rPr>
          <w:rFonts w:ascii="Calibri" w:hAnsi="Calibri" w:cs="Calibri"/>
          <w:sz w:val="21"/>
          <w:szCs w:val="21"/>
        </w:rPr>
        <w:t>achiev</w:t>
      </w:r>
      <w:r w:rsidR="00E81206" w:rsidRPr="00FA288E">
        <w:rPr>
          <w:rFonts w:ascii="Calibri" w:hAnsi="Calibri" w:cs="Calibri"/>
          <w:sz w:val="21"/>
          <w:szCs w:val="21"/>
        </w:rPr>
        <w:t>ement against</w:t>
      </w:r>
      <w:r w:rsidRPr="00FA288E">
        <w:rPr>
          <w:rFonts w:ascii="Calibri" w:hAnsi="Calibri" w:cs="Calibri"/>
          <w:sz w:val="21"/>
          <w:szCs w:val="21"/>
        </w:rPr>
        <w:t xml:space="preserve"> targets could be developed </w:t>
      </w:r>
      <w:r w:rsidR="007514A3" w:rsidRPr="00FA288E">
        <w:rPr>
          <w:rFonts w:ascii="Calibri" w:hAnsi="Calibri" w:cs="Calibri"/>
          <w:sz w:val="21"/>
          <w:szCs w:val="21"/>
        </w:rPr>
        <w:t>to</w:t>
      </w:r>
      <w:r w:rsidRPr="00FA288E">
        <w:rPr>
          <w:rFonts w:ascii="Calibri" w:hAnsi="Calibri" w:cs="Calibri"/>
          <w:sz w:val="21"/>
          <w:szCs w:val="21"/>
        </w:rPr>
        <w:t xml:space="preserve"> indicate significant/good/fair/poor performance based on the numbers and percentages achieved. This would provide a measure for the overall success </w:t>
      </w:r>
      <w:r w:rsidR="00E81206" w:rsidRPr="00FA288E">
        <w:rPr>
          <w:rFonts w:ascii="Calibri" w:hAnsi="Calibri" w:cs="Calibri"/>
          <w:sz w:val="21"/>
          <w:szCs w:val="21"/>
        </w:rPr>
        <w:t xml:space="preserve">of the grants </w:t>
      </w:r>
      <w:r w:rsidRPr="00FA288E">
        <w:rPr>
          <w:rFonts w:ascii="Calibri" w:hAnsi="Calibri" w:cs="Calibri"/>
          <w:sz w:val="21"/>
          <w:szCs w:val="21"/>
        </w:rPr>
        <w:t xml:space="preserve">and relative success of each of the projects. While these uniform indicators would not preclude collection of more nuanced data on gender and disability, they would provide </w:t>
      </w:r>
      <w:r w:rsidR="00E81206" w:rsidRPr="00FA288E">
        <w:rPr>
          <w:rFonts w:ascii="Calibri" w:hAnsi="Calibri" w:cs="Calibri"/>
          <w:sz w:val="21"/>
          <w:szCs w:val="21"/>
        </w:rPr>
        <w:t xml:space="preserve">basic </w:t>
      </w:r>
      <w:r w:rsidRPr="00FA288E">
        <w:rPr>
          <w:rFonts w:ascii="Calibri" w:hAnsi="Calibri" w:cs="Calibri"/>
          <w:sz w:val="21"/>
          <w:szCs w:val="21"/>
        </w:rPr>
        <w:t>data for broad comparison.</w:t>
      </w:r>
    </w:p>
    <w:p w14:paraId="16533AE1" w14:textId="77777777" w:rsidR="00614C93" w:rsidRPr="00FA288E" w:rsidRDefault="00614C93" w:rsidP="002832DA">
      <w:pPr>
        <w:spacing w:after="80" w:line="240" w:lineRule="auto"/>
        <w:rPr>
          <w:rFonts w:cs="Calibri"/>
          <w:i/>
          <w:iCs/>
          <w:szCs w:val="21"/>
        </w:rPr>
      </w:pPr>
      <w:r w:rsidRPr="00FA288E">
        <w:rPr>
          <w:rFonts w:cs="Calibri"/>
          <w:i/>
          <w:iCs/>
          <w:szCs w:val="21"/>
        </w:rPr>
        <w:t>Inclusivity of data collection</w:t>
      </w:r>
    </w:p>
    <w:p w14:paraId="12068768" w14:textId="730FE178" w:rsidR="00614C93" w:rsidRPr="00FA288E" w:rsidRDefault="00614C93" w:rsidP="002832DA">
      <w:pPr>
        <w:pStyle w:val="BodyText"/>
        <w:spacing w:after="80" w:line="240" w:lineRule="auto"/>
        <w:rPr>
          <w:rFonts w:ascii="Calibri" w:hAnsi="Calibri" w:cs="Calibri"/>
          <w:sz w:val="21"/>
          <w:szCs w:val="21"/>
        </w:rPr>
      </w:pPr>
      <w:r w:rsidRPr="00FA288E">
        <w:rPr>
          <w:rFonts w:ascii="Calibri" w:hAnsi="Calibri" w:cs="Calibri"/>
          <w:sz w:val="21"/>
          <w:szCs w:val="21"/>
        </w:rPr>
        <w:t xml:space="preserve">Data collected by the M&amp;E tools and processes shows an appropriate level of disaggregation for gender of children reached. Despite the relatively high level of attention to data disaggregation which has been compiled into a useful </w:t>
      </w:r>
      <w:r w:rsidR="00AF016A" w:rsidRPr="00FA288E">
        <w:rPr>
          <w:rFonts w:ascii="Calibri" w:hAnsi="Calibri" w:cs="Calibri"/>
          <w:sz w:val="21"/>
          <w:szCs w:val="21"/>
        </w:rPr>
        <w:t xml:space="preserve">PPF </w:t>
      </w:r>
      <w:r w:rsidRPr="00FA288E">
        <w:rPr>
          <w:rFonts w:ascii="Calibri" w:hAnsi="Calibri" w:cs="Calibri"/>
          <w:sz w:val="21"/>
          <w:szCs w:val="21"/>
        </w:rPr>
        <w:t xml:space="preserve">report on </w:t>
      </w:r>
      <w:r w:rsidR="00B15723" w:rsidRPr="00FA288E">
        <w:rPr>
          <w:rFonts w:ascii="Calibri" w:hAnsi="Calibri" w:cs="Calibri"/>
          <w:sz w:val="21"/>
          <w:szCs w:val="21"/>
        </w:rPr>
        <w:t xml:space="preserve">gender and social </w:t>
      </w:r>
      <w:r w:rsidRPr="00FA288E">
        <w:rPr>
          <w:rFonts w:ascii="Calibri" w:hAnsi="Calibri" w:cs="Calibri"/>
          <w:sz w:val="21"/>
          <w:szCs w:val="21"/>
        </w:rPr>
        <w:t>I</w:t>
      </w:r>
      <w:r w:rsidR="00B15723" w:rsidRPr="00FA288E">
        <w:rPr>
          <w:rFonts w:ascii="Calibri" w:hAnsi="Calibri" w:cs="Calibri"/>
          <w:sz w:val="21"/>
          <w:szCs w:val="21"/>
        </w:rPr>
        <w:t>nclusion</w:t>
      </w:r>
      <w:r w:rsidRPr="00FA288E">
        <w:rPr>
          <w:rFonts w:ascii="Calibri" w:hAnsi="Calibri" w:cs="Calibri"/>
          <w:sz w:val="21"/>
          <w:szCs w:val="21"/>
        </w:rPr>
        <w:t xml:space="preserve"> outcomes,</w:t>
      </w:r>
      <w:r w:rsidRPr="00FA288E">
        <w:rPr>
          <w:rStyle w:val="FootnoteReference"/>
          <w:rFonts w:ascii="Calibri" w:hAnsi="Calibri" w:cs="Calibri"/>
          <w:sz w:val="21"/>
          <w:szCs w:val="21"/>
        </w:rPr>
        <w:footnoteReference w:id="55"/>
      </w:r>
      <w:r w:rsidRPr="00FA288E">
        <w:rPr>
          <w:rFonts w:ascii="Calibri" w:hAnsi="Calibri" w:cs="Calibri"/>
          <w:sz w:val="21"/>
          <w:szCs w:val="21"/>
        </w:rPr>
        <w:t xml:space="preserve"> notable gaps in disaggregation of data across consortia are evident (i.e. gender of reading club attendees, teacher use of gender/disability appropriate strategies, gender of </w:t>
      </w:r>
      <w:proofErr w:type="spellStart"/>
      <w:r w:rsidRPr="00FA288E">
        <w:rPr>
          <w:rFonts w:ascii="Calibri" w:hAnsi="Calibri" w:cs="Calibri"/>
          <w:sz w:val="21"/>
          <w:szCs w:val="21"/>
        </w:rPr>
        <w:t>SBoM</w:t>
      </w:r>
      <w:proofErr w:type="spellEnd"/>
      <w:r w:rsidRPr="00FA288E">
        <w:rPr>
          <w:rFonts w:ascii="Calibri" w:hAnsi="Calibri" w:cs="Calibri"/>
          <w:sz w:val="21"/>
          <w:szCs w:val="21"/>
        </w:rPr>
        <w:t xml:space="preserve"> members trained etc.). The G</w:t>
      </w:r>
      <w:r w:rsidR="00B15723" w:rsidRPr="00FA288E">
        <w:rPr>
          <w:rFonts w:ascii="Calibri" w:hAnsi="Calibri" w:cs="Calibri"/>
          <w:sz w:val="21"/>
          <w:szCs w:val="21"/>
        </w:rPr>
        <w:t>ender and Social Inclusion</w:t>
      </w:r>
      <w:r w:rsidRPr="00FA288E">
        <w:rPr>
          <w:rFonts w:ascii="Calibri" w:hAnsi="Calibri" w:cs="Calibri"/>
          <w:sz w:val="21"/>
          <w:szCs w:val="21"/>
        </w:rPr>
        <w:t xml:space="preserve"> report makes a number of suggested improvements (page 12), which if implemented, will improve overall reporting of </w:t>
      </w:r>
      <w:r w:rsidR="00B15723" w:rsidRPr="00FA288E">
        <w:rPr>
          <w:rFonts w:ascii="Calibri" w:hAnsi="Calibri" w:cs="Calibri"/>
          <w:sz w:val="21"/>
          <w:szCs w:val="21"/>
        </w:rPr>
        <w:t>gender and social inclusion</w:t>
      </w:r>
      <w:r w:rsidRPr="00FA288E">
        <w:rPr>
          <w:rFonts w:ascii="Calibri" w:hAnsi="Calibri" w:cs="Calibri"/>
          <w:sz w:val="21"/>
          <w:szCs w:val="21"/>
        </w:rPr>
        <w:t xml:space="preserve"> data. In addition, </w:t>
      </w:r>
      <w:r w:rsidR="00FA288E">
        <w:rPr>
          <w:rFonts w:ascii="Calibri" w:hAnsi="Calibri" w:cs="Calibri"/>
          <w:sz w:val="21"/>
          <w:szCs w:val="21"/>
        </w:rPr>
        <w:t>end line</w:t>
      </w:r>
      <w:r w:rsidRPr="00FA288E">
        <w:rPr>
          <w:rFonts w:ascii="Calibri" w:hAnsi="Calibri" w:cs="Calibri"/>
          <w:sz w:val="21"/>
          <w:szCs w:val="21"/>
        </w:rPr>
        <w:t xml:space="preserve"> Terms of Reference (developed by the PPF secretariat) have appropriately mainstreamed dimensions of inclusivity across </w:t>
      </w:r>
      <w:r w:rsidR="00E81206" w:rsidRPr="00FA288E">
        <w:rPr>
          <w:rFonts w:ascii="Calibri" w:hAnsi="Calibri" w:cs="Calibri"/>
          <w:sz w:val="21"/>
          <w:szCs w:val="21"/>
        </w:rPr>
        <w:t>Key Evaluation Questions</w:t>
      </w:r>
      <w:r w:rsidRPr="00FA288E">
        <w:rPr>
          <w:rFonts w:ascii="Calibri" w:hAnsi="Calibri" w:cs="Calibri"/>
          <w:sz w:val="21"/>
          <w:szCs w:val="21"/>
        </w:rPr>
        <w:t xml:space="preserve">, which, if implemented well, should result in an adequate level of disaggregation across the </w:t>
      </w:r>
      <w:r w:rsidR="00FA288E">
        <w:rPr>
          <w:rFonts w:ascii="Calibri" w:hAnsi="Calibri" w:cs="Calibri"/>
          <w:sz w:val="21"/>
          <w:szCs w:val="21"/>
        </w:rPr>
        <w:t>end line</w:t>
      </w:r>
      <w:r w:rsidRPr="00FA288E">
        <w:rPr>
          <w:rFonts w:ascii="Calibri" w:hAnsi="Calibri" w:cs="Calibri"/>
          <w:sz w:val="21"/>
          <w:szCs w:val="21"/>
        </w:rPr>
        <w:t xml:space="preserve"> quantitative and qualitative studies. </w:t>
      </w:r>
    </w:p>
    <w:p w14:paraId="1F856711" w14:textId="77777777" w:rsidR="008A4B47" w:rsidRPr="00FA288E" w:rsidRDefault="008A4B47" w:rsidP="002832DA">
      <w:pPr>
        <w:pStyle w:val="BodyText"/>
        <w:spacing w:after="80" w:line="240" w:lineRule="auto"/>
        <w:rPr>
          <w:rFonts w:ascii="Calibri" w:hAnsi="Calibri" w:cs="Calibri"/>
          <w:sz w:val="21"/>
          <w:szCs w:val="21"/>
        </w:rPr>
      </w:pPr>
      <w:r w:rsidRPr="00FA288E">
        <w:rPr>
          <w:rFonts w:ascii="Calibri" w:hAnsi="Calibri" w:cs="Calibri"/>
          <w:sz w:val="21"/>
          <w:szCs w:val="21"/>
        </w:rPr>
        <w:lastRenderedPageBreak/>
        <w:t xml:space="preserve">Of note, none of the projects provide separate gender equality strategies, embedding gender equality activities within the interventions themselves, including </w:t>
      </w:r>
      <w:r w:rsidR="002B7095" w:rsidRPr="00FA288E">
        <w:rPr>
          <w:rFonts w:ascii="Calibri" w:hAnsi="Calibri" w:cs="Calibri"/>
          <w:sz w:val="21"/>
          <w:szCs w:val="21"/>
        </w:rPr>
        <w:t xml:space="preserve">training sessions/modules on </w:t>
      </w:r>
      <w:r w:rsidRPr="00FA288E">
        <w:rPr>
          <w:rFonts w:ascii="Calibri" w:hAnsi="Calibri" w:cs="Calibri"/>
          <w:sz w:val="21"/>
          <w:szCs w:val="21"/>
        </w:rPr>
        <w:t xml:space="preserve">child protection, gender equality and </w:t>
      </w:r>
      <w:r w:rsidR="002B7095" w:rsidRPr="00FA288E">
        <w:rPr>
          <w:rFonts w:ascii="Calibri" w:hAnsi="Calibri" w:cs="Calibri"/>
          <w:sz w:val="21"/>
          <w:szCs w:val="21"/>
        </w:rPr>
        <w:t>inclusive education.</w:t>
      </w:r>
    </w:p>
    <w:p w14:paraId="5BCFB930" w14:textId="77777777" w:rsidR="00614C93" w:rsidRPr="00FA288E" w:rsidRDefault="00614C93" w:rsidP="002832DA">
      <w:pPr>
        <w:pStyle w:val="Bullets"/>
        <w:numPr>
          <w:ilvl w:val="0"/>
          <w:numId w:val="0"/>
        </w:numPr>
        <w:spacing w:after="80" w:line="240" w:lineRule="auto"/>
        <w:rPr>
          <w:sz w:val="24"/>
          <w:szCs w:val="24"/>
        </w:rPr>
      </w:pPr>
      <w:bookmarkStart w:id="83" w:name="_Toc26914372"/>
      <w:r w:rsidRPr="00FA288E">
        <w:rPr>
          <w:sz w:val="24"/>
          <w:szCs w:val="24"/>
        </w:rPr>
        <w:t>3.3.3 Reporting quality and use</w:t>
      </w:r>
      <w:bookmarkEnd w:id="83"/>
    </w:p>
    <w:p w14:paraId="4B004140" w14:textId="11C509D2" w:rsidR="00614C93" w:rsidRPr="00FA288E" w:rsidRDefault="00614C93" w:rsidP="002832DA">
      <w:pPr>
        <w:pStyle w:val="BodyText"/>
        <w:spacing w:after="80" w:line="240" w:lineRule="auto"/>
        <w:rPr>
          <w:rFonts w:ascii="Calibri" w:hAnsi="Calibri" w:cs="Calibri"/>
          <w:sz w:val="21"/>
          <w:szCs w:val="21"/>
        </w:rPr>
      </w:pPr>
      <w:r w:rsidRPr="00FA288E">
        <w:rPr>
          <w:rFonts w:ascii="Calibri" w:hAnsi="Calibri" w:cs="Calibri"/>
          <w:sz w:val="21"/>
          <w:szCs w:val="21"/>
        </w:rPr>
        <w:t>As noted above, the PPF Secretariat provide</w:t>
      </w:r>
      <w:r w:rsidR="00523A75" w:rsidRPr="00FA288E">
        <w:rPr>
          <w:rFonts w:ascii="Calibri" w:hAnsi="Calibri" w:cs="Calibri"/>
          <w:sz w:val="21"/>
          <w:szCs w:val="21"/>
        </w:rPr>
        <w:t>s</w:t>
      </w:r>
      <w:r w:rsidRPr="00FA288E">
        <w:rPr>
          <w:rFonts w:ascii="Calibri" w:hAnsi="Calibri" w:cs="Calibri"/>
          <w:sz w:val="21"/>
          <w:szCs w:val="21"/>
        </w:rPr>
        <w:t xml:space="preserve"> Annual and Progress reporting formats </w:t>
      </w:r>
      <w:r w:rsidR="00C07B34" w:rsidRPr="00FA288E">
        <w:rPr>
          <w:rFonts w:ascii="Calibri" w:hAnsi="Calibri" w:cs="Calibri"/>
          <w:sz w:val="21"/>
          <w:szCs w:val="21"/>
        </w:rPr>
        <w:t xml:space="preserve">that </w:t>
      </w:r>
      <w:r w:rsidRPr="00FA288E">
        <w:rPr>
          <w:rFonts w:ascii="Calibri" w:hAnsi="Calibri" w:cs="Calibri"/>
          <w:sz w:val="21"/>
          <w:szCs w:val="21"/>
        </w:rPr>
        <w:t>grantees</w:t>
      </w:r>
      <w:r w:rsidR="00C07B34" w:rsidRPr="00FA288E">
        <w:rPr>
          <w:rFonts w:ascii="Calibri" w:hAnsi="Calibri" w:cs="Calibri"/>
          <w:sz w:val="21"/>
          <w:szCs w:val="21"/>
        </w:rPr>
        <w:t xml:space="preserve"> use</w:t>
      </w:r>
      <w:r w:rsidRPr="00FA288E">
        <w:rPr>
          <w:rFonts w:ascii="Calibri" w:hAnsi="Calibri" w:cs="Calibri"/>
          <w:sz w:val="21"/>
          <w:szCs w:val="21"/>
        </w:rPr>
        <w:t xml:space="preserve">. Improvements to these </w:t>
      </w:r>
      <w:r w:rsidR="00523A75" w:rsidRPr="00FA288E">
        <w:rPr>
          <w:rFonts w:ascii="Calibri" w:hAnsi="Calibri" w:cs="Calibri"/>
          <w:sz w:val="21"/>
          <w:szCs w:val="21"/>
        </w:rPr>
        <w:t xml:space="preserve">formats </w:t>
      </w:r>
      <w:r w:rsidRPr="00FA288E">
        <w:rPr>
          <w:rFonts w:ascii="Calibri" w:hAnsi="Calibri" w:cs="Calibri"/>
          <w:sz w:val="21"/>
          <w:szCs w:val="21"/>
        </w:rPr>
        <w:t xml:space="preserve">have been made overtime to meet </w:t>
      </w:r>
      <w:r w:rsidR="001479C5" w:rsidRPr="00FA288E">
        <w:rPr>
          <w:rFonts w:ascii="Calibri" w:hAnsi="Calibri" w:cs="Calibri"/>
          <w:sz w:val="21"/>
          <w:szCs w:val="21"/>
        </w:rPr>
        <w:t xml:space="preserve">Australian </w:t>
      </w:r>
      <w:r w:rsidR="001444CE" w:rsidRPr="00FA288E">
        <w:rPr>
          <w:rFonts w:ascii="Calibri" w:hAnsi="Calibri" w:cs="Calibri"/>
          <w:sz w:val="21"/>
          <w:szCs w:val="21"/>
        </w:rPr>
        <w:t>G</w:t>
      </w:r>
      <w:r w:rsidR="001479C5" w:rsidRPr="00FA288E">
        <w:rPr>
          <w:rFonts w:ascii="Calibri" w:hAnsi="Calibri" w:cs="Calibri"/>
          <w:sz w:val="21"/>
          <w:szCs w:val="21"/>
        </w:rPr>
        <w:t>overnment</w:t>
      </w:r>
      <w:r w:rsidR="00A7492A" w:rsidRPr="00FA288E">
        <w:rPr>
          <w:rFonts w:ascii="Calibri" w:hAnsi="Calibri" w:cs="Calibri"/>
          <w:sz w:val="21"/>
          <w:szCs w:val="21"/>
        </w:rPr>
        <w:t xml:space="preserve"> </w:t>
      </w:r>
      <w:r w:rsidRPr="00FA288E">
        <w:rPr>
          <w:rFonts w:ascii="Calibri" w:hAnsi="Calibri" w:cs="Calibri"/>
          <w:sz w:val="21"/>
          <w:szCs w:val="21"/>
        </w:rPr>
        <w:t xml:space="preserve">information needs. </w:t>
      </w:r>
      <w:r w:rsidR="008F7A92" w:rsidRPr="00FA288E">
        <w:rPr>
          <w:rFonts w:ascii="Calibri" w:hAnsi="Calibri" w:cs="Calibri"/>
          <w:sz w:val="21"/>
          <w:szCs w:val="21"/>
        </w:rPr>
        <w:t>One report prepared by the PPF Secretariat, and not by the grantees, is the Monitoring Trip Report. These monitoring trips are led by the PPF Secretariat in accordance with their management oversight and quality assurance function. Representatives from NDOE and the Australian Government are invited to attend – with the NDOE participating in four of the six monitoring activities and the Australian government participating in all.</w:t>
      </w:r>
    </w:p>
    <w:p w14:paraId="63D413C8" w14:textId="77777777" w:rsidR="00614C93" w:rsidRPr="00FA288E" w:rsidRDefault="00614C93" w:rsidP="002832DA">
      <w:pPr>
        <w:spacing w:after="80" w:line="240" w:lineRule="auto"/>
        <w:rPr>
          <w:rFonts w:cs="Calibri"/>
          <w:i/>
          <w:iCs/>
          <w:szCs w:val="21"/>
        </w:rPr>
      </w:pPr>
      <w:r w:rsidRPr="00FA288E">
        <w:rPr>
          <w:rFonts w:cs="Calibri"/>
          <w:i/>
          <w:iCs/>
          <w:szCs w:val="21"/>
        </w:rPr>
        <w:t>Quality of progress reporting</w:t>
      </w:r>
      <w:r w:rsidR="001479C5" w:rsidRPr="00FA288E">
        <w:rPr>
          <w:rStyle w:val="FootnoteReference"/>
          <w:rFonts w:cs="Calibri"/>
          <w:i/>
          <w:iCs/>
          <w:szCs w:val="21"/>
        </w:rPr>
        <w:footnoteReference w:id="56"/>
      </w:r>
    </w:p>
    <w:p w14:paraId="5A07D033" w14:textId="77777777" w:rsidR="0046419E" w:rsidRPr="00FA288E" w:rsidRDefault="00614C93" w:rsidP="0046419E">
      <w:pPr>
        <w:pStyle w:val="BodyText"/>
        <w:spacing w:after="80" w:line="240" w:lineRule="auto"/>
        <w:rPr>
          <w:rFonts w:ascii="Calibri" w:hAnsi="Calibri" w:cs="Calibri"/>
          <w:sz w:val="21"/>
          <w:szCs w:val="21"/>
        </w:rPr>
      </w:pPr>
      <w:r w:rsidRPr="00FA288E">
        <w:rPr>
          <w:rFonts w:cs="Calibri"/>
          <w:szCs w:val="21"/>
        </w:rPr>
        <w:t xml:space="preserve">The most recent Six-Monthly Progress Reports (June 2019) were assessed against </w:t>
      </w:r>
      <w:r w:rsidR="001479C5" w:rsidRPr="00FA288E">
        <w:rPr>
          <w:rFonts w:cs="Calibri"/>
          <w:szCs w:val="21"/>
        </w:rPr>
        <w:t>1</w:t>
      </w:r>
      <w:r w:rsidR="007D6214" w:rsidRPr="00FA288E">
        <w:rPr>
          <w:rFonts w:cs="Calibri"/>
          <w:szCs w:val="21"/>
        </w:rPr>
        <w:t>5</w:t>
      </w:r>
      <w:r w:rsidR="001479C5" w:rsidRPr="00FA288E">
        <w:rPr>
          <w:rFonts w:cs="Calibri"/>
          <w:szCs w:val="21"/>
        </w:rPr>
        <w:t xml:space="preserve"> of </w:t>
      </w:r>
      <w:r w:rsidRPr="00FA288E">
        <w:rPr>
          <w:rFonts w:cs="Calibri"/>
          <w:szCs w:val="21"/>
        </w:rPr>
        <w:t>DFAT’s M&amp;E Standards</w:t>
      </w:r>
      <w:r w:rsidR="001479C5" w:rsidRPr="00FA288E">
        <w:rPr>
          <w:rFonts w:cs="Calibri"/>
          <w:szCs w:val="21"/>
        </w:rPr>
        <w:t>, specifically</w:t>
      </w:r>
      <w:r w:rsidRPr="00FA288E">
        <w:rPr>
          <w:rFonts w:cs="Calibri"/>
          <w:szCs w:val="21"/>
        </w:rPr>
        <w:t xml:space="preserve"> </w:t>
      </w:r>
      <w:r w:rsidR="001479C5" w:rsidRPr="00FA288E">
        <w:rPr>
          <w:rFonts w:cs="Calibri"/>
          <w:szCs w:val="21"/>
        </w:rPr>
        <w:t xml:space="preserve">Standards </w:t>
      </w:r>
      <w:r w:rsidRPr="00FA288E">
        <w:rPr>
          <w:rFonts w:cs="Calibri"/>
          <w:szCs w:val="21"/>
        </w:rPr>
        <w:t>3.1 – 3.15</w:t>
      </w:r>
      <w:r w:rsidR="0046419E" w:rsidRPr="00FA288E">
        <w:rPr>
          <w:rFonts w:cs="Calibri"/>
          <w:szCs w:val="21"/>
        </w:rPr>
        <w:t xml:space="preserve"> (Investment Progress Reporting)</w:t>
      </w:r>
      <w:r w:rsidR="001479C5" w:rsidRPr="00FA288E">
        <w:rPr>
          <w:rFonts w:cs="Calibri"/>
          <w:szCs w:val="21"/>
        </w:rPr>
        <w:t>. As an example, RISE</w:t>
      </w:r>
      <w:r w:rsidR="0046419E" w:rsidRPr="00FA288E">
        <w:rPr>
          <w:rFonts w:cs="Calibri"/>
          <w:szCs w:val="21"/>
        </w:rPr>
        <w:t xml:space="preserve"> progress reporting was</w:t>
      </w:r>
      <w:r w:rsidR="001479C5" w:rsidRPr="00FA288E">
        <w:rPr>
          <w:rFonts w:cs="Calibri"/>
          <w:szCs w:val="21"/>
        </w:rPr>
        <w:t xml:space="preserve"> </w:t>
      </w:r>
      <w:r w:rsidR="009A0706" w:rsidRPr="00FA288E">
        <w:rPr>
          <w:rFonts w:cs="Calibri"/>
          <w:szCs w:val="21"/>
        </w:rPr>
        <w:t xml:space="preserve">had two criteria rated </w:t>
      </w:r>
      <w:r w:rsidR="001479C5" w:rsidRPr="00FA288E">
        <w:rPr>
          <w:rFonts w:cs="Calibri"/>
          <w:szCs w:val="21"/>
        </w:rPr>
        <w:t xml:space="preserve">as </w:t>
      </w:r>
      <w:r w:rsidR="007D6214" w:rsidRPr="00FA288E">
        <w:rPr>
          <w:rFonts w:cs="Calibri"/>
          <w:szCs w:val="21"/>
        </w:rPr>
        <w:t>‘</w:t>
      </w:r>
      <w:r w:rsidR="001479C5" w:rsidRPr="00FA288E">
        <w:rPr>
          <w:rFonts w:cs="Calibri"/>
          <w:szCs w:val="21"/>
        </w:rPr>
        <w:t>excellent</w:t>
      </w:r>
      <w:r w:rsidR="007D6214" w:rsidRPr="00FA288E">
        <w:rPr>
          <w:rFonts w:cs="Calibri"/>
          <w:szCs w:val="21"/>
        </w:rPr>
        <w:t>’</w:t>
      </w:r>
      <w:r w:rsidR="001479C5" w:rsidRPr="00FA288E">
        <w:rPr>
          <w:rFonts w:cs="Calibri"/>
          <w:szCs w:val="21"/>
        </w:rPr>
        <w:t xml:space="preserve">, seven as </w:t>
      </w:r>
      <w:r w:rsidR="007D6214" w:rsidRPr="00FA288E">
        <w:rPr>
          <w:rFonts w:cs="Calibri"/>
          <w:szCs w:val="21"/>
        </w:rPr>
        <w:t>‘</w:t>
      </w:r>
      <w:r w:rsidR="001479C5" w:rsidRPr="00FA288E">
        <w:rPr>
          <w:rFonts w:cs="Calibri"/>
          <w:szCs w:val="21"/>
        </w:rPr>
        <w:t>very good</w:t>
      </w:r>
      <w:r w:rsidR="007D6214" w:rsidRPr="00FA288E">
        <w:rPr>
          <w:rFonts w:cs="Calibri"/>
          <w:szCs w:val="21"/>
        </w:rPr>
        <w:t>’</w:t>
      </w:r>
      <w:r w:rsidR="001479C5" w:rsidRPr="00FA288E">
        <w:rPr>
          <w:rFonts w:cs="Calibri"/>
          <w:szCs w:val="21"/>
        </w:rPr>
        <w:t xml:space="preserve"> and six as </w:t>
      </w:r>
      <w:r w:rsidR="007D6214" w:rsidRPr="00FA288E">
        <w:rPr>
          <w:rFonts w:cs="Calibri"/>
          <w:szCs w:val="21"/>
        </w:rPr>
        <w:t>‘</w:t>
      </w:r>
      <w:r w:rsidR="001479C5" w:rsidRPr="00FA288E">
        <w:rPr>
          <w:rFonts w:cs="Calibri"/>
          <w:szCs w:val="21"/>
        </w:rPr>
        <w:t>adequate</w:t>
      </w:r>
      <w:r w:rsidR="007D6214" w:rsidRPr="00FA288E">
        <w:rPr>
          <w:rFonts w:cs="Calibri"/>
          <w:szCs w:val="21"/>
        </w:rPr>
        <w:t>’.</w:t>
      </w:r>
      <w:r w:rsidR="0046419E" w:rsidRPr="00FA288E">
        <w:rPr>
          <w:rFonts w:ascii="Calibri" w:hAnsi="Calibri" w:cs="Calibri"/>
          <w:sz w:val="21"/>
          <w:szCs w:val="21"/>
        </w:rPr>
        <w:t xml:space="preserve"> </w:t>
      </w:r>
    </w:p>
    <w:p w14:paraId="78CB079F" w14:textId="77777777" w:rsidR="0046419E" w:rsidRPr="00FA288E" w:rsidRDefault="0046419E" w:rsidP="0046419E">
      <w:pPr>
        <w:pStyle w:val="BodyText"/>
        <w:spacing w:after="80" w:line="240" w:lineRule="auto"/>
        <w:rPr>
          <w:rFonts w:ascii="Calibri" w:hAnsi="Calibri" w:cs="Calibri"/>
          <w:sz w:val="21"/>
          <w:szCs w:val="21"/>
        </w:rPr>
      </w:pPr>
      <w:r w:rsidRPr="00FA288E">
        <w:rPr>
          <w:rFonts w:ascii="Calibri" w:hAnsi="Calibri" w:cs="Calibri"/>
          <w:sz w:val="21"/>
          <w:szCs w:val="21"/>
        </w:rPr>
        <w:t>Overall, individual grantee progress reporting was found to be relatively fit for purpose, and of the 15 Standards, there were only 2 scores of less than adequate (failure to communicate data simply and effectively; lack of reflection on continuing relevance). Stakeholders interviewed from the Australian Government were generally satisfied with report quality (discussed further below).</w:t>
      </w:r>
    </w:p>
    <w:p w14:paraId="1FF04976" w14:textId="27A0D3E6" w:rsidR="00A34CB9" w:rsidRPr="00FA288E" w:rsidRDefault="00A34CB9" w:rsidP="002832DA">
      <w:pPr>
        <w:pStyle w:val="Caption"/>
        <w:spacing w:before="0" w:after="80" w:line="240" w:lineRule="auto"/>
        <w:rPr>
          <w:b w:val="0"/>
          <w:color w:val="auto"/>
          <w:lang w:val="en-AU"/>
        </w:rPr>
      </w:pPr>
      <w:r w:rsidRPr="00FA288E">
        <w:rPr>
          <w:b w:val="0"/>
          <w:color w:val="auto"/>
          <w:lang w:val="en-AU"/>
        </w:rPr>
        <w:t xml:space="preserve">Table </w:t>
      </w:r>
      <w:r w:rsidRPr="00FA288E">
        <w:rPr>
          <w:b w:val="0"/>
          <w:color w:val="auto"/>
          <w:lang w:val="en-AU"/>
        </w:rPr>
        <w:fldChar w:fldCharType="begin"/>
      </w:r>
      <w:r w:rsidRPr="00FA288E">
        <w:rPr>
          <w:b w:val="0"/>
          <w:color w:val="auto"/>
          <w:lang w:val="en-AU"/>
        </w:rPr>
        <w:instrText xml:space="preserve"> SEQ Table \* ARABIC </w:instrText>
      </w:r>
      <w:r w:rsidRPr="00FA288E">
        <w:rPr>
          <w:b w:val="0"/>
          <w:color w:val="auto"/>
          <w:lang w:val="en-AU"/>
        </w:rPr>
        <w:fldChar w:fldCharType="separate"/>
      </w:r>
      <w:r w:rsidR="00C22013">
        <w:rPr>
          <w:b w:val="0"/>
          <w:noProof/>
          <w:color w:val="auto"/>
          <w:lang w:val="en-AU"/>
        </w:rPr>
        <w:t>9</w:t>
      </w:r>
      <w:r w:rsidRPr="00FA288E">
        <w:rPr>
          <w:b w:val="0"/>
          <w:color w:val="auto"/>
          <w:lang w:val="en-AU"/>
        </w:rPr>
        <w:fldChar w:fldCharType="end"/>
      </w:r>
      <w:r w:rsidRPr="00FA288E">
        <w:rPr>
          <w:b w:val="0"/>
          <w:color w:val="auto"/>
          <w:lang w:val="en-AU"/>
        </w:rPr>
        <w:t xml:space="preserve"> </w:t>
      </w:r>
      <w:r w:rsidR="0075643B" w:rsidRPr="00FA288E">
        <w:rPr>
          <w:b w:val="0"/>
          <w:color w:val="auto"/>
          <w:lang w:val="en-AU"/>
        </w:rPr>
        <w:t>Assessment of</w:t>
      </w:r>
      <w:r w:rsidRPr="00FA288E">
        <w:rPr>
          <w:b w:val="0"/>
          <w:color w:val="auto"/>
          <w:lang w:val="en-AU"/>
        </w:rPr>
        <w:t xml:space="preserve"> grantee </w:t>
      </w:r>
      <w:r w:rsidR="00DE38C7" w:rsidRPr="00FA288E">
        <w:rPr>
          <w:b w:val="0"/>
          <w:color w:val="auto"/>
          <w:lang w:val="en-AU"/>
        </w:rPr>
        <w:t>Progress Reporting</w:t>
      </w:r>
      <w:r w:rsidR="0075643B" w:rsidRPr="00FA288E">
        <w:rPr>
          <w:b w:val="0"/>
          <w:color w:val="auto"/>
          <w:lang w:val="en-AU"/>
        </w:rPr>
        <w:t xml:space="preserve"> </w:t>
      </w:r>
      <w:r w:rsidRPr="00FA288E">
        <w:rPr>
          <w:b w:val="0"/>
          <w:color w:val="auto"/>
          <w:lang w:val="en-AU"/>
        </w:rPr>
        <w:t xml:space="preserve">against DFAT M&amp;E </w:t>
      </w:r>
      <w:r w:rsidR="00DE38C7" w:rsidRPr="00FA288E">
        <w:rPr>
          <w:b w:val="0"/>
          <w:color w:val="auto"/>
          <w:lang w:val="en-AU"/>
        </w:rPr>
        <w:t>criteria</w:t>
      </w:r>
      <w:r w:rsidRPr="00FA288E">
        <w:rPr>
          <w:b w:val="0"/>
          <w:color w:val="auto"/>
          <w:lang w:val="en-AU"/>
        </w:rPr>
        <w:t xml:space="preserve"> 3.1 – 3.15</w:t>
      </w:r>
    </w:p>
    <w:tbl>
      <w:tblPr>
        <w:tblStyle w:val="TableGrid"/>
        <w:tblW w:w="9720" w:type="dxa"/>
        <w:tblInd w:w="-5" w:type="dxa"/>
        <w:tblLook w:val="04A0" w:firstRow="1" w:lastRow="0" w:firstColumn="1" w:lastColumn="0" w:noHBand="0" w:noVBand="1"/>
        <w:tblCaption w:val="Table 9 Assessment of grantee progress reporting against DFAT M&amp;E criteria 3.1 - 3.15"/>
        <w:tblDescription w:val="RISE performed best. RISE got 2 for excellent; 7 very good; and 6 adequate. T4E received 1 excellent; 3 very good; 10 adequate and 1 less than adequate. PKS got 2 excellent; 5 very good; 7 adequate; and 1 less than adequate."/>
      </w:tblPr>
      <w:tblGrid>
        <w:gridCol w:w="720"/>
        <w:gridCol w:w="1440"/>
        <w:gridCol w:w="1528"/>
        <w:gridCol w:w="1532"/>
        <w:gridCol w:w="1620"/>
        <w:gridCol w:w="1350"/>
        <w:gridCol w:w="1530"/>
      </w:tblGrid>
      <w:tr w:rsidR="00511B0B" w:rsidRPr="00FA288E" w14:paraId="77B11D27" w14:textId="77777777" w:rsidTr="00AE259C">
        <w:trPr>
          <w:tblHeader/>
        </w:trPr>
        <w:tc>
          <w:tcPr>
            <w:tcW w:w="720" w:type="dxa"/>
            <w:shd w:val="clear" w:color="auto" w:fill="262626" w:themeFill="text1" w:themeFillTint="D9"/>
          </w:tcPr>
          <w:p w14:paraId="603F0084" w14:textId="77777777" w:rsidR="00511B0B" w:rsidRPr="00FA288E" w:rsidRDefault="00511B0B" w:rsidP="00AD64DF">
            <w:pPr>
              <w:jc w:val="left"/>
              <w:rPr>
                <w:rFonts w:cs="Calibri"/>
                <w:sz w:val="20"/>
                <w:szCs w:val="20"/>
                <w:lang w:val="en-AU"/>
              </w:rPr>
            </w:pPr>
          </w:p>
        </w:tc>
        <w:tc>
          <w:tcPr>
            <w:tcW w:w="1440" w:type="dxa"/>
            <w:shd w:val="clear" w:color="auto" w:fill="262626" w:themeFill="text1" w:themeFillTint="D9"/>
          </w:tcPr>
          <w:p w14:paraId="6C03C12F" w14:textId="77777777" w:rsidR="00511B0B" w:rsidRPr="00FA288E" w:rsidRDefault="00511B0B" w:rsidP="00AD64DF">
            <w:pPr>
              <w:jc w:val="center"/>
              <w:rPr>
                <w:rFonts w:cs="Calibri"/>
                <w:sz w:val="20"/>
                <w:szCs w:val="20"/>
                <w:lang w:val="en-AU"/>
              </w:rPr>
            </w:pPr>
            <w:r w:rsidRPr="00FA288E">
              <w:rPr>
                <w:rFonts w:cs="Calibri"/>
                <w:sz w:val="20"/>
                <w:szCs w:val="20"/>
                <w:lang w:val="en-AU"/>
              </w:rPr>
              <w:t>Excellent</w:t>
            </w:r>
          </w:p>
        </w:tc>
        <w:tc>
          <w:tcPr>
            <w:tcW w:w="1528" w:type="dxa"/>
            <w:shd w:val="clear" w:color="auto" w:fill="262626" w:themeFill="text1" w:themeFillTint="D9"/>
          </w:tcPr>
          <w:p w14:paraId="6717243A" w14:textId="77777777" w:rsidR="00511B0B" w:rsidRPr="00FA288E" w:rsidRDefault="00511B0B" w:rsidP="00AD64DF">
            <w:pPr>
              <w:jc w:val="center"/>
              <w:rPr>
                <w:rFonts w:cs="Calibri"/>
                <w:sz w:val="20"/>
                <w:szCs w:val="20"/>
                <w:lang w:val="en-AU"/>
              </w:rPr>
            </w:pPr>
            <w:r w:rsidRPr="00FA288E">
              <w:rPr>
                <w:rFonts w:cs="Calibri"/>
                <w:sz w:val="20"/>
                <w:szCs w:val="20"/>
                <w:lang w:val="en-AU"/>
              </w:rPr>
              <w:t>Very Good</w:t>
            </w:r>
          </w:p>
        </w:tc>
        <w:tc>
          <w:tcPr>
            <w:tcW w:w="1532" w:type="dxa"/>
            <w:shd w:val="clear" w:color="auto" w:fill="262626" w:themeFill="text1" w:themeFillTint="D9"/>
          </w:tcPr>
          <w:p w14:paraId="7DD5C485" w14:textId="77777777" w:rsidR="00511B0B" w:rsidRPr="00FA288E" w:rsidRDefault="00511B0B" w:rsidP="00AD64DF">
            <w:pPr>
              <w:jc w:val="center"/>
              <w:rPr>
                <w:rFonts w:cs="Calibri"/>
                <w:sz w:val="20"/>
                <w:szCs w:val="20"/>
                <w:lang w:val="en-AU"/>
              </w:rPr>
            </w:pPr>
            <w:r w:rsidRPr="00FA288E">
              <w:rPr>
                <w:rFonts w:cs="Calibri"/>
                <w:sz w:val="20"/>
                <w:szCs w:val="20"/>
                <w:lang w:val="en-AU"/>
              </w:rPr>
              <w:t>Adequate</w:t>
            </w:r>
          </w:p>
        </w:tc>
        <w:tc>
          <w:tcPr>
            <w:tcW w:w="1620" w:type="dxa"/>
            <w:shd w:val="clear" w:color="auto" w:fill="262626" w:themeFill="text1" w:themeFillTint="D9"/>
          </w:tcPr>
          <w:p w14:paraId="0CE12166" w14:textId="77777777" w:rsidR="00511B0B" w:rsidRPr="00FA288E" w:rsidRDefault="00511B0B" w:rsidP="00AD64DF">
            <w:pPr>
              <w:jc w:val="center"/>
              <w:rPr>
                <w:rFonts w:cs="Calibri"/>
                <w:sz w:val="20"/>
                <w:szCs w:val="20"/>
                <w:lang w:val="en-AU"/>
              </w:rPr>
            </w:pPr>
            <w:r w:rsidRPr="00FA288E">
              <w:rPr>
                <w:rFonts w:cs="Calibri"/>
                <w:sz w:val="20"/>
                <w:szCs w:val="20"/>
                <w:lang w:val="en-AU"/>
              </w:rPr>
              <w:t>Less than Adequate</w:t>
            </w:r>
          </w:p>
        </w:tc>
        <w:tc>
          <w:tcPr>
            <w:tcW w:w="1350" w:type="dxa"/>
            <w:shd w:val="clear" w:color="auto" w:fill="262626" w:themeFill="text1" w:themeFillTint="D9"/>
          </w:tcPr>
          <w:p w14:paraId="33CAFBEE" w14:textId="77777777" w:rsidR="00511B0B" w:rsidRPr="00FA288E" w:rsidRDefault="00511B0B" w:rsidP="00AD64DF">
            <w:pPr>
              <w:jc w:val="center"/>
              <w:rPr>
                <w:rFonts w:cs="Calibri"/>
                <w:sz w:val="20"/>
                <w:szCs w:val="20"/>
                <w:lang w:val="en-AU"/>
              </w:rPr>
            </w:pPr>
            <w:r w:rsidRPr="00FA288E">
              <w:rPr>
                <w:rFonts w:cs="Calibri"/>
                <w:sz w:val="20"/>
                <w:szCs w:val="20"/>
                <w:lang w:val="en-AU"/>
              </w:rPr>
              <w:t>Poor</w:t>
            </w:r>
          </w:p>
        </w:tc>
        <w:tc>
          <w:tcPr>
            <w:tcW w:w="1530" w:type="dxa"/>
            <w:shd w:val="clear" w:color="auto" w:fill="262626" w:themeFill="text1" w:themeFillTint="D9"/>
          </w:tcPr>
          <w:p w14:paraId="0D2FA3F1" w14:textId="77777777" w:rsidR="00511B0B" w:rsidRPr="00FA288E" w:rsidRDefault="00511B0B" w:rsidP="00AD64DF">
            <w:pPr>
              <w:jc w:val="center"/>
              <w:rPr>
                <w:rFonts w:cs="Calibri"/>
                <w:sz w:val="20"/>
                <w:szCs w:val="20"/>
                <w:lang w:val="en-AU"/>
              </w:rPr>
            </w:pPr>
            <w:r w:rsidRPr="00FA288E">
              <w:rPr>
                <w:rFonts w:cs="Calibri"/>
                <w:sz w:val="20"/>
                <w:szCs w:val="20"/>
                <w:lang w:val="en-AU"/>
              </w:rPr>
              <w:t>Very Poor</w:t>
            </w:r>
          </w:p>
        </w:tc>
      </w:tr>
      <w:tr w:rsidR="00511B0B" w:rsidRPr="00FA288E" w14:paraId="0CEADBD1" w14:textId="77777777" w:rsidTr="00511B0B">
        <w:tc>
          <w:tcPr>
            <w:tcW w:w="720" w:type="dxa"/>
            <w:shd w:val="clear" w:color="auto" w:fill="262626" w:themeFill="text1" w:themeFillTint="D9"/>
          </w:tcPr>
          <w:p w14:paraId="60B861BE" w14:textId="77777777" w:rsidR="00511B0B" w:rsidRPr="00FA288E" w:rsidRDefault="00511B0B" w:rsidP="00AD64DF">
            <w:pPr>
              <w:jc w:val="left"/>
              <w:rPr>
                <w:rFonts w:cs="Calibri"/>
                <w:sz w:val="20"/>
                <w:szCs w:val="20"/>
                <w:lang w:val="en-AU"/>
              </w:rPr>
            </w:pPr>
            <w:r w:rsidRPr="00FA288E">
              <w:rPr>
                <w:rFonts w:cs="Calibri"/>
                <w:sz w:val="20"/>
                <w:szCs w:val="20"/>
                <w:lang w:val="en-AU"/>
              </w:rPr>
              <w:t>RISE</w:t>
            </w:r>
          </w:p>
        </w:tc>
        <w:tc>
          <w:tcPr>
            <w:tcW w:w="1440" w:type="dxa"/>
          </w:tcPr>
          <w:p w14:paraId="1C8AAA8A" w14:textId="77777777" w:rsidR="00511B0B" w:rsidRPr="00FA288E" w:rsidRDefault="00511B0B" w:rsidP="00AD64DF">
            <w:pPr>
              <w:jc w:val="center"/>
              <w:rPr>
                <w:rFonts w:cs="Calibri"/>
                <w:sz w:val="20"/>
                <w:szCs w:val="20"/>
                <w:lang w:val="en-AU"/>
              </w:rPr>
            </w:pPr>
            <w:r w:rsidRPr="00FA288E">
              <w:rPr>
                <w:rFonts w:cs="Calibri"/>
                <w:sz w:val="20"/>
                <w:szCs w:val="20"/>
                <w:lang w:val="en-AU"/>
              </w:rPr>
              <w:t>2</w:t>
            </w:r>
          </w:p>
        </w:tc>
        <w:tc>
          <w:tcPr>
            <w:tcW w:w="1528" w:type="dxa"/>
          </w:tcPr>
          <w:p w14:paraId="0EBD34EC" w14:textId="77777777" w:rsidR="00511B0B" w:rsidRPr="00FA288E" w:rsidRDefault="00511B0B" w:rsidP="00AD64DF">
            <w:pPr>
              <w:jc w:val="center"/>
              <w:rPr>
                <w:rFonts w:cs="Calibri"/>
                <w:sz w:val="20"/>
                <w:szCs w:val="20"/>
                <w:lang w:val="en-AU"/>
              </w:rPr>
            </w:pPr>
            <w:r w:rsidRPr="00FA288E">
              <w:rPr>
                <w:rFonts w:cs="Calibri"/>
                <w:sz w:val="20"/>
                <w:szCs w:val="20"/>
                <w:lang w:val="en-AU"/>
              </w:rPr>
              <w:t>7</w:t>
            </w:r>
          </w:p>
        </w:tc>
        <w:tc>
          <w:tcPr>
            <w:tcW w:w="1532" w:type="dxa"/>
          </w:tcPr>
          <w:p w14:paraId="0BA3EB79" w14:textId="77777777" w:rsidR="00511B0B" w:rsidRPr="00FA288E" w:rsidRDefault="00511B0B" w:rsidP="00AD64DF">
            <w:pPr>
              <w:jc w:val="center"/>
              <w:rPr>
                <w:rFonts w:cs="Calibri"/>
                <w:sz w:val="20"/>
                <w:szCs w:val="20"/>
                <w:lang w:val="en-AU"/>
              </w:rPr>
            </w:pPr>
            <w:r w:rsidRPr="00FA288E">
              <w:rPr>
                <w:rFonts w:cs="Calibri"/>
                <w:sz w:val="20"/>
                <w:szCs w:val="20"/>
                <w:lang w:val="en-AU"/>
              </w:rPr>
              <w:t>6</w:t>
            </w:r>
          </w:p>
        </w:tc>
        <w:tc>
          <w:tcPr>
            <w:tcW w:w="1620" w:type="dxa"/>
          </w:tcPr>
          <w:p w14:paraId="2A8D3B1A" w14:textId="77777777" w:rsidR="00511B0B" w:rsidRPr="00FA288E" w:rsidRDefault="00511B0B" w:rsidP="00AD64DF">
            <w:pPr>
              <w:jc w:val="center"/>
              <w:rPr>
                <w:rFonts w:cs="Calibri"/>
                <w:sz w:val="20"/>
                <w:szCs w:val="20"/>
                <w:lang w:val="en-AU"/>
              </w:rPr>
            </w:pPr>
          </w:p>
        </w:tc>
        <w:tc>
          <w:tcPr>
            <w:tcW w:w="1350" w:type="dxa"/>
          </w:tcPr>
          <w:p w14:paraId="07212C7D" w14:textId="77777777" w:rsidR="00511B0B" w:rsidRPr="00FA288E" w:rsidRDefault="00511B0B" w:rsidP="00AD64DF">
            <w:pPr>
              <w:jc w:val="center"/>
              <w:rPr>
                <w:rFonts w:cs="Calibri"/>
                <w:sz w:val="20"/>
                <w:szCs w:val="20"/>
                <w:lang w:val="en-AU"/>
              </w:rPr>
            </w:pPr>
          </w:p>
        </w:tc>
        <w:tc>
          <w:tcPr>
            <w:tcW w:w="1530" w:type="dxa"/>
          </w:tcPr>
          <w:p w14:paraId="1EB47B4C" w14:textId="77777777" w:rsidR="00511B0B" w:rsidRPr="00FA288E" w:rsidRDefault="00511B0B" w:rsidP="00AD64DF">
            <w:pPr>
              <w:jc w:val="center"/>
              <w:rPr>
                <w:rFonts w:cs="Calibri"/>
                <w:sz w:val="20"/>
                <w:szCs w:val="20"/>
                <w:lang w:val="en-AU"/>
              </w:rPr>
            </w:pPr>
          </w:p>
        </w:tc>
      </w:tr>
      <w:tr w:rsidR="00511B0B" w:rsidRPr="00FA288E" w14:paraId="54B57466" w14:textId="77777777" w:rsidTr="001479C5">
        <w:tc>
          <w:tcPr>
            <w:tcW w:w="720" w:type="dxa"/>
            <w:shd w:val="clear" w:color="auto" w:fill="262626" w:themeFill="text1" w:themeFillTint="D9"/>
          </w:tcPr>
          <w:p w14:paraId="28FFA629" w14:textId="77777777" w:rsidR="00511B0B" w:rsidRPr="00FA288E" w:rsidRDefault="00511B0B" w:rsidP="00AD64DF">
            <w:pPr>
              <w:jc w:val="left"/>
              <w:rPr>
                <w:rFonts w:cs="Calibri"/>
                <w:sz w:val="20"/>
                <w:szCs w:val="20"/>
                <w:lang w:val="en-AU"/>
              </w:rPr>
            </w:pPr>
            <w:r w:rsidRPr="00FA288E">
              <w:rPr>
                <w:rFonts w:cs="Calibri"/>
                <w:sz w:val="20"/>
                <w:szCs w:val="20"/>
                <w:lang w:val="en-AU"/>
              </w:rPr>
              <w:t>T4E</w:t>
            </w:r>
          </w:p>
        </w:tc>
        <w:tc>
          <w:tcPr>
            <w:tcW w:w="1440" w:type="dxa"/>
            <w:tcBorders>
              <w:bottom w:val="single" w:sz="4" w:space="0" w:color="auto"/>
            </w:tcBorders>
          </w:tcPr>
          <w:p w14:paraId="72964670" w14:textId="77777777" w:rsidR="00511B0B" w:rsidRPr="00FA288E" w:rsidRDefault="00511B0B" w:rsidP="00AD64DF">
            <w:pPr>
              <w:jc w:val="center"/>
              <w:rPr>
                <w:rFonts w:cs="Calibri"/>
                <w:sz w:val="20"/>
                <w:szCs w:val="20"/>
                <w:lang w:val="en-AU"/>
              </w:rPr>
            </w:pPr>
            <w:r w:rsidRPr="00FA288E">
              <w:rPr>
                <w:rFonts w:cs="Calibri"/>
                <w:sz w:val="20"/>
                <w:szCs w:val="20"/>
                <w:lang w:val="en-AU"/>
              </w:rPr>
              <w:t>1</w:t>
            </w:r>
          </w:p>
        </w:tc>
        <w:tc>
          <w:tcPr>
            <w:tcW w:w="1528" w:type="dxa"/>
            <w:tcBorders>
              <w:bottom w:val="single" w:sz="4" w:space="0" w:color="auto"/>
            </w:tcBorders>
          </w:tcPr>
          <w:p w14:paraId="0A1924D6" w14:textId="77777777" w:rsidR="00511B0B" w:rsidRPr="00FA288E" w:rsidRDefault="00511B0B" w:rsidP="00AD64DF">
            <w:pPr>
              <w:jc w:val="center"/>
              <w:rPr>
                <w:rFonts w:cs="Calibri"/>
                <w:sz w:val="20"/>
                <w:szCs w:val="20"/>
                <w:lang w:val="en-AU"/>
              </w:rPr>
            </w:pPr>
            <w:r w:rsidRPr="00FA288E">
              <w:rPr>
                <w:rFonts w:cs="Calibri"/>
                <w:sz w:val="20"/>
                <w:szCs w:val="20"/>
                <w:lang w:val="en-AU"/>
              </w:rPr>
              <w:t>3</w:t>
            </w:r>
          </w:p>
        </w:tc>
        <w:tc>
          <w:tcPr>
            <w:tcW w:w="1532" w:type="dxa"/>
            <w:tcBorders>
              <w:bottom w:val="single" w:sz="4" w:space="0" w:color="auto"/>
            </w:tcBorders>
          </w:tcPr>
          <w:p w14:paraId="01A6D9D2" w14:textId="77777777" w:rsidR="00511B0B" w:rsidRPr="00FA288E" w:rsidRDefault="00511B0B" w:rsidP="00AD64DF">
            <w:pPr>
              <w:jc w:val="center"/>
              <w:rPr>
                <w:rFonts w:cs="Calibri"/>
                <w:sz w:val="20"/>
                <w:szCs w:val="20"/>
                <w:lang w:val="en-AU"/>
              </w:rPr>
            </w:pPr>
            <w:r w:rsidRPr="00FA288E">
              <w:rPr>
                <w:rFonts w:cs="Calibri"/>
                <w:sz w:val="20"/>
                <w:szCs w:val="20"/>
                <w:lang w:val="en-AU"/>
              </w:rPr>
              <w:t>10</w:t>
            </w:r>
          </w:p>
        </w:tc>
        <w:tc>
          <w:tcPr>
            <w:tcW w:w="1620" w:type="dxa"/>
            <w:tcBorders>
              <w:bottom w:val="single" w:sz="4" w:space="0" w:color="auto"/>
            </w:tcBorders>
          </w:tcPr>
          <w:p w14:paraId="78FF09FA" w14:textId="77777777" w:rsidR="00511B0B" w:rsidRPr="00FA288E" w:rsidRDefault="00511B0B" w:rsidP="00AD64DF">
            <w:pPr>
              <w:jc w:val="center"/>
              <w:rPr>
                <w:rFonts w:cs="Calibri"/>
                <w:sz w:val="20"/>
                <w:szCs w:val="20"/>
                <w:lang w:val="en-AU"/>
              </w:rPr>
            </w:pPr>
            <w:r w:rsidRPr="00FA288E">
              <w:rPr>
                <w:rFonts w:cs="Calibri"/>
                <w:sz w:val="20"/>
                <w:szCs w:val="20"/>
                <w:lang w:val="en-AU"/>
              </w:rPr>
              <w:t>1</w:t>
            </w:r>
          </w:p>
        </w:tc>
        <w:tc>
          <w:tcPr>
            <w:tcW w:w="1350" w:type="dxa"/>
            <w:tcBorders>
              <w:bottom w:val="single" w:sz="4" w:space="0" w:color="auto"/>
            </w:tcBorders>
          </w:tcPr>
          <w:p w14:paraId="6B2EC0F7" w14:textId="77777777" w:rsidR="00511B0B" w:rsidRPr="00FA288E" w:rsidRDefault="00511B0B" w:rsidP="00AD64DF">
            <w:pPr>
              <w:jc w:val="center"/>
              <w:rPr>
                <w:rFonts w:cs="Calibri"/>
                <w:sz w:val="20"/>
                <w:szCs w:val="20"/>
                <w:lang w:val="en-AU"/>
              </w:rPr>
            </w:pPr>
          </w:p>
        </w:tc>
        <w:tc>
          <w:tcPr>
            <w:tcW w:w="1530" w:type="dxa"/>
            <w:tcBorders>
              <w:bottom w:val="single" w:sz="4" w:space="0" w:color="auto"/>
            </w:tcBorders>
          </w:tcPr>
          <w:p w14:paraId="7BADC6ED" w14:textId="77777777" w:rsidR="00511B0B" w:rsidRPr="00FA288E" w:rsidRDefault="00511B0B" w:rsidP="00AD64DF">
            <w:pPr>
              <w:jc w:val="center"/>
              <w:rPr>
                <w:rFonts w:cs="Calibri"/>
                <w:sz w:val="20"/>
                <w:szCs w:val="20"/>
                <w:lang w:val="en-AU"/>
              </w:rPr>
            </w:pPr>
          </w:p>
        </w:tc>
      </w:tr>
      <w:tr w:rsidR="00511B0B" w:rsidRPr="00FA288E" w14:paraId="51966E1D" w14:textId="77777777" w:rsidTr="001479C5">
        <w:tc>
          <w:tcPr>
            <w:tcW w:w="720" w:type="dxa"/>
            <w:shd w:val="clear" w:color="auto" w:fill="262626" w:themeFill="text1" w:themeFillTint="D9"/>
          </w:tcPr>
          <w:p w14:paraId="503F4219" w14:textId="77777777" w:rsidR="00511B0B" w:rsidRPr="00FA288E" w:rsidRDefault="00511B0B" w:rsidP="00AD64DF">
            <w:pPr>
              <w:jc w:val="left"/>
              <w:rPr>
                <w:rFonts w:cs="Calibri"/>
                <w:sz w:val="20"/>
                <w:szCs w:val="20"/>
                <w:lang w:val="en-AU"/>
              </w:rPr>
            </w:pPr>
            <w:r w:rsidRPr="00FA288E">
              <w:rPr>
                <w:rFonts w:cs="Calibri"/>
                <w:sz w:val="20"/>
                <w:szCs w:val="20"/>
                <w:lang w:val="en-AU"/>
              </w:rPr>
              <w:t>PKS</w:t>
            </w:r>
          </w:p>
        </w:tc>
        <w:tc>
          <w:tcPr>
            <w:tcW w:w="1440" w:type="dxa"/>
            <w:tcBorders>
              <w:bottom w:val="single" w:sz="4" w:space="0" w:color="auto"/>
            </w:tcBorders>
          </w:tcPr>
          <w:p w14:paraId="25D79924" w14:textId="77777777" w:rsidR="00511B0B" w:rsidRPr="00FA288E" w:rsidRDefault="00511B0B" w:rsidP="00AD64DF">
            <w:pPr>
              <w:jc w:val="center"/>
              <w:rPr>
                <w:rFonts w:cs="Calibri"/>
                <w:sz w:val="20"/>
                <w:szCs w:val="20"/>
                <w:lang w:val="en-AU"/>
              </w:rPr>
            </w:pPr>
            <w:r w:rsidRPr="00FA288E">
              <w:rPr>
                <w:rFonts w:cs="Calibri"/>
                <w:sz w:val="20"/>
                <w:szCs w:val="20"/>
                <w:lang w:val="en-AU"/>
              </w:rPr>
              <w:t>2</w:t>
            </w:r>
          </w:p>
        </w:tc>
        <w:tc>
          <w:tcPr>
            <w:tcW w:w="1528" w:type="dxa"/>
            <w:tcBorders>
              <w:bottom w:val="single" w:sz="4" w:space="0" w:color="auto"/>
            </w:tcBorders>
          </w:tcPr>
          <w:p w14:paraId="5B1ACEAC" w14:textId="77777777" w:rsidR="00511B0B" w:rsidRPr="00FA288E" w:rsidRDefault="00511B0B" w:rsidP="00AD64DF">
            <w:pPr>
              <w:jc w:val="center"/>
              <w:rPr>
                <w:rFonts w:cs="Calibri"/>
                <w:sz w:val="20"/>
                <w:szCs w:val="20"/>
                <w:lang w:val="en-AU"/>
              </w:rPr>
            </w:pPr>
            <w:r w:rsidRPr="00FA288E">
              <w:rPr>
                <w:rFonts w:cs="Calibri"/>
                <w:sz w:val="20"/>
                <w:szCs w:val="20"/>
                <w:lang w:val="en-AU"/>
              </w:rPr>
              <w:t>5</w:t>
            </w:r>
          </w:p>
        </w:tc>
        <w:tc>
          <w:tcPr>
            <w:tcW w:w="1532" w:type="dxa"/>
            <w:tcBorders>
              <w:bottom w:val="single" w:sz="4" w:space="0" w:color="auto"/>
            </w:tcBorders>
          </w:tcPr>
          <w:p w14:paraId="2E777919" w14:textId="77777777" w:rsidR="00511B0B" w:rsidRPr="00FA288E" w:rsidRDefault="00511B0B" w:rsidP="00AD64DF">
            <w:pPr>
              <w:jc w:val="center"/>
              <w:rPr>
                <w:rFonts w:cs="Calibri"/>
                <w:sz w:val="20"/>
                <w:szCs w:val="20"/>
                <w:lang w:val="en-AU"/>
              </w:rPr>
            </w:pPr>
            <w:r w:rsidRPr="00FA288E">
              <w:rPr>
                <w:rFonts w:cs="Calibri"/>
                <w:sz w:val="20"/>
                <w:szCs w:val="20"/>
                <w:lang w:val="en-AU"/>
              </w:rPr>
              <w:t>7</w:t>
            </w:r>
          </w:p>
        </w:tc>
        <w:tc>
          <w:tcPr>
            <w:tcW w:w="1620" w:type="dxa"/>
            <w:tcBorders>
              <w:bottom w:val="single" w:sz="4" w:space="0" w:color="auto"/>
            </w:tcBorders>
          </w:tcPr>
          <w:p w14:paraId="386D7B0A" w14:textId="77777777" w:rsidR="00511B0B" w:rsidRPr="00FA288E" w:rsidRDefault="00511B0B" w:rsidP="00AD64DF">
            <w:pPr>
              <w:jc w:val="center"/>
              <w:rPr>
                <w:rFonts w:cs="Calibri"/>
                <w:sz w:val="20"/>
                <w:szCs w:val="20"/>
                <w:lang w:val="en-AU"/>
              </w:rPr>
            </w:pPr>
            <w:r w:rsidRPr="00FA288E">
              <w:rPr>
                <w:rFonts w:cs="Calibri"/>
                <w:sz w:val="20"/>
                <w:szCs w:val="20"/>
                <w:lang w:val="en-AU"/>
              </w:rPr>
              <w:t>1</w:t>
            </w:r>
          </w:p>
        </w:tc>
        <w:tc>
          <w:tcPr>
            <w:tcW w:w="1350" w:type="dxa"/>
            <w:tcBorders>
              <w:bottom w:val="single" w:sz="4" w:space="0" w:color="auto"/>
            </w:tcBorders>
          </w:tcPr>
          <w:p w14:paraId="5B1608FF" w14:textId="77777777" w:rsidR="00511B0B" w:rsidRPr="00FA288E" w:rsidRDefault="00511B0B" w:rsidP="00AD64DF">
            <w:pPr>
              <w:jc w:val="center"/>
              <w:rPr>
                <w:rFonts w:cs="Calibri"/>
                <w:sz w:val="20"/>
                <w:szCs w:val="20"/>
                <w:lang w:val="en-AU"/>
              </w:rPr>
            </w:pPr>
          </w:p>
        </w:tc>
        <w:tc>
          <w:tcPr>
            <w:tcW w:w="1530" w:type="dxa"/>
            <w:tcBorders>
              <w:bottom w:val="single" w:sz="4" w:space="0" w:color="auto"/>
            </w:tcBorders>
          </w:tcPr>
          <w:p w14:paraId="7763FAB8" w14:textId="77777777" w:rsidR="00511B0B" w:rsidRPr="00FA288E" w:rsidRDefault="00511B0B" w:rsidP="00AD64DF">
            <w:pPr>
              <w:jc w:val="center"/>
              <w:rPr>
                <w:rFonts w:cs="Calibri"/>
                <w:sz w:val="20"/>
                <w:szCs w:val="20"/>
                <w:lang w:val="en-AU"/>
              </w:rPr>
            </w:pPr>
          </w:p>
        </w:tc>
      </w:tr>
    </w:tbl>
    <w:p w14:paraId="130B1F63" w14:textId="77777777" w:rsidR="008F7A92" w:rsidRPr="00FA288E" w:rsidRDefault="008F7A92" w:rsidP="002832DA">
      <w:pPr>
        <w:pStyle w:val="BodyText"/>
        <w:spacing w:after="80" w:line="240" w:lineRule="auto"/>
        <w:rPr>
          <w:rFonts w:ascii="Calibri" w:hAnsi="Calibri" w:cs="Calibri"/>
          <w:sz w:val="21"/>
          <w:szCs w:val="21"/>
        </w:rPr>
      </w:pPr>
      <w:r w:rsidRPr="00FA288E">
        <w:rPr>
          <w:rFonts w:ascii="Calibri" w:hAnsi="Calibri" w:cs="Calibri"/>
          <w:sz w:val="21"/>
          <w:szCs w:val="21"/>
        </w:rPr>
        <w:t>Monitoring visit reports prepared by the PPF Secretariat are comprehensive and of high quality and are viewed as valuable by grantees, NDOE and Australian Government representatives.</w:t>
      </w:r>
    </w:p>
    <w:p w14:paraId="2CBFCC11" w14:textId="77777777" w:rsidR="00E408AE" w:rsidRPr="00FA288E" w:rsidRDefault="00614C93" w:rsidP="002832DA">
      <w:pPr>
        <w:pStyle w:val="BodyText"/>
        <w:spacing w:after="80" w:line="240" w:lineRule="auto"/>
        <w:rPr>
          <w:rFonts w:ascii="Calibri" w:hAnsi="Calibri" w:cs="Calibri"/>
          <w:i/>
          <w:sz w:val="21"/>
          <w:szCs w:val="21"/>
        </w:rPr>
      </w:pPr>
      <w:r w:rsidRPr="00FA288E">
        <w:rPr>
          <w:rFonts w:ascii="Calibri" w:hAnsi="Calibri" w:cs="Calibri"/>
          <w:i/>
          <w:iCs/>
          <w:sz w:val="21"/>
          <w:szCs w:val="21"/>
        </w:rPr>
        <w:t>Use of reporting to meet information and learning needs</w:t>
      </w:r>
    </w:p>
    <w:p w14:paraId="55047D5E" w14:textId="77777777" w:rsidR="00614C93" w:rsidRPr="00FA288E" w:rsidRDefault="00614C93" w:rsidP="00523A75">
      <w:pPr>
        <w:pStyle w:val="BodyText"/>
        <w:spacing w:after="80" w:line="240" w:lineRule="auto"/>
        <w:ind w:left="360"/>
        <w:rPr>
          <w:rFonts w:ascii="Calibri" w:hAnsi="Calibri" w:cs="Calibri"/>
          <w:i/>
          <w:sz w:val="21"/>
          <w:szCs w:val="21"/>
        </w:rPr>
      </w:pPr>
      <w:r w:rsidRPr="00FA288E">
        <w:rPr>
          <w:rFonts w:ascii="Calibri" w:hAnsi="Calibri" w:cs="Calibri"/>
          <w:i/>
          <w:sz w:val="21"/>
          <w:szCs w:val="21"/>
        </w:rPr>
        <w:t xml:space="preserve">Internal </w:t>
      </w:r>
      <w:r w:rsidR="00523A75" w:rsidRPr="00FA288E">
        <w:rPr>
          <w:rFonts w:ascii="Calibri" w:hAnsi="Calibri" w:cs="Calibri"/>
          <w:i/>
          <w:sz w:val="21"/>
          <w:szCs w:val="21"/>
        </w:rPr>
        <w:t>g</w:t>
      </w:r>
      <w:r w:rsidRPr="00FA288E">
        <w:rPr>
          <w:rFonts w:ascii="Calibri" w:hAnsi="Calibri" w:cs="Calibri"/>
          <w:i/>
          <w:sz w:val="21"/>
          <w:szCs w:val="21"/>
        </w:rPr>
        <w:t>rantee data use</w:t>
      </w:r>
    </w:p>
    <w:p w14:paraId="284A6D25" w14:textId="77777777" w:rsidR="00614C93" w:rsidRPr="00FA288E" w:rsidRDefault="00614C93" w:rsidP="002832DA">
      <w:pPr>
        <w:pStyle w:val="BodyText"/>
        <w:spacing w:after="80" w:line="240" w:lineRule="auto"/>
        <w:rPr>
          <w:rFonts w:ascii="Calibri" w:hAnsi="Calibri" w:cs="Calibri"/>
          <w:sz w:val="21"/>
          <w:szCs w:val="21"/>
        </w:rPr>
      </w:pPr>
      <w:r w:rsidRPr="00FA288E">
        <w:rPr>
          <w:rFonts w:ascii="Calibri" w:hAnsi="Calibri" w:cs="Calibri"/>
          <w:sz w:val="21"/>
          <w:szCs w:val="21"/>
        </w:rPr>
        <w:t xml:space="preserve">The review team found a relatively high level of use of data to </w:t>
      </w:r>
      <w:r w:rsidR="00E723C4" w:rsidRPr="00FA288E">
        <w:rPr>
          <w:rFonts w:ascii="Calibri" w:hAnsi="Calibri" w:cs="Calibri"/>
          <w:sz w:val="21"/>
          <w:szCs w:val="21"/>
        </w:rPr>
        <w:t xml:space="preserve">inform </w:t>
      </w:r>
      <w:r w:rsidR="00523A75" w:rsidRPr="00FA288E">
        <w:rPr>
          <w:rFonts w:ascii="Calibri" w:hAnsi="Calibri" w:cs="Calibri"/>
          <w:sz w:val="21"/>
          <w:szCs w:val="21"/>
        </w:rPr>
        <w:t>g</w:t>
      </w:r>
      <w:r w:rsidRPr="00FA288E">
        <w:rPr>
          <w:rFonts w:ascii="Calibri" w:hAnsi="Calibri" w:cs="Calibri"/>
          <w:sz w:val="21"/>
          <w:szCs w:val="21"/>
        </w:rPr>
        <w:t xml:space="preserve">rantee management </w:t>
      </w:r>
      <w:r w:rsidR="00E723C4" w:rsidRPr="00FA288E">
        <w:rPr>
          <w:rFonts w:ascii="Calibri" w:hAnsi="Calibri" w:cs="Calibri"/>
          <w:sz w:val="21"/>
          <w:szCs w:val="21"/>
        </w:rPr>
        <w:t>t</w:t>
      </w:r>
      <w:r w:rsidRPr="00FA288E">
        <w:rPr>
          <w:rFonts w:ascii="Calibri" w:hAnsi="Calibri" w:cs="Calibri"/>
          <w:sz w:val="21"/>
          <w:szCs w:val="21"/>
        </w:rPr>
        <w:t xml:space="preserve">eams in particular. </w:t>
      </w:r>
      <w:r w:rsidR="00AF016A" w:rsidRPr="00FA288E">
        <w:rPr>
          <w:rFonts w:ascii="Calibri" w:hAnsi="Calibri" w:cs="Calibri"/>
          <w:sz w:val="21"/>
          <w:szCs w:val="21"/>
        </w:rPr>
        <w:t xml:space="preserve">Data </w:t>
      </w:r>
      <w:r w:rsidRPr="00FA288E">
        <w:rPr>
          <w:rFonts w:ascii="Calibri" w:hAnsi="Calibri" w:cs="Calibri"/>
          <w:sz w:val="21"/>
          <w:szCs w:val="21"/>
        </w:rPr>
        <w:t>sharing and analysis t</w:t>
      </w:r>
      <w:r w:rsidR="00E723C4" w:rsidRPr="00FA288E">
        <w:rPr>
          <w:rFonts w:ascii="Calibri" w:hAnsi="Calibri" w:cs="Calibri"/>
          <w:sz w:val="21"/>
          <w:szCs w:val="21"/>
        </w:rPr>
        <w:t>akes</w:t>
      </w:r>
      <w:r w:rsidRPr="00FA288E">
        <w:rPr>
          <w:rFonts w:ascii="Calibri" w:hAnsi="Calibri" w:cs="Calibri"/>
          <w:sz w:val="21"/>
          <w:szCs w:val="21"/>
        </w:rPr>
        <w:t xml:space="preserve"> place relatively routinely in the form of reflection workshops </w:t>
      </w:r>
      <w:r w:rsidR="00E723C4" w:rsidRPr="00FA288E">
        <w:rPr>
          <w:rFonts w:ascii="Calibri" w:hAnsi="Calibri" w:cs="Calibri"/>
          <w:sz w:val="21"/>
          <w:szCs w:val="21"/>
        </w:rPr>
        <w:t>by</w:t>
      </w:r>
      <w:r w:rsidRPr="00FA288E">
        <w:rPr>
          <w:rFonts w:ascii="Calibri" w:hAnsi="Calibri" w:cs="Calibri"/>
          <w:sz w:val="21"/>
          <w:szCs w:val="21"/>
        </w:rPr>
        <w:t xml:space="preserve"> consortium partners. Initially confined to implementation issues, there </w:t>
      </w:r>
      <w:r w:rsidR="00E723C4" w:rsidRPr="00FA288E">
        <w:rPr>
          <w:rFonts w:ascii="Calibri" w:hAnsi="Calibri" w:cs="Calibri"/>
          <w:sz w:val="21"/>
          <w:szCs w:val="21"/>
        </w:rPr>
        <w:t>i</w:t>
      </w:r>
      <w:r w:rsidRPr="00FA288E">
        <w:rPr>
          <w:rFonts w:ascii="Calibri" w:hAnsi="Calibri" w:cs="Calibri"/>
          <w:sz w:val="21"/>
          <w:szCs w:val="21"/>
        </w:rPr>
        <w:t xml:space="preserve">s evidence that data is increasingly being used to modify programming approaches and inputs. Of particular value were the </w:t>
      </w:r>
      <w:r w:rsidR="00E723C4" w:rsidRPr="00FA288E">
        <w:rPr>
          <w:rFonts w:ascii="Calibri" w:hAnsi="Calibri" w:cs="Calibri"/>
          <w:sz w:val="21"/>
          <w:szCs w:val="21"/>
        </w:rPr>
        <w:t xml:space="preserve">PPF Secretariat </w:t>
      </w:r>
      <w:r w:rsidRPr="00FA288E">
        <w:rPr>
          <w:rFonts w:ascii="Calibri" w:hAnsi="Calibri" w:cs="Calibri"/>
          <w:sz w:val="21"/>
          <w:szCs w:val="21"/>
        </w:rPr>
        <w:t>monitoring visits</w:t>
      </w:r>
      <w:r w:rsidR="00E723C4" w:rsidRPr="00FA288E">
        <w:rPr>
          <w:rFonts w:ascii="Calibri" w:hAnsi="Calibri" w:cs="Calibri"/>
          <w:sz w:val="21"/>
          <w:szCs w:val="21"/>
        </w:rPr>
        <w:t xml:space="preserve">. </w:t>
      </w:r>
      <w:r w:rsidRPr="00FA288E">
        <w:rPr>
          <w:rFonts w:ascii="Calibri" w:hAnsi="Calibri" w:cs="Calibri"/>
          <w:sz w:val="21"/>
          <w:szCs w:val="21"/>
        </w:rPr>
        <w:t>The feedback the</w:t>
      </w:r>
      <w:r w:rsidR="00E723C4" w:rsidRPr="00FA288E">
        <w:rPr>
          <w:rFonts w:ascii="Calibri" w:hAnsi="Calibri" w:cs="Calibri"/>
          <w:sz w:val="21"/>
          <w:szCs w:val="21"/>
        </w:rPr>
        <w:t xml:space="preserve"> monitoring visit</w:t>
      </w:r>
      <w:r w:rsidRPr="00FA288E">
        <w:rPr>
          <w:rFonts w:ascii="Calibri" w:hAnsi="Calibri" w:cs="Calibri"/>
          <w:sz w:val="21"/>
          <w:szCs w:val="21"/>
        </w:rPr>
        <w:t xml:space="preserve"> provide on teaching and learning was considered to be of high utility to pro</w:t>
      </w:r>
      <w:r w:rsidR="00E723C4" w:rsidRPr="00FA288E">
        <w:rPr>
          <w:rFonts w:ascii="Calibri" w:hAnsi="Calibri" w:cs="Calibri"/>
          <w:sz w:val="21"/>
          <w:szCs w:val="21"/>
        </w:rPr>
        <w:t>ject managers.</w:t>
      </w:r>
    </w:p>
    <w:p w14:paraId="4A49F0CB" w14:textId="7DD320D2" w:rsidR="00614C93" w:rsidRPr="00FA288E" w:rsidRDefault="00614C93" w:rsidP="002832DA">
      <w:pPr>
        <w:pStyle w:val="BodyText"/>
        <w:spacing w:after="80" w:line="240" w:lineRule="auto"/>
        <w:rPr>
          <w:rFonts w:ascii="Calibri" w:hAnsi="Calibri" w:cs="Calibri"/>
          <w:sz w:val="21"/>
          <w:szCs w:val="21"/>
        </w:rPr>
      </w:pPr>
      <w:r w:rsidRPr="00FA288E">
        <w:rPr>
          <w:rFonts w:ascii="Calibri" w:hAnsi="Calibri" w:cs="Calibri"/>
          <w:sz w:val="21"/>
          <w:szCs w:val="21"/>
        </w:rPr>
        <w:t xml:space="preserve">There </w:t>
      </w:r>
      <w:r w:rsidR="00F0224C" w:rsidRPr="00FA288E">
        <w:rPr>
          <w:rFonts w:ascii="Calibri" w:hAnsi="Calibri" w:cs="Calibri"/>
          <w:sz w:val="21"/>
          <w:szCs w:val="21"/>
        </w:rPr>
        <w:t>is</w:t>
      </w:r>
      <w:r w:rsidRPr="00FA288E">
        <w:rPr>
          <w:rFonts w:ascii="Calibri" w:hAnsi="Calibri" w:cs="Calibri"/>
          <w:sz w:val="21"/>
          <w:szCs w:val="21"/>
        </w:rPr>
        <w:t xml:space="preserve"> also evidence from interviews with project staff engaged with training</w:t>
      </w:r>
      <w:r w:rsidR="00F0224C" w:rsidRPr="00FA288E">
        <w:rPr>
          <w:rFonts w:ascii="Calibri" w:hAnsi="Calibri" w:cs="Calibri"/>
          <w:sz w:val="21"/>
          <w:szCs w:val="21"/>
        </w:rPr>
        <w:t xml:space="preserve"> delivery and monitoring </w:t>
      </w:r>
      <w:r w:rsidRPr="00FA288E">
        <w:rPr>
          <w:rFonts w:ascii="Calibri" w:hAnsi="Calibri" w:cs="Calibri"/>
          <w:sz w:val="21"/>
          <w:szCs w:val="21"/>
        </w:rPr>
        <w:t xml:space="preserve">that </w:t>
      </w:r>
      <w:r w:rsidRPr="00FA288E">
        <w:rPr>
          <w:rFonts w:ascii="Calibri" w:hAnsi="Calibri" w:cs="Calibri"/>
          <w:b/>
          <w:sz w:val="21"/>
          <w:szCs w:val="21"/>
        </w:rPr>
        <w:t xml:space="preserve">data </w:t>
      </w:r>
      <w:r w:rsidR="00F0224C" w:rsidRPr="00FA288E">
        <w:rPr>
          <w:rFonts w:ascii="Calibri" w:hAnsi="Calibri" w:cs="Calibri"/>
          <w:b/>
          <w:sz w:val="21"/>
          <w:szCs w:val="21"/>
        </w:rPr>
        <w:t>i</w:t>
      </w:r>
      <w:r w:rsidRPr="00FA288E">
        <w:rPr>
          <w:rFonts w:ascii="Calibri" w:hAnsi="Calibri" w:cs="Calibri"/>
          <w:b/>
          <w:sz w:val="21"/>
          <w:szCs w:val="21"/>
        </w:rPr>
        <w:t>s not always shared appropriately</w:t>
      </w:r>
      <w:r w:rsidR="00F0224C" w:rsidRPr="00FA288E">
        <w:rPr>
          <w:rFonts w:ascii="Calibri" w:hAnsi="Calibri" w:cs="Calibri"/>
          <w:b/>
          <w:sz w:val="21"/>
          <w:szCs w:val="21"/>
        </w:rPr>
        <w:t xml:space="preserve"> or in a timely manner</w:t>
      </w:r>
      <w:r w:rsidRPr="00FA288E">
        <w:rPr>
          <w:rFonts w:ascii="Calibri" w:hAnsi="Calibri" w:cs="Calibri"/>
          <w:sz w:val="21"/>
          <w:szCs w:val="21"/>
        </w:rPr>
        <w:t xml:space="preserve"> within the project so that it could inform day-to-day decision-making</w:t>
      </w:r>
      <w:r w:rsidR="00F0224C" w:rsidRPr="00FA288E">
        <w:rPr>
          <w:rFonts w:ascii="Calibri" w:hAnsi="Calibri" w:cs="Calibri"/>
          <w:sz w:val="21"/>
          <w:szCs w:val="21"/>
        </w:rPr>
        <w:t xml:space="preserve">. This </w:t>
      </w:r>
      <w:r w:rsidRPr="00FA288E">
        <w:rPr>
          <w:rFonts w:ascii="Calibri" w:hAnsi="Calibri" w:cs="Calibri"/>
          <w:sz w:val="21"/>
          <w:szCs w:val="21"/>
        </w:rPr>
        <w:t xml:space="preserve">may be a feature of inefficient feedback loops among teams </w:t>
      </w:r>
      <w:r w:rsidR="00F0224C" w:rsidRPr="00FA288E">
        <w:rPr>
          <w:rFonts w:ascii="Calibri" w:hAnsi="Calibri" w:cs="Calibri"/>
          <w:sz w:val="21"/>
          <w:szCs w:val="21"/>
        </w:rPr>
        <w:t>that are spread</w:t>
      </w:r>
      <w:r w:rsidRPr="00FA288E">
        <w:rPr>
          <w:rFonts w:ascii="Calibri" w:hAnsi="Calibri" w:cs="Calibri"/>
          <w:sz w:val="21"/>
          <w:szCs w:val="21"/>
        </w:rPr>
        <w:t xml:space="preserve"> across multiple provinces</w:t>
      </w:r>
      <w:r w:rsidR="00F0224C" w:rsidRPr="00FA288E">
        <w:rPr>
          <w:rFonts w:ascii="Calibri" w:hAnsi="Calibri" w:cs="Calibri"/>
          <w:sz w:val="21"/>
          <w:szCs w:val="21"/>
        </w:rPr>
        <w:t xml:space="preserve"> or an effect of an over-emphasis on delivering activities at the expense of reporting</w:t>
      </w:r>
      <w:r w:rsidRPr="00FA288E">
        <w:rPr>
          <w:rFonts w:ascii="Calibri" w:hAnsi="Calibri" w:cs="Calibri"/>
          <w:sz w:val="21"/>
          <w:szCs w:val="21"/>
        </w:rPr>
        <w:t xml:space="preserve">. In addition, the elapsed time for </w:t>
      </w:r>
      <w:r w:rsidR="00F0224C" w:rsidRPr="00FA288E">
        <w:rPr>
          <w:rFonts w:ascii="Calibri" w:hAnsi="Calibri" w:cs="Calibri"/>
          <w:sz w:val="21"/>
          <w:szCs w:val="21"/>
        </w:rPr>
        <w:t xml:space="preserve">the </w:t>
      </w:r>
      <w:r w:rsidRPr="00FA288E">
        <w:rPr>
          <w:rFonts w:ascii="Calibri" w:hAnsi="Calibri" w:cs="Calibri"/>
          <w:sz w:val="21"/>
          <w:szCs w:val="21"/>
        </w:rPr>
        <w:t xml:space="preserve">PPF review between Baseline/Midline draft </w:t>
      </w:r>
      <w:r w:rsidR="00F0224C" w:rsidRPr="00FA288E">
        <w:rPr>
          <w:rFonts w:ascii="Calibri" w:hAnsi="Calibri" w:cs="Calibri"/>
          <w:sz w:val="21"/>
          <w:szCs w:val="21"/>
        </w:rPr>
        <w:t xml:space="preserve">evaluation report </w:t>
      </w:r>
      <w:r w:rsidRPr="00FA288E">
        <w:rPr>
          <w:rFonts w:ascii="Calibri" w:hAnsi="Calibri" w:cs="Calibri"/>
          <w:sz w:val="21"/>
          <w:szCs w:val="21"/>
        </w:rPr>
        <w:t>submission and release was</w:t>
      </w:r>
      <w:r w:rsidR="00844551" w:rsidRPr="00FA288E">
        <w:rPr>
          <w:rFonts w:ascii="Calibri" w:hAnsi="Calibri" w:cs="Calibri"/>
          <w:sz w:val="21"/>
          <w:szCs w:val="21"/>
        </w:rPr>
        <w:t xml:space="preserve"> </w:t>
      </w:r>
      <w:r w:rsidR="00F0224C" w:rsidRPr="00FA288E">
        <w:rPr>
          <w:rFonts w:ascii="Calibri" w:hAnsi="Calibri" w:cs="Calibri"/>
          <w:sz w:val="21"/>
          <w:szCs w:val="21"/>
        </w:rPr>
        <w:t>lengthy</w:t>
      </w:r>
      <w:r w:rsidRPr="00FA288E">
        <w:rPr>
          <w:rFonts w:ascii="Calibri" w:hAnsi="Calibri" w:cs="Calibri"/>
          <w:sz w:val="21"/>
          <w:szCs w:val="21"/>
        </w:rPr>
        <w:t xml:space="preserve"> </w:t>
      </w:r>
      <w:r w:rsidR="00F0224C" w:rsidRPr="00FA288E">
        <w:rPr>
          <w:rFonts w:ascii="Calibri" w:hAnsi="Calibri" w:cs="Calibri"/>
          <w:sz w:val="21"/>
          <w:szCs w:val="21"/>
        </w:rPr>
        <w:t xml:space="preserve">(between 3 – 7.5 months) </w:t>
      </w:r>
      <w:r w:rsidRPr="00FA288E">
        <w:rPr>
          <w:rFonts w:ascii="Calibri" w:hAnsi="Calibri" w:cs="Calibri"/>
          <w:sz w:val="21"/>
          <w:szCs w:val="21"/>
        </w:rPr>
        <w:t xml:space="preserve">and hampered </w:t>
      </w:r>
      <w:r w:rsidR="00844551" w:rsidRPr="00FA288E">
        <w:rPr>
          <w:rFonts w:ascii="Calibri" w:hAnsi="Calibri" w:cs="Calibri"/>
          <w:sz w:val="21"/>
          <w:szCs w:val="21"/>
        </w:rPr>
        <w:t xml:space="preserve">application of the study findings </w:t>
      </w:r>
      <w:r w:rsidRPr="00FA288E">
        <w:rPr>
          <w:rFonts w:ascii="Calibri" w:hAnsi="Calibri" w:cs="Calibri"/>
          <w:sz w:val="21"/>
          <w:szCs w:val="21"/>
        </w:rPr>
        <w:t>(</w:t>
      </w:r>
      <w:r w:rsidR="00844551" w:rsidRPr="00FA288E">
        <w:rPr>
          <w:rFonts w:ascii="Calibri" w:hAnsi="Calibri" w:cs="Calibri"/>
          <w:sz w:val="21"/>
          <w:szCs w:val="21"/>
        </w:rPr>
        <w:t>e.g</w:t>
      </w:r>
      <w:r w:rsidRPr="00FA288E">
        <w:rPr>
          <w:rFonts w:ascii="Calibri" w:hAnsi="Calibri" w:cs="Calibri"/>
          <w:sz w:val="21"/>
          <w:szCs w:val="21"/>
        </w:rPr>
        <w:t xml:space="preserve">. </w:t>
      </w:r>
      <w:r w:rsidR="00FA288E">
        <w:rPr>
          <w:rFonts w:ascii="Calibri" w:hAnsi="Calibri" w:cs="Calibri"/>
          <w:sz w:val="21"/>
          <w:szCs w:val="21"/>
        </w:rPr>
        <w:t>end line</w:t>
      </w:r>
      <w:r w:rsidRPr="00FA288E">
        <w:rPr>
          <w:rFonts w:ascii="Calibri" w:hAnsi="Calibri" w:cs="Calibri"/>
          <w:sz w:val="21"/>
          <w:szCs w:val="21"/>
        </w:rPr>
        <w:t xml:space="preserve"> data collection was already underway before the midline reports were finalised).</w:t>
      </w:r>
      <w:r w:rsidR="00F0224C" w:rsidRPr="00FA288E">
        <w:rPr>
          <w:rStyle w:val="FootnoteReference"/>
          <w:rFonts w:ascii="Calibri" w:hAnsi="Calibri" w:cs="Calibri"/>
          <w:sz w:val="21"/>
          <w:szCs w:val="21"/>
        </w:rPr>
        <w:footnoteReference w:id="57"/>
      </w:r>
    </w:p>
    <w:p w14:paraId="11A7791C" w14:textId="77777777" w:rsidR="00614C93" w:rsidRPr="00FA288E" w:rsidRDefault="00614C93" w:rsidP="00523A75">
      <w:pPr>
        <w:pStyle w:val="BodyText"/>
        <w:spacing w:after="80" w:line="240" w:lineRule="auto"/>
        <w:ind w:left="360"/>
        <w:rPr>
          <w:rFonts w:ascii="Calibri" w:hAnsi="Calibri" w:cs="Calibri"/>
          <w:i/>
          <w:sz w:val="21"/>
          <w:szCs w:val="21"/>
        </w:rPr>
      </w:pPr>
      <w:r w:rsidRPr="00FA288E">
        <w:rPr>
          <w:rFonts w:ascii="Calibri" w:hAnsi="Calibri" w:cs="Calibri"/>
          <w:i/>
          <w:sz w:val="21"/>
          <w:szCs w:val="21"/>
        </w:rPr>
        <w:t xml:space="preserve">Use of reporting by </w:t>
      </w:r>
      <w:r w:rsidR="004A375B" w:rsidRPr="00FA288E">
        <w:rPr>
          <w:rFonts w:ascii="Calibri" w:hAnsi="Calibri" w:cs="Calibri"/>
          <w:i/>
          <w:sz w:val="21"/>
          <w:szCs w:val="21"/>
        </w:rPr>
        <w:t xml:space="preserve">the </w:t>
      </w:r>
      <w:r w:rsidR="00B80F4F" w:rsidRPr="00FA288E">
        <w:rPr>
          <w:rFonts w:ascii="Calibri" w:hAnsi="Calibri" w:cs="Calibri"/>
          <w:i/>
          <w:sz w:val="21"/>
          <w:szCs w:val="21"/>
        </w:rPr>
        <w:t>Australian Government</w:t>
      </w:r>
    </w:p>
    <w:p w14:paraId="60DDE716" w14:textId="77777777" w:rsidR="00614C93" w:rsidRPr="00FA288E" w:rsidRDefault="00614C93" w:rsidP="002832DA">
      <w:pPr>
        <w:pStyle w:val="BodyText"/>
        <w:spacing w:after="80" w:line="240" w:lineRule="auto"/>
        <w:rPr>
          <w:rFonts w:ascii="Calibri" w:hAnsi="Calibri" w:cs="Calibri"/>
          <w:sz w:val="21"/>
          <w:szCs w:val="21"/>
        </w:rPr>
      </w:pPr>
      <w:r w:rsidRPr="00FA288E">
        <w:rPr>
          <w:rFonts w:ascii="Calibri" w:hAnsi="Calibri" w:cs="Calibri"/>
          <w:sz w:val="21"/>
          <w:szCs w:val="21"/>
        </w:rPr>
        <w:t xml:space="preserve">While there was general satisfaction with individual grantee progress reporting, the combined progress reporting provided by the PFF secretariat is proving less useful </w:t>
      </w:r>
      <w:r w:rsidR="00B80F4F" w:rsidRPr="00FA288E">
        <w:rPr>
          <w:rFonts w:ascii="Calibri" w:hAnsi="Calibri" w:cs="Calibri"/>
          <w:sz w:val="21"/>
          <w:szCs w:val="21"/>
        </w:rPr>
        <w:t xml:space="preserve">to the Australian Government </w:t>
      </w:r>
      <w:r w:rsidRPr="00FA288E">
        <w:rPr>
          <w:rFonts w:ascii="Calibri" w:hAnsi="Calibri" w:cs="Calibri"/>
          <w:sz w:val="21"/>
          <w:szCs w:val="21"/>
        </w:rPr>
        <w:t xml:space="preserve">and does not adequately meet the needs </w:t>
      </w:r>
      <w:r w:rsidR="00B80F4F" w:rsidRPr="00FA288E">
        <w:rPr>
          <w:rFonts w:ascii="Calibri" w:hAnsi="Calibri" w:cs="Calibri"/>
          <w:sz w:val="21"/>
          <w:szCs w:val="21"/>
        </w:rPr>
        <w:t>for reporting against</w:t>
      </w:r>
      <w:r w:rsidRPr="00FA288E">
        <w:rPr>
          <w:rFonts w:ascii="Calibri" w:hAnsi="Calibri" w:cs="Calibri"/>
          <w:sz w:val="21"/>
          <w:szCs w:val="21"/>
        </w:rPr>
        <w:t xml:space="preserve"> the E</w:t>
      </w:r>
      <w:r w:rsidR="00E22599" w:rsidRPr="00FA288E">
        <w:rPr>
          <w:rFonts w:ascii="Calibri" w:hAnsi="Calibri" w:cs="Calibri"/>
          <w:sz w:val="21"/>
          <w:szCs w:val="21"/>
        </w:rPr>
        <w:t>ducation Leadership Portfolio Plan</w:t>
      </w:r>
      <w:r w:rsidRPr="00FA288E">
        <w:rPr>
          <w:rFonts w:ascii="Calibri" w:hAnsi="Calibri" w:cs="Calibri"/>
          <w:sz w:val="21"/>
          <w:szCs w:val="21"/>
        </w:rPr>
        <w:t xml:space="preserve">. As a result, </w:t>
      </w:r>
      <w:r w:rsidR="00D54281" w:rsidRPr="00FA288E">
        <w:rPr>
          <w:rFonts w:ascii="Calibri" w:hAnsi="Calibri" w:cs="Calibri"/>
          <w:sz w:val="21"/>
          <w:szCs w:val="21"/>
        </w:rPr>
        <w:t xml:space="preserve">the Australian </w:t>
      </w:r>
      <w:r w:rsidR="001444CE" w:rsidRPr="00FA288E">
        <w:rPr>
          <w:rFonts w:ascii="Calibri" w:hAnsi="Calibri" w:cs="Calibri"/>
          <w:sz w:val="21"/>
          <w:szCs w:val="21"/>
        </w:rPr>
        <w:t>G</w:t>
      </w:r>
      <w:r w:rsidR="00D54281" w:rsidRPr="00FA288E">
        <w:rPr>
          <w:rFonts w:ascii="Calibri" w:hAnsi="Calibri" w:cs="Calibri"/>
          <w:sz w:val="21"/>
          <w:szCs w:val="21"/>
        </w:rPr>
        <w:t>overnment</w:t>
      </w:r>
      <w:r w:rsidR="00B80F4F" w:rsidRPr="00FA288E">
        <w:rPr>
          <w:rFonts w:ascii="Calibri" w:hAnsi="Calibri" w:cs="Calibri"/>
          <w:sz w:val="21"/>
          <w:szCs w:val="21"/>
        </w:rPr>
        <w:t xml:space="preserve"> continues to refer</w:t>
      </w:r>
      <w:r w:rsidRPr="00FA288E">
        <w:rPr>
          <w:rFonts w:ascii="Calibri" w:hAnsi="Calibri" w:cs="Calibri"/>
          <w:sz w:val="21"/>
          <w:szCs w:val="21"/>
        </w:rPr>
        <w:t xml:space="preserve"> to individua</w:t>
      </w:r>
      <w:r w:rsidR="00B80F4F" w:rsidRPr="00FA288E">
        <w:rPr>
          <w:rFonts w:ascii="Calibri" w:hAnsi="Calibri" w:cs="Calibri"/>
          <w:sz w:val="21"/>
          <w:szCs w:val="21"/>
        </w:rPr>
        <w:t>l</w:t>
      </w:r>
      <w:r w:rsidRPr="00FA288E">
        <w:rPr>
          <w:rFonts w:ascii="Calibri" w:hAnsi="Calibri" w:cs="Calibri"/>
          <w:sz w:val="21"/>
          <w:szCs w:val="21"/>
        </w:rPr>
        <w:t xml:space="preserve"> grant reports to collate the level of detailed information </w:t>
      </w:r>
      <w:r w:rsidR="00B80F4F" w:rsidRPr="00FA288E">
        <w:rPr>
          <w:rFonts w:ascii="Calibri" w:hAnsi="Calibri" w:cs="Calibri"/>
          <w:sz w:val="21"/>
          <w:szCs w:val="21"/>
        </w:rPr>
        <w:t>needed</w:t>
      </w:r>
      <w:r w:rsidRPr="00FA288E">
        <w:rPr>
          <w:rFonts w:ascii="Calibri" w:hAnsi="Calibri" w:cs="Calibri"/>
          <w:sz w:val="21"/>
          <w:szCs w:val="21"/>
        </w:rPr>
        <w:t xml:space="preserve">. </w:t>
      </w:r>
      <w:r w:rsidR="00B80F4F" w:rsidRPr="00FA288E">
        <w:rPr>
          <w:rFonts w:ascii="Calibri" w:hAnsi="Calibri" w:cs="Calibri"/>
          <w:sz w:val="21"/>
          <w:szCs w:val="21"/>
        </w:rPr>
        <w:t xml:space="preserve">As suggested above, </w:t>
      </w:r>
      <w:r w:rsidRPr="00FA288E">
        <w:rPr>
          <w:rFonts w:ascii="Calibri" w:hAnsi="Calibri" w:cs="Calibri"/>
          <w:b/>
          <w:sz w:val="21"/>
          <w:szCs w:val="21"/>
        </w:rPr>
        <w:t>a more integrated program logic and a shared results framework would help to address this</w:t>
      </w:r>
      <w:r w:rsidR="00B80F4F" w:rsidRPr="00FA288E">
        <w:rPr>
          <w:rFonts w:ascii="Calibri" w:hAnsi="Calibri" w:cs="Calibri"/>
          <w:b/>
          <w:sz w:val="21"/>
          <w:szCs w:val="21"/>
        </w:rPr>
        <w:t xml:space="preserve"> need</w:t>
      </w:r>
      <w:r w:rsidRPr="00FA288E">
        <w:rPr>
          <w:rFonts w:ascii="Calibri" w:hAnsi="Calibri" w:cs="Calibri"/>
          <w:sz w:val="21"/>
          <w:szCs w:val="21"/>
        </w:rPr>
        <w:t xml:space="preserve">. </w:t>
      </w:r>
    </w:p>
    <w:p w14:paraId="3BF70E82" w14:textId="77777777" w:rsidR="00614C93" w:rsidRPr="00FA288E" w:rsidRDefault="00614C93" w:rsidP="00523A75">
      <w:pPr>
        <w:pStyle w:val="BodyText"/>
        <w:spacing w:after="80" w:line="240" w:lineRule="auto"/>
        <w:ind w:left="360"/>
        <w:rPr>
          <w:rFonts w:ascii="Calibri" w:hAnsi="Calibri" w:cs="Calibri"/>
          <w:i/>
          <w:sz w:val="21"/>
          <w:szCs w:val="21"/>
        </w:rPr>
      </w:pPr>
      <w:r w:rsidRPr="00FA288E">
        <w:rPr>
          <w:rFonts w:ascii="Calibri" w:hAnsi="Calibri" w:cs="Calibri"/>
          <w:i/>
          <w:sz w:val="21"/>
          <w:szCs w:val="21"/>
        </w:rPr>
        <w:lastRenderedPageBreak/>
        <w:t xml:space="preserve">Use </w:t>
      </w:r>
      <w:r w:rsidR="00A72362" w:rsidRPr="00FA288E">
        <w:rPr>
          <w:rFonts w:ascii="Calibri" w:hAnsi="Calibri" w:cs="Calibri"/>
          <w:i/>
          <w:sz w:val="21"/>
          <w:szCs w:val="21"/>
        </w:rPr>
        <w:t xml:space="preserve">of </w:t>
      </w:r>
      <w:r w:rsidRPr="00FA288E">
        <w:rPr>
          <w:rFonts w:ascii="Calibri" w:hAnsi="Calibri" w:cs="Calibri"/>
          <w:i/>
          <w:sz w:val="21"/>
          <w:szCs w:val="21"/>
        </w:rPr>
        <w:t xml:space="preserve">reporting </w:t>
      </w:r>
      <w:r w:rsidR="004A375B" w:rsidRPr="00FA288E">
        <w:rPr>
          <w:rFonts w:ascii="Calibri" w:hAnsi="Calibri" w:cs="Calibri"/>
          <w:i/>
          <w:sz w:val="21"/>
          <w:szCs w:val="21"/>
        </w:rPr>
        <w:t>by the</w:t>
      </w:r>
      <w:r w:rsidRPr="00FA288E">
        <w:rPr>
          <w:rFonts w:ascii="Calibri" w:hAnsi="Calibri" w:cs="Calibri"/>
          <w:i/>
          <w:sz w:val="21"/>
          <w:szCs w:val="21"/>
        </w:rPr>
        <w:t xml:space="preserve"> GoPNG</w:t>
      </w:r>
    </w:p>
    <w:p w14:paraId="0FF47110" w14:textId="1E80FFD4" w:rsidR="00614C93" w:rsidRPr="00FA288E" w:rsidRDefault="00614C93" w:rsidP="002832DA">
      <w:pPr>
        <w:pStyle w:val="BodyText"/>
        <w:spacing w:after="80" w:line="240" w:lineRule="auto"/>
        <w:rPr>
          <w:rFonts w:ascii="Calibri" w:hAnsi="Calibri" w:cs="Calibri"/>
          <w:sz w:val="21"/>
          <w:szCs w:val="21"/>
        </w:rPr>
      </w:pPr>
      <w:r w:rsidRPr="00FA288E">
        <w:rPr>
          <w:rFonts w:ascii="Calibri" w:hAnsi="Calibri" w:cs="Calibri"/>
          <w:sz w:val="21"/>
          <w:szCs w:val="21"/>
        </w:rPr>
        <w:t>Whilst there has been a general level of appreciation for the information sharing events convened by PPF (in particular, sharing of the baseline results), both NDOE</w:t>
      </w:r>
      <w:r w:rsidR="00D05B41" w:rsidRPr="00FA288E">
        <w:rPr>
          <w:rFonts w:ascii="Calibri" w:hAnsi="Calibri" w:cs="Calibri"/>
          <w:sz w:val="21"/>
          <w:szCs w:val="21"/>
        </w:rPr>
        <w:t xml:space="preserve"> and </w:t>
      </w:r>
      <w:r w:rsidRPr="00FA288E">
        <w:rPr>
          <w:rFonts w:ascii="Calibri" w:hAnsi="Calibri" w:cs="Calibri"/>
          <w:sz w:val="21"/>
          <w:szCs w:val="21"/>
        </w:rPr>
        <w:t xml:space="preserve">NDPM </w:t>
      </w:r>
      <w:r w:rsidR="00D05B41" w:rsidRPr="00FA288E">
        <w:rPr>
          <w:rFonts w:ascii="Calibri" w:hAnsi="Calibri" w:cs="Calibri"/>
          <w:sz w:val="21"/>
          <w:szCs w:val="21"/>
        </w:rPr>
        <w:t xml:space="preserve">officials </w:t>
      </w:r>
      <w:r w:rsidRPr="00FA288E">
        <w:rPr>
          <w:rFonts w:ascii="Calibri" w:hAnsi="Calibri" w:cs="Calibri"/>
          <w:sz w:val="21"/>
          <w:szCs w:val="21"/>
        </w:rPr>
        <w:t xml:space="preserve">expressed disappointment at the perceived lack of information they have received on project progress to date. This issue may be </w:t>
      </w:r>
      <w:r w:rsidR="00B43617" w:rsidRPr="00FA288E">
        <w:rPr>
          <w:rFonts w:ascii="Calibri" w:hAnsi="Calibri" w:cs="Calibri"/>
          <w:sz w:val="21"/>
          <w:szCs w:val="21"/>
        </w:rPr>
        <w:t>partially addressed</w:t>
      </w:r>
      <w:r w:rsidRPr="00FA288E">
        <w:rPr>
          <w:rFonts w:ascii="Calibri" w:hAnsi="Calibri" w:cs="Calibri"/>
          <w:sz w:val="21"/>
          <w:szCs w:val="21"/>
        </w:rPr>
        <w:t xml:space="preserve"> </w:t>
      </w:r>
      <w:r w:rsidR="00B43617" w:rsidRPr="00FA288E">
        <w:rPr>
          <w:rFonts w:ascii="Calibri" w:hAnsi="Calibri" w:cs="Calibri"/>
          <w:sz w:val="21"/>
          <w:szCs w:val="21"/>
        </w:rPr>
        <w:t>through the establishment of</w:t>
      </w:r>
      <w:r w:rsidRPr="00FA288E">
        <w:rPr>
          <w:rFonts w:ascii="Calibri" w:hAnsi="Calibri" w:cs="Calibri"/>
          <w:sz w:val="21"/>
          <w:szCs w:val="21"/>
        </w:rPr>
        <w:t xml:space="preserve"> </w:t>
      </w:r>
      <w:r w:rsidR="00B43617" w:rsidRPr="00FA288E">
        <w:rPr>
          <w:rFonts w:ascii="Calibri" w:hAnsi="Calibri" w:cs="Calibri"/>
          <w:sz w:val="21"/>
          <w:szCs w:val="21"/>
        </w:rPr>
        <w:t>the PPF</w:t>
      </w:r>
      <w:r w:rsidRPr="00FA288E">
        <w:rPr>
          <w:rFonts w:ascii="Calibri" w:hAnsi="Calibri" w:cs="Calibri"/>
          <w:sz w:val="21"/>
          <w:szCs w:val="21"/>
        </w:rPr>
        <w:t xml:space="preserve"> NOC. While not all grantees initially tied their reporting directly to the NEP </w:t>
      </w:r>
      <w:r w:rsidR="00F23E3A" w:rsidRPr="00FA288E">
        <w:rPr>
          <w:rFonts w:ascii="Calibri" w:hAnsi="Calibri" w:cs="Calibri"/>
          <w:sz w:val="21"/>
          <w:szCs w:val="21"/>
        </w:rPr>
        <w:t xml:space="preserve">2015-2019 </w:t>
      </w:r>
      <w:r w:rsidRPr="00FA288E">
        <w:rPr>
          <w:rFonts w:ascii="Calibri" w:hAnsi="Calibri" w:cs="Calibri"/>
          <w:sz w:val="21"/>
          <w:szCs w:val="21"/>
        </w:rPr>
        <w:t>indicators, this has improved over</w:t>
      </w:r>
      <w:r w:rsidR="00A72362" w:rsidRPr="00FA288E">
        <w:rPr>
          <w:rFonts w:ascii="Calibri" w:hAnsi="Calibri" w:cs="Calibri"/>
          <w:sz w:val="21"/>
          <w:szCs w:val="21"/>
        </w:rPr>
        <w:t xml:space="preserve"> </w:t>
      </w:r>
      <w:r w:rsidRPr="00FA288E">
        <w:rPr>
          <w:rFonts w:ascii="Calibri" w:hAnsi="Calibri" w:cs="Calibri"/>
          <w:sz w:val="21"/>
          <w:szCs w:val="21"/>
        </w:rPr>
        <w:t xml:space="preserve">time, and has become a key requirement in the </w:t>
      </w:r>
      <w:r w:rsidR="00FA288E">
        <w:rPr>
          <w:rFonts w:ascii="Calibri" w:hAnsi="Calibri" w:cs="Calibri"/>
          <w:sz w:val="21"/>
          <w:szCs w:val="21"/>
        </w:rPr>
        <w:t>end line</w:t>
      </w:r>
      <w:r w:rsidRPr="00FA288E">
        <w:rPr>
          <w:rFonts w:ascii="Calibri" w:hAnsi="Calibri" w:cs="Calibri"/>
          <w:sz w:val="21"/>
          <w:szCs w:val="21"/>
        </w:rPr>
        <w:t xml:space="preserve"> </w:t>
      </w:r>
      <w:r w:rsidR="00B43617" w:rsidRPr="00FA288E">
        <w:rPr>
          <w:rFonts w:ascii="Calibri" w:hAnsi="Calibri" w:cs="Calibri"/>
          <w:sz w:val="21"/>
          <w:szCs w:val="21"/>
        </w:rPr>
        <w:t xml:space="preserve">study </w:t>
      </w:r>
      <w:r w:rsidRPr="00FA288E">
        <w:rPr>
          <w:rFonts w:ascii="Calibri" w:hAnsi="Calibri" w:cs="Calibri"/>
          <w:sz w:val="21"/>
          <w:szCs w:val="21"/>
        </w:rPr>
        <w:t xml:space="preserve">designs. However, in attempting to provide usable data </w:t>
      </w:r>
      <w:r w:rsidR="009E2F4F" w:rsidRPr="00FA288E">
        <w:rPr>
          <w:rFonts w:ascii="Calibri" w:hAnsi="Calibri" w:cs="Calibri"/>
          <w:sz w:val="21"/>
          <w:szCs w:val="21"/>
        </w:rPr>
        <w:t>to report against</w:t>
      </w:r>
      <w:r w:rsidRPr="00FA288E">
        <w:rPr>
          <w:rFonts w:ascii="Calibri" w:hAnsi="Calibri" w:cs="Calibri"/>
          <w:sz w:val="21"/>
          <w:szCs w:val="21"/>
        </w:rPr>
        <w:t xml:space="preserve"> the NEP</w:t>
      </w:r>
      <w:r w:rsidR="009E2F4F" w:rsidRPr="00FA288E">
        <w:rPr>
          <w:rFonts w:ascii="Calibri" w:hAnsi="Calibri" w:cs="Calibri"/>
          <w:sz w:val="21"/>
          <w:szCs w:val="21"/>
        </w:rPr>
        <w:t xml:space="preserve"> </w:t>
      </w:r>
      <w:r w:rsidR="00F23E3A" w:rsidRPr="00FA288E">
        <w:rPr>
          <w:rFonts w:ascii="Calibri" w:hAnsi="Calibri" w:cs="Calibri"/>
          <w:sz w:val="21"/>
          <w:szCs w:val="21"/>
        </w:rPr>
        <w:t xml:space="preserve">2015-2019 </w:t>
      </w:r>
      <w:r w:rsidR="009E2F4F" w:rsidRPr="00FA288E">
        <w:rPr>
          <w:rFonts w:ascii="Calibri" w:hAnsi="Calibri" w:cs="Calibri"/>
          <w:sz w:val="21"/>
          <w:szCs w:val="21"/>
        </w:rPr>
        <w:t>indicators</w:t>
      </w:r>
      <w:r w:rsidRPr="00FA288E">
        <w:rPr>
          <w:rFonts w:ascii="Calibri" w:hAnsi="Calibri" w:cs="Calibri"/>
          <w:sz w:val="21"/>
          <w:szCs w:val="21"/>
        </w:rPr>
        <w:t>, consideration should be given to:</w:t>
      </w:r>
    </w:p>
    <w:p w14:paraId="2FA23281" w14:textId="77777777" w:rsidR="00614C93" w:rsidRPr="00FA288E" w:rsidRDefault="00614C93" w:rsidP="005C700B">
      <w:pPr>
        <w:pStyle w:val="Bullets"/>
        <w:numPr>
          <w:ilvl w:val="0"/>
          <w:numId w:val="30"/>
        </w:numPr>
        <w:spacing w:after="0" w:line="240" w:lineRule="auto"/>
        <w:ind w:left="720"/>
        <w:jc w:val="both"/>
        <w:rPr>
          <w:rFonts w:ascii="Calibri" w:hAnsi="Calibri" w:cs="Calibri"/>
          <w:sz w:val="21"/>
          <w:szCs w:val="21"/>
        </w:rPr>
      </w:pPr>
      <w:r w:rsidRPr="00FA288E">
        <w:rPr>
          <w:rFonts w:ascii="Calibri" w:hAnsi="Calibri" w:cs="Calibri"/>
          <w:sz w:val="21"/>
          <w:szCs w:val="21"/>
        </w:rPr>
        <w:t>whether th</w:t>
      </w:r>
      <w:r w:rsidR="00B43617" w:rsidRPr="00FA288E">
        <w:rPr>
          <w:rFonts w:ascii="Calibri" w:hAnsi="Calibri" w:cs="Calibri"/>
          <w:sz w:val="21"/>
          <w:szCs w:val="21"/>
        </w:rPr>
        <w:t>e</w:t>
      </w:r>
      <w:r w:rsidRPr="00FA288E">
        <w:rPr>
          <w:rFonts w:ascii="Calibri" w:hAnsi="Calibri" w:cs="Calibri"/>
          <w:sz w:val="21"/>
          <w:szCs w:val="21"/>
        </w:rPr>
        <w:t xml:space="preserve"> data is</w:t>
      </w:r>
      <w:r w:rsidR="00B43617" w:rsidRPr="00FA288E">
        <w:rPr>
          <w:rFonts w:ascii="Calibri" w:hAnsi="Calibri" w:cs="Calibri"/>
          <w:sz w:val="21"/>
          <w:szCs w:val="21"/>
        </w:rPr>
        <w:t xml:space="preserve"> </w:t>
      </w:r>
      <w:r w:rsidRPr="00FA288E">
        <w:rPr>
          <w:rFonts w:ascii="Calibri" w:hAnsi="Calibri" w:cs="Calibri"/>
          <w:sz w:val="21"/>
          <w:szCs w:val="21"/>
        </w:rPr>
        <w:t xml:space="preserve">useful at the </w:t>
      </w:r>
      <w:r w:rsidR="009E2F4F" w:rsidRPr="00FA288E">
        <w:rPr>
          <w:rFonts w:ascii="Calibri" w:hAnsi="Calibri" w:cs="Calibri"/>
          <w:sz w:val="21"/>
          <w:szCs w:val="21"/>
        </w:rPr>
        <w:t>n</w:t>
      </w:r>
      <w:r w:rsidRPr="00FA288E">
        <w:rPr>
          <w:rFonts w:ascii="Calibri" w:hAnsi="Calibri" w:cs="Calibri"/>
          <w:sz w:val="21"/>
          <w:szCs w:val="21"/>
        </w:rPr>
        <w:t xml:space="preserve">ational level. Whilst it has utility at the provincial level, data from 10 provinces cannot be extrapolated to </w:t>
      </w:r>
      <w:r w:rsidR="009E2F4F" w:rsidRPr="00FA288E">
        <w:rPr>
          <w:rFonts w:ascii="Calibri" w:hAnsi="Calibri" w:cs="Calibri"/>
          <w:sz w:val="21"/>
          <w:szCs w:val="21"/>
        </w:rPr>
        <w:t xml:space="preserve">apply to </w:t>
      </w:r>
      <w:r w:rsidRPr="00FA288E">
        <w:rPr>
          <w:rFonts w:ascii="Calibri" w:hAnsi="Calibri" w:cs="Calibri"/>
          <w:sz w:val="21"/>
          <w:szCs w:val="21"/>
        </w:rPr>
        <w:t xml:space="preserve">all provinces, limiting its utility </w:t>
      </w:r>
      <w:r w:rsidR="009E2F4F" w:rsidRPr="00FA288E">
        <w:rPr>
          <w:rFonts w:ascii="Calibri" w:hAnsi="Calibri" w:cs="Calibri"/>
          <w:sz w:val="21"/>
          <w:szCs w:val="21"/>
        </w:rPr>
        <w:t>for</w:t>
      </w:r>
      <w:r w:rsidRPr="00FA288E">
        <w:rPr>
          <w:rFonts w:ascii="Calibri" w:hAnsi="Calibri" w:cs="Calibri"/>
          <w:sz w:val="21"/>
          <w:szCs w:val="21"/>
        </w:rPr>
        <w:t xml:space="preserve"> national level aggregation</w:t>
      </w:r>
      <w:r w:rsidR="009E2F4F" w:rsidRPr="00FA288E">
        <w:rPr>
          <w:rFonts w:ascii="Calibri" w:hAnsi="Calibri" w:cs="Calibri"/>
          <w:sz w:val="21"/>
          <w:szCs w:val="21"/>
        </w:rPr>
        <w:t>;</w:t>
      </w:r>
    </w:p>
    <w:p w14:paraId="7C784179" w14:textId="77777777" w:rsidR="00614C93" w:rsidRPr="00FA288E" w:rsidRDefault="00614C93" w:rsidP="005C700B">
      <w:pPr>
        <w:pStyle w:val="Bullets"/>
        <w:numPr>
          <w:ilvl w:val="0"/>
          <w:numId w:val="30"/>
        </w:numPr>
        <w:spacing w:after="0" w:line="240" w:lineRule="auto"/>
        <w:ind w:left="720"/>
        <w:jc w:val="both"/>
        <w:rPr>
          <w:rFonts w:ascii="Calibri" w:hAnsi="Calibri" w:cs="Calibri"/>
          <w:sz w:val="21"/>
          <w:szCs w:val="21"/>
        </w:rPr>
      </w:pPr>
      <w:r w:rsidRPr="00FA288E">
        <w:rPr>
          <w:rFonts w:ascii="Calibri" w:hAnsi="Calibri" w:cs="Calibri"/>
          <w:sz w:val="21"/>
          <w:szCs w:val="21"/>
        </w:rPr>
        <w:t xml:space="preserve">methodological differences between NEP </w:t>
      </w:r>
      <w:r w:rsidR="00F23E3A" w:rsidRPr="00FA288E">
        <w:rPr>
          <w:rFonts w:ascii="Calibri" w:hAnsi="Calibri" w:cs="Calibri"/>
          <w:sz w:val="21"/>
          <w:szCs w:val="21"/>
        </w:rPr>
        <w:t xml:space="preserve">2015-2019 </w:t>
      </w:r>
      <w:r w:rsidRPr="00FA288E">
        <w:rPr>
          <w:rFonts w:ascii="Calibri" w:hAnsi="Calibri" w:cs="Calibri"/>
          <w:sz w:val="21"/>
          <w:szCs w:val="21"/>
        </w:rPr>
        <w:t>data sources</w:t>
      </w:r>
      <w:r w:rsidR="00296CC4" w:rsidRPr="00FA288E">
        <w:rPr>
          <w:rFonts w:ascii="Calibri" w:hAnsi="Calibri" w:cs="Calibri"/>
          <w:sz w:val="21"/>
          <w:szCs w:val="21"/>
        </w:rPr>
        <w:t>, for example</w:t>
      </w:r>
      <w:r w:rsidRPr="00FA288E">
        <w:rPr>
          <w:rFonts w:ascii="Calibri" w:hAnsi="Calibri" w:cs="Calibri"/>
          <w:sz w:val="21"/>
          <w:szCs w:val="21"/>
        </w:rPr>
        <w:t xml:space="preserve"> </w:t>
      </w:r>
      <w:r w:rsidR="00296CC4" w:rsidRPr="00FA288E">
        <w:rPr>
          <w:rFonts w:ascii="Calibri" w:hAnsi="Calibri" w:cs="Calibri"/>
          <w:sz w:val="21"/>
          <w:szCs w:val="21"/>
        </w:rPr>
        <w:t xml:space="preserve">the </w:t>
      </w:r>
      <w:r w:rsidR="00D05B41" w:rsidRPr="00FA288E">
        <w:rPr>
          <w:rFonts w:ascii="Calibri" w:hAnsi="Calibri" w:cs="Calibri"/>
          <w:sz w:val="21"/>
          <w:szCs w:val="21"/>
        </w:rPr>
        <w:t>Pacific Islands Literacy and Numeracy Assessment</w:t>
      </w:r>
      <w:r w:rsidRPr="00FA288E">
        <w:rPr>
          <w:rFonts w:ascii="Calibri" w:hAnsi="Calibri" w:cs="Calibri"/>
          <w:sz w:val="21"/>
          <w:szCs w:val="21"/>
        </w:rPr>
        <w:t xml:space="preserve"> focuses on grade 5 in PNG, while the PPF data only </w:t>
      </w:r>
      <w:r w:rsidR="009E2F4F" w:rsidRPr="00FA288E">
        <w:rPr>
          <w:rFonts w:ascii="Calibri" w:hAnsi="Calibri" w:cs="Calibri"/>
          <w:sz w:val="21"/>
          <w:szCs w:val="21"/>
        </w:rPr>
        <w:t>includes</w:t>
      </w:r>
      <w:r w:rsidRPr="00FA288E">
        <w:rPr>
          <w:rFonts w:ascii="Calibri" w:hAnsi="Calibri" w:cs="Calibri"/>
          <w:sz w:val="21"/>
          <w:szCs w:val="21"/>
        </w:rPr>
        <w:t xml:space="preserve"> students </w:t>
      </w:r>
      <w:r w:rsidR="00296CC4" w:rsidRPr="00FA288E">
        <w:rPr>
          <w:rFonts w:ascii="Calibri" w:hAnsi="Calibri" w:cs="Calibri"/>
          <w:sz w:val="21"/>
          <w:szCs w:val="21"/>
        </w:rPr>
        <w:t>up to</w:t>
      </w:r>
      <w:r w:rsidRPr="00FA288E">
        <w:rPr>
          <w:rFonts w:ascii="Calibri" w:hAnsi="Calibri" w:cs="Calibri"/>
          <w:sz w:val="21"/>
          <w:szCs w:val="21"/>
        </w:rPr>
        <w:t xml:space="preserve"> </w:t>
      </w:r>
      <w:r w:rsidR="00296CC4" w:rsidRPr="00FA288E">
        <w:rPr>
          <w:rFonts w:ascii="Calibri" w:hAnsi="Calibri" w:cs="Calibri"/>
          <w:sz w:val="21"/>
          <w:szCs w:val="21"/>
        </w:rPr>
        <w:t>the equivalent of grade</w:t>
      </w:r>
      <w:r w:rsidRPr="00FA288E">
        <w:rPr>
          <w:rFonts w:ascii="Calibri" w:hAnsi="Calibri" w:cs="Calibri"/>
          <w:sz w:val="21"/>
          <w:szCs w:val="21"/>
        </w:rPr>
        <w:t xml:space="preserve"> 3</w:t>
      </w:r>
      <w:r w:rsidR="00B43617" w:rsidRPr="00FA288E">
        <w:rPr>
          <w:rFonts w:ascii="Calibri" w:hAnsi="Calibri" w:cs="Calibri"/>
          <w:sz w:val="21"/>
          <w:szCs w:val="21"/>
        </w:rPr>
        <w:t xml:space="preserve"> and uses different assessment tools</w:t>
      </w:r>
      <w:r w:rsidR="009E2F4F" w:rsidRPr="00FA288E">
        <w:rPr>
          <w:rFonts w:ascii="Calibri" w:hAnsi="Calibri" w:cs="Calibri"/>
          <w:sz w:val="21"/>
          <w:szCs w:val="21"/>
        </w:rPr>
        <w:t>; and</w:t>
      </w:r>
      <w:r w:rsidR="00B43617" w:rsidRPr="00FA288E">
        <w:rPr>
          <w:rFonts w:ascii="Calibri" w:hAnsi="Calibri" w:cs="Calibri"/>
          <w:sz w:val="21"/>
          <w:szCs w:val="21"/>
        </w:rPr>
        <w:t>,</w:t>
      </w:r>
    </w:p>
    <w:p w14:paraId="2C74AB28" w14:textId="77777777" w:rsidR="00614C93" w:rsidRPr="00FA288E" w:rsidRDefault="00614C93" w:rsidP="005C700B">
      <w:pPr>
        <w:pStyle w:val="Bullets"/>
        <w:numPr>
          <w:ilvl w:val="0"/>
          <w:numId w:val="30"/>
        </w:numPr>
        <w:spacing w:after="80" w:line="240" w:lineRule="auto"/>
        <w:ind w:left="720"/>
        <w:jc w:val="both"/>
        <w:rPr>
          <w:rFonts w:ascii="Calibri" w:hAnsi="Calibri" w:cs="Calibri"/>
          <w:sz w:val="21"/>
          <w:szCs w:val="21"/>
        </w:rPr>
      </w:pPr>
      <w:r w:rsidRPr="00FA288E">
        <w:rPr>
          <w:rFonts w:ascii="Calibri" w:hAnsi="Calibri" w:cs="Calibri"/>
          <w:sz w:val="21"/>
          <w:szCs w:val="21"/>
        </w:rPr>
        <w:t>whether NEP</w:t>
      </w:r>
      <w:r w:rsidR="00F23E3A" w:rsidRPr="00FA288E">
        <w:rPr>
          <w:rFonts w:ascii="Calibri" w:hAnsi="Calibri" w:cs="Calibri"/>
          <w:sz w:val="21"/>
          <w:szCs w:val="21"/>
        </w:rPr>
        <w:t xml:space="preserve"> 2015-2019</w:t>
      </w:r>
      <w:r w:rsidRPr="00FA288E">
        <w:rPr>
          <w:rFonts w:ascii="Calibri" w:hAnsi="Calibri" w:cs="Calibri"/>
          <w:sz w:val="21"/>
          <w:szCs w:val="21"/>
        </w:rPr>
        <w:t xml:space="preserve"> indicators meet the needs of the NDPM, and if not, what other PPF data would be useful</w:t>
      </w:r>
      <w:r w:rsidR="009E2F4F" w:rsidRPr="00FA288E">
        <w:rPr>
          <w:rFonts w:ascii="Calibri" w:hAnsi="Calibri" w:cs="Calibri"/>
          <w:sz w:val="21"/>
          <w:szCs w:val="21"/>
        </w:rPr>
        <w:t>.</w:t>
      </w:r>
    </w:p>
    <w:p w14:paraId="12D6DC19" w14:textId="22F8F8C2" w:rsidR="00614C93" w:rsidRPr="00FA288E" w:rsidRDefault="00614C93" w:rsidP="002832DA">
      <w:pPr>
        <w:pStyle w:val="BodyText"/>
        <w:spacing w:after="80" w:line="240" w:lineRule="auto"/>
        <w:rPr>
          <w:rFonts w:ascii="Calibri" w:hAnsi="Calibri" w:cs="Calibri"/>
          <w:sz w:val="21"/>
          <w:szCs w:val="21"/>
        </w:rPr>
      </w:pPr>
      <w:r w:rsidRPr="00FA288E">
        <w:rPr>
          <w:rFonts w:ascii="Calibri" w:hAnsi="Calibri" w:cs="Calibri"/>
          <w:sz w:val="21"/>
          <w:szCs w:val="21"/>
        </w:rPr>
        <w:t>DFAT’s E</w:t>
      </w:r>
      <w:r w:rsidR="002626C7" w:rsidRPr="00FA288E">
        <w:rPr>
          <w:rFonts w:ascii="Calibri" w:hAnsi="Calibri" w:cs="Calibri"/>
          <w:sz w:val="21"/>
          <w:szCs w:val="21"/>
        </w:rPr>
        <w:t xml:space="preserve">ducation Capacity Development Facility </w:t>
      </w:r>
      <w:r w:rsidRPr="00FA288E">
        <w:rPr>
          <w:rFonts w:ascii="Calibri" w:hAnsi="Calibri" w:cs="Calibri"/>
          <w:sz w:val="21"/>
          <w:szCs w:val="21"/>
        </w:rPr>
        <w:t xml:space="preserve">advisers are working closely with NDOE on data sources for </w:t>
      </w:r>
      <w:r w:rsidR="009E2F4F" w:rsidRPr="00FA288E">
        <w:rPr>
          <w:rFonts w:ascii="Calibri" w:hAnsi="Calibri" w:cs="Calibri"/>
          <w:sz w:val="21"/>
          <w:szCs w:val="21"/>
        </w:rPr>
        <w:t>reporting against</w:t>
      </w:r>
      <w:r w:rsidRPr="00FA288E">
        <w:rPr>
          <w:rFonts w:ascii="Calibri" w:hAnsi="Calibri" w:cs="Calibri"/>
          <w:sz w:val="21"/>
          <w:szCs w:val="21"/>
        </w:rPr>
        <w:t xml:space="preserve"> NEP indicators. The PPF </w:t>
      </w:r>
      <w:r w:rsidR="009F3EB8" w:rsidRPr="00FA288E">
        <w:rPr>
          <w:rFonts w:ascii="Calibri" w:hAnsi="Calibri" w:cs="Calibri"/>
          <w:sz w:val="21"/>
          <w:szCs w:val="21"/>
        </w:rPr>
        <w:t>S</w:t>
      </w:r>
      <w:r w:rsidRPr="00FA288E">
        <w:rPr>
          <w:rFonts w:ascii="Calibri" w:hAnsi="Calibri" w:cs="Calibri"/>
          <w:sz w:val="21"/>
          <w:szCs w:val="21"/>
        </w:rPr>
        <w:t xml:space="preserve">ecretariat </w:t>
      </w:r>
      <w:r w:rsidR="009F3EB8" w:rsidRPr="00FA288E">
        <w:rPr>
          <w:rFonts w:ascii="Calibri" w:hAnsi="Calibri" w:cs="Calibri"/>
          <w:sz w:val="21"/>
          <w:szCs w:val="21"/>
        </w:rPr>
        <w:t>should</w:t>
      </w:r>
      <w:r w:rsidRPr="00FA288E">
        <w:rPr>
          <w:rFonts w:ascii="Calibri" w:hAnsi="Calibri" w:cs="Calibri"/>
          <w:sz w:val="21"/>
          <w:szCs w:val="21"/>
        </w:rPr>
        <w:t xml:space="preserve"> consult with </w:t>
      </w:r>
      <w:r w:rsidR="009E2F4F" w:rsidRPr="00FA288E">
        <w:rPr>
          <w:rFonts w:ascii="Calibri" w:hAnsi="Calibri" w:cs="Calibri"/>
          <w:sz w:val="21"/>
          <w:szCs w:val="21"/>
        </w:rPr>
        <w:t>NDOE and facility advisers</w:t>
      </w:r>
      <w:r w:rsidRPr="00FA288E">
        <w:rPr>
          <w:rFonts w:ascii="Calibri" w:hAnsi="Calibri" w:cs="Calibri"/>
          <w:sz w:val="21"/>
          <w:szCs w:val="21"/>
        </w:rPr>
        <w:t xml:space="preserve"> </w:t>
      </w:r>
      <w:r w:rsidR="009E2F4F" w:rsidRPr="00FA288E">
        <w:rPr>
          <w:rFonts w:ascii="Calibri" w:hAnsi="Calibri" w:cs="Calibri"/>
          <w:sz w:val="21"/>
          <w:szCs w:val="21"/>
        </w:rPr>
        <w:t>to identify</w:t>
      </w:r>
      <w:r w:rsidRPr="00FA288E">
        <w:rPr>
          <w:rFonts w:ascii="Calibri" w:hAnsi="Calibri" w:cs="Calibri"/>
          <w:sz w:val="21"/>
          <w:szCs w:val="21"/>
        </w:rPr>
        <w:t xml:space="preserve"> useful data that could be collected/provided to support the information needs of </w:t>
      </w:r>
      <w:r w:rsidR="009E2F4F" w:rsidRPr="00FA288E">
        <w:rPr>
          <w:rFonts w:ascii="Calibri" w:hAnsi="Calibri" w:cs="Calibri"/>
          <w:sz w:val="21"/>
          <w:szCs w:val="21"/>
        </w:rPr>
        <w:t xml:space="preserve">the NDOE and </w:t>
      </w:r>
      <w:r w:rsidRPr="00FA288E">
        <w:rPr>
          <w:rFonts w:ascii="Calibri" w:hAnsi="Calibri" w:cs="Calibri"/>
          <w:sz w:val="21"/>
          <w:szCs w:val="21"/>
        </w:rPr>
        <w:t xml:space="preserve">NDPM. </w:t>
      </w:r>
    </w:p>
    <w:p w14:paraId="57C67842" w14:textId="77777777" w:rsidR="00B17E15" w:rsidRPr="00FA288E" w:rsidRDefault="002D2F59" w:rsidP="00B17E15">
      <w:pPr>
        <w:pStyle w:val="BodyText"/>
        <w:spacing w:after="80" w:line="240" w:lineRule="auto"/>
        <w:rPr>
          <w:rFonts w:ascii="Calibri" w:hAnsi="Calibri" w:cs="Calibri"/>
          <w:sz w:val="21"/>
          <w:szCs w:val="21"/>
        </w:rPr>
      </w:pPr>
      <w:r w:rsidRPr="00FA288E">
        <w:rPr>
          <w:rStyle w:val="BodyTextChar"/>
          <w:rFonts w:ascii="Calibri" w:hAnsi="Calibri" w:cs="Calibri"/>
          <w:sz w:val="21"/>
          <w:szCs w:val="21"/>
        </w:rPr>
        <w:t>W</w:t>
      </w:r>
      <w:r w:rsidR="00614C93" w:rsidRPr="00FA288E">
        <w:rPr>
          <w:rStyle w:val="BodyTextChar"/>
          <w:rFonts w:ascii="Calibri" w:hAnsi="Calibri" w:cs="Calibri"/>
          <w:sz w:val="21"/>
          <w:szCs w:val="21"/>
        </w:rPr>
        <w:t xml:space="preserve">hile reflection workshops are clearly an effective way for consortia to utilise monitoring data to inform implementation and strategic decisions, there was little evidence that </w:t>
      </w:r>
      <w:r w:rsidR="00730987" w:rsidRPr="00FA288E">
        <w:rPr>
          <w:rStyle w:val="BodyTextChar"/>
          <w:rFonts w:ascii="Calibri" w:hAnsi="Calibri" w:cs="Calibri"/>
          <w:sz w:val="21"/>
          <w:szCs w:val="21"/>
        </w:rPr>
        <w:t xml:space="preserve">District and Provincial education officers </w:t>
      </w:r>
      <w:r w:rsidR="00087E7D" w:rsidRPr="00FA288E">
        <w:rPr>
          <w:rStyle w:val="BodyTextChar"/>
          <w:rFonts w:ascii="Calibri" w:hAnsi="Calibri" w:cs="Calibri"/>
          <w:sz w:val="21"/>
          <w:szCs w:val="21"/>
        </w:rPr>
        <w:t>ar</w:t>
      </w:r>
      <w:r w:rsidR="00730987" w:rsidRPr="00FA288E">
        <w:rPr>
          <w:rStyle w:val="BodyTextChar"/>
          <w:rFonts w:ascii="Calibri" w:hAnsi="Calibri" w:cs="Calibri"/>
          <w:sz w:val="21"/>
          <w:szCs w:val="21"/>
        </w:rPr>
        <w:t xml:space="preserve">e </w:t>
      </w:r>
      <w:r w:rsidR="00614C93" w:rsidRPr="00FA288E">
        <w:rPr>
          <w:rStyle w:val="BodyTextChar"/>
          <w:rFonts w:ascii="Calibri" w:hAnsi="Calibri" w:cs="Calibri"/>
          <w:sz w:val="21"/>
          <w:szCs w:val="21"/>
        </w:rPr>
        <w:t>engaged in this process. Going forward, this may be a useful strategy to boost sub-national ownership and</w:t>
      </w:r>
      <w:r w:rsidR="00614C93" w:rsidRPr="00FA288E">
        <w:rPr>
          <w:rFonts w:ascii="Calibri" w:hAnsi="Calibri" w:cs="Calibri"/>
          <w:sz w:val="21"/>
          <w:szCs w:val="21"/>
        </w:rPr>
        <w:t xml:space="preserve"> </w:t>
      </w:r>
      <w:r w:rsidR="00340801" w:rsidRPr="00FA288E">
        <w:rPr>
          <w:rFonts w:ascii="Calibri" w:hAnsi="Calibri" w:cs="Calibri"/>
          <w:sz w:val="21"/>
          <w:szCs w:val="21"/>
        </w:rPr>
        <w:t>ability</w:t>
      </w:r>
      <w:r w:rsidR="00614C93" w:rsidRPr="00FA288E">
        <w:rPr>
          <w:rFonts w:ascii="Calibri" w:hAnsi="Calibri" w:cs="Calibri"/>
          <w:sz w:val="21"/>
          <w:szCs w:val="21"/>
        </w:rPr>
        <w:t>.</w:t>
      </w:r>
      <w:r w:rsidR="00296CC4" w:rsidRPr="00FA288E">
        <w:rPr>
          <w:rFonts w:ascii="Calibri" w:hAnsi="Calibri" w:cs="Calibri"/>
          <w:sz w:val="21"/>
          <w:szCs w:val="21"/>
        </w:rPr>
        <w:t xml:space="preserve"> Grantee project steering committee meetings (</w:t>
      </w:r>
      <w:proofErr w:type="spellStart"/>
      <w:r w:rsidR="00296CC4" w:rsidRPr="00FA288E">
        <w:rPr>
          <w:rFonts w:ascii="Calibri" w:hAnsi="Calibri" w:cs="Calibri"/>
          <w:sz w:val="21"/>
          <w:szCs w:val="21"/>
        </w:rPr>
        <w:t>StC</w:t>
      </w:r>
      <w:proofErr w:type="spellEnd"/>
      <w:r w:rsidR="00296CC4" w:rsidRPr="00FA288E">
        <w:rPr>
          <w:rFonts w:ascii="Calibri" w:hAnsi="Calibri" w:cs="Calibri"/>
          <w:sz w:val="21"/>
          <w:szCs w:val="21"/>
        </w:rPr>
        <w:t xml:space="preserve"> conducts these quarterly) may provide an opportunity for more meaningful engagement of district and provincial officials</w:t>
      </w:r>
      <w:r w:rsidRPr="00FA288E">
        <w:rPr>
          <w:rFonts w:ascii="Calibri" w:hAnsi="Calibri" w:cs="Calibri"/>
          <w:sz w:val="21"/>
          <w:szCs w:val="21"/>
        </w:rPr>
        <w:t xml:space="preserve"> to reflect on monitoring data</w:t>
      </w:r>
      <w:r w:rsidR="00296CC4" w:rsidRPr="00FA288E">
        <w:rPr>
          <w:rFonts w:ascii="Calibri" w:hAnsi="Calibri" w:cs="Calibri"/>
          <w:sz w:val="21"/>
          <w:szCs w:val="21"/>
        </w:rPr>
        <w:t>.</w:t>
      </w:r>
    </w:p>
    <w:p w14:paraId="4C6D3EA6" w14:textId="77777777" w:rsidR="00614C93" w:rsidRPr="00FA288E" w:rsidRDefault="00614C93" w:rsidP="00FF62CC">
      <w:pPr>
        <w:pStyle w:val="Heading1"/>
        <w:numPr>
          <w:ilvl w:val="1"/>
          <w:numId w:val="66"/>
        </w:numPr>
        <w:spacing w:before="120" w:after="80" w:line="240" w:lineRule="auto"/>
        <w:ind w:left="539" w:hanging="539"/>
      </w:pPr>
      <w:bookmarkStart w:id="84" w:name="_Toc26914373"/>
      <w:bookmarkStart w:id="85" w:name="_Toc31625591"/>
      <w:bookmarkStart w:id="86" w:name="_Toc42075971"/>
      <w:r w:rsidRPr="00FA288E">
        <w:t>Extent to which the grant projects are being implemented efficiently (KRQ 4)</w:t>
      </w:r>
      <w:r w:rsidRPr="00FA288E">
        <w:rPr>
          <w:rStyle w:val="FootnoteReference"/>
          <w:rFonts w:cs="Calibri"/>
          <w:i/>
          <w:iCs/>
          <w:sz w:val="21"/>
          <w:szCs w:val="21"/>
        </w:rPr>
        <w:footnoteReference w:id="58"/>
      </w:r>
      <w:bookmarkEnd w:id="84"/>
      <w:bookmarkEnd w:id="85"/>
      <w:bookmarkEnd w:id="86"/>
    </w:p>
    <w:p w14:paraId="160941F2" w14:textId="77777777" w:rsidR="00D6195C" w:rsidRPr="00FA288E" w:rsidRDefault="00D6195C" w:rsidP="00AB2F99">
      <w:pPr>
        <w:pStyle w:val="BodyText"/>
        <w:spacing w:after="120" w:line="240" w:lineRule="auto"/>
        <w:rPr>
          <w:rFonts w:ascii="Calibri" w:hAnsi="Calibri" w:cs="Calibri"/>
          <w:sz w:val="21"/>
          <w:szCs w:val="21"/>
        </w:rPr>
      </w:pPr>
      <w:r w:rsidRPr="00FA288E">
        <w:rPr>
          <w:rFonts w:ascii="Calibri" w:hAnsi="Calibri" w:cs="Calibri"/>
          <w:sz w:val="21"/>
          <w:szCs w:val="21"/>
        </w:rPr>
        <w:t xml:space="preserve">This section addresses sub-questions </w:t>
      </w:r>
      <w:r w:rsidRPr="00FA288E">
        <w:rPr>
          <w:rFonts w:ascii="Calibri" w:hAnsi="Calibri" w:cs="Calibri"/>
          <w:b/>
          <w:sz w:val="21"/>
          <w:szCs w:val="21"/>
        </w:rPr>
        <w:t>4a,</w:t>
      </w:r>
      <w:r w:rsidRPr="00FA288E">
        <w:rPr>
          <w:rFonts w:cs="Calibri"/>
          <w:sz w:val="21"/>
          <w:szCs w:val="21"/>
        </w:rPr>
        <w:t xml:space="preserve"> the extent to which projects are implemented on </w:t>
      </w:r>
      <w:r w:rsidRPr="00FA288E">
        <w:rPr>
          <w:rFonts w:cs="Calibri"/>
          <w:iCs/>
          <w:sz w:val="21"/>
          <w:szCs w:val="21"/>
        </w:rPr>
        <w:t>time</w:t>
      </w:r>
      <w:r w:rsidRPr="00FA288E">
        <w:rPr>
          <w:rFonts w:cs="Calibri"/>
          <w:sz w:val="21"/>
          <w:szCs w:val="21"/>
        </w:rPr>
        <w:t xml:space="preserve"> and in a cost-efficient way; </w:t>
      </w:r>
      <w:r w:rsidRPr="00FA288E">
        <w:rPr>
          <w:rFonts w:cs="Calibri"/>
          <w:b/>
          <w:sz w:val="21"/>
          <w:szCs w:val="21"/>
        </w:rPr>
        <w:t>4b</w:t>
      </w:r>
      <w:r w:rsidRPr="00FA288E">
        <w:rPr>
          <w:rFonts w:cs="Calibri"/>
          <w:sz w:val="21"/>
          <w:szCs w:val="21"/>
        </w:rPr>
        <w:t xml:space="preserve">, specific efficiencies that have resulted; and </w:t>
      </w:r>
      <w:r w:rsidRPr="00FA288E">
        <w:rPr>
          <w:rFonts w:cs="Calibri"/>
          <w:b/>
          <w:sz w:val="21"/>
          <w:szCs w:val="21"/>
        </w:rPr>
        <w:t xml:space="preserve">4c, </w:t>
      </w:r>
      <w:r w:rsidRPr="00FA288E">
        <w:rPr>
          <w:rFonts w:cs="Calibri"/>
          <w:sz w:val="21"/>
          <w:szCs w:val="21"/>
        </w:rPr>
        <w:t>any significant variations in the cost efficiencies of the grant outcomes.</w:t>
      </w:r>
    </w:p>
    <w:p w14:paraId="7C339A02" w14:textId="77777777" w:rsidR="0045654B" w:rsidRPr="00FA288E" w:rsidRDefault="0045654B" w:rsidP="00AB2F99">
      <w:pPr>
        <w:spacing w:after="120" w:line="240" w:lineRule="auto"/>
        <w:jc w:val="both"/>
        <w:rPr>
          <w:szCs w:val="21"/>
        </w:rPr>
      </w:pPr>
      <w:r w:rsidRPr="00FA288E">
        <w:rPr>
          <w:b/>
          <w:szCs w:val="21"/>
        </w:rPr>
        <w:t xml:space="preserve">Finding: </w:t>
      </w:r>
      <w:r w:rsidRPr="00FA288E">
        <w:rPr>
          <w:szCs w:val="21"/>
        </w:rPr>
        <w:t>All three grantees have implemented a wide range of activities with a large number of beneficiaries in a short space of time, indicating they have been efficient in achieving outputs. The tension between expectations of implementing at scale while demonstrating a variety of innovative approaches may have resulted in reduced effectiveness, where time to properly monitor input and outcome quality has been compromised.</w:t>
      </w:r>
    </w:p>
    <w:p w14:paraId="62A8284C" w14:textId="77777777" w:rsidR="0045654B" w:rsidRPr="00FA288E" w:rsidRDefault="0045654B" w:rsidP="00AB2F99">
      <w:pPr>
        <w:spacing w:after="120" w:line="240" w:lineRule="auto"/>
        <w:jc w:val="both"/>
        <w:rPr>
          <w:szCs w:val="21"/>
        </w:rPr>
      </w:pPr>
      <w:r w:rsidRPr="00FA288E">
        <w:rPr>
          <w:b/>
          <w:szCs w:val="21"/>
        </w:rPr>
        <w:t xml:space="preserve">Finding: </w:t>
      </w:r>
      <w:r w:rsidRPr="00FA288E">
        <w:rPr>
          <w:szCs w:val="21"/>
        </w:rPr>
        <w:t xml:space="preserve">Efficiencies were gained through the consortia approach, including increased geographical coverage, and sharing of reading resources, MEL expertise, and training resources. While the grants worked in relative isolation early on, changes in the PPF Secretariat have led to closer cooperation and greater opportunities for efficiencies. The greatest inefficiencies were observed around communications between grantees and the GoPNG, with a lack of effective protocols. The recently convened NOC will likely address this.  </w:t>
      </w:r>
    </w:p>
    <w:p w14:paraId="681EE943" w14:textId="77777777" w:rsidR="0045654B" w:rsidRPr="00FA288E" w:rsidRDefault="0045654B" w:rsidP="00AB2F99">
      <w:pPr>
        <w:spacing w:after="120" w:line="240" w:lineRule="auto"/>
        <w:jc w:val="both"/>
        <w:rPr>
          <w:szCs w:val="21"/>
        </w:rPr>
      </w:pPr>
      <w:r w:rsidRPr="00FA288E">
        <w:rPr>
          <w:b/>
          <w:szCs w:val="21"/>
        </w:rPr>
        <w:t xml:space="preserve">Finding: </w:t>
      </w:r>
      <w:r w:rsidRPr="00FA288E">
        <w:rPr>
          <w:szCs w:val="21"/>
        </w:rPr>
        <w:t>The review undertook only a gross estimate of approximate costs per beneficiary, which showed wide variations (students reached, teachers trained). It was not possible to reflect actual expenditure per beneficiary, adjust for targets that were exceeded, degree of remote access, or compare quality of outcomes. In addition, there was no explanation for the widely varying targets between grantee programs, which appears to account for the wide variability of costs. This warrants a more detailed value for money assessment.</w:t>
      </w:r>
    </w:p>
    <w:p w14:paraId="04E7A0A3" w14:textId="78336B08" w:rsidR="00614C93" w:rsidRPr="00FA288E" w:rsidRDefault="001000C9" w:rsidP="001000C9">
      <w:pPr>
        <w:pStyle w:val="BodyText"/>
        <w:spacing w:after="80" w:line="240" w:lineRule="auto"/>
        <w:rPr>
          <w:rFonts w:ascii="Calibri" w:hAnsi="Calibri" w:cs="Calibri"/>
          <w:sz w:val="21"/>
          <w:szCs w:val="21"/>
        </w:rPr>
      </w:pPr>
      <w:r w:rsidRPr="00FA288E">
        <w:rPr>
          <w:rFonts w:ascii="Calibri" w:hAnsi="Calibri" w:cs="Calibri"/>
          <w:sz w:val="21"/>
          <w:szCs w:val="21"/>
        </w:rPr>
        <w:t>B</w:t>
      </w:r>
      <w:r w:rsidR="00614C93" w:rsidRPr="00FA288E">
        <w:rPr>
          <w:rFonts w:ascii="Calibri" w:hAnsi="Calibri" w:cs="Calibri"/>
          <w:sz w:val="21"/>
          <w:szCs w:val="21"/>
        </w:rPr>
        <w:t xml:space="preserve">y admission of the three grantees, the amount of funding made available for each of the projects </w:t>
      </w:r>
      <w:r w:rsidR="00DA59B1" w:rsidRPr="00FA288E">
        <w:rPr>
          <w:rFonts w:ascii="Calibri" w:hAnsi="Calibri" w:cs="Calibri"/>
          <w:sz w:val="21"/>
          <w:szCs w:val="21"/>
        </w:rPr>
        <w:t>i</w:t>
      </w:r>
      <w:r w:rsidR="00614C93" w:rsidRPr="00FA288E">
        <w:rPr>
          <w:rFonts w:ascii="Calibri" w:hAnsi="Calibri" w:cs="Calibri"/>
          <w:sz w:val="21"/>
          <w:szCs w:val="21"/>
        </w:rPr>
        <w:t>s large and beyond the norm for funding provided to NGOs</w:t>
      </w:r>
      <w:r w:rsidR="00AF016A" w:rsidRPr="00FA288E">
        <w:rPr>
          <w:rFonts w:ascii="Calibri" w:hAnsi="Calibri" w:cs="Calibri"/>
          <w:sz w:val="21"/>
          <w:szCs w:val="21"/>
        </w:rPr>
        <w:t>. Th</w:t>
      </w:r>
      <w:r w:rsidRPr="00FA288E">
        <w:rPr>
          <w:rFonts w:ascii="Calibri" w:hAnsi="Calibri" w:cs="Calibri"/>
          <w:sz w:val="21"/>
          <w:szCs w:val="21"/>
        </w:rPr>
        <w:t>e availability of</w:t>
      </w:r>
      <w:r w:rsidR="00614C93" w:rsidRPr="00FA288E">
        <w:rPr>
          <w:rFonts w:ascii="Calibri" w:hAnsi="Calibri" w:cs="Calibri"/>
          <w:sz w:val="21"/>
          <w:szCs w:val="21"/>
        </w:rPr>
        <w:t xml:space="preserve"> </w:t>
      </w:r>
      <w:r w:rsidRPr="00FA288E">
        <w:rPr>
          <w:rFonts w:ascii="Calibri" w:hAnsi="Calibri" w:cs="Calibri"/>
          <w:sz w:val="21"/>
          <w:szCs w:val="21"/>
        </w:rPr>
        <w:t xml:space="preserve">a significant level of funding </w:t>
      </w:r>
      <w:r w:rsidR="00614C93" w:rsidRPr="00FA288E">
        <w:rPr>
          <w:rFonts w:ascii="Calibri" w:hAnsi="Calibri" w:cs="Calibri"/>
          <w:sz w:val="21"/>
          <w:szCs w:val="21"/>
        </w:rPr>
        <w:t xml:space="preserve">resulted in </w:t>
      </w:r>
      <w:r w:rsidRPr="00FA288E">
        <w:rPr>
          <w:rFonts w:ascii="Calibri" w:hAnsi="Calibri" w:cs="Calibri"/>
          <w:sz w:val="21"/>
          <w:szCs w:val="21"/>
        </w:rPr>
        <w:t>the development of proposals that</w:t>
      </w:r>
      <w:r w:rsidR="00614C93" w:rsidRPr="00FA288E">
        <w:rPr>
          <w:rFonts w:ascii="Calibri" w:hAnsi="Calibri" w:cs="Calibri"/>
          <w:sz w:val="21"/>
          <w:szCs w:val="21"/>
        </w:rPr>
        <w:t xml:space="preserve"> includ</w:t>
      </w:r>
      <w:r w:rsidRPr="00FA288E">
        <w:rPr>
          <w:rFonts w:ascii="Calibri" w:hAnsi="Calibri" w:cs="Calibri"/>
          <w:sz w:val="21"/>
          <w:szCs w:val="21"/>
        </w:rPr>
        <w:t>e</w:t>
      </w:r>
      <w:r w:rsidR="00614C93" w:rsidRPr="00FA288E">
        <w:rPr>
          <w:rFonts w:ascii="Calibri" w:hAnsi="Calibri" w:cs="Calibri"/>
          <w:sz w:val="21"/>
          <w:szCs w:val="21"/>
        </w:rPr>
        <w:t xml:space="preserve"> </w:t>
      </w:r>
      <w:r w:rsidR="00DA59B1" w:rsidRPr="00FA288E">
        <w:rPr>
          <w:rFonts w:ascii="Calibri" w:hAnsi="Calibri" w:cs="Calibri"/>
          <w:sz w:val="21"/>
          <w:szCs w:val="21"/>
        </w:rPr>
        <w:t>many</w:t>
      </w:r>
      <w:r w:rsidR="00614C93" w:rsidRPr="00FA288E">
        <w:rPr>
          <w:rFonts w:ascii="Calibri" w:hAnsi="Calibri" w:cs="Calibri"/>
          <w:sz w:val="21"/>
          <w:szCs w:val="21"/>
        </w:rPr>
        <w:t xml:space="preserve"> </w:t>
      </w:r>
      <w:r w:rsidRPr="00FA288E">
        <w:rPr>
          <w:rFonts w:ascii="Calibri" w:hAnsi="Calibri" w:cs="Calibri"/>
          <w:sz w:val="21"/>
          <w:szCs w:val="21"/>
        </w:rPr>
        <w:t xml:space="preserve">different </w:t>
      </w:r>
      <w:r w:rsidR="00614C93" w:rsidRPr="00FA288E">
        <w:rPr>
          <w:rFonts w:ascii="Calibri" w:hAnsi="Calibri" w:cs="Calibri"/>
          <w:sz w:val="21"/>
          <w:szCs w:val="21"/>
        </w:rPr>
        <w:t xml:space="preserve">activities </w:t>
      </w:r>
      <w:r w:rsidRPr="00FA288E">
        <w:rPr>
          <w:rFonts w:ascii="Calibri" w:hAnsi="Calibri" w:cs="Calibri"/>
          <w:sz w:val="21"/>
          <w:szCs w:val="21"/>
        </w:rPr>
        <w:t>and targeting of substantial</w:t>
      </w:r>
      <w:r w:rsidR="00614C93" w:rsidRPr="00FA288E">
        <w:rPr>
          <w:rFonts w:ascii="Calibri" w:hAnsi="Calibri" w:cs="Calibri"/>
          <w:sz w:val="21"/>
          <w:szCs w:val="21"/>
        </w:rPr>
        <w:t xml:space="preserve"> number</w:t>
      </w:r>
      <w:r w:rsidRPr="00FA288E">
        <w:rPr>
          <w:rFonts w:ascii="Calibri" w:hAnsi="Calibri" w:cs="Calibri"/>
          <w:sz w:val="21"/>
          <w:szCs w:val="21"/>
        </w:rPr>
        <w:t>s</w:t>
      </w:r>
      <w:r w:rsidR="00614C93" w:rsidRPr="00FA288E">
        <w:rPr>
          <w:rFonts w:ascii="Calibri" w:hAnsi="Calibri" w:cs="Calibri"/>
          <w:sz w:val="21"/>
          <w:szCs w:val="21"/>
        </w:rPr>
        <w:t xml:space="preserve"> of beneficiaries. </w:t>
      </w:r>
      <w:r w:rsidRPr="00FA288E">
        <w:rPr>
          <w:rFonts w:ascii="Calibri" w:hAnsi="Calibri" w:cs="Calibri"/>
          <w:sz w:val="21"/>
          <w:szCs w:val="21"/>
        </w:rPr>
        <w:t xml:space="preserve">As noted above, all proposals intended to address all five of the original objectives for the education </w:t>
      </w:r>
      <w:r w:rsidRPr="00FA288E">
        <w:rPr>
          <w:rFonts w:ascii="Calibri" w:hAnsi="Calibri" w:cs="Calibri"/>
          <w:sz w:val="21"/>
          <w:szCs w:val="21"/>
        </w:rPr>
        <w:lastRenderedPageBreak/>
        <w:t xml:space="preserve">grants. Also as noted </w:t>
      </w:r>
      <w:r w:rsidR="00DA59B1" w:rsidRPr="00FA288E">
        <w:rPr>
          <w:rFonts w:ascii="Calibri" w:hAnsi="Calibri" w:cs="Calibri"/>
          <w:sz w:val="21"/>
          <w:szCs w:val="21"/>
        </w:rPr>
        <w:t>previously, t</w:t>
      </w:r>
      <w:r w:rsidR="00614C93" w:rsidRPr="00FA288E">
        <w:rPr>
          <w:rFonts w:ascii="Calibri" w:hAnsi="Calibri" w:cs="Calibri"/>
          <w:sz w:val="21"/>
          <w:szCs w:val="21"/>
        </w:rPr>
        <w:t xml:space="preserve">here is ‘tension’ between the </w:t>
      </w:r>
      <w:r w:rsidR="00DA59B1" w:rsidRPr="00FA288E">
        <w:rPr>
          <w:rFonts w:ascii="Calibri" w:hAnsi="Calibri" w:cs="Calibri"/>
          <w:sz w:val="21"/>
          <w:szCs w:val="21"/>
        </w:rPr>
        <w:t xml:space="preserve">expectation to implement at scale, the </w:t>
      </w:r>
      <w:r w:rsidR="00614C93" w:rsidRPr="00FA288E">
        <w:rPr>
          <w:rFonts w:ascii="Calibri" w:hAnsi="Calibri" w:cs="Calibri"/>
          <w:sz w:val="21"/>
          <w:szCs w:val="21"/>
        </w:rPr>
        <w:t xml:space="preserve">need to </w:t>
      </w:r>
      <w:r w:rsidR="00DA59B1" w:rsidRPr="00FA288E">
        <w:rPr>
          <w:rFonts w:ascii="Calibri" w:hAnsi="Calibri" w:cs="Calibri"/>
          <w:sz w:val="21"/>
          <w:szCs w:val="21"/>
        </w:rPr>
        <w:t>‘</w:t>
      </w:r>
      <w:r w:rsidR="00614C93" w:rsidRPr="00FA288E">
        <w:rPr>
          <w:rFonts w:ascii="Calibri" w:hAnsi="Calibri" w:cs="Calibri"/>
          <w:sz w:val="21"/>
          <w:szCs w:val="21"/>
        </w:rPr>
        <w:t>demonstrate</w:t>
      </w:r>
      <w:r w:rsidR="00DA59B1" w:rsidRPr="00FA288E">
        <w:rPr>
          <w:rFonts w:ascii="Calibri" w:hAnsi="Calibri" w:cs="Calibri"/>
          <w:sz w:val="21"/>
          <w:szCs w:val="21"/>
        </w:rPr>
        <w:t>’</w:t>
      </w:r>
      <w:r w:rsidR="00614C93" w:rsidRPr="00FA288E">
        <w:rPr>
          <w:rFonts w:ascii="Calibri" w:hAnsi="Calibri" w:cs="Calibri"/>
          <w:sz w:val="21"/>
          <w:szCs w:val="21"/>
        </w:rPr>
        <w:t xml:space="preserve"> a variety of innovations and approaches</w:t>
      </w:r>
      <w:r w:rsidR="00DA59B1" w:rsidRPr="00FA288E">
        <w:rPr>
          <w:rFonts w:ascii="Calibri" w:hAnsi="Calibri" w:cs="Calibri"/>
          <w:sz w:val="21"/>
          <w:szCs w:val="21"/>
        </w:rPr>
        <w:t>,</w:t>
      </w:r>
      <w:r w:rsidR="00614C93" w:rsidRPr="00FA288E">
        <w:rPr>
          <w:rFonts w:ascii="Calibri" w:hAnsi="Calibri" w:cs="Calibri"/>
          <w:sz w:val="21"/>
          <w:szCs w:val="21"/>
        </w:rPr>
        <w:t xml:space="preserve"> and the desire to </w:t>
      </w:r>
      <w:r w:rsidR="00DA59B1" w:rsidRPr="00FA288E">
        <w:rPr>
          <w:rFonts w:ascii="Calibri" w:hAnsi="Calibri" w:cs="Calibri"/>
          <w:sz w:val="21"/>
          <w:szCs w:val="21"/>
        </w:rPr>
        <w:t>learn from</w:t>
      </w:r>
      <w:r w:rsidR="00614C93" w:rsidRPr="00FA288E">
        <w:rPr>
          <w:rFonts w:ascii="Calibri" w:hAnsi="Calibri" w:cs="Calibri"/>
          <w:sz w:val="21"/>
          <w:szCs w:val="21"/>
        </w:rPr>
        <w:t xml:space="preserve"> the results of various interventions</w:t>
      </w:r>
      <w:r w:rsidR="00DA59B1" w:rsidRPr="00FA288E">
        <w:rPr>
          <w:rFonts w:ascii="Calibri" w:hAnsi="Calibri" w:cs="Calibri"/>
          <w:sz w:val="21"/>
          <w:szCs w:val="21"/>
        </w:rPr>
        <w:t xml:space="preserve"> – all of this in a short time span</w:t>
      </w:r>
      <w:r w:rsidR="00614C93" w:rsidRPr="00FA288E">
        <w:rPr>
          <w:rFonts w:ascii="Calibri" w:hAnsi="Calibri" w:cs="Calibri"/>
          <w:sz w:val="21"/>
          <w:szCs w:val="21"/>
        </w:rPr>
        <w:t>.</w:t>
      </w:r>
      <w:r w:rsidR="00614C93" w:rsidRPr="00FA288E">
        <w:rPr>
          <w:rStyle w:val="FootnoteReference"/>
          <w:rFonts w:ascii="Calibri" w:hAnsi="Calibri" w:cs="Calibri"/>
          <w:sz w:val="21"/>
          <w:szCs w:val="21"/>
        </w:rPr>
        <w:footnoteReference w:id="59"/>
      </w:r>
      <w:r w:rsidR="00614C93" w:rsidRPr="00FA288E">
        <w:rPr>
          <w:rFonts w:ascii="Calibri" w:hAnsi="Calibri" w:cs="Calibri"/>
          <w:sz w:val="21"/>
          <w:szCs w:val="21"/>
        </w:rPr>
        <w:t xml:space="preserve"> </w:t>
      </w:r>
      <w:r w:rsidR="00DA59B1" w:rsidRPr="00FA288E">
        <w:rPr>
          <w:rFonts w:ascii="Calibri" w:hAnsi="Calibri" w:cs="Calibri"/>
          <w:sz w:val="21"/>
          <w:szCs w:val="21"/>
        </w:rPr>
        <w:t>T</w:t>
      </w:r>
      <w:r w:rsidR="00614C93" w:rsidRPr="00FA288E">
        <w:rPr>
          <w:rFonts w:ascii="Calibri" w:hAnsi="Calibri" w:cs="Calibri"/>
          <w:sz w:val="21"/>
          <w:szCs w:val="21"/>
        </w:rPr>
        <w:t>he review team notes</w:t>
      </w:r>
      <w:r w:rsidR="00DA59B1" w:rsidRPr="00FA288E">
        <w:rPr>
          <w:rFonts w:ascii="Calibri" w:hAnsi="Calibri" w:cs="Calibri"/>
          <w:sz w:val="21"/>
          <w:szCs w:val="21"/>
        </w:rPr>
        <w:t xml:space="preserve">, as discussed in the sub-section on </w:t>
      </w:r>
      <w:r w:rsidR="00E31715" w:rsidRPr="00FA288E">
        <w:rPr>
          <w:rFonts w:ascii="Calibri" w:hAnsi="Calibri" w:cs="Calibri"/>
          <w:sz w:val="21"/>
          <w:szCs w:val="21"/>
        </w:rPr>
        <w:t>effectiveness that</w:t>
      </w:r>
      <w:r w:rsidR="00614C93" w:rsidRPr="00FA288E">
        <w:rPr>
          <w:rFonts w:ascii="Calibri" w:hAnsi="Calibri" w:cs="Calibri"/>
          <w:sz w:val="21"/>
          <w:szCs w:val="21"/>
        </w:rPr>
        <w:t xml:space="preserve"> </w:t>
      </w:r>
      <w:r w:rsidR="00DA59B1" w:rsidRPr="00FA288E">
        <w:rPr>
          <w:rFonts w:ascii="Calibri" w:hAnsi="Calibri" w:cs="Calibri"/>
          <w:sz w:val="21"/>
          <w:szCs w:val="21"/>
        </w:rPr>
        <w:t>significant progress</w:t>
      </w:r>
      <w:r w:rsidR="00614C93" w:rsidRPr="00FA288E">
        <w:rPr>
          <w:rFonts w:ascii="Calibri" w:hAnsi="Calibri" w:cs="Calibri"/>
          <w:sz w:val="21"/>
          <w:szCs w:val="21"/>
        </w:rPr>
        <w:t xml:space="preserve"> </w:t>
      </w:r>
      <w:r w:rsidR="00453E4B" w:rsidRPr="00FA288E">
        <w:rPr>
          <w:rFonts w:ascii="Calibri" w:hAnsi="Calibri" w:cs="Calibri"/>
          <w:sz w:val="21"/>
          <w:szCs w:val="21"/>
        </w:rPr>
        <w:t xml:space="preserve">is being made </w:t>
      </w:r>
      <w:r w:rsidR="00614C93" w:rsidRPr="00FA288E">
        <w:rPr>
          <w:rFonts w:ascii="Calibri" w:hAnsi="Calibri" w:cs="Calibri"/>
          <w:sz w:val="21"/>
          <w:szCs w:val="21"/>
        </w:rPr>
        <w:t>by all projects i</w:t>
      </w:r>
      <w:r w:rsidR="00DA59B1" w:rsidRPr="00FA288E">
        <w:rPr>
          <w:rFonts w:ascii="Calibri" w:hAnsi="Calibri" w:cs="Calibri"/>
          <w:sz w:val="21"/>
          <w:szCs w:val="21"/>
        </w:rPr>
        <w:t>mplementing</w:t>
      </w:r>
      <w:r w:rsidR="00614C93" w:rsidRPr="00FA288E">
        <w:rPr>
          <w:rFonts w:ascii="Calibri" w:hAnsi="Calibri" w:cs="Calibri"/>
          <w:sz w:val="21"/>
          <w:szCs w:val="21"/>
        </w:rPr>
        <w:t xml:space="preserve"> a wide range of interventions to a large number of beneficiaries i</w:t>
      </w:r>
      <w:r w:rsidR="00453E4B" w:rsidRPr="00FA288E">
        <w:rPr>
          <w:rFonts w:ascii="Calibri" w:hAnsi="Calibri" w:cs="Calibri"/>
          <w:sz w:val="21"/>
          <w:szCs w:val="21"/>
        </w:rPr>
        <w:t>n limited time</w:t>
      </w:r>
      <w:r w:rsidR="00614C93" w:rsidRPr="00FA288E">
        <w:rPr>
          <w:rFonts w:ascii="Calibri" w:hAnsi="Calibri" w:cs="Calibri"/>
          <w:sz w:val="21"/>
          <w:szCs w:val="21"/>
        </w:rPr>
        <w:t xml:space="preserve">.  </w:t>
      </w:r>
      <w:r w:rsidR="00DA59B1" w:rsidRPr="00FA288E">
        <w:rPr>
          <w:rFonts w:ascii="Calibri" w:hAnsi="Calibri" w:cs="Calibri"/>
          <w:sz w:val="21"/>
          <w:szCs w:val="21"/>
        </w:rPr>
        <w:t>T</w:t>
      </w:r>
      <w:r w:rsidR="00614C93" w:rsidRPr="00FA288E">
        <w:rPr>
          <w:rFonts w:ascii="Calibri" w:hAnsi="Calibri" w:cs="Calibri"/>
          <w:sz w:val="21"/>
          <w:szCs w:val="21"/>
        </w:rPr>
        <w:t>he</w:t>
      </w:r>
      <w:r w:rsidR="00DA59B1" w:rsidRPr="00FA288E">
        <w:rPr>
          <w:rFonts w:ascii="Calibri" w:hAnsi="Calibri" w:cs="Calibri"/>
          <w:sz w:val="21"/>
          <w:szCs w:val="21"/>
        </w:rPr>
        <w:t xml:space="preserve"> efforts to meet implementation targets</w:t>
      </w:r>
      <w:r w:rsidR="00614C93" w:rsidRPr="00FA288E">
        <w:rPr>
          <w:rFonts w:ascii="Calibri" w:hAnsi="Calibri" w:cs="Calibri"/>
          <w:sz w:val="21"/>
          <w:szCs w:val="21"/>
        </w:rPr>
        <w:t xml:space="preserve"> efforts have come at a cost to ensuring the quality and sustainability of different interventions</w:t>
      </w:r>
      <w:r w:rsidR="00DA59B1" w:rsidRPr="00FA288E">
        <w:rPr>
          <w:rFonts w:ascii="Calibri" w:hAnsi="Calibri" w:cs="Calibri"/>
          <w:sz w:val="21"/>
          <w:szCs w:val="21"/>
        </w:rPr>
        <w:t>. The focus on implementation has resulted in</w:t>
      </w:r>
      <w:r w:rsidR="00614C93" w:rsidRPr="00FA288E">
        <w:rPr>
          <w:rFonts w:ascii="Calibri" w:hAnsi="Calibri" w:cs="Calibri"/>
          <w:sz w:val="21"/>
          <w:szCs w:val="21"/>
        </w:rPr>
        <w:t xml:space="preserve"> reduced</w:t>
      </w:r>
      <w:r w:rsidR="00453E4B" w:rsidRPr="00FA288E">
        <w:rPr>
          <w:rFonts w:ascii="Calibri" w:hAnsi="Calibri" w:cs="Calibri"/>
          <w:sz w:val="21"/>
          <w:szCs w:val="21"/>
        </w:rPr>
        <w:t xml:space="preserve"> </w:t>
      </w:r>
      <w:r w:rsidR="00614C93" w:rsidRPr="00FA288E">
        <w:rPr>
          <w:rFonts w:ascii="Calibri" w:hAnsi="Calibri" w:cs="Calibri"/>
          <w:sz w:val="21"/>
          <w:szCs w:val="21"/>
        </w:rPr>
        <w:t>time and effort available for monitoring and follow-up of the application of training to ensure it influence</w:t>
      </w:r>
      <w:r w:rsidR="00453E4B" w:rsidRPr="00FA288E">
        <w:rPr>
          <w:rFonts w:ascii="Calibri" w:hAnsi="Calibri" w:cs="Calibri"/>
          <w:sz w:val="21"/>
          <w:szCs w:val="21"/>
        </w:rPr>
        <w:t>s</w:t>
      </w:r>
      <w:r w:rsidR="00614C93" w:rsidRPr="00FA288E">
        <w:rPr>
          <w:rFonts w:ascii="Calibri" w:hAnsi="Calibri" w:cs="Calibri"/>
          <w:sz w:val="21"/>
          <w:szCs w:val="21"/>
        </w:rPr>
        <w:t xml:space="preserve"> practice change. </w:t>
      </w:r>
      <w:r w:rsidR="00453E4B" w:rsidRPr="00FA288E">
        <w:rPr>
          <w:rFonts w:ascii="Calibri" w:hAnsi="Calibri" w:cs="Calibri"/>
          <w:sz w:val="21"/>
          <w:szCs w:val="21"/>
        </w:rPr>
        <w:t>Progress reports and interviews with g</w:t>
      </w:r>
      <w:r w:rsidR="00614C93" w:rsidRPr="00FA288E">
        <w:rPr>
          <w:rFonts w:ascii="Calibri" w:hAnsi="Calibri" w:cs="Calibri"/>
          <w:sz w:val="21"/>
          <w:szCs w:val="21"/>
        </w:rPr>
        <w:t>rantee</w:t>
      </w:r>
      <w:r w:rsidR="00453E4B" w:rsidRPr="00FA288E">
        <w:rPr>
          <w:rFonts w:ascii="Calibri" w:hAnsi="Calibri" w:cs="Calibri"/>
          <w:sz w:val="21"/>
          <w:szCs w:val="21"/>
        </w:rPr>
        <w:t xml:space="preserve">s indicate </w:t>
      </w:r>
      <w:r w:rsidR="00614C93" w:rsidRPr="00FA288E">
        <w:rPr>
          <w:rFonts w:ascii="Calibri" w:hAnsi="Calibri" w:cs="Calibri"/>
          <w:sz w:val="21"/>
          <w:szCs w:val="21"/>
        </w:rPr>
        <w:t>that while they have been able to implement at scale efficiently, it is likely to have reduced effectiveness in terms of</w:t>
      </w:r>
      <w:r w:rsidR="00453E4B" w:rsidRPr="00FA288E">
        <w:rPr>
          <w:rFonts w:ascii="Calibri" w:hAnsi="Calibri" w:cs="Calibri"/>
          <w:sz w:val="21"/>
          <w:szCs w:val="21"/>
        </w:rPr>
        <w:t xml:space="preserve"> a lower</w:t>
      </w:r>
      <w:r w:rsidR="00614C93" w:rsidRPr="00FA288E">
        <w:rPr>
          <w:rFonts w:ascii="Calibri" w:hAnsi="Calibri" w:cs="Calibri"/>
          <w:sz w:val="21"/>
          <w:szCs w:val="21"/>
        </w:rPr>
        <w:t xml:space="preserve"> quality of outcomes.</w:t>
      </w:r>
    </w:p>
    <w:p w14:paraId="450A32E7" w14:textId="77777777" w:rsidR="00614C93" w:rsidRPr="00FA288E" w:rsidRDefault="00614C93" w:rsidP="001000C9">
      <w:pPr>
        <w:pStyle w:val="BodyText"/>
        <w:spacing w:after="80" w:line="240" w:lineRule="auto"/>
        <w:rPr>
          <w:rFonts w:ascii="Calibri" w:hAnsi="Calibri" w:cs="Calibri"/>
          <w:sz w:val="21"/>
          <w:szCs w:val="21"/>
        </w:rPr>
      </w:pPr>
      <w:r w:rsidRPr="00FA288E">
        <w:rPr>
          <w:rFonts w:ascii="Calibri" w:hAnsi="Calibri" w:cs="Calibri"/>
          <w:sz w:val="21"/>
          <w:szCs w:val="21"/>
        </w:rPr>
        <w:t xml:space="preserve">In terms of efficiency in communications, grantees are required to forward project information to the PPF Secretariat for quality assurance before </w:t>
      </w:r>
      <w:r w:rsidR="008C65D9" w:rsidRPr="00FA288E">
        <w:rPr>
          <w:rFonts w:ascii="Calibri" w:hAnsi="Calibri" w:cs="Calibri"/>
          <w:sz w:val="21"/>
          <w:szCs w:val="21"/>
        </w:rPr>
        <w:t xml:space="preserve">the information is </w:t>
      </w:r>
      <w:r w:rsidRPr="00FA288E">
        <w:rPr>
          <w:rFonts w:ascii="Calibri" w:hAnsi="Calibri" w:cs="Calibri"/>
          <w:sz w:val="21"/>
          <w:szCs w:val="21"/>
        </w:rPr>
        <w:t>sen</w:t>
      </w:r>
      <w:r w:rsidR="008C65D9" w:rsidRPr="00FA288E">
        <w:rPr>
          <w:rFonts w:ascii="Calibri" w:hAnsi="Calibri" w:cs="Calibri"/>
          <w:sz w:val="21"/>
          <w:szCs w:val="21"/>
        </w:rPr>
        <w:t>t</w:t>
      </w:r>
      <w:r w:rsidRPr="00FA288E">
        <w:rPr>
          <w:rFonts w:ascii="Calibri" w:hAnsi="Calibri" w:cs="Calibri"/>
          <w:sz w:val="21"/>
          <w:szCs w:val="21"/>
        </w:rPr>
        <w:t xml:space="preserve"> to the A</w:t>
      </w:r>
      <w:r w:rsidR="00D54281" w:rsidRPr="00FA288E">
        <w:rPr>
          <w:rFonts w:ascii="Calibri" w:hAnsi="Calibri" w:cs="Calibri"/>
          <w:sz w:val="21"/>
          <w:szCs w:val="21"/>
        </w:rPr>
        <w:t xml:space="preserve">ustralian </w:t>
      </w:r>
      <w:r w:rsidR="001444CE" w:rsidRPr="00FA288E">
        <w:rPr>
          <w:rFonts w:ascii="Calibri" w:hAnsi="Calibri" w:cs="Calibri"/>
          <w:sz w:val="21"/>
          <w:szCs w:val="21"/>
        </w:rPr>
        <w:t>G</w:t>
      </w:r>
      <w:r w:rsidR="00D54281" w:rsidRPr="00FA288E">
        <w:rPr>
          <w:rFonts w:ascii="Calibri" w:hAnsi="Calibri" w:cs="Calibri"/>
          <w:sz w:val="21"/>
          <w:szCs w:val="21"/>
        </w:rPr>
        <w:t>overnment</w:t>
      </w:r>
      <w:r w:rsidR="008C65D9" w:rsidRPr="00FA288E">
        <w:rPr>
          <w:rFonts w:ascii="Calibri" w:hAnsi="Calibri" w:cs="Calibri"/>
          <w:sz w:val="21"/>
          <w:szCs w:val="21"/>
        </w:rPr>
        <w:t xml:space="preserve">. In turn, the Australian Government </w:t>
      </w:r>
      <w:r w:rsidRPr="00FA288E">
        <w:rPr>
          <w:rFonts w:ascii="Calibri" w:hAnsi="Calibri" w:cs="Calibri"/>
          <w:sz w:val="21"/>
          <w:szCs w:val="21"/>
        </w:rPr>
        <w:t>then communicate</w:t>
      </w:r>
      <w:r w:rsidR="008C65D9" w:rsidRPr="00FA288E">
        <w:rPr>
          <w:rFonts w:ascii="Calibri" w:hAnsi="Calibri" w:cs="Calibri"/>
          <w:sz w:val="21"/>
          <w:szCs w:val="21"/>
        </w:rPr>
        <w:t>s</w:t>
      </w:r>
      <w:r w:rsidRPr="00FA288E">
        <w:rPr>
          <w:rFonts w:ascii="Calibri" w:hAnsi="Calibri" w:cs="Calibri"/>
          <w:sz w:val="21"/>
          <w:szCs w:val="21"/>
        </w:rPr>
        <w:t xml:space="preserve"> </w:t>
      </w:r>
      <w:r w:rsidR="008C65D9" w:rsidRPr="00FA288E">
        <w:rPr>
          <w:rFonts w:ascii="Calibri" w:hAnsi="Calibri" w:cs="Calibri"/>
          <w:sz w:val="21"/>
          <w:szCs w:val="21"/>
        </w:rPr>
        <w:t>with</w:t>
      </w:r>
      <w:r w:rsidRPr="00FA288E">
        <w:rPr>
          <w:rFonts w:ascii="Calibri" w:hAnsi="Calibri" w:cs="Calibri"/>
          <w:sz w:val="21"/>
          <w:szCs w:val="21"/>
        </w:rPr>
        <w:t xml:space="preserve"> GoPNG agencies.  It is understood</w:t>
      </w:r>
      <w:r w:rsidR="008C65D9" w:rsidRPr="00FA288E">
        <w:rPr>
          <w:rFonts w:ascii="Calibri" w:hAnsi="Calibri" w:cs="Calibri"/>
          <w:sz w:val="21"/>
          <w:szCs w:val="21"/>
        </w:rPr>
        <w:t xml:space="preserve"> and appreciated</w:t>
      </w:r>
      <w:r w:rsidRPr="00FA288E">
        <w:rPr>
          <w:rFonts w:ascii="Calibri" w:hAnsi="Calibri" w:cs="Calibri"/>
          <w:sz w:val="21"/>
          <w:szCs w:val="21"/>
        </w:rPr>
        <w:t xml:space="preserve"> that the A</w:t>
      </w:r>
      <w:r w:rsidR="00D54281" w:rsidRPr="00FA288E">
        <w:rPr>
          <w:rFonts w:ascii="Calibri" w:hAnsi="Calibri" w:cs="Calibri"/>
          <w:sz w:val="21"/>
          <w:szCs w:val="21"/>
        </w:rPr>
        <w:t xml:space="preserve">ustralian </w:t>
      </w:r>
      <w:r w:rsidR="001444CE" w:rsidRPr="00FA288E">
        <w:rPr>
          <w:rFonts w:ascii="Calibri" w:hAnsi="Calibri" w:cs="Calibri"/>
          <w:sz w:val="21"/>
          <w:szCs w:val="21"/>
        </w:rPr>
        <w:t>G</w:t>
      </w:r>
      <w:r w:rsidR="00D54281" w:rsidRPr="00FA288E">
        <w:rPr>
          <w:rFonts w:ascii="Calibri" w:hAnsi="Calibri" w:cs="Calibri"/>
          <w:sz w:val="21"/>
          <w:szCs w:val="21"/>
        </w:rPr>
        <w:t>overnment</w:t>
      </w:r>
      <w:r w:rsidRPr="00FA288E">
        <w:rPr>
          <w:rFonts w:ascii="Calibri" w:hAnsi="Calibri" w:cs="Calibri"/>
          <w:sz w:val="21"/>
          <w:szCs w:val="21"/>
        </w:rPr>
        <w:t xml:space="preserve"> desires to manage communications directly with GoPNG agencies, </w:t>
      </w:r>
      <w:r w:rsidR="008C65D9" w:rsidRPr="00FA288E">
        <w:rPr>
          <w:rFonts w:ascii="Calibri" w:hAnsi="Calibri" w:cs="Calibri"/>
          <w:sz w:val="21"/>
          <w:szCs w:val="21"/>
        </w:rPr>
        <w:t>however,</w:t>
      </w:r>
      <w:r w:rsidRPr="00FA288E">
        <w:rPr>
          <w:rFonts w:ascii="Calibri" w:hAnsi="Calibri" w:cs="Calibri"/>
          <w:sz w:val="21"/>
          <w:szCs w:val="21"/>
        </w:rPr>
        <w:t xml:space="preserve"> this has created barriers to efficient information flow</w:t>
      </w:r>
      <w:r w:rsidR="008C65D9" w:rsidRPr="00FA288E">
        <w:rPr>
          <w:rFonts w:ascii="Calibri" w:hAnsi="Calibri" w:cs="Calibri"/>
          <w:sz w:val="21"/>
          <w:szCs w:val="21"/>
        </w:rPr>
        <w:t xml:space="preserve"> about project progress</w:t>
      </w:r>
      <w:r w:rsidRPr="00FA288E">
        <w:rPr>
          <w:rFonts w:ascii="Calibri" w:hAnsi="Calibri" w:cs="Calibri"/>
          <w:sz w:val="21"/>
          <w:szCs w:val="21"/>
        </w:rPr>
        <w:t xml:space="preserve">, resulting in </w:t>
      </w:r>
      <w:r w:rsidR="008C65D9" w:rsidRPr="00FA288E">
        <w:rPr>
          <w:rFonts w:ascii="Calibri" w:hAnsi="Calibri" w:cs="Calibri"/>
          <w:sz w:val="21"/>
          <w:szCs w:val="21"/>
        </w:rPr>
        <w:t xml:space="preserve">expressed </w:t>
      </w:r>
      <w:r w:rsidRPr="00FA288E">
        <w:rPr>
          <w:rFonts w:ascii="Calibri" w:hAnsi="Calibri" w:cs="Calibri"/>
          <w:sz w:val="21"/>
          <w:szCs w:val="21"/>
        </w:rPr>
        <w:t>frustration on the part of the GoPNG and the grantees who have had previous experience</w:t>
      </w:r>
      <w:r w:rsidR="008C65D9" w:rsidRPr="00FA288E">
        <w:rPr>
          <w:rFonts w:ascii="Calibri" w:hAnsi="Calibri" w:cs="Calibri"/>
          <w:sz w:val="21"/>
          <w:szCs w:val="21"/>
        </w:rPr>
        <w:t>s</w:t>
      </w:r>
      <w:r w:rsidRPr="00FA288E">
        <w:rPr>
          <w:rFonts w:ascii="Calibri" w:hAnsi="Calibri" w:cs="Calibri"/>
          <w:sz w:val="21"/>
          <w:szCs w:val="21"/>
        </w:rPr>
        <w:t xml:space="preserve"> </w:t>
      </w:r>
      <w:r w:rsidR="008C65D9" w:rsidRPr="00FA288E">
        <w:rPr>
          <w:rFonts w:ascii="Calibri" w:hAnsi="Calibri" w:cs="Calibri"/>
          <w:sz w:val="21"/>
          <w:szCs w:val="21"/>
        </w:rPr>
        <w:t>communicating with stakeholders on project progress</w:t>
      </w:r>
      <w:r w:rsidRPr="00FA288E">
        <w:rPr>
          <w:rFonts w:ascii="Calibri" w:hAnsi="Calibri" w:cs="Calibri"/>
          <w:sz w:val="21"/>
          <w:szCs w:val="21"/>
        </w:rPr>
        <w:t>.</w:t>
      </w:r>
      <w:r w:rsidRPr="00FA288E">
        <w:rPr>
          <w:rStyle w:val="FootnoteReference"/>
          <w:rFonts w:ascii="Calibri" w:hAnsi="Calibri" w:cs="Calibri"/>
          <w:sz w:val="21"/>
          <w:szCs w:val="21"/>
        </w:rPr>
        <w:footnoteReference w:id="60"/>
      </w:r>
      <w:r w:rsidRPr="00FA288E">
        <w:rPr>
          <w:rFonts w:ascii="Calibri" w:hAnsi="Calibri" w:cs="Calibri"/>
          <w:sz w:val="21"/>
          <w:szCs w:val="21"/>
        </w:rPr>
        <w:t xml:space="preserve"> </w:t>
      </w:r>
      <w:r w:rsidR="008C65D9" w:rsidRPr="00FA288E">
        <w:rPr>
          <w:rFonts w:ascii="Calibri" w:hAnsi="Calibri" w:cs="Calibri"/>
          <w:sz w:val="21"/>
          <w:szCs w:val="21"/>
        </w:rPr>
        <w:t>As well, p</w:t>
      </w:r>
      <w:r w:rsidRPr="00FA288E">
        <w:rPr>
          <w:rFonts w:ascii="Calibri" w:hAnsi="Calibri" w:cs="Calibri"/>
          <w:sz w:val="21"/>
          <w:szCs w:val="21"/>
        </w:rPr>
        <w:t>rolonged timelines with respect to the submission, quality assurance and revision of</w:t>
      </w:r>
      <w:r w:rsidR="007A0260" w:rsidRPr="00FA288E">
        <w:rPr>
          <w:rFonts w:ascii="Calibri" w:hAnsi="Calibri" w:cs="Calibri"/>
          <w:sz w:val="21"/>
          <w:szCs w:val="21"/>
        </w:rPr>
        <w:t xml:space="preserve"> project</w:t>
      </w:r>
      <w:r w:rsidRPr="00FA288E">
        <w:rPr>
          <w:rFonts w:ascii="Calibri" w:hAnsi="Calibri" w:cs="Calibri"/>
          <w:sz w:val="21"/>
          <w:szCs w:val="21"/>
        </w:rPr>
        <w:t xml:space="preserve"> reports </w:t>
      </w:r>
      <w:r w:rsidR="007A0260" w:rsidRPr="00FA288E">
        <w:rPr>
          <w:rFonts w:ascii="Calibri" w:hAnsi="Calibri" w:cs="Calibri"/>
          <w:sz w:val="21"/>
          <w:szCs w:val="21"/>
        </w:rPr>
        <w:t>is inefficient</w:t>
      </w:r>
      <w:r w:rsidRPr="00FA288E">
        <w:rPr>
          <w:rFonts w:ascii="Calibri" w:hAnsi="Calibri" w:cs="Calibri"/>
          <w:sz w:val="21"/>
          <w:szCs w:val="21"/>
        </w:rPr>
        <w:t>. For example, from the initial submission of the PKS baseline evaluation report to submission to the A</w:t>
      </w:r>
      <w:r w:rsidR="00D54281" w:rsidRPr="00FA288E">
        <w:rPr>
          <w:rFonts w:ascii="Calibri" w:hAnsi="Calibri" w:cs="Calibri"/>
          <w:sz w:val="21"/>
          <w:szCs w:val="21"/>
        </w:rPr>
        <w:t xml:space="preserve">ustralian </w:t>
      </w:r>
      <w:r w:rsidR="001444CE" w:rsidRPr="00FA288E">
        <w:rPr>
          <w:rFonts w:ascii="Calibri" w:hAnsi="Calibri" w:cs="Calibri"/>
          <w:sz w:val="21"/>
          <w:szCs w:val="21"/>
        </w:rPr>
        <w:t>G</w:t>
      </w:r>
      <w:r w:rsidR="00D54281" w:rsidRPr="00FA288E">
        <w:rPr>
          <w:rFonts w:ascii="Calibri" w:hAnsi="Calibri" w:cs="Calibri"/>
          <w:sz w:val="21"/>
          <w:szCs w:val="21"/>
        </w:rPr>
        <w:t>overnment</w:t>
      </w:r>
      <w:r w:rsidRPr="00FA288E">
        <w:rPr>
          <w:rFonts w:ascii="Calibri" w:hAnsi="Calibri" w:cs="Calibri"/>
          <w:sz w:val="21"/>
          <w:szCs w:val="21"/>
        </w:rPr>
        <w:t xml:space="preserve"> took approximately four months.  In the case of the midline reports for RISE and T4E, this process was approximately seven months, reducing the utility of the information for planning purposes. This situation appears to be the result of two factors: 1) limited attention by the projects (due to demands of implementation) to address quality assurance issues identified by the PPF Secretariat; and, 2) limited time available for the PPF Secretariat Education Specialist to conduct quality assurance functions.</w:t>
      </w:r>
    </w:p>
    <w:p w14:paraId="334FAFC5" w14:textId="07F27C4C" w:rsidR="00614C93" w:rsidRPr="00FA288E" w:rsidRDefault="00614C93" w:rsidP="001000C9">
      <w:pPr>
        <w:pStyle w:val="BodyText"/>
        <w:spacing w:after="80" w:line="240" w:lineRule="auto"/>
        <w:rPr>
          <w:rFonts w:ascii="Calibri" w:hAnsi="Calibri" w:cs="Calibri"/>
          <w:sz w:val="21"/>
          <w:szCs w:val="21"/>
        </w:rPr>
      </w:pPr>
      <w:r w:rsidRPr="00FA288E">
        <w:rPr>
          <w:rFonts w:ascii="Calibri" w:hAnsi="Calibri" w:cs="Calibri"/>
          <w:sz w:val="21"/>
          <w:szCs w:val="21"/>
        </w:rPr>
        <w:t>A</w:t>
      </w:r>
      <w:r w:rsidR="007A0260" w:rsidRPr="00FA288E">
        <w:rPr>
          <w:rFonts w:ascii="Calibri" w:hAnsi="Calibri" w:cs="Calibri"/>
          <w:sz w:val="21"/>
          <w:szCs w:val="21"/>
        </w:rPr>
        <w:t xml:space="preserve"> more recent</w:t>
      </w:r>
      <w:r w:rsidRPr="00FA288E">
        <w:rPr>
          <w:rFonts w:ascii="Calibri" w:hAnsi="Calibri" w:cs="Calibri"/>
          <w:sz w:val="21"/>
          <w:szCs w:val="21"/>
        </w:rPr>
        <w:t xml:space="preserve"> issue affecting project efficiency </w:t>
      </w:r>
      <w:r w:rsidR="007A0260" w:rsidRPr="00FA288E">
        <w:rPr>
          <w:rFonts w:ascii="Calibri" w:hAnsi="Calibri" w:cs="Calibri"/>
          <w:sz w:val="21"/>
          <w:szCs w:val="21"/>
        </w:rPr>
        <w:t>is the</w:t>
      </w:r>
      <w:r w:rsidRPr="00FA288E">
        <w:rPr>
          <w:rFonts w:ascii="Calibri" w:hAnsi="Calibri" w:cs="Calibri"/>
          <w:sz w:val="21"/>
          <w:szCs w:val="21"/>
        </w:rPr>
        <w:t xml:space="preserve"> late timing of A</w:t>
      </w:r>
      <w:r w:rsidR="00D54281" w:rsidRPr="00FA288E">
        <w:rPr>
          <w:rFonts w:ascii="Calibri" w:hAnsi="Calibri" w:cs="Calibri"/>
          <w:sz w:val="21"/>
          <w:szCs w:val="21"/>
        </w:rPr>
        <w:t xml:space="preserve">ustralian </w:t>
      </w:r>
      <w:r w:rsidR="001444CE" w:rsidRPr="00FA288E">
        <w:rPr>
          <w:rFonts w:ascii="Calibri" w:hAnsi="Calibri" w:cs="Calibri"/>
          <w:sz w:val="21"/>
          <w:szCs w:val="21"/>
        </w:rPr>
        <w:t>G</w:t>
      </w:r>
      <w:r w:rsidR="00D54281" w:rsidRPr="00FA288E">
        <w:rPr>
          <w:rFonts w:ascii="Calibri" w:hAnsi="Calibri" w:cs="Calibri"/>
          <w:sz w:val="21"/>
          <w:szCs w:val="21"/>
        </w:rPr>
        <w:t>overnment</w:t>
      </w:r>
      <w:r w:rsidRPr="00FA288E">
        <w:rPr>
          <w:rFonts w:ascii="Calibri" w:hAnsi="Calibri" w:cs="Calibri"/>
          <w:sz w:val="21"/>
          <w:szCs w:val="21"/>
        </w:rPr>
        <w:t xml:space="preserve">’s advice regarding the intention to extend the </w:t>
      </w:r>
      <w:r w:rsidR="007A0260" w:rsidRPr="00FA288E">
        <w:rPr>
          <w:rFonts w:ascii="Calibri" w:hAnsi="Calibri" w:cs="Calibri"/>
          <w:sz w:val="21"/>
          <w:szCs w:val="21"/>
        </w:rPr>
        <w:t>three grants</w:t>
      </w:r>
      <w:r w:rsidRPr="00FA288E">
        <w:rPr>
          <w:rFonts w:ascii="Calibri" w:hAnsi="Calibri" w:cs="Calibri"/>
          <w:sz w:val="21"/>
          <w:szCs w:val="21"/>
        </w:rPr>
        <w:t xml:space="preserve">.  One major effect is that two </w:t>
      </w:r>
      <w:r w:rsidR="007A0260" w:rsidRPr="00FA288E">
        <w:rPr>
          <w:rFonts w:ascii="Calibri" w:hAnsi="Calibri" w:cs="Calibri"/>
          <w:sz w:val="21"/>
          <w:szCs w:val="21"/>
        </w:rPr>
        <w:t xml:space="preserve">different </w:t>
      </w:r>
      <w:r w:rsidR="00FA288E">
        <w:rPr>
          <w:rFonts w:ascii="Calibri" w:hAnsi="Calibri" w:cs="Calibri"/>
          <w:sz w:val="21"/>
          <w:szCs w:val="21"/>
        </w:rPr>
        <w:t>end line</w:t>
      </w:r>
      <w:r w:rsidRPr="00FA288E">
        <w:rPr>
          <w:rFonts w:ascii="Calibri" w:hAnsi="Calibri" w:cs="Calibri"/>
          <w:sz w:val="21"/>
          <w:szCs w:val="21"/>
        </w:rPr>
        <w:t>s will be conducted for RISE and T4E (one</w:t>
      </w:r>
      <w:r w:rsidR="007A0260" w:rsidRPr="00FA288E">
        <w:rPr>
          <w:rFonts w:ascii="Calibri" w:hAnsi="Calibri" w:cs="Calibri"/>
          <w:sz w:val="21"/>
          <w:szCs w:val="21"/>
        </w:rPr>
        <w:t xml:space="preserve"> to meet the</w:t>
      </w:r>
      <w:r w:rsidRPr="00FA288E">
        <w:rPr>
          <w:rFonts w:ascii="Calibri" w:hAnsi="Calibri" w:cs="Calibri"/>
          <w:sz w:val="21"/>
          <w:szCs w:val="21"/>
        </w:rPr>
        <w:t xml:space="preserve"> </w:t>
      </w:r>
      <w:r w:rsidR="008C75DB" w:rsidRPr="00FA288E">
        <w:rPr>
          <w:rFonts w:ascii="Calibri" w:hAnsi="Calibri" w:cs="Calibri"/>
          <w:sz w:val="21"/>
          <w:szCs w:val="21"/>
        </w:rPr>
        <w:t xml:space="preserve">initial </w:t>
      </w:r>
      <w:r w:rsidR="007A0260" w:rsidRPr="00FA288E">
        <w:rPr>
          <w:rFonts w:ascii="Calibri" w:hAnsi="Calibri" w:cs="Calibri"/>
          <w:sz w:val="21"/>
          <w:szCs w:val="21"/>
        </w:rPr>
        <w:t xml:space="preserve">project completion date - </w:t>
      </w:r>
      <w:r w:rsidR="006166CC" w:rsidRPr="00FA288E">
        <w:rPr>
          <w:rFonts w:ascii="Calibri" w:hAnsi="Calibri" w:cs="Calibri"/>
          <w:sz w:val="21"/>
          <w:szCs w:val="21"/>
        </w:rPr>
        <w:t>April</w:t>
      </w:r>
      <w:r w:rsidR="007A0260" w:rsidRPr="00FA288E">
        <w:rPr>
          <w:rFonts w:ascii="Calibri" w:hAnsi="Calibri" w:cs="Calibri"/>
          <w:sz w:val="21"/>
          <w:szCs w:val="21"/>
        </w:rPr>
        <w:t xml:space="preserve"> 2020 </w:t>
      </w:r>
      <w:r w:rsidRPr="00FA288E">
        <w:rPr>
          <w:rFonts w:ascii="Calibri" w:hAnsi="Calibri" w:cs="Calibri"/>
          <w:sz w:val="21"/>
          <w:szCs w:val="21"/>
        </w:rPr>
        <w:t xml:space="preserve">and one </w:t>
      </w:r>
      <w:r w:rsidR="007A0260" w:rsidRPr="00FA288E">
        <w:rPr>
          <w:rFonts w:ascii="Calibri" w:hAnsi="Calibri" w:cs="Calibri"/>
          <w:sz w:val="21"/>
          <w:szCs w:val="21"/>
        </w:rPr>
        <w:t>to meet the completion date for the</w:t>
      </w:r>
      <w:r w:rsidRPr="00FA288E">
        <w:rPr>
          <w:rFonts w:ascii="Calibri" w:hAnsi="Calibri" w:cs="Calibri"/>
          <w:sz w:val="21"/>
          <w:szCs w:val="21"/>
        </w:rPr>
        <w:t xml:space="preserve"> extension</w:t>
      </w:r>
      <w:r w:rsidR="007A0260" w:rsidRPr="00FA288E">
        <w:rPr>
          <w:rFonts w:ascii="Calibri" w:hAnsi="Calibri" w:cs="Calibri"/>
          <w:sz w:val="21"/>
          <w:szCs w:val="21"/>
        </w:rPr>
        <w:t xml:space="preserve"> – </w:t>
      </w:r>
      <w:r w:rsidR="006166CC" w:rsidRPr="00FA288E">
        <w:rPr>
          <w:rFonts w:ascii="Calibri" w:hAnsi="Calibri" w:cs="Calibri"/>
          <w:sz w:val="21"/>
          <w:szCs w:val="21"/>
        </w:rPr>
        <w:t>February</w:t>
      </w:r>
      <w:r w:rsidR="007A0260" w:rsidRPr="00FA288E">
        <w:rPr>
          <w:rFonts w:ascii="Calibri" w:hAnsi="Calibri" w:cs="Calibri"/>
          <w:sz w:val="21"/>
          <w:szCs w:val="21"/>
        </w:rPr>
        <w:t xml:space="preserve"> 2022</w:t>
      </w:r>
      <w:r w:rsidRPr="00FA288E">
        <w:rPr>
          <w:rFonts w:ascii="Calibri" w:hAnsi="Calibri" w:cs="Calibri"/>
          <w:sz w:val="21"/>
          <w:szCs w:val="21"/>
        </w:rPr>
        <w:t>).</w:t>
      </w:r>
      <w:r w:rsidRPr="00FA288E">
        <w:rPr>
          <w:rStyle w:val="FootnoteReference"/>
          <w:rFonts w:ascii="Calibri" w:hAnsi="Calibri" w:cs="Calibri"/>
          <w:sz w:val="21"/>
          <w:szCs w:val="21"/>
        </w:rPr>
        <w:footnoteReference w:id="61"/>
      </w:r>
      <w:r w:rsidRPr="00FA288E">
        <w:rPr>
          <w:rStyle w:val="FootnoteReference"/>
          <w:rFonts w:ascii="Calibri" w:hAnsi="Calibri" w:cs="Calibri"/>
          <w:sz w:val="21"/>
          <w:szCs w:val="21"/>
        </w:rPr>
        <w:footnoteReference w:id="62"/>
      </w:r>
      <w:r w:rsidRPr="00FA288E">
        <w:rPr>
          <w:rFonts w:ascii="Calibri" w:hAnsi="Calibri" w:cs="Calibri"/>
          <w:sz w:val="21"/>
          <w:szCs w:val="21"/>
        </w:rPr>
        <w:t xml:space="preserve"> Another effect is that some staff have already started to make arrangements to find new employment to coincide with the original project closure</w:t>
      </w:r>
      <w:r w:rsidR="007A0260" w:rsidRPr="00FA288E">
        <w:rPr>
          <w:rFonts w:ascii="Calibri" w:hAnsi="Calibri" w:cs="Calibri"/>
          <w:sz w:val="21"/>
          <w:szCs w:val="21"/>
        </w:rPr>
        <w:t xml:space="preserve"> date. R</w:t>
      </w:r>
      <w:r w:rsidRPr="00FA288E">
        <w:rPr>
          <w:rFonts w:ascii="Calibri" w:hAnsi="Calibri" w:cs="Calibri"/>
          <w:sz w:val="21"/>
          <w:szCs w:val="21"/>
        </w:rPr>
        <w:t xml:space="preserve">ecruitment and training of replacement staff will </w:t>
      </w:r>
      <w:r w:rsidR="007A0260" w:rsidRPr="00FA288E">
        <w:rPr>
          <w:rFonts w:ascii="Calibri" w:hAnsi="Calibri" w:cs="Calibri"/>
          <w:sz w:val="21"/>
          <w:szCs w:val="21"/>
        </w:rPr>
        <w:t>result in</w:t>
      </w:r>
      <w:r w:rsidRPr="00FA288E">
        <w:rPr>
          <w:rFonts w:ascii="Calibri" w:hAnsi="Calibri" w:cs="Calibri"/>
          <w:sz w:val="21"/>
          <w:szCs w:val="21"/>
        </w:rPr>
        <w:t xml:space="preserve"> delays and inefficiencies.</w:t>
      </w:r>
    </w:p>
    <w:p w14:paraId="1316E8F8" w14:textId="77777777" w:rsidR="00614C93" w:rsidRPr="00FA288E" w:rsidRDefault="00614C93" w:rsidP="001000C9">
      <w:pPr>
        <w:pStyle w:val="BodyText"/>
        <w:spacing w:after="80" w:line="240" w:lineRule="auto"/>
        <w:rPr>
          <w:rFonts w:ascii="Calibri" w:hAnsi="Calibri" w:cs="Calibri"/>
          <w:sz w:val="21"/>
          <w:szCs w:val="21"/>
        </w:rPr>
      </w:pPr>
      <w:r w:rsidRPr="00FA288E">
        <w:rPr>
          <w:rFonts w:ascii="Calibri" w:hAnsi="Calibri" w:cs="Calibri"/>
          <w:i/>
          <w:iCs/>
          <w:sz w:val="21"/>
          <w:szCs w:val="21"/>
          <w:u w:val="single"/>
        </w:rPr>
        <w:t>Intra-consortia efficiencies</w:t>
      </w:r>
      <w:r w:rsidRPr="00FA288E">
        <w:rPr>
          <w:rFonts w:ascii="Calibri" w:hAnsi="Calibri" w:cs="Calibri"/>
          <w:sz w:val="21"/>
          <w:szCs w:val="21"/>
        </w:rPr>
        <w:t xml:space="preserve">: There have been no reported specific efficiencies emerging from within each of the consortia.  For example, there was no evidence that other programs being implemented by the three grantees (e.g. </w:t>
      </w:r>
      <w:r w:rsidR="00826A52" w:rsidRPr="00FA288E">
        <w:rPr>
          <w:rFonts w:ascii="Calibri" w:hAnsi="Calibri" w:cs="Calibri"/>
          <w:sz w:val="21"/>
          <w:szCs w:val="21"/>
        </w:rPr>
        <w:t>Water, Sanitation and Hygiene initiatives</w:t>
      </w:r>
      <w:r w:rsidR="00842142" w:rsidRPr="00FA288E">
        <w:rPr>
          <w:rFonts w:ascii="Calibri" w:hAnsi="Calibri" w:cs="Calibri"/>
          <w:sz w:val="21"/>
          <w:szCs w:val="21"/>
        </w:rPr>
        <w:t xml:space="preserve"> of CARE being integrated</w:t>
      </w:r>
      <w:r w:rsidRPr="00FA288E">
        <w:rPr>
          <w:rFonts w:ascii="Calibri" w:hAnsi="Calibri" w:cs="Calibri"/>
          <w:sz w:val="21"/>
          <w:szCs w:val="21"/>
        </w:rPr>
        <w:t xml:space="preserve"> in the PKS project) were extended to</w:t>
      </w:r>
      <w:r w:rsidR="008A1936" w:rsidRPr="00FA288E">
        <w:rPr>
          <w:rFonts w:ascii="Calibri" w:hAnsi="Calibri" w:cs="Calibri"/>
          <w:sz w:val="21"/>
          <w:szCs w:val="21"/>
        </w:rPr>
        <w:t xml:space="preserve"> those communities included in the PPF </w:t>
      </w:r>
      <w:r w:rsidR="008531C5" w:rsidRPr="00FA288E">
        <w:rPr>
          <w:rFonts w:ascii="Calibri" w:hAnsi="Calibri" w:cs="Calibri"/>
          <w:sz w:val="21"/>
          <w:szCs w:val="21"/>
        </w:rPr>
        <w:t>E</w:t>
      </w:r>
      <w:r w:rsidR="008A1936" w:rsidRPr="00FA288E">
        <w:rPr>
          <w:rFonts w:ascii="Calibri" w:hAnsi="Calibri" w:cs="Calibri"/>
          <w:sz w:val="21"/>
          <w:szCs w:val="21"/>
        </w:rPr>
        <w:t xml:space="preserve">ducation </w:t>
      </w:r>
      <w:r w:rsidR="008531C5" w:rsidRPr="00FA288E">
        <w:rPr>
          <w:rFonts w:ascii="Calibri" w:hAnsi="Calibri" w:cs="Calibri"/>
          <w:sz w:val="21"/>
          <w:szCs w:val="21"/>
        </w:rPr>
        <w:t>G</w:t>
      </w:r>
      <w:r w:rsidR="008A1936" w:rsidRPr="00FA288E">
        <w:rPr>
          <w:rFonts w:ascii="Calibri" w:hAnsi="Calibri" w:cs="Calibri"/>
          <w:sz w:val="21"/>
          <w:szCs w:val="21"/>
        </w:rPr>
        <w:t xml:space="preserve">rants </w:t>
      </w:r>
      <w:r w:rsidRPr="00FA288E">
        <w:rPr>
          <w:rFonts w:ascii="Calibri" w:hAnsi="Calibri" w:cs="Calibri"/>
          <w:sz w:val="21"/>
          <w:szCs w:val="21"/>
        </w:rPr>
        <w:t xml:space="preserve">to capitalise on synergies. However, several intra-consortia efficiencies </w:t>
      </w:r>
      <w:r w:rsidR="004727D6" w:rsidRPr="00FA288E">
        <w:rPr>
          <w:rFonts w:ascii="Calibri" w:hAnsi="Calibri" w:cs="Calibri"/>
          <w:sz w:val="21"/>
          <w:szCs w:val="21"/>
        </w:rPr>
        <w:t>are</w:t>
      </w:r>
      <w:r w:rsidRPr="00FA288E">
        <w:rPr>
          <w:rFonts w:ascii="Calibri" w:hAnsi="Calibri" w:cs="Calibri"/>
          <w:sz w:val="21"/>
          <w:szCs w:val="21"/>
        </w:rPr>
        <w:t xml:space="preserve"> noted, including:</w:t>
      </w:r>
    </w:p>
    <w:p w14:paraId="70F421BF" w14:textId="77777777" w:rsidR="00614C93" w:rsidRPr="00FA288E" w:rsidRDefault="00614C93" w:rsidP="00602E8D">
      <w:pPr>
        <w:pStyle w:val="Bullets"/>
        <w:numPr>
          <w:ilvl w:val="0"/>
          <w:numId w:val="31"/>
        </w:numPr>
        <w:spacing w:after="0" w:line="240" w:lineRule="auto"/>
        <w:ind w:left="900"/>
        <w:jc w:val="both"/>
        <w:rPr>
          <w:rFonts w:ascii="Calibri" w:hAnsi="Calibri" w:cs="Calibri"/>
          <w:sz w:val="21"/>
          <w:szCs w:val="21"/>
        </w:rPr>
      </w:pPr>
      <w:r w:rsidRPr="00FA288E">
        <w:rPr>
          <w:rFonts w:ascii="Calibri" w:hAnsi="Calibri" w:cs="Calibri"/>
          <w:sz w:val="21"/>
          <w:szCs w:val="21"/>
        </w:rPr>
        <w:t>For T4E and PKS the consortia model offer</w:t>
      </w:r>
      <w:r w:rsidR="004727D6" w:rsidRPr="00FA288E">
        <w:rPr>
          <w:rFonts w:ascii="Calibri" w:hAnsi="Calibri" w:cs="Calibri"/>
          <w:sz w:val="21"/>
          <w:szCs w:val="21"/>
        </w:rPr>
        <w:t>s</w:t>
      </w:r>
      <w:r w:rsidRPr="00FA288E">
        <w:rPr>
          <w:rFonts w:ascii="Calibri" w:hAnsi="Calibri" w:cs="Calibri"/>
          <w:sz w:val="21"/>
          <w:szCs w:val="21"/>
        </w:rPr>
        <w:t xml:space="preserve"> additional geographic coverage that would not have been possible had a single entity taken on the project  </w:t>
      </w:r>
    </w:p>
    <w:p w14:paraId="60BF8A4E" w14:textId="77777777" w:rsidR="00614C93" w:rsidRPr="00FA288E" w:rsidRDefault="00614C93" w:rsidP="00602E8D">
      <w:pPr>
        <w:pStyle w:val="Bullets"/>
        <w:numPr>
          <w:ilvl w:val="0"/>
          <w:numId w:val="31"/>
        </w:numPr>
        <w:spacing w:after="0" w:line="240" w:lineRule="auto"/>
        <w:ind w:left="900"/>
        <w:jc w:val="both"/>
        <w:rPr>
          <w:rFonts w:ascii="Calibri" w:hAnsi="Calibri" w:cs="Calibri"/>
          <w:sz w:val="21"/>
          <w:szCs w:val="21"/>
        </w:rPr>
      </w:pPr>
      <w:r w:rsidRPr="00FA288E">
        <w:rPr>
          <w:rFonts w:ascii="Calibri" w:hAnsi="Calibri" w:cs="Calibri"/>
          <w:sz w:val="21"/>
          <w:szCs w:val="21"/>
        </w:rPr>
        <w:t>For RISE, the consortia model offer</w:t>
      </w:r>
      <w:r w:rsidR="004727D6" w:rsidRPr="00FA288E">
        <w:rPr>
          <w:rFonts w:ascii="Calibri" w:hAnsi="Calibri" w:cs="Calibri"/>
          <w:sz w:val="21"/>
          <w:szCs w:val="21"/>
        </w:rPr>
        <w:t>s</w:t>
      </w:r>
      <w:r w:rsidRPr="00FA288E">
        <w:rPr>
          <w:rFonts w:ascii="Calibri" w:hAnsi="Calibri" w:cs="Calibri"/>
          <w:sz w:val="21"/>
          <w:szCs w:val="21"/>
        </w:rPr>
        <w:t xml:space="preserve"> innovation in the provision of reading material through SIL’s Bloom Reader and Education for All</w:t>
      </w:r>
      <w:r w:rsidR="004727D6" w:rsidRPr="00FA288E">
        <w:rPr>
          <w:rFonts w:ascii="Calibri" w:hAnsi="Calibri" w:cs="Calibri"/>
          <w:sz w:val="21"/>
          <w:szCs w:val="21"/>
        </w:rPr>
        <w:t xml:space="preserve"> - </w:t>
      </w:r>
      <w:r w:rsidRPr="00FA288E">
        <w:rPr>
          <w:rFonts w:ascii="Calibri" w:hAnsi="Calibri" w:cs="Calibri"/>
          <w:sz w:val="21"/>
          <w:szCs w:val="21"/>
        </w:rPr>
        <w:t xml:space="preserve">extending this to include children with visual and hearing impairments with the assistance of Callan Services </w:t>
      </w:r>
    </w:p>
    <w:p w14:paraId="2F29BE29" w14:textId="77777777" w:rsidR="00614C93" w:rsidRPr="00FA288E" w:rsidRDefault="00614C93" w:rsidP="00602E8D">
      <w:pPr>
        <w:pStyle w:val="Bullets"/>
        <w:numPr>
          <w:ilvl w:val="0"/>
          <w:numId w:val="31"/>
        </w:numPr>
        <w:spacing w:after="0" w:line="240" w:lineRule="auto"/>
        <w:ind w:left="900"/>
        <w:jc w:val="both"/>
        <w:rPr>
          <w:rFonts w:ascii="Calibri" w:hAnsi="Calibri" w:cs="Calibri"/>
          <w:sz w:val="21"/>
          <w:szCs w:val="21"/>
        </w:rPr>
      </w:pPr>
      <w:r w:rsidRPr="00FA288E">
        <w:rPr>
          <w:rFonts w:ascii="Calibri" w:hAnsi="Calibri" w:cs="Calibri"/>
          <w:sz w:val="21"/>
          <w:szCs w:val="21"/>
        </w:rPr>
        <w:t>For T4E, the consortia model provid</w:t>
      </w:r>
      <w:r w:rsidR="00C329D7" w:rsidRPr="00FA288E">
        <w:rPr>
          <w:rFonts w:ascii="Calibri" w:hAnsi="Calibri" w:cs="Calibri"/>
          <w:sz w:val="21"/>
          <w:szCs w:val="21"/>
        </w:rPr>
        <w:t>e</w:t>
      </w:r>
      <w:r w:rsidR="004727D6" w:rsidRPr="00FA288E">
        <w:rPr>
          <w:rFonts w:ascii="Calibri" w:hAnsi="Calibri" w:cs="Calibri"/>
          <w:sz w:val="21"/>
          <w:szCs w:val="21"/>
        </w:rPr>
        <w:t>s</w:t>
      </w:r>
      <w:r w:rsidRPr="00FA288E">
        <w:rPr>
          <w:rFonts w:ascii="Calibri" w:hAnsi="Calibri" w:cs="Calibri"/>
          <w:sz w:val="21"/>
          <w:szCs w:val="21"/>
        </w:rPr>
        <w:t xml:space="preserve"> a recognised ‘link’ to potential policy </w:t>
      </w:r>
      <w:r w:rsidR="004727D6" w:rsidRPr="00FA288E">
        <w:rPr>
          <w:rFonts w:ascii="Calibri" w:hAnsi="Calibri" w:cs="Calibri"/>
          <w:sz w:val="21"/>
          <w:szCs w:val="21"/>
        </w:rPr>
        <w:t>dialogue</w:t>
      </w:r>
      <w:r w:rsidRPr="00FA288E">
        <w:rPr>
          <w:rFonts w:ascii="Calibri" w:hAnsi="Calibri" w:cs="Calibri"/>
          <w:sz w:val="21"/>
          <w:szCs w:val="21"/>
        </w:rPr>
        <w:t xml:space="preserve"> with the engagement of the CIMC, as well as access to </w:t>
      </w:r>
      <w:r w:rsidR="004727D6" w:rsidRPr="00FA288E">
        <w:rPr>
          <w:rFonts w:ascii="Calibri" w:hAnsi="Calibri" w:cs="Calibri"/>
          <w:sz w:val="21"/>
          <w:szCs w:val="21"/>
        </w:rPr>
        <w:t>50</w:t>
      </w:r>
      <w:r w:rsidRPr="00FA288E">
        <w:rPr>
          <w:rFonts w:ascii="Calibri" w:hAnsi="Calibri" w:cs="Calibri"/>
          <w:sz w:val="21"/>
          <w:szCs w:val="21"/>
        </w:rPr>
        <w:t>0 elementary level reading books through the Library for All arrangement</w:t>
      </w:r>
      <w:r w:rsidR="004727D6" w:rsidRPr="00FA288E">
        <w:rPr>
          <w:rStyle w:val="FootnoteReference"/>
          <w:rFonts w:ascii="Calibri" w:hAnsi="Calibri" w:cs="Calibri"/>
          <w:sz w:val="21"/>
          <w:szCs w:val="21"/>
        </w:rPr>
        <w:footnoteReference w:id="63"/>
      </w:r>
    </w:p>
    <w:p w14:paraId="6F70ECFB" w14:textId="77777777" w:rsidR="00614C93" w:rsidRPr="00FA288E" w:rsidRDefault="00614C93" w:rsidP="00602E8D">
      <w:pPr>
        <w:pStyle w:val="Bullets"/>
        <w:numPr>
          <w:ilvl w:val="0"/>
          <w:numId w:val="31"/>
        </w:numPr>
        <w:spacing w:after="0" w:line="240" w:lineRule="auto"/>
        <w:ind w:left="900"/>
        <w:jc w:val="both"/>
        <w:rPr>
          <w:rFonts w:ascii="Calibri" w:hAnsi="Calibri" w:cs="Calibri"/>
          <w:sz w:val="21"/>
          <w:szCs w:val="21"/>
        </w:rPr>
      </w:pPr>
      <w:r w:rsidRPr="00FA288E">
        <w:rPr>
          <w:rFonts w:ascii="Calibri" w:hAnsi="Calibri" w:cs="Calibri"/>
          <w:sz w:val="21"/>
          <w:szCs w:val="21"/>
        </w:rPr>
        <w:lastRenderedPageBreak/>
        <w:t>For PKS, the arrangement with the University of Goroka provide</w:t>
      </w:r>
      <w:r w:rsidR="004B4C52" w:rsidRPr="00FA288E">
        <w:rPr>
          <w:rFonts w:ascii="Calibri" w:hAnsi="Calibri" w:cs="Calibri"/>
          <w:sz w:val="21"/>
          <w:szCs w:val="21"/>
        </w:rPr>
        <w:t>s</w:t>
      </w:r>
      <w:r w:rsidRPr="00FA288E">
        <w:rPr>
          <w:rFonts w:ascii="Calibri" w:hAnsi="Calibri" w:cs="Calibri"/>
          <w:sz w:val="21"/>
          <w:szCs w:val="21"/>
        </w:rPr>
        <w:t xml:space="preserve"> opportunity for nearly 300 elementary teachers to obtain </w:t>
      </w:r>
      <w:r w:rsidR="001A37A1" w:rsidRPr="00FA288E">
        <w:rPr>
          <w:rFonts w:ascii="Calibri" w:hAnsi="Calibri" w:cs="Calibri"/>
          <w:sz w:val="21"/>
          <w:szCs w:val="21"/>
        </w:rPr>
        <w:t>the</w:t>
      </w:r>
      <w:r w:rsidRPr="00FA288E">
        <w:rPr>
          <w:rFonts w:ascii="Calibri" w:hAnsi="Calibri" w:cs="Calibri"/>
          <w:sz w:val="21"/>
          <w:szCs w:val="21"/>
        </w:rPr>
        <w:t xml:space="preserve"> E</w:t>
      </w:r>
      <w:r w:rsidR="00F234DA" w:rsidRPr="00FA288E">
        <w:rPr>
          <w:rFonts w:ascii="Calibri" w:hAnsi="Calibri" w:cs="Calibri"/>
          <w:sz w:val="21"/>
          <w:szCs w:val="21"/>
        </w:rPr>
        <w:t xml:space="preserve">arly </w:t>
      </w:r>
      <w:r w:rsidRPr="00FA288E">
        <w:rPr>
          <w:rFonts w:ascii="Calibri" w:hAnsi="Calibri" w:cs="Calibri"/>
          <w:sz w:val="21"/>
          <w:szCs w:val="21"/>
        </w:rPr>
        <w:t>C</w:t>
      </w:r>
      <w:r w:rsidR="00F234DA" w:rsidRPr="00FA288E">
        <w:rPr>
          <w:rFonts w:ascii="Calibri" w:hAnsi="Calibri" w:cs="Calibri"/>
          <w:sz w:val="21"/>
          <w:szCs w:val="21"/>
        </w:rPr>
        <w:t xml:space="preserve">hildhood </w:t>
      </w:r>
      <w:r w:rsidRPr="00FA288E">
        <w:rPr>
          <w:rFonts w:ascii="Calibri" w:hAnsi="Calibri" w:cs="Calibri"/>
          <w:sz w:val="21"/>
          <w:szCs w:val="21"/>
        </w:rPr>
        <w:t>E</w:t>
      </w:r>
      <w:r w:rsidR="00F234DA" w:rsidRPr="00FA288E">
        <w:rPr>
          <w:rFonts w:ascii="Calibri" w:hAnsi="Calibri" w:cs="Calibri"/>
          <w:sz w:val="21"/>
          <w:szCs w:val="21"/>
        </w:rPr>
        <w:t>ducation</w:t>
      </w:r>
      <w:r w:rsidRPr="00FA288E">
        <w:rPr>
          <w:rFonts w:ascii="Calibri" w:hAnsi="Calibri" w:cs="Calibri"/>
          <w:sz w:val="21"/>
          <w:szCs w:val="21"/>
        </w:rPr>
        <w:t xml:space="preserve"> </w:t>
      </w:r>
      <w:r w:rsidR="001A37A1" w:rsidRPr="00FA288E">
        <w:rPr>
          <w:rFonts w:ascii="Calibri" w:hAnsi="Calibri" w:cs="Calibri"/>
          <w:sz w:val="21"/>
          <w:szCs w:val="21"/>
        </w:rPr>
        <w:t>Diploma</w:t>
      </w:r>
    </w:p>
    <w:p w14:paraId="5A403AF7" w14:textId="77777777" w:rsidR="00614C93" w:rsidRPr="00FA288E" w:rsidRDefault="00614C93" w:rsidP="00602E8D">
      <w:pPr>
        <w:pStyle w:val="Bullets"/>
        <w:numPr>
          <w:ilvl w:val="0"/>
          <w:numId w:val="31"/>
        </w:numPr>
        <w:spacing w:after="80" w:line="240" w:lineRule="auto"/>
        <w:ind w:left="900"/>
        <w:jc w:val="both"/>
        <w:rPr>
          <w:rFonts w:ascii="Calibri" w:hAnsi="Calibri" w:cs="Calibri"/>
          <w:sz w:val="21"/>
          <w:szCs w:val="21"/>
        </w:rPr>
      </w:pPr>
      <w:r w:rsidRPr="00FA288E">
        <w:rPr>
          <w:rFonts w:ascii="Calibri" w:hAnsi="Calibri" w:cs="Calibri"/>
          <w:sz w:val="21"/>
          <w:szCs w:val="21"/>
        </w:rPr>
        <w:t>The development of the PKS Knowledge Hub with the University of Queensland</w:t>
      </w:r>
      <w:r w:rsidR="00296CC4" w:rsidRPr="00FA288E">
        <w:rPr>
          <w:rFonts w:ascii="Calibri" w:hAnsi="Calibri" w:cs="Calibri"/>
          <w:sz w:val="21"/>
          <w:szCs w:val="21"/>
        </w:rPr>
        <w:t xml:space="preserve"> is </w:t>
      </w:r>
      <w:r w:rsidRPr="00FA288E">
        <w:rPr>
          <w:rFonts w:ascii="Calibri" w:hAnsi="Calibri" w:cs="Calibri"/>
          <w:sz w:val="21"/>
          <w:szCs w:val="21"/>
        </w:rPr>
        <w:t>a promising efficiency initiative once technical and protocol issues are resolved and a plan for sustainability is adopted. The primary argument</w:t>
      </w:r>
      <w:r w:rsidR="00296CC4" w:rsidRPr="00FA288E">
        <w:rPr>
          <w:rFonts w:ascii="Calibri" w:hAnsi="Calibri" w:cs="Calibri"/>
          <w:sz w:val="21"/>
          <w:szCs w:val="21"/>
        </w:rPr>
        <w:t xml:space="preserve"> for efficiency</w:t>
      </w:r>
      <w:r w:rsidRPr="00FA288E">
        <w:rPr>
          <w:rFonts w:ascii="Calibri" w:hAnsi="Calibri" w:cs="Calibri"/>
          <w:sz w:val="21"/>
          <w:szCs w:val="21"/>
        </w:rPr>
        <w:t xml:space="preserve"> is that large numbers of individuals will have access to </w:t>
      </w:r>
      <w:r w:rsidR="004B4C52" w:rsidRPr="00FA288E">
        <w:rPr>
          <w:rFonts w:ascii="Calibri" w:hAnsi="Calibri" w:cs="Calibri"/>
          <w:sz w:val="21"/>
          <w:szCs w:val="21"/>
        </w:rPr>
        <w:t xml:space="preserve">a large bank of </w:t>
      </w:r>
      <w:r w:rsidRPr="00FA288E">
        <w:rPr>
          <w:rFonts w:ascii="Calibri" w:hAnsi="Calibri" w:cs="Calibri"/>
          <w:sz w:val="21"/>
          <w:szCs w:val="21"/>
        </w:rPr>
        <w:t>data and information</w:t>
      </w:r>
      <w:r w:rsidR="004B4C52" w:rsidRPr="00FA288E">
        <w:rPr>
          <w:rFonts w:ascii="Calibri" w:hAnsi="Calibri" w:cs="Calibri"/>
          <w:sz w:val="21"/>
          <w:szCs w:val="21"/>
        </w:rPr>
        <w:t xml:space="preserve"> on education</w:t>
      </w:r>
      <w:r w:rsidRPr="00FA288E">
        <w:rPr>
          <w:rFonts w:ascii="Calibri" w:hAnsi="Calibri" w:cs="Calibri"/>
          <w:sz w:val="21"/>
          <w:szCs w:val="21"/>
        </w:rPr>
        <w:t xml:space="preserve"> </w:t>
      </w:r>
    </w:p>
    <w:p w14:paraId="6D22F137" w14:textId="4EE1A0E0" w:rsidR="00614C93" w:rsidRPr="00FA288E" w:rsidRDefault="00614C93" w:rsidP="001000C9">
      <w:pPr>
        <w:pStyle w:val="BodyText"/>
        <w:spacing w:after="80" w:line="240" w:lineRule="auto"/>
        <w:rPr>
          <w:rFonts w:ascii="Calibri" w:hAnsi="Calibri" w:cs="Calibri"/>
          <w:sz w:val="21"/>
          <w:szCs w:val="21"/>
        </w:rPr>
      </w:pPr>
      <w:r w:rsidRPr="00FA288E">
        <w:rPr>
          <w:rFonts w:ascii="Calibri" w:hAnsi="Calibri" w:cs="Calibri"/>
          <w:i/>
          <w:iCs/>
          <w:sz w:val="21"/>
          <w:szCs w:val="21"/>
          <w:u w:val="single"/>
        </w:rPr>
        <w:t>Inter-consortia efficiencies</w:t>
      </w:r>
      <w:r w:rsidRPr="00FA288E">
        <w:rPr>
          <w:rFonts w:ascii="Calibri" w:hAnsi="Calibri" w:cs="Calibri"/>
          <w:sz w:val="21"/>
          <w:szCs w:val="21"/>
        </w:rPr>
        <w:t xml:space="preserve">: One of the reasons for engaging through larger grants was to reduce the transactional costs to the </w:t>
      </w:r>
      <w:r w:rsidR="00D54281" w:rsidRPr="00FA288E">
        <w:rPr>
          <w:rFonts w:ascii="Calibri" w:hAnsi="Calibri" w:cs="Calibri"/>
          <w:sz w:val="21"/>
          <w:szCs w:val="21"/>
        </w:rPr>
        <w:t xml:space="preserve">Australian </w:t>
      </w:r>
      <w:r w:rsidR="001444CE" w:rsidRPr="00FA288E">
        <w:rPr>
          <w:rFonts w:ascii="Calibri" w:hAnsi="Calibri" w:cs="Calibri"/>
          <w:sz w:val="21"/>
          <w:szCs w:val="21"/>
        </w:rPr>
        <w:t>G</w:t>
      </w:r>
      <w:r w:rsidR="00D54281" w:rsidRPr="00FA288E">
        <w:rPr>
          <w:rFonts w:ascii="Calibri" w:hAnsi="Calibri" w:cs="Calibri"/>
          <w:sz w:val="21"/>
          <w:szCs w:val="21"/>
        </w:rPr>
        <w:t>overnment</w:t>
      </w:r>
      <w:r w:rsidRPr="00FA288E">
        <w:rPr>
          <w:rFonts w:ascii="Calibri" w:hAnsi="Calibri" w:cs="Calibri"/>
          <w:sz w:val="21"/>
          <w:szCs w:val="21"/>
        </w:rPr>
        <w:t xml:space="preserve"> and GoPNG </w:t>
      </w:r>
      <w:r w:rsidR="0045601C" w:rsidRPr="00FA288E">
        <w:rPr>
          <w:rFonts w:ascii="Calibri" w:hAnsi="Calibri" w:cs="Calibri"/>
          <w:sz w:val="21"/>
          <w:szCs w:val="21"/>
        </w:rPr>
        <w:t xml:space="preserve">that are </w:t>
      </w:r>
      <w:r w:rsidRPr="00FA288E">
        <w:rPr>
          <w:rFonts w:ascii="Calibri" w:hAnsi="Calibri" w:cs="Calibri"/>
          <w:sz w:val="21"/>
          <w:szCs w:val="21"/>
        </w:rPr>
        <w:t xml:space="preserve">associated with managing a large number of small grants. This </w:t>
      </w:r>
      <w:r w:rsidR="0045601C" w:rsidRPr="00FA288E">
        <w:rPr>
          <w:rFonts w:ascii="Calibri" w:hAnsi="Calibri" w:cs="Calibri"/>
          <w:sz w:val="21"/>
          <w:szCs w:val="21"/>
        </w:rPr>
        <w:t xml:space="preserve">rationale </w:t>
      </w:r>
      <w:r w:rsidRPr="00FA288E">
        <w:rPr>
          <w:rFonts w:ascii="Calibri" w:hAnsi="Calibri" w:cs="Calibri"/>
          <w:sz w:val="21"/>
          <w:szCs w:val="21"/>
        </w:rPr>
        <w:t xml:space="preserve">also explains the management of </w:t>
      </w:r>
      <w:r w:rsidR="0045601C" w:rsidRPr="00FA288E">
        <w:rPr>
          <w:rFonts w:ascii="Calibri" w:hAnsi="Calibri" w:cs="Calibri"/>
          <w:sz w:val="21"/>
          <w:szCs w:val="21"/>
        </w:rPr>
        <w:t>all</w:t>
      </w:r>
      <w:r w:rsidRPr="00FA288E">
        <w:rPr>
          <w:rFonts w:ascii="Calibri" w:hAnsi="Calibri" w:cs="Calibri"/>
          <w:sz w:val="21"/>
          <w:szCs w:val="21"/>
        </w:rPr>
        <w:t xml:space="preserve"> grants under a single managing contractor. However, when the new PPF Secretariat Education Adviser joined at the beginning of 2019, the three grants were </w:t>
      </w:r>
      <w:r w:rsidR="00FC1F76" w:rsidRPr="00FA288E">
        <w:rPr>
          <w:rFonts w:ascii="Calibri" w:hAnsi="Calibri" w:cs="Calibri"/>
          <w:sz w:val="21"/>
          <w:szCs w:val="21"/>
        </w:rPr>
        <w:t xml:space="preserve">observed to be </w:t>
      </w:r>
      <w:r w:rsidRPr="00FA288E">
        <w:rPr>
          <w:rFonts w:ascii="Calibri" w:hAnsi="Calibri" w:cs="Calibri"/>
          <w:sz w:val="21"/>
          <w:szCs w:val="21"/>
        </w:rPr>
        <w:t xml:space="preserve">working in </w:t>
      </w:r>
      <w:r w:rsidR="00FC1F76" w:rsidRPr="00FA288E">
        <w:rPr>
          <w:rFonts w:ascii="Calibri" w:hAnsi="Calibri" w:cs="Calibri"/>
          <w:sz w:val="21"/>
          <w:szCs w:val="21"/>
        </w:rPr>
        <w:t xml:space="preserve">relative </w:t>
      </w:r>
      <w:r w:rsidRPr="00FA288E">
        <w:rPr>
          <w:rFonts w:ascii="Calibri" w:hAnsi="Calibri" w:cs="Calibri"/>
          <w:sz w:val="21"/>
          <w:szCs w:val="21"/>
        </w:rPr>
        <w:t xml:space="preserve">isolation from one another, although there were some examples of inter-consortia collaboration which led to some efficiencies.  One early example was the ‘sharing’ of baseline evaluation tools developed by RISE with T4E and PKS – as well as extending the services of the data analyst for both baselines. In response to the perceived lack of coordination provided by the PPF Secretariat prior to 2019, the three grantees took the initiative to set up a social media account where the </w:t>
      </w:r>
      <w:r w:rsidR="00FC1F76" w:rsidRPr="00FA288E">
        <w:rPr>
          <w:rFonts w:ascii="Calibri" w:hAnsi="Calibri" w:cs="Calibri"/>
          <w:sz w:val="21"/>
          <w:szCs w:val="21"/>
        </w:rPr>
        <w:t xml:space="preserve">project </w:t>
      </w:r>
      <w:r w:rsidRPr="00FA288E">
        <w:rPr>
          <w:rFonts w:ascii="Calibri" w:hAnsi="Calibri" w:cs="Calibri"/>
          <w:sz w:val="21"/>
          <w:szCs w:val="21"/>
        </w:rPr>
        <w:t xml:space="preserve">managers can share information. More recently, this sharing and collaboration was extended to the </w:t>
      </w:r>
      <w:r w:rsidR="00FA288E">
        <w:rPr>
          <w:rFonts w:ascii="Calibri" w:hAnsi="Calibri" w:cs="Calibri"/>
          <w:sz w:val="21"/>
          <w:szCs w:val="21"/>
        </w:rPr>
        <w:t>end line</w:t>
      </w:r>
      <w:r w:rsidRPr="00FA288E">
        <w:rPr>
          <w:rFonts w:ascii="Calibri" w:hAnsi="Calibri" w:cs="Calibri"/>
          <w:sz w:val="21"/>
          <w:szCs w:val="21"/>
        </w:rPr>
        <w:t xml:space="preserve"> data collection in the interests of trying to ensure consisten</w:t>
      </w:r>
      <w:r w:rsidR="00FC1F76" w:rsidRPr="00FA288E">
        <w:rPr>
          <w:rFonts w:ascii="Calibri" w:hAnsi="Calibri" w:cs="Calibri"/>
          <w:sz w:val="21"/>
          <w:szCs w:val="21"/>
        </w:rPr>
        <w:t>cy and comparability of data between projects</w:t>
      </w:r>
      <w:r w:rsidRPr="00FA288E">
        <w:rPr>
          <w:rFonts w:ascii="Calibri" w:hAnsi="Calibri" w:cs="Calibri"/>
          <w:sz w:val="21"/>
          <w:szCs w:val="21"/>
        </w:rPr>
        <w:t xml:space="preserve">. The ‘sharing’ also extends to some training materials, the </w:t>
      </w:r>
      <w:proofErr w:type="spellStart"/>
      <w:r w:rsidR="00A60A26" w:rsidRPr="00FA288E">
        <w:rPr>
          <w:rFonts w:ascii="Calibri" w:hAnsi="Calibri" w:cs="Calibri"/>
          <w:sz w:val="21"/>
          <w:szCs w:val="21"/>
        </w:rPr>
        <w:t>LfA</w:t>
      </w:r>
      <w:proofErr w:type="spellEnd"/>
      <w:r w:rsidRPr="00FA288E">
        <w:rPr>
          <w:rFonts w:ascii="Calibri" w:hAnsi="Calibri" w:cs="Calibri"/>
          <w:sz w:val="21"/>
          <w:szCs w:val="21"/>
        </w:rPr>
        <w:t xml:space="preserve"> resources, and the concept of reading clubs. Another example is the decision by T4E to extend their elementary education </w:t>
      </w:r>
      <w:r w:rsidR="00296CC4" w:rsidRPr="00FA288E">
        <w:rPr>
          <w:rFonts w:ascii="Calibri" w:hAnsi="Calibri" w:cs="Calibri"/>
          <w:sz w:val="21"/>
          <w:szCs w:val="21"/>
        </w:rPr>
        <w:t>fora facilitated by CIMC</w:t>
      </w:r>
      <w:r w:rsidRPr="00FA288E">
        <w:rPr>
          <w:rFonts w:ascii="Calibri" w:hAnsi="Calibri" w:cs="Calibri"/>
          <w:sz w:val="21"/>
          <w:szCs w:val="21"/>
        </w:rPr>
        <w:t xml:space="preserve"> to include the other projects.  This included T4E inviting CARE to participate in one of the CIMC-led provincial fora, and the joint national forum </w:t>
      </w:r>
      <w:r w:rsidR="00296CC4" w:rsidRPr="00FA288E">
        <w:rPr>
          <w:rFonts w:ascii="Calibri" w:hAnsi="Calibri" w:cs="Calibri"/>
          <w:sz w:val="21"/>
          <w:szCs w:val="21"/>
        </w:rPr>
        <w:t>at the end of</w:t>
      </w:r>
      <w:r w:rsidRPr="00FA288E">
        <w:rPr>
          <w:rFonts w:ascii="Calibri" w:hAnsi="Calibri" w:cs="Calibri"/>
          <w:sz w:val="21"/>
          <w:szCs w:val="21"/>
        </w:rPr>
        <w:t xml:space="preserve"> November 2019, where all three grantees presented and discussed highlights and challenges of their respective projects as part of their knowledge sharing o</w:t>
      </w:r>
      <w:r w:rsidR="00296CC4" w:rsidRPr="00FA288E">
        <w:rPr>
          <w:rFonts w:ascii="Calibri" w:hAnsi="Calibri" w:cs="Calibri"/>
          <w:sz w:val="21"/>
          <w:szCs w:val="21"/>
        </w:rPr>
        <w:t>bjectives</w:t>
      </w:r>
      <w:r w:rsidRPr="00FA288E">
        <w:rPr>
          <w:rFonts w:ascii="Calibri" w:hAnsi="Calibri" w:cs="Calibri"/>
          <w:sz w:val="21"/>
          <w:szCs w:val="21"/>
        </w:rPr>
        <w:t>.</w:t>
      </w:r>
      <w:r w:rsidR="00FC1F76" w:rsidRPr="00FA288E">
        <w:rPr>
          <w:rStyle w:val="FootnoteReference"/>
          <w:rFonts w:ascii="Calibri" w:hAnsi="Calibri" w:cs="Calibri"/>
          <w:sz w:val="21"/>
          <w:szCs w:val="21"/>
        </w:rPr>
        <w:footnoteReference w:id="64"/>
      </w:r>
    </w:p>
    <w:p w14:paraId="708CC2DD" w14:textId="77777777" w:rsidR="00614C93" w:rsidRPr="00FA288E" w:rsidRDefault="00614C93" w:rsidP="001000C9">
      <w:pPr>
        <w:pStyle w:val="BodyText"/>
        <w:spacing w:after="80" w:line="240" w:lineRule="auto"/>
        <w:rPr>
          <w:rFonts w:ascii="Calibri" w:hAnsi="Calibri" w:cs="Calibri"/>
          <w:sz w:val="21"/>
          <w:szCs w:val="21"/>
        </w:rPr>
      </w:pPr>
      <w:r w:rsidRPr="00FA288E">
        <w:rPr>
          <w:rFonts w:ascii="Calibri" w:hAnsi="Calibri" w:cs="Calibri"/>
          <w:i/>
          <w:iCs/>
          <w:sz w:val="21"/>
          <w:szCs w:val="21"/>
          <w:u w:val="single"/>
        </w:rPr>
        <w:t>Unit costs</w:t>
      </w:r>
      <w:r w:rsidRPr="00FA288E">
        <w:rPr>
          <w:rFonts w:ascii="Calibri" w:hAnsi="Calibri" w:cs="Calibri"/>
          <w:sz w:val="21"/>
          <w:szCs w:val="21"/>
        </w:rPr>
        <w:t xml:space="preserve">: Recognising that there are different contexts and challenges each project </w:t>
      </w:r>
      <w:r w:rsidR="00FC1F76" w:rsidRPr="00FA288E">
        <w:rPr>
          <w:rFonts w:ascii="Calibri" w:hAnsi="Calibri" w:cs="Calibri"/>
          <w:sz w:val="21"/>
          <w:szCs w:val="21"/>
        </w:rPr>
        <w:t xml:space="preserve">faces </w:t>
      </w:r>
      <w:r w:rsidRPr="00FA288E">
        <w:rPr>
          <w:rFonts w:ascii="Calibri" w:hAnsi="Calibri" w:cs="Calibri"/>
          <w:sz w:val="21"/>
          <w:szCs w:val="21"/>
        </w:rPr>
        <w:t>and that there are a range of different interventions</w:t>
      </w:r>
      <w:r w:rsidR="00FC1F76" w:rsidRPr="00FA288E">
        <w:rPr>
          <w:rFonts w:ascii="Calibri" w:hAnsi="Calibri" w:cs="Calibri"/>
          <w:sz w:val="21"/>
          <w:szCs w:val="21"/>
        </w:rPr>
        <w:t xml:space="preserve"> being implemented by each project</w:t>
      </w:r>
      <w:r w:rsidRPr="00FA288E">
        <w:rPr>
          <w:rFonts w:ascii="Calibri" w:hAnsi="Calibri" w:cs="Calibri"/>
          <w:sz w:val="21"/>
          <w:szCs w:val="21"/>
        </w:rPr>
        <w:t xml:space="preserve">, it can be instructive to approximate </w:t>
      </w:r>
      <w:r w:rsidR="0008047C" w:rsidRPr="00FA288E">
        <w:rPr>
          <w:rFonts w:ascii="Calibri" w:hAnsi="Calibri" w:cs="Calibri"/>
          <w:sz w:val="21"/>
          <w:szCs w:val="21"/>
        </w:rPr>
        <w:t>the</w:t>
      </w:r>
      <w:r w:rsidRPr="00FA288E">
        <w:rPr>
          <w:rFonts w:ascii="Calibri" w:hAnsi="Calibri" w:cs="Calibri"/>
          <w:sz w:val="21"/>
          <w:szCs w:val="21"/>
        </w:rPr>
        <w:t xml:space="preserve"> gross costs per beneficiary</w:t>
      </w:r>
      <w:r w:rsidR="00FC1F76" w:rsidRPr="00FA288E">
        <w:rPr>
          <w:rFonts w:ascii="Calibri" w:hAnsi="Calibri" w:cs="Calibri"/>
          <w:sz w:val="21"/>
          <w:szCs w:val="21"/>
        </w:rPr>
        <w:t xml:space="preserve"> for each project</w:t>
      </w:r>
      <w:r w:rsidRPr="00FA288E">
        <w:rPr>
          <w:rFonts w:ascii="Calibri" w:hAnsi="Calibri" w:cs="Calibri"/>
          <w:sz w:val="21"/>
          <w:szCs w:val="21"/>
        </w:rPr>
        <w:t>.</w:t>
      </w:r>
      <w:r w:rsidRPr="00FA288E">
        <w:rPr>
          <w:rStyle w:val="FootnoteReference"/>
          <w:rFonts w:ascii="Calibri" w:hAnsi="Calibri" w:cs="Calibri"/>
          <w:sz w:val="21"/>
          <w:szCs w:val="21"/>
        </w:rPr>
        <w:footnoteReference w:id="65"/>
      </w:r>
      <w:r w:rsidRPr="00FA288E">
        <w:rPr>
          <w:rFonts w:ascii="Calibri" w:hAnsi="Calibri" w:cs="Calibri"/>
          <w:sz w:val="21"/>
          <w:szCs w:val="21"/>
        </w:rPr>
        <w:t xml:space="preserve">  Since the primary goal is to improve literacy and numeracy of elementary school-age children, two measures</w:t>
      </w:r>
      <w:r w:rsidR="00FC1F76" w:rsidRPr="00FA288E">
        <w:rPr>
          <w:rFonts w:ascii="Calibri" w:hAnsi="Calibri" w:cs="Calibri"/>
          <w:sz w:val="21"/>
          <w:szCs w:val="21"/>
        </w:rPr>
        <w:t xml:space="preserve"> can be used</w:t>
      </w:r>
      <w:r w:rsidRPr="00FA288E">
        <w:rPr>
          <w:rFonts w:ascii="Calibri" w:hAnsi="Calibri" w:cs="Calibri"/>
          <w:sz w:val="21"/>
          <w:szCs w:val="21"/>
        </w:rPr>
        <w:t xml:space="preserve">: </w:t>
      </w:r>
      <w:proofErr w:type="spellStart"/>
      <w:r w:rsidRPr="00FA288E">
        <w:rPr>
          <w:rFonts w:ascii="Calibri" w:hAnsi="Calibri" w:cs="Calibri"/>
          <w:sz w:val="21"/>
          <w:szCs w:val="21"/>
        </w:rPr>
        <w:t>i</w:t>
      </w:r>
      <w:proofErr w:type="spellEnd"/>
      <w:r w:rsidRPr="00FA288E">
        <w:rPr>
          <w:rFonts w:ascii="Calibri" w:hAnsi="Calibri" w:cs="Calibri"/>
          <w:sz w:val="21"/>
          <w:szCs w:val="21"/>
        </w:rPr>
        <w:t xml:space="preserve">) the </w:t>
      </w:r>
      <w:r w:rsidR="00FC1F76" w:rsidRPr="00FA288E">
        <w:rPr>
          <w:rFonts w:ascii="Calibri" w:hAnsi="Calibri" w:cs="Calibri"/>
          <w:sz w:val="21"/>
          <w:szCs w:val="21"/>
        </w:rPr>
        <w:t xml:space="preserve">total </w:t>
      </w:r>
      <w:r w:rsidRPr="00FA288E">
        <w:rPr>
          <w:rFonts w:ascii="Calibri" w:hAnsi="Calibri" w:cs="Calibri"/>
          <w:sz w:val="21"/>
          <w:szCs w:val="21"/>
        </w:rPr>
        <w:t xml:space="preserve">number of </w:t>
      </w:r>
      <w:r w:rsidR="0008047C" w:rsidRPr="00FA288E">
        <w:rPr>
          <w:rFonts w:ascii="Calibri" w:hAnsi="Calibri" w:cs="Calibri"/>
          <w:sz w:val="21"/>
          <w:szCs w:val="21"/>
        </w:rPr>
        <w:t>student</w:t>
      </w:r>
      <w:r w:rsidRPr="00FA288E">
        <w:rPr>
          <w:rFonts w:ascii="Calibri" w:hAnsi="Calibri" w:cs="Calibri"/>
          <w:sz w:val="21"/>
          <w:szCs w:val="21"/>
        </w:rPr>
        <w:t xml:space="preserve"> </w:t>
      </w:r>
      <w:r w:rsidR="00FC1F76" w:rsidRPr="00FA288E">
        <w:rPr>
          <w:rFonts w:ascii="Calibri" w:hAnsi="Calibri" w:cs="Calibri"/>
          <w:sz w:val="21"/>
          <w:szCs w:val="21"/>
        </w:rPr>
        <w:t xml:space="preserve">beneficiaries </w:t>
      </w:r>
      <w:r w:rsidRPr="00FA288E">
        <w:rPr>
          <w:rFonts w:ascii="Calibri" w:hAnsi="Calibri" w:cs="Calibri"/>
          <w:sz w:val="21"/>
          <w:szCs w:val="21"/>
        </w:rPr>
        <w:t>and ii) the</w:t>
      </w:r>
      <w:r w:rsidR="00FC1F76" w:rsidRPr="00FA288E">
        <w:rPr>
          <w:rFonts w:ascii="Calibri" w:hAnsi="Calibri" w:cs="Calibri"/>
          <w:sz w:val="21"/>
          <w:szCs w:val="21"/>
        </w:rPr>
        <w:t xml:space="preserve"> total</w:t>
      </w:r>
      <w:r w:rsidRPr="00FA288E">
        <w:rPr>
          <w:rFonts w:ascii="Calibri" w:hAnsi="Calibri" w:cs="Calibri"/>
          <w:sz w:val="21"/>
          <w:szCs w:val="21"/>
        </w:rPr>
        <w:t xml:space="preserve"> number of teachers who are </w:t>
      </w:r>
      <w:r w:rsidR="00FC1F76" w:rsidRPr="00FA288E">
        <w:rPr>
          <w:rFonts w:ascii="Calibri" w:hAnsi="Calibri" w:cs="Calibri"/>
          <w:sz w:val="21"/>
          <w:szCs w:val="21"/>
        </w:rPr>
        <w:t xml:space="preserve">direct </w:t>
      </w:r>
      <w:r w:rsidRPr="00FA288E">
        <w:rPr>
          <w:rFonts w:ascii="Calibri" w:hAnsi="Calibri" w:cs="Calibri"/>
          <w:sz w:val="21"/>
          <w:szCs w:val="21"/>
        </w:rPr>
        <w:t xml:space="preserve">beneficiaries </w:t>
      </w:r>
      <w:r w:rsidR="0008047C" w:rsidRPr="00FA288E">
        <w:rPr>
          <w:rFonts w:ascii="Calibri" w:hAnsi="Calibri" w:cs="Calibri"/>
          <w:sz w:val="21"/>
          <w:szCs w:val="21"/>
        </w:rPr>
        <w:t>of</w:t>
      </w:r>
      <w:r w:rsidRPr="00FA288E">
        <w:rPr>
          <w:rFonts w:ascii="Calibri" w:hAnsi="Calibri" w:cs="Calibri"/>
          <w:sz w:val="21"/>
          <w:szCs w:val="21"/>
        </w:rPr>
        <w:t xml:space="preserve"> the projects.  The two tables below </w:t>
      </w:r>
      <w:r w:rsidR="0008047C" w:rsidRPr="00FA288E">
        <w:rPr>
          <w:rFonts w:ascii="Calibri" w:hAnsi="Calibri" w:cs="Calibri"/>
          <w:sz w:val="21"/>
          <w:szCs w:val="21"/>
        </w:rPr>
        <w:t>provide</w:t>
      </w:r>
      <w:r w:rsidRPr="00FA288E">
        <w:rPr>
          <w:rFonts w:ascii="Calibri" w:hAnsi="Calibri" w:cs="Calibri"/>
          <w:sz w:val="21"/>
          <w:szCs w:val="21"/>
        </w:rPr>
        <w:t xml:space="preserve"> overall projected costs </w:t>
      </w:r>
      <w:r w:rsidR="00FC1F76" w:rsidRPr="00FA288E">
        <w:rPr>
          <w:rFonts w:ascii="Calibri" w:hAnsi="Calibri" w:cs="Calibri"/>
          <w:sz w:val="21"/>
          <w:szCs w:val="21"/>
        </w:rPr>
        <w:t>against</w:t>
      </w:r>
      <w:r w:rsidRPr="00FA288E">
        <w:rPr>
          <w:rFonts w:ascii="Calibri" w:hAnsi="Calibri" w:cs="Calibri"/>
          <w:sz w:val="21"/>
          <w:szCs w:val="21"/>
        </w:rPr>
        <w:t xml:space="preserve"> </w:t>
      </w:r>
      <w:r w:rsidR="00FC1F76" w:rsidRPr="00FA288E">
        <w:rPr>
          <w:rFonts w:ascii="Calibri" w:hAnsi="Calibri" w:cs="Calibri"/>
          <w:sz w:val="21"/>
          <w:szCs w:val="21"/>
        </w:rPr>
        <w:t>each</w:t>
      </w:r>
      <w:r w:rsidRPr="00FA288E">
        <w:rPr>
          <w:rFonts w:ascii="Calibri" w:hAnsi="Calibri" w:cs="Calibri"/>
          <w:sz w:val="21"/>
          <w:szCs w:val="21"/>
        </w:rPr>
        <w:t xml:space="preserve"> beneficiar</w:t>
      </w:r>
      <w:r w:rsidR="00FC1F76" w:rsidRPr="00FA288E">
        <w:rPr>
          <w:rFonts w:ascii="Calibri" w:hAnsi="Calibri" w:cs="Calibri"/>
          <w:sz w:val="21"/>
          <w:szCs w:val="21"/>
        </w:rPr>
        <w:t>y</w:t>
      </w:r>
      <w:r w:rsidRPr="00FA288E">
        <w:rPr>
          <w:rFonts w:ascii="Calibri" w:hAnsi="Calibri" w:cs="Calibri"/>
          <w:sz w:val="21"/>
          <w:szCs w:val="21"/>
        </w:rPr>
        <w:t xml:space="preserve">. This information is intended only for the purposes of demonstrating a </w:t>
      </w:r>
      <w:r w:rsidR="00FC1F76" w:rsidRPr="00FA288E">
        <w:rPr>
          <w:rFonts w:ascii="Calibri" w:hAnsi="Calibri" w:cs="Calibri"/>
          <w:sz w:val="21"/>
          <w:szCs w:val="21"/>
        </w:rPr>
        <w:t xml:space="preserve">rough </w:t>
      </w:r>
      <w:r w:rsidRPr="00FA288E">
        <w:rPr>
          <w:rFonts w:ascii="Calibri" w:hAnsi="Calibri" w:cs="Calibri"/>
          <w:sz w:val="21"/>
          <w:szCs w:val="21"/>
        </w:rPr>
        <w:t xml:space="preserve">cost per beneficiary </w:t>
      </w:r>
      <w:r w:rsidR="0008047C" w:rsidRPr="00FA288E">
        <w:rPr>
          <w:rFonts w:ascii="Calibri" w:hAnsi="Calibri" w:cs="Calibri"/>
          <w:sz w:val="21"/>
          <w:szCs w:val="21"/>
        </w:rPr>
        <w:t>for each project</w:t>
      </w:r>
      <w:r w:rsidRPr="00FA288E">
        <w:rPr>
          <w:rFonts w:ascii="Calibri" w:hAnsi="Calibri" w:cs="Calibri"/>
          <w:sz w:val="21"/>
          <w:szCs w:val="21"/>
        </w:rPr>
        <w:t xml:space="preserve"> and </w:t>
      </w:r>
      <w:r w:rsidRPr="00FA288E">
        <w:rPr>
          <w:rFonts w:ascii="Calibri" w:hAnsi="Calibri" w:cs="Calibri"/>
          <w:sz w:val="21"/>
          <w:szCs w:val="21"/>
          <w:u w:val="single"/>
        </w:rPr>
        <w:t>does not</w:t>
      </w:r>
      <w:r w:rsidRPr="00FA288E">
        <w:rPr>
          <w:rFonts w:ascii="Calibri" w:hAnsi="Calibri" w:cs="Calibri"/>
          <w:sz w:val="21"/>
          <w:szCs w:val="21"/>
        </w:rPr>
        <w:t xml:space="preserve"> reflect actual expenditure</w:t>
      </w:r>
      <w:r w:rsidR="00FC1F76" w:rsidRPr="00FA288E">
        <w:rPr>
          <w:rFonts w:ascii="Calibri" w:hAnsi="Calibri" w:cs="Calibri"/>
          <w:sz w:val="21"/>
          <w:szCs w:val="21"/>
        </w:rPr>
        <w:t>s</w:t>
      </w:r>
      <w:r w:rsidRPr="00FA288E">
        <w:rPr>
          <w:rFonts w:ascii="Calibri" w:hAnsi="Calibri" w:cs="Calibri"/>
          <w:sz w:val="21"/>
          <w:szCs w:val="21"/>
        </w:rPr>
        <w:t xml:space="preserve"> per beneficiary, nor does it take into account the fact that some targets have been exceeded.</w:t>
      </w:r>
    </w:p>
    <w:p w14:paraId="631C8A19" w14:textId="3D25A42C" w:rsidR="00A34CB9" w:rsidRPr="00FA288E" w:rsidRDefault="00A34CB9" w:rsidP="001000C9">
      <w:pPr>
        <w:pStyle w:val="Caption"/>
        <w:spacing w:before="0" w:after="80" w:line="240" w:lineRule="auto"/>
        <w:ind w:left="0" w:firstLine="0"/>
        <w:rPr>
          <w:b w:val="0"/>
          <w:color w:val="auto"/>
          <w:lang w:val="en-AU"/>
        </w:rPr>
      </w:pPr>
      <w:r w:rsidRPr="00FA288E">
        <w:rPr>
          <w:b w:val="0"/>
          <w:color w:val="auto"/>
          <w:lang w:val="en-AU"/>
        </w:rPr>
        <w:t xml:space="preserve">Table </w:t>
      </w:r>
      <w:r w:rsidRPr="00FA288E">
        <w:rPr>
          <w:b w:val="0"/>
          <w:color w:val="auto"/>
          <w:lang w:val="en-AU"/>
        </w:rPr>
        <w:fldChar w:fldCharType="begin"/>
      </w:r>
      <w:r w:rsidRPr="00FA288E">
        <w:rPr>
          <w:b w:val="0"/>
          <w:color w:val="auto"/>
          <w:lang w:val="en-AU"/>
        </w:rPr>
        <w:instrText xml:space="preserve"> SEQ Table \* ARABIC </w:instrText>
      </w:r>
      <w:r w:rsidRPr="00FA288E">
        <w:rPr>
          <w:b w:val="0"/>
          <w:color w:val="auto"/>
          <w:lang w:val="en-AU"/>
        </w:rPr>
        <w:fldChar w:fldCharType="separate"/>
      </w:r>
      <w:r w:rsidR="00C22013">
        <w:rPr>
          <w:b w:val="0"/>
          <w:noProof/>
          <w:color w:val="auto"/>
          <w:lang w:val="en-AU"/>
        </w:rPr>
        <w:t>10</w:t>
      </w:r>
      <w:r w:rsidRPr="00FA288E">
        <w:rPr>
          <w:b w:val="0"/>
          <w:color w:val="auto"/>
          <w:lang w:val="en-AU"/>
        </w:rPr>
        <w:fldChar w:fldCharType="end"/>
      </w:r>
      <w:r w:rsidRPr="00FA288E">
        <w:rPr>
          <w:b w:val="0"/>
          <w:color w:val="auto"/>
          <w:lang w:val="en-AU"/>
        </w:rPr>
        <w:t xml:space="preserve"> </w:t>
      </w:r>
      <w:r w:rsidR="0008047C" w:rsidRPr="00FA288E">
        <w:rPr>
          <w:b w:val="0"/>
          <w:color w:val="auto"/>
          <w:lang w:val="en-AU"/>
        </w:rPr>
        <w:t>Esti</w:t>
      </w:r>
      <w:r w:rsidR="0002165D" w:rsidRPr="00FA288E">
        <w:rPr>
          <w:b w:val="0"/>
          <w:color w:val="auto"/>
          <w:lang w:val="en-AU"/>
        </w:rPr>
        <w:t>ma</w:t>
      </w:r>
      <w:r w:rsidR="0008047C" w:rsidRPr="00FA288E">
        <w:rPr>
          <w:b w:val="0"/>
          <w:color w:val="auto"/>
          <w:lang w:val="en-AU"/>
        </w:rPr>
        <w:t xml:space="preserve">ted </w:t>
      </w:r>
      <w:r w:rsidR="00973DA1" w:rsidRPr="00FA288E">
        <w:rPr>
          <w:b w:val="0"/>
          <w:color w:val="auto"/>
          <w:lang w:val="en-AU"/>
        </w:rPr>
        <w:t xml:space="preserve">projected </w:t>
      </w:r>
      <w:r w:rsidRPr="00FA288E">
        <w:rPr>
          <w:b w:val="0"/>
          <w:color w:val="auto"/>
          <w:lang w:val="en-AU"/>
        </w:rPr>
        <w:t>cost per elementary student</w:t>
      </w:r>
      <w:r w:rsidR="00973DA1" w:rsidRPr="00FA288E">
        <w:rPr>
          <w:b w:val="0"/>
          <w:color w:val="auto"/>
          <w:lang w:val="en-AU"/>
        </w:rPr>
        <w:t xml:space="preserve"> for the duration of the grants</w:t>
      </w:r>
      <w:r w:rsidR="000A0A7E" w:rsidRPr="00FA288E">
        <w:rPr>
          <w:b w:val="0"/>
          <w:color w:val="auto"/>
          <w:lang w:val="en-AU"/>
        </w:rPr>
        <w:t xml:space="preserve"> </w:t>
      </w:r>
      <w:r w:rsidR="00CC7CCE" w:rsidRPr="00FA288E">
        <w:rPr>
          <w:b w:val="0"/>
          <w:color w:val="auto"/>
          <w:lang w:val="en-AU"/>
        </w:rPr>
        <w:t>(</w:t>
      </w:r>
      <w:r w:rsidR="008C75DB" w:rsidRPr="00FA288E">
        <w:rPr>
          <w:b w:val="0"/>
          <w:color w:val="auto"/>
          <w:lang w:val="en-AU"/>
        </w:rPr>
        <w:t>June</w:t>
      </w:r>
      <w:r w:rsidR="00FC1F76" w:rsidRPr="00FA288E">
        <w:rPr>
          <w:b w:val="0"/>
          <w:color w:val="auto"/>
          <w:lang w:val="en-AU"/>
        </w:rPr>
        <w:t xml:space="preserve"> </w:t>
      </w:r>
      <w:r w:rsidR="00CC7CCE" w:rsidRPr="00FA288E">
        <w:rPr>
          <w:b w:val="0"/>
          <w:color w:val="auto"/>
          <w:lang w:val="en-AU"/>
        </w:rPr>
        <w:t>2020)</w:t>
      </w:r>
      <w:r w:rsidR="00AD64DF" w:rsidRPr="00FA288E">
        <w:rPr>
          <w:rStyle w:val="FootnoteReference"/>
          <w:b w:val="0"/>
          <w:color w:val="auto"/>
          <w:lang w:val="en-AU"/>
        </w:rPr>
        <w:footnoteReference w:id="66"/>
      </w:r>
    </w:p>
    <w:tbl>
      <w:tblPr>
        <w:tblStyle w:val="TableGrid"/>
        <w:tblW w:w="0" w:type="auto"/>
        <w:tblInd w:w="-5" w:type="dxa"/>
        <w:tblLook w:val="04A0" w:firstRow="1" w:lastRow="0" w:firstColumn="1" w:lastColumn="0" w:noHBand="0" w:noVBand="1"/>
        <w:tblCaption w:val="Table 10 Estimated projected cost per elementary student for the duration of the grants (June 2020)"/>
        <w:tblDescription w:val="RISE's cost per student if AUD214.24; T4E's cost per student is AUD704.80; and PKS' cost per students if AUD384.60"/>
      </w:tblPr>
      <w:tblGrid>
        <w:gridCol w:w="1086"/>
        <w:gridCol w:w="2260"/>
        <w:gridCol w:w="3164"/>
        <w:gridCol w:w="3208"/>
      </w:tblGrid>
      <w:tr w:rsidR="00511B0B" w:rsidRPr="00FA288E" w14:paraId="3AB5960F" w14:textId="77777777" w:rsidTr="00AE259C">
        <w:trPr>
          <w:trHeight w:val="23"/>
          <w:tblHeader/>
        </w:trPr>
        <w:tc>
          <w:tcPr>
            <w:tcW w:w="1086" w:type="dxa"/>
            <w:shd w:val="clear" w:color="auto" w:fill="262626" w:themeFill="text1" w:themeFillTint="D9"/>
          </w:tcPr>
          <w:p w14:paraId="58EADDFC"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Project</w:t>
            </w:r>
          </w:p>
        </w:tc>
        <w:tc>
          <w:tcPr>
            <w:tcW w:w="2260" w:type="dxa"/>
            <w:shd w:val="clear" w:color="auto" w:fill="262626" w:themeFill="text1" w:themeFillTint="D9"/>
          </w:tcPr>
          <w:p w14:paraId="455304E2" w14:textId="77777777" w:rsidR="00511B0B" w:rsidRPr="00FA288E" w:rsidRDefault="005F76BE"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 xml:space="preserve">Target </w:t>
            </w:r>
            <w:r w:rsidR="00511B0B" w:rsidRPr="00FA288E">
              <w:rPr>
                <w:rFonts w:ascii="Calibri" w:hAnsi="Calibri" w:cs="Calibri"/>
                <w:szCs w:val="20"/>
                <w:lang w:val="en-AU"/>
              </w:rPr>
              <w:t># of Students</w:t>
            </w:r>
          </w:p>
        </w:tc>
        <w:tc>
          <w:tcPr>
            <w:tcW w:w="3164" w:type="dxa"/>
            <w:shd w:val="clear" w:color="auto" w:fill="262626" w:themeFill="text1" w:themeFillTint="D9"/>
          </w:tcPr>
          <w:p w14:paraId="1CEF2101"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Total Project Budget (AUD)</w:t>
            </w:r>
          </w:p>
        </w:tc>
        <w:tc>
          <w:tcPr>
            <w:tcW w:w="3208" w:type="dxa"/>
            <w:shd w:val="clear" w:color="auto" w:fill="262626" w:themeFill="text1" w:themeFillTint="D9"/>
          </w:tcPr>
          <w:p w14:paraId="1CD1E11B"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Gross cost / student (AUD)</w:t>
            </w:r>
          </w:p>
        </w:tc>
      </w:tr>
      <w:tr w:rsidR="00511B0B" w:rsidRPr="00FA288E" w14:paraId="4AAD8867" w14:textId="77777777" w:rsidTr="00643B5D">
        <w:trPr>
          <w:trHeight w:val="23"/>
        </w:trPr>
        <w:tc>
          <w:tcPr>
            <w:tcW w:w="1086" w:type="dxa"/>
            <w:shd w:val="clear" w:color="auto" w:fill="262626" w:themeFill="text1" w:themeFillTint="D9"/>
          </w:tcPr>
          <w:p w14:paraId="634AA1B4"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RISE</w:t>
            </w:r>
          </w:p>
        </w:tc>
        <w:tc>
          <w:tcPr>
            <w:tcW w:w="2260" w:type="dxa"/>
            <w:vAlign w:val="center"/>
          </w:tcPr>
          <w:p w14:paraId="412A5194"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84,200</w:t>
            </w:r>
          </w:p>
        </w:tc>
        <w:tc>
          <w:tcPr>
            <w:tcW w:w="3164" w:type="dxa"/>
            <w:vAlign w:val="center"/>
          </w:tcPr>
          <w:p w14:paraId="0F8876C8"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18,039,129</w:t>
            </w:r>
          </w:p>
        </w:tc>
        <w:tc>
          <w:tcPr>
            <w:tcW w:w="3208" w:type="dxa"/>
            <w:vAlign w:val="center"/>
          </w:tcPr>
          <w:p w14:paraId="01418C3C"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214.24</w:t>
            </w:r>
          </w:p>
        </w:tc>
      </w:tr>
      <w:tr w:rsidR="00511B0B" w:rsidRPr="00FA288E" w14:paraId="444682CE" w14:textId="77777777" w:rsidTr="00643B5D">
        <w:trPr>
          <w:trHeight w:val="23"/>
        </w:trPr>
        <w:tc>
          <w:tcPr>
            <w:tcW w:w="1086" w:type="dxa"/>
            <w:shd w:val="clear" w:color="auto" w:fill="262626" w:themeFill="text1" w:themeFillTint="D9"/>
          </w:tcPr>
          <w:p w14:paraId="7E56B081"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T4E</w:t>
            </w:r>
          </w:p>
        </w:tc>
        <w:tc>
          <w:tcPr>
            <w:tcW w:w="2260" w:type="dxa"/>
            <w:vAlign w:val="center"/>
          </w:tcPr>
          <w:p w14:paraId="5EBE4F67"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20,000</w:t>
            </w:r>
          </w:p>
        </w:tc>
        <w:tc>
          <w:tcPr>
            <w:tcW w:w="3164" w:type="dxa"/>
            <w:vAlign w:val="center"/>
          </w:tcPr>
          <w:p w14:paraId="45F91D13"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14,095,993</w:t>
            </w:r>
          </w:p>
        </w:tc>
        <w:tc>
          <w:tcPr>
            <w:tcW w:w="3208" w:type="dxa"/>
            <w:vAlign w:val="center"/>
          </w:tcPr>
          <w:p w14:paraId="00DD4902"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704.80</w:t>
            </w:r>
          </w:p>
        </w:tc>
      </w:tr>
      <w:tr w:rsidR="00511B0B" w:rsidRPr="00FA288E" w14:paraId="05A3082B" w14:textId="77777777" w:rsidTr="00643B5D">
        <w:trPr>
          <w:trHeight w:val="23"/>
        </w:trPr>
        <w:tc>
          <w:tcPr>
            <w:tcW w:w="1086" w:type="dxa"/>
            <w:shd w:val="clear" w:color="auto" w:fill="262626" w:themeFill="text1" w:themeFillTint="D9"/>
          </w:tcPr>
          <w:p w14:paraId="6014F1B3"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PKS</w:t>
            </w:r>
          </w:p>
        </w:tc>
        <w:tc>
          <w:tcPr>
            <w:tcW w:w="2260" w:type="dxa"/>
            <w:vAlign w:val="center"/>
          </w:tcPr>
          <w:p w14:paraId="1E8955AB"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39,002</w:t>
            </w:r>
          </w:p>
        </w:tc>
        <w:tc>
          <w:tcPr>
            <w:tcW w:w="3164" w:type="dxa"/>
            <w:vAlign w:val="center"/>
          </w:tcPr>
          <w:p w14:paraId="15A83B58"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15,000,000</w:t>
            </w:r>
          </w:p>
        </w:tc>
        <w:tc>
          <w:tcPr>
            <w:tcW w:w="3208" w:type="dxa"/>
            <w:vAlign w:val="center"/>
          </w:tcPr>
          <w:p w14:paraId="71F9579D"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384.60</w:t>
            </w:r>
          </w:p>
        </w:tc>
      </w:tr>
    </w:tbl>
    <w:p w14:paraId="5A7CFCE9" w14:textId="77777777" w:rsidR="00604F98" w:rsidRPr="00FA288E" w:rsidRDefault="00604F98" w:rsidP="001000C9">
      <w:pPr>
        <w:pStyle w:val="Caption"/>
        <w:spacing w:before="0" w:after="80" w:line="240" w:lineRule="auto"/>
        <w:rPr>
          <w:b w:val="0"/>
          <w:color w:val="auto"/>
          <w:lang w:val="en-AU"/>
        </w:rPr>
      </w:pPr>
    </w:p>
    <w:p w14:paraId="07FF65B1" w14:textId="5A139938" w:rsidR="00A34CB9" w:rsidRPr="00FA288E" w:rsidRDefault="00A34CB9" w:rsidP="001000C9">
      <w:pPr>
        <w:pStyle w:val="Caption"/>
        <w:spacing w:before="0" w:after="80" w:line="240" w:lineRule="auto"/>
        <w:rPr>
          <w:b w:val="0"/>
          <w:color w:val="auto"/>
          <w:lang w:val="en-AU"/>
        </w:rPr>
      </w:pPr>
      <w:r w:rsidRPr="00FA288E">
        <w:rPr>
          <w:b w:val="0"/>
          <w:color w:val="auto"/>
          <w:lang w:val="en-AU"/>
        </w:rPr>
        <w:t xml:space="preserve">Table </w:t>
      </w:r>
      <w:r w:rsidRPr="00FA288E">
        <w:rPr>
          <w:b w:val="0"/>
          <w:color w:val="auto"/>
          <w:lang w:val="en-AU"/>
        </w:rPr>
        <w:fldChar w:fldCharType="begin"/>
      </w:r>
      <w:r w:rsidRPr="00FA288E">
        <w:rPr>
          <w:b w:val="0"/>
          <w:color w:val="auto"/>
          <w:lang w:val="en-AU"/>
        </w:rPr>
        <w:instrText xml:space="preserve"> SEQ Table \* ARABIC </w:instrText>
      </w:r>
      <w:r w:rsidRPr="00FA288E">
        <w:rPr>
          <w:b w:val="0"/>
          <w:color w:val="auto"/>
          <w:lang w:val="en-AU"/>
        </w:rPr>
        <w:fldChar w:fldCharType="separate"/>
      </w:r>
      <w:r w:rsidR="00C22013">
        <w:rPr>
          <w:b w:val="0"/>
          <w:noProof/>
          <w:color w:val="auto"/>
          <w:lang w:val="en-AU"/>
        </w:rPr>
        <w:t>11</w:t>
      </w:r>
      <w:r w:rsidRPr="00FA288E">
        <w:rPr>
          <w:b w:val="0"/>
          <w:color w:val="auto"/>
          <w:lang w:val="en-AU"/>
        </w:rPr>
        <w:fldChar w:fldCharType="end"/>
      </w:r>
      <w:r w:rsidRPr="00FA288E">
        <w:rPr>
          <w:b w:val="0"/>
          <w:color w:val="auto"/>
          <w:lang w:val="en-AU"/>
        </w:rPr>
        <w:t xml:space="preserve"> </w:t>
      </w:r>
      <w:r w:rsidR="0002165D" w:rsidRPr="00FA288E">
        <w:rPr>
          <w:b w:val="0"/>
          <w:color w:val="auto"/>
          <w:lang w:val="en-AU"/>
        </w:rPr>
        <w:t>Estimated projected</w:t>
      </w:r>
      <w:r w:rsidRPr="00FA288E">
        <w:rPr>
          <w:b w:val="0"/>
          <w:color w:val="auto"/>
          <w:lang w:val="en-AU"/>
        </w:rPr>
        <w:t xml:space="preserve"> cost per elementary teacher</w:t>
      </w:r>
      <w:r w:rsidR="00CC7CCE" w:rsidRPr="00FA288E">
        <w:rPr>
          <w:b w:val="0"/>
          <w:color w:val="auto"/>
          <w:lang w:val="en-AU"/>
        </w:rPr>
        <w:t xml:space="preserve"> for the duration of the grants (</w:t>
      </w:r>
      <w:r w:rsidR="008C75DB" w:rsidRPr="00FA288E">
        <w:rPr>
          <w:b w:val="0"/>
          <w:color w:val="auto"/>
          <w:lang w:val="en-AU"/>
        </w:rPr>
        <w:t>June</w:t>
      </w:r>
      <w:r w:rsidR="006166CC" w:rsidRPr="00FA288E">
        <w:rPr>
          <w:b w:val="0"/>
          <w:color w:val="auto"/>
          <w:lang w:val="en-AU"/>
        </w:rPr>
        <w:t xml:space="preserve"> </w:t>
      </w:r>
      <w:r w:rsidR="00CC7CCE" w:rsidRPr="00FA288E">
        <w:rPr>
          <w:b w:val="0"/>
          <w:color w:val="auto"/>
          <w:lang w:val="en-AU"/>
        </w:rPr>
        <w:t>2020)</w:t>
      </w:r>
    </w:p>
    <w:tbl>
      <w:tblPr>
        <w:tblStyle w:val="TableGrid"/>
        <w:tblW w:w="9763" w:type="dxa"/>
        <w:tblInd w:w="-5" w:type="dxa"/>
        <w:tblLook w:val="04A0" w:firstRow="1" w:lastRow="0" w:firstColumn="1" w:lastColumn="0" w:noHBand="0" w:noVBand="1"/>
        <w:tblCaption w:val="Table 11 Estimated porjected cost per elementary teacher for the duration of the grants (June 2020)"/>
        <w:tblDescription w:val="RISE' cost per teacher is AUD10,021.73; T4E's cost per teacher is AUD28,191.99; and PKS' cost per teacher is AUD15,940."/>
      </w:tblPr>
      <w:tblGrid>
        <w:gridCol w:w="1091"/>
        <w:gridCol w:w="2241"/>
        <w:gridCol w:w="3219"/>
        <w:gridCol w:w="3212"/>
      </w:tblGrid>
      <w:tr w:rsidR="00511B0B" w:rsidRPr="00FA288E" w14:paraId="7D2B5E31" w14:textId="77777777" w:rsidTr="00AE259C">
        <w:trPr>
          <w:trHeight w:val="210"/>
          <w:tblHeader/>
        </w:trPr>
        <w:tc>
          <w:tcPr>
            <w:tcW w:w="1091" w:type="dxa"/>
            <w:shd w:val="clear" w:color="auto" w:fill="262626" w:themeFill="text1" w:themeFillTint="D9"/>
          </w:tcPr>
          <w:p w14:paraId="6BECF21E"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Project</w:t>
            </w:r>
          </w:p>
        </w:tc>
        <w:tc>
          <w:tcPr>
            <w:tcW w:w="2241" w:type="dxa"/>
            <w:shd w:val="clear" w:color="auto" w:fill="262626" w:themeFill="text1" w:themeFillTint="D9"/>
          </w:tcPr>
          <w:p w14:paraId="7C11594A" w14:textId="77777777" w:rsidR="00511B0B" w:rsidRPr="00FA288E" w:rsidRDefault="005F76BE"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 xml:space="preserve">Target </w:t>
            </w:r>
            <w:r w:rsidR="00511B0B" w:rsidRPr="00FA288E">
              <w:rPr>
                <w:rFonts w:ascii="Calibri" w:hAnsi="Calibri" w:cs="Calibri"/>
                <w:szCs w:val="20"/>
                <w:lang w:val="en-AU"/>
              </w:rPr>
              <w:t># of Teachers</w:t>
            </w:r>
          </w:p>
        </w:tc>
        <w:tc>
          <w:tcPr>
            <w:tcW w:w="3219" w:type="dxa"/>
            <w:shd w:val="clear" w:color="auto" w:fill="262626" w:themeFill="text1" w:themeFillTint="D9"/>
          </w:tcPr>
          <w:p w14:paraId="409B5768"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Total Project Budget (AUD)</w:t>
            </w:r>
          </w:p>
        </w:tc>
        <w:tc>
          <w:tcPr>
            <w:tcW w:w="3212" w:type="dxa"/>
            <w:shd w:val="clear" w:color="auto" w:fill="262626" w:themeFill="text1" w:themeFillTint="D9"/>
          </w:tcPr>
          <w:p w14:paraId="2274FD6F"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Gross cost / teacher (AUD)</w:t>
            </w:r>
          </w:p>
        </w:tc>
      </w:tr>
      <w:tr w:rsidR="00511B0B" w:rsidRPr="00FA288E" w14:paraId="3F8576CB" w14:textId="77777777" w:rsidTr="00643B5D">
        <w:trPr>
          <w:trHeight w:val="212"/>
        </w:trPr>
        <w:tc>
          <w:tcPr>
            <w:tcW w:w="1091" w:type="dxa"/>
            <w:shd w:val="clear" w:color="auto" w:fill="262626" w:themeFill="text1" w:themeFillTint="D9"/>
          </w:tcPr>
          <w:p w14:paraId="03C979F6"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RISE</w:t>
            </w:r>
          </w:p>
        </w:tc>
        <w:tc>
          <w:tcPr>
            <w:tcW w:w="2241" w:type="dxa"/>
          </w:tcPr>
          <w:p w14:paraId="63588518" w14:textId="77777777" w:rsidR="00511B0B" w:rsidRPr="00FA288E" w:rsidRDefault="00511B0B" w:rsidP="00FC1F76">
            <w:pPr>
              <w:pStyle w:val="Bullets"/>
              <w:numPr>
                <w:ilvl w:val="0"/>
                <w:numId w:val="0"/>
              </w:numPr>
              <w:spacing w:after="0"/>
              <w:ind w:left="720" w:hanging="360"/>
              <w:jc w:val="center"/>
              <w:rPr>
                <w:rFonts w:ascii="Calibri" w:hAnsi="Calibri" w:cs="Calibri"/>
                <w:szCs w:val="20"/>
                <w:lang w:val="en-AU"/>
              </w:rPr>
            </w:pPr>
            <w:r w:rsidRPr="00FA288E">
              <w:rPr>
                <w:rFonts w:ascii="Calibri" w:hAnsi="Calibri" w:cs="Calibri"/>
                <w:szCs w:val="20"/>
                <w:lang w:val="en-AU"/>
              </w:rPr>
              <w:t>1,800</w:t>
            </w:r>
          </w:p>
        </w:tc>
        <w:tc>
          <w:tcPr>
            <w:tcW w:w="3219" w:type="dxa"/>
          </w:tcPr>
          <w:p w14:paraId="55F6C26F" w14:textId="77777777" w:rsidR="00511B0B" w:rsidRPr="00FA288E" w:rsidRDefault="00511B0B" w:rsidP="00FC1F76">
            <w:pPr>
              <w:pStyle w:val="Bullets"/>
              <w:numPr>
                <w:ilvl w:val="0"/>
                <w:numId w:val="0"/>
              </w:numPr>
              <w:spacing w:after="0"/>
              <w:ind w:left="720" w:hanging="360"/>
              <w:jc w:val="center"/>
              <w:rPr>
                <w:rFonts w:ascii="Calibri" w:hAnsi="Calibri" w:cs="Calibri"/>
                <w:szCs w:val="20"/>
                <w:lang w:val="en-AU"/>
              </w:rPr>
            </w:pPr>
            <w:r w:rsidRPr="00FA288E">
              <w:rPr>
                <w:rFonts w:ascii="Calibri" w:hAnsi="Calibri" w:cs="Calibri"/>
                <w:szCs w:val="20"/>
                <w:lang w:val="en-AU"/>
              </w:rPr>
              <w:t>18,039,129</w:t>
            </w:r>
          </w:p>
        </w:tc>
        <w:tc>
          <w:tcPr>
            <w:tcW w:w="3212" w:type="dxa"/>
          </w:tcPr>
          <w:p w14:paraId="768DF88F" w14:textId="77777777" w:rsidR="00511B0B" w:rsidRPr="00FA288E" w:rsidRDefault="00511B0B" w:rsidP="00FC1F76">
            <w:pPr>
              <w:pStyle w:val="Bullets"/>
              <w:numPr>
                <w:ilvl w:val="0"/>
                <w:numId w:val="0"/>
              </w:numPr>
              <w:spacing w:after="0"/>
              <w:ind w:left="270" w:hanging="360"/>
              <w:jc w:val="center"/>
              <w:rPr>
                <w:rFonts w:ascii="Calibri" w:hAnsi="Calibri" w:cs="Calibri"/>
                <w:szCs w:val="20"/>
                <w:lang w:val="en-AU"/>
              </w:rPr>
            </w:pPr>
            <w:r w:rsidRPr="00FA288E">
              <w:rPr>
                <w:rFonts w:ascii="Calibri" w:hAnsi="Calibri" w:cs="Calibri"/>
                <w:szCs w:val="20"/>
                <w:lang w:val="en-AU"/>
              </w:rPr>
              <w:t>10,021.73</w:t>
            </w:r>
          </w:p>
        </w:tc>
      </w:tr>
      <w:tr w:rsidR="00511B0B" w:rsidRPr="00FA288E" w14:paraId="3FEAB9D0" w14:textId="77777777" w:rsidTr="00643B5D">
        <w:trPr>
          <w:trHeight w:val="212"/>
        </w:trPr>
        <w:tc>
          <w:tcPr>
            <w:tcW w:w="1091" w:type="dxa"/>
            <w:shd w:val="clear" w:color="auto" w:fill="262626" w:themeFill="text1" w:themeFillTint="D9"/>
          </w:tcPr>
          <w:p w14:paraId="7E2B127F"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T4E</w:t>
            </w:r>
          </w:p>
        </w:tc>
        <w:tc>
          <w:tcPr>
            <w:tcW w:w="2241" w:type="dxa"/>
          </w:tcPr>
          <w:p w14:paraId="5571A0A6" w14:textId="77777777" w:rsidR="00511B0B" w:rsidRPr="00FA288E" w:rsidRDefault="00511B0B" w:rsidP="00FC1F76">
            <w:pPr>
              <w:pStyle w:val="Bullets"/>
              <w:numPr>
                <w:ilvl w:val="0"/>
                <w:numId w:val="0"/>
              </w:numPr>
              <w:spacing w:after="0"/>
              <w:ind w:left="720" w:hanging="360"/>
              <w:jc w:val="center"/>
              <w:rPr>
                <w:rFonts w:ascii="Calibri" w:hAnsi="Calibri" w:cs="Calibri"/>
                <w:szCs w:val="20"/>
                <w:lang w:val="en-AU"/>
              </w:rPr>
            </w:pPr>
            <w:r w:rsidRPr="00FA288E">
              <w:rPr>
                <w:rFonts w:ascii="Calibri" w:hAnsi="Calibri" w:cs="Calibri"/>
                <w:szCs w:val="20"/>
                <w:lang w:val="en-AU"/>
              </w:rPr>
              <w:t>500</w:t>
            </w:r>
          </w:p>
        </w:tc>
        <w:tc>
          <w:tcPr>
            <w:tcW w:w="3219" w:type="dxa"/>
          </w:tcPr>
          <w:p w14:paraId="032CECBB" w14:textId="77777777" w:rsidR="00511B0B" w:rsidRPr="00FA288E" w:rsidRDefault="00511B0B" w:rsidP="00FC1F76">
            <w:pPr>
              <w:pStyle w:val="Bullets"/>
              <w:numPr>
                <w:ilvl w:val="0"/>
                <w:numId w:val="0"/>
              </w:numPr>
              <w:spacing w:after="0"/>
              <w:ind w:left="720" w:hanging="360"/>
              <w:jc w:val="center"/>
              <w:rPr>
                <w:rFonts w:ascii="Calibri" w:hAnsi="Calibri" w:cs="Calibri"/>
                <w:szCs w:val="20"/>
                <w:lang w:val="en-AU"/>
              </w:rPr>
            </w:pPr>
            <w:r w:rsidRPr="00FA288E">
              <w:rPr>
                <w:rFonts w:ascii="Calibri" w:hAnsi="Calibri" w:cs="Calibri"/>
                <w:szCs w:val="20"/>
                <w:lang w:val="en-AU"/>
              </w:rPr>
              <w:t>14,095,993</w:t>
            </w:r>
          </w:p>
        </w:tc>
        <w:tc>
          <w:tcPr>
            <w:tcW w:w="3212" w:type="dxa"/>
          </w:tcPr>
          <w:p w14:paraId="6D826F0A" w14:textId="77777777" w:rsidR="00511B0B" w:rsidRPr="00FA288E" w:rsidRDefault="00511B0B" w:rsidP="00FC1F76">
            <w:pPr>
              <w:pStyle w:val="Bullets"/>
              <w:numPr>
                <w:ilvl w:val="0"/>
                <w:numId w:val="0"/>
              </w:numPr>
              <w:spacing w:after="0"/>
              <w:ind w:left="270" w:hanging="360"/>
              <w:jc w:val="center"/>
              <w:rPr>
                <w:rFonts w:ascii="Calibri" w:hAnsi="Calibri" w:cs="Calibri"/>
                <w:szCs w:val="20"/>
                <w:lang w:val="en-AU"/>
              </w:rPr>
            </w:pPr>
            <w:r w:rsidRPr="00FA288E">
              <w:rPr>
                <w:rFonts w:ascii="Calibri" w:hAnsi="Calibri" w:cs="Calibri"/>
                <w:szCs w:val="20"/>
                <w:lang w:val="en-AU"/>
              </w:rPr>
              <w:t>28,191.99</w:t>
            </w:r>
          </w:p>
        </w:tc>
      </w:tr>
      <w:tr w:rsidR="00511B0B" w:rsidRPr="00FA288E" w14:paraId="1D815FA8" w14:textId="77777777" w:rsidTr="00643B5D">
        <w:trPr>
          <w:trHeight w:val="212"/>
        </w:trPr>
        <w:tc>
          <w:tcPr>
            <w:tcW w:w="1091" w:type="dxa"/>
            <w:shd w:val="clear" w:color="auto" w:fill="262626" w:themeFill="text1" w:themeFillTint="D9"/>
          </w:tcPr>
          <w:p w14:paraId="2AE72F9D" w14:textId="77777777" w:rsidR="00511B0B" w:rsidRPr="00FA288E" w:rsidRDefault="00511B0B" w:rsidP="00FC1F76">
            <w:pPr>
              <w:pStyle w:val="Bullets"/>
              <w:numPr>
                <w:ilvl w:val="0"/>
                <w:numId w:val="0"/>
              </w:numPr>
              <w:spacing w:after="0"/>
              <w:jc w:val="center"/>
              <w:rPr>
                <w:rFonts w:ascii="Calibri" w:hAnsi="Calibri" w:cs="Calibri"/>
                <w:szCs w:val="20"/>
                <w:lang w:val="en-AU"/>
              </w:rPr>
            </w:pPr>
            <w:r w:rsidRPr="00FA288E">
              <w:rPr>
                <w:rFonts w:ascii="Calibri" w:hAnsi="Calibri" w:cs="Calibri"/>
                <w:szCs w:val="20"/>
                <w:lang w:val="en-AU"/>
              </w:rPr>
              <w:t>PKS</w:t>
            </w:r>
          </w:p>
        </w:tc>
        <w:tc>
          <w:tcPr>
            <w:tcW w:w="2241" w:type="dxa"/>
          </w:tcPr>
          <w:p w14:paraId="021A65B8" w14:textId="77777777" w:rsidR="00511B0B" w:rsidRPr="00FA288E" w:rsidRDefault="00511B0B" w:rsidP="00FC1F76">
            <w:pPr>
              <w:pStyle w:val="Bullets"/>
              <w:numPr>
                <w:ilvl w:val="0"/>
                <w:numId w:val="0"/>
              </w:numPr>
              <w:spacing w:after="0"/>
              <w:ind w:left="720" w:hanging="360"/>
              <w:jc w:val="center"/>
              <w:rPr>
                <w:rFonts w:ascii="Calibri" w:hAnsi="Calibri" w:cs="Calibri"/>
                <w:szCs w:val="20"/>
                <w:lang w:val="en-AU"/>
              </w:rPr>
            </w:pPr>
            <w:r w:rsidRPr="00FA288E">
              <w:rPr>
                <w:rFonts w:ascii="Calibri" w:hAnsi="Calibri" w:cs="Calibri"/>
                <w:szCs w:val="20"/>
                <w:lang w:val="en-AU"/>
              </w:rPr>
              <w:t>941</w:t>
            </w:r>
          </w:p>
        </w:tc>
        <w:tc>
          <w:tcPr>
            <w:tcW w:w="3219" w:type="dxa"/>
          </w:tcPr>
          <w:p w14:paraId="49BCE27D" w14:textId="77777777" w:rsidR="00511B0B" w:rsidRPr="00FA288E" w:rsidRDefault="00511B0B" w:rsidP="00FC1F76">
            <w:pPr>
              <w:pStyle w:val="Bullets"/>
              <w:numPr>
                <w:ilvl w:val="0"/>
                <w:numId w:val="0"/>
              </w:numPr>
              <w:spacing w:after="0"/>
              <w:ind w:left="720" w:hanging="360"/>
              <w:jc w:val="center"/>
              <w:rPr>
                <w:rFonts w:ascii="Calibri" w:hAnsi="Calibri" w:cs="Calibri"/>
                <w:szCs w:val="20"/>
                <w:lang w:val="en-AU"/>
              </w:rPr>
            </w:pPr>
            <w:r w:rsidRPr="00FA288E">
              <w:rPr>
                <w:rFonts w:ascii="Calibri" w:hAnsi="Calibri" w:cs="Calibri"/>
                <w:szCs w:val="20"/>
                <w:lang w:val="en-AU"/>
              </w:rPr>
              <w:t>15,000,000</w:t>
            </w:r>
          </w:p>
        </w:tc>
        <w:tc>
          <w:tcPr>
            <w:tcW w:w="3212" w:type="dxa"/>
          </w:tcPr>
          <w:p w14:paraId="6E49BA6A" w14:textId="77777777" w:rsidR="00511B0B" w:rsidRPr="00FA288E" w:rsidRDefault="00511B0B" w:rsidP="00FC1F76">
            <w:pPr>
              <w:pStyle w:val="Bullets"/>
              <w:numPr>
                <w:ilvl w:val="0"/>
                <w:numId w:val="0"/>
              </w:numPr>
              <w:spacing w:after="0"/>
              <w:ind w:left="270" w:hanging="360"/>
              <w:jc w:val="center"/>
              <w:rPr>
                <w:rFonts w:ascii="Calibri" w:hAnsi="Calibri" w:cs="Calibri"/>
                <w:szCs w:val="20"/>
                <w:lang w:val="en-AU"/>
              </w:rPr>
            </w:pPr>
            <w:r w:rsidRPr="00FA288E">
              <w:rPr>
                <w:rFonts w:ascii="Calibri" w:hAnsi="Calibri" w:cs="Calibri"/>
                <w:szCs w:val="20"/>
                <w:lang w:val="en-AU"/>
              </w:rPr>
              <w:t>15,940.49</w:t>
            </w:r>
          </w:p>
        </w:tc>
      </w:tr>
    </w:tbl>
    <w:p w14:paraId="073F8049" w14:textId="77777777" w:rsidR="00604F98" w:rsidRPr="00FA288E" w:rsidRDefault="00604F98" w:rsidP="00604F98">
      <w:pPr>
        <w:pStyle w:val="BodyText"/>
        <w:spacing w:after="80" w:line="120" w:lineRule="auto"/>
        <w:rPr>
          <w:rFonts w:ascii="Calibri" w:hAnsi="Calibri" w:cs="Calibri"/>
          <w:sz w:val="21"/>
          <w:szCs w:val="21"/>
        </w:rPr>
      </w:pPr>
    </w:p>
    <w:p w14:paraId="2A29123D" w14:textId="444AE9EC" w:rsidR="00614C93" w:rsidRPr="00FA288E" w:rsidRDefault="00614C93" w:rsidP="001000C9">
      <w:pPr>
        <w:pStyle w:val="BodyText"/>
        <w:spacing w:after="80" w:line="240" w:lineRule="auto"/>
        <w:rPr>
          <w:rFonts w:ascii="Calibri" w:hAnsi="Calibri" w:cs="Calibri"/>
          <w:sz w:val="21"/>
          <w:szCs w:val="21"/>
        </w:rPr>
      </w:pPr>
      <w:r w:rsidRPr="00FA288E">
        <w:rPr>
          <w:rFonts w:ascii="Calibri" w:hAnsi="Calibri" w:cs="Calibri"/>
          <w:sz w:val="21"/>
          <w:szCs w:val="21"/>
        </w:rPr>
        <w:t>Acknowledging the inability to compare actual expenditures as part of the</w:t>
      </w:r>
      <w:r w:rsidR="00664E16" w:rsidRPr="00FA288E">
        <w:rPr>
          <w:rFonts w:ascii="Calibri" w:hAnsi="Calibri" w:cs="Calibri"/>
          <w:sz w:val="21"/>
          <w:szCs w:val="21"/>
        </w:rPr>
        <w:t xml:space="preserve"> mid-term</w:t>
      </w:r>
      <w:r w:rsidRPr="00FA288E">
        <w:rPr>
          <w:rFonts w:ascii="Calibri" w:hAnsi="Calibri" w:cs="Calibri"/>
          <w:sz w:val="21"/>
          <w:szCs w:val="21"/>
        </w:rPr>
        <w:t xml:space="preserve"> review, the information provided in the table </w:t>
      </w:r>
      <w:r w:rsidR="0002165D" w:rsidRPr="00FA288E">
        <w:rPr>
          <w:rFonts w:ascii="Calibri" w:hAnsi="Calibri" w:cs="Calibri"/>
          <w:sz w:val="21"/>
          <w:szCs w:val="21"/>
        </w:rPr>
        <w:t>suggest</w:t>
      </w:r>
      <w:r w:rsidR="00AD64DF" w:rsidRPr="00FA288E">
        <w:rPr>
          <w:rFonts w:ascii="Calibri" w:hAnsi="Calibri" w:cs="Calibri"/>
          <w:sz w:val="21"/>
          <w:szCs w:val="21"/>
        </w:rPr>
        <w:t>s</w:t>
      </w:r>
      <w:r w:rsidR="00CC7CCE" w:rsidRPr="00FA288E">
        <w:rPr>
          <w:rFonts w:ascii="Calibri" w:hAnsi="Calibri" w:cs="Calibri"/>
          <w:sz w:val="21"/>
          <w:szCs w:val="21"/>
        </w:rPr>
        <w:t xml:space="preserve"> additional investigation is warranted. </w:t>
      </w:r>
      <w:r w:rsidRPr="00FA288E">
        <w:rPr>
          <w:rFonts w:ascii="Calibri" w:hAnsi="Calibri" w:cs="Calibri"/>
          <w:sz w:val="21"/>
          <w:szCs w:val="21"/>
        </w:rPr>
        <w:t xml:space="preserve">Interviews with the PPF Secretariat indicated that there had been questions raised early </w:t>
      </w:r>
      <w:r w:rsidR="00CC7CCE" w:rsidRPr="00FA288E">
        <w:rPr>
          <w:rFonts w:ascii="Calibri" w:hAnsi="Calibri" w:cs="Calibri"/>
          <w:sz w:val="21"/>
          <w:szCs w:val="21"/>
        </w:rPr>
        <w:t>in implementation</w:t>
      </w:r>
      <w:r w:rsidRPr="00FA288E">
        <w:rPr>
          <w:rFonts w:ascii="Calibri" w:hAnsi="Calibri" w:cs="Calibri"/>
          <w:sz w:val="21"/>
          <w:szCs w:val="21"/>
        </w:rPr>
        <w:t xml:space="preserve"> as to the </w:t>
      </w:r>
      <w:r w:rsidR="00A7005B" w:rsidRPr="00FA288E">
        <w:rPr>
          <w:rFonts w:ascii="Calibri" w:hAnsi="Calibri" w:cs="Calibri"/>
          <w:sz w:val="21"/>
          <w:szCs w:val="21"/>
        </w:rPr>
        <w:t>different numbers</w:t>
      </w:r>
      <w:r w:rsidRPr="00FA288E">
        <w:rPr>
          <w:rFonts w:ascii="Calibri" w:hAnsi="Calibri" w:cs="Calibri"/>
          <w:sz w:val="21"/>
          <w:szCs w:val="21"/>
        </w:rPr>
        <w:t xml:space="preserve"> of </w:t>
      </w:r>
      <w:r w:rsidR="00A7005B" w:rsidRPr="00FA288E">
        <w:rPr>
          <w:rFonts w:ascii="Calibri" w:hAnsi="Calibri" w:cs="Calibri"/>
          <w:sz w:val="21"/>
          <w:szCs w:val="21"/>
        </w:rPr>
        <w:t xml:space="preserve">beneficiaries and </w:t>
      </w:r>
      <w:r w:rsidR="00A7005B" w:rsidRPr="00FA288E">
        <w:rPr>
          <w:rFonts w:ascii="Calibri" w:hAnsi="Calibri" w:cs="Calibri"/>
          <w:sz w:val="21"/>
          <w:szCs w:val="21"/>
        </w:rPr>
        <w:lastRenderedPageBreak/>
        <w:t>schools</w:t>
      </w:r>
      <w:r w:rsidRPr="00FA288E">
        <w:rPr>
          <w:rFonts w:ascii="Calibri" w:hAnsi="Calibri" w:cs="Calibri"/>
          <w:sz w:val="21"/>
          <w:szCs w:val="21"/>
        </w:rPr>
        <w:t xml:space="preserve"> targeted by </w:t>
      </w:r>
      <w:r w:rsidR="00A7005B" w:rsidRPr="00FA288E">
        <w:rPr>
          <w:rFonts w:ascii="Calibri" w:hAnsi="Calibri" w:cs="Calibri"/>
          <w:sz w:val="21"/>
          <w:szCs w:val="21"/>
        </w:rPr>
        <w:t>the projects</w:t>
      </w:r>
      <w:r w:rsidRPr="00FA288E">
        <w:rPr>
          <w:rFonts w:ascii="Calibri" w:hAnsi="Calibri" w:cs="Calibri"/>
          <w:sz w:val="21"/>
          <w:szCs w:val="21"/>
        </w:rPr>
        <w:t xml:space="preserve">, however, </w:t>
      </w:r>
      <w:r w:rsidR="00A7005B" w:rsidRPr="00FA288E">
        <w:rPr>
          <w:rFonts w:ascii="Calibri" w:hAnsi="Calibri" w:cs="Calibri"/>
          <w:sz w:val="21"/>
          <w:szCs w:val="21"/>
        </w:rPr>
        <w:t xml:space="preserve">the review team was advised that </w:t>
      </w:r>
      <w:r w:rsidRPr="00FA288E">
        <w:rPr>
          <w:rFonts w:ascii="Calibri" w:hAnsi="Calibri" w:cs="Calibri"/>
          <w:sz w:val="21"/>
          <w:szCs w:val="21"/>
        </w:rPr>
        <w:t xml:space="preserve">these questions remain </w:t>
      </w:r>
      <w:r w:rsidR="00CC7CCE" w:rsidRPr="00FA288E">
        <w:rPr>
          <w:rFonts w:ascii="Calibri" w:hAnsi="Calibri" w:cs="Calibri"/>
          <w:sz w:val="21"/>
          <w:szCs w:val="21"/>
        </w:rPr>
        <w:t xml:space="preserve">largely </w:t>
      </w:r>
      <w:r w:rsidRPr="00FA288E">
        <w:rPr>
          <w:rFonts w:ascii="Calibri" w:hAnsi="Calibri" w:cs="Calibri"/>
          <w:sz w:val="21"/>
          <w:szCs w:val="21"/>
        </w:rPr>
        <w:t xml:space="preserve">unanswered. Possible explanations, without conducting more in-depth investigation, could include: </w:t>
      </w:r>
      <w:proofErr w:type="spellStart"/>
      <w:r w:rsidR="009C78C8" w:rsidRPr="00FA288E">
        <w:rPr>
          <w:rFonts w:ascii="Calibri" w:hAnsi="Calibri" w:cs="Calibri"/>
          <w:sz w:val="21"/>
          <w:szCs w:val="21"/>
        </w:rPr>
        <w:t>i</w:t>
      </w:r>
      <w:proofErr w:type="spellEnd"/>
      <w:r w:rsidR="009C78C8" w:rsidRPr="00FA288E">
        <w:rPr>
          <w:rFonts w:ascii="Calibri" w:hAnsi="Calibri" w:cs="Calibri"/>
          <w:sz w:val="21"/>
          <w:szCs w:val="21"/>
        </w:rPr>
        <w:t xml:space="preserve">) differences in the </w:t>
      </w:r>
      <w:r w:rsidRPr="00FA288E">
        <w:rPr>
          <w:rFonts w:ascii="Calibri" w:hAnsi="Calibri" w:cs="Calibri"/>
          <w:sz w:val="21"/>
          <w:szCs w:val="21"/>
        </w:rPr>
        <w:t xml:space="preserve">breadth and depth of interventions and </w:t>
      </w:r>
      <w:r w:rsidR="009C78C8" w:rsidRPr="00FA288E">
        <w:rPr>
          <w:rFonts w:ascii="Calibri" w:hAnsi="Calibri" w:cs="Calibri"/>
          <w:sz w:val="21"/>
          <w:szCs w:val="21"/>
        </w:rPr>
        <w:t xml:space="preserve">the </w:t>
      </w:r>
      <w:r w:rsidR="000A0A7E" w:rsidRPr="00FA288E">
        <w:rPr>
          <w:rFonts w:ascii="Calibri" w:hAnsi="Calibri" w:cs="Calibri"/>
          <w:sz w:val="21"/>
          <w:szCs w:val="21"/>
        </w:rPr>
        <w:t xml:space="preserve">frequency of </w:t>
      </w:r>
      <w:r w:rsidRPr="00FA288E">
        <w:rPr>
          <w:rFonts w:ascii="Calibri" w:hAnsi="Calibri" w:cs="Calibri"/>
          <w:sz w:val="21"/>
          <w:szCs w:val="21"/>
        </w:rPr>
        <w:t xml:space="preserve">follow-on support; </w:t>
      </w:r>
      <w:r w:rsidR="009C78C8" w:rsidRPr="00FA288E">
        <w:rPr>
          <w:rFonts w:ascii="Calibri" w:hAnsi="Calibri" w:cs="Calibri"/>
          <w:sz w:val="21"/>
          <w:szCs w:val="21"/>
        </w:rPr>
        <w:t xml:space="preserve">ii) </w:t>
      </w:r>
      <w:r w:rsidR="000A0A7E" w:rsidRPr="00FA288E">
        <w:rPr>
          <w:rFonts w:ascii="Calibri" w:hAnsi="Calibri" w:cs="Calibri"/>
          <w:sz w:val="21"/>
          <w:szCs w:val="21"/>
        </w:rPr>
        <w:t>location of schools – i.e. access to remote school</w:t>
      </w:r>
      <w:r w:rsidR="009C78C8" w:rsidRPr="00FA288E">
        <w:rPr>
          <w:rFonts w:ascii="Calibri" w:hAnsi="Calibri" w:cs="Calibri"/>
          <w:sz w:val="21"/>
          <w:szCs w:val="21"/>
        </w:rPr>
        <w:t>s</w:t>
      </w:r>
      <w:r w:rsidR="000A0A7E" w:rsidRPr="00FA288E">
        <w:rPr>
          <w:rFonts w:ascii="Calibri" w:hAnsi="Calibri" w:cs="Calibri"/>
          <w:sz w:val="21"/>
          <w:szCs w:val="21"/>
        </w:rPr>
        <w:t xml:space="preserve"> would incur additional costs; </w:t>
      </w:r>
      <w:r w:rsidR="009C78C8" w:rsidRPr="00FA288E">
        <w:rPr>
          <w:rFonts w:ascii="Calibri" w:hAnsi="Calibri" w:cs="Calibri"/>
          <w:sz w:val="21"/>
          <w:szCs w:val="21"/>
        </w:rPr>
        <w:t xml:space="preserve">iii) different </w:t>
      </w:r>
      <w:r w:rsidRPr="00FA288E">
        <w:rPr>
          <w:rFonts w:ascii="Calibri" w:hAnsi="Calibri" w:cs="Calibri"/>
          <w:sz w:val="21"/>
          <w:szCs w:val="21"/>
        </w:rPr>
        <w:t xml:space="preserve">types of interventions – i.e. innovation pilots are likely to be more expensive; </w:t>
      </w:r>
      <w:r w:rsidR="009C78C8" w:rsidRPr="00FA288E">
        <w:rPr>
          <w:rFonts w:ascii="Calibri" w:hAnsi="Calibri" w:cs="Calibri"/>
          <w:sz w:val="21"/>
          <w:szCs w:val="21"/>
        </w:rPr>
        <w:t xml:space="preserve">iv) </w:t>
      </w:r>
      <w:r w:rsidRPr="00FA288E">
        <w:rPr>
          <w:rFonts w:ascii="Calibri" w:hAnsi="Calibri" w:cs="Calibri"/>
          <w:sz w:val="21"/>
          <w:szCs w:val="21"/>
        </w:rPr>
        <w:t xml:space="preserve">the sub-contracts with consortia partners that may be less cost-efficient due to additional administrative overhead and management costs; </w:t>
      </w:r>
      <w:r w:rsidR="009C78C8" w:rsidRPr="00FA288E">
        <w:rPr>
          <w:rFonts w:ascii="Calibri" w:hAnsi="Calibri" w:cs="Calibri"/>
          <w:sz w:val="21"/>
          <w:szCs w:val="21"/>
        </w:rPr>
        <w:t>and/</w:t>
      </w:r>
      <w:r w:rsidRPr="00FA288E">
        <w:rPr>
          <w:rFonts w:ascii="Calibri" w:hAnsi="Calibri" w:cs="Calibri"/>
          <w:sz w:val="21"/>
          <w:szCs w:val="21"/>
        </w:rPr>
        <w:t xml:space="preserve">or, </w:t>
      </w:r>
      <w:r w:rsidR="009C78C8" w:rsidRPr="00FA288E">
        <w:rPr>
          <w:rFonts w:ascii="Calibri" w:hAnsi="Calibri" w:cs="Calibri"/>
          <w:sz w:val="21"/>
          <w:szCs w:val="21"/>
        </w:rPr>
        <w:t xml:space="preserve">v) </w:t>
      </w:r>
      <w:r w:rsidRPr="00FA288E">
        <w:rPr>
          <w:rFonts w:ascii="Calibri" w:hAnsi="Calibri" w:cs="Calibri"/>
          <w:sz w:val="21"/>
          <w:szCs w:val="21"/>
        </w:rPr>
        <w:t xml:space="preserve">different </w:t>
      </w:r>
      <w:r w:rsidR="009C78C8" w:rsidRPr="00FA288E">
        <w:rPr>
          <w:rFonts w:ascii="Calibri" w:hAnsi="Calibri" w:cs="Calibri"/>
          <w:sz w:val="21"/>
          <w:szCs w:val="21"/>
        </w:rPr>
        <w:t xml:space="preserve">procurement costs for teaching and </w:t>
      </w:r>
      <w:r w:rsidRPr="00FA288E">
        <w:rPr>
          <w:rFonts w:ascii="Calibri" w:hAnsi="Calibri" w:cs="Calibri"/>
          <w:sz w:val="21"/>
          <w:szCs w:val="21"/>
        </w:rPr>
        <w:t>learning</w:t>
      </w:r>
      <w:r w:rsidR="009C78C8" w:rsidRPr="00FA288E">
        <w:rPr>
          <w:rFonts w:ascii="Calibri" w:hAnsi="Calibri" w:cs="Calibri"/>
          <w:sz w:val="21"/>
          <w:szCs w:val="21"/>
        </w:rPr>
        <w:t xml:space="preserve"> resources</w:t>
      </w:r>
      <w:r w:rsidRPr="00FA288E">
        <w:rPr>
          <w:rFonts w:ascii="Calibri" w:hAnsi="Calibri" w:cs="Calibri"/>
          <w:sz w:val="21"/>
          <w:szCs w:val="21"/>
        </w:rPr>
        <w:t xml:space="preserve">.   Additional investigation into the cost-efficiency and cost-effectiveness of different interventions of the three projects </w:t>
      </w:r>
      <w:r w:rsidR="000A0A7E" w:rsidRPr="00FA288E">
        <w:rPr>
          <w:rFonts w:ascii="Calibri" w:hAnsi="Calibri" w:cs="Calibri"/>
          <w:sz w:val="21"/>
          <w:szCs w:val="21"/>
        </w:rPr>
        <w:t xml:space="preserve">at </w:t>
      </w:r>
      <w:r w:rsidR="00FA288E">
        <w:rPr>
          <w:rFonts w:ascii="Calibri" w:hAnsi="Calibri" w:cs="Calibri"/>
          <w:sz w:val="21"/>
          <w:szCs w:val="21"/>
        </w:rPr>
        <w:t>end line</w:t>
      </w:r>
      <w:r w:rsidR="000A0A7E" w:rsidRPr="00FA288E">
        <w:rPr>
          <w:rFonts w:ascii="Calibri" w:hAnsi="Calibri" w:cs="Calibri"/>
          <w:sz w:val="21"/>
          <w:szCs w:val="21"/>
        </w:rPr>
        <w:t xml:space="preserve"> </w:t>
      </w:r>
      <w:r w:rsidR="00CC7CCE" w:rsidRPr="00FA288E">
        <w:rPr>
          <w:rFonts w:ascii="Calibri" w:hAnsi="Calibri" w:cs="Calibri"/>
          <w:sz w:val="21"/>
          <w:szCs w:val="21"/>
        </w:rPr>
        <w:t>is</w:t>
      </w:r>
      <w:r w:rsidRPr="00FA288E">
        <w:rPr>
          <w:rFonts w:ascii="Calibri" w:hAnsi="Calibri" w:cs="Calibri"/>
          <w:sz w:val="21"/>
          <w:szCs w:val="21"/>
        </w:rPr>
        <w:t xml:space="preserve"> </w:t>
      </w:r>
      <w:r w:rsidR="00CC7CCE" w:rsidRPr="00FA288E">
        <w:rPr>
          <w:rFonts w:ascii="Calibri" w:hAnsi="Calibri" w:cs="Calibri"/>
          <w:sz w:val="21"/>
          <w:szCs w:val="21"/>
        </w:rPr>
        <w:t>suggested</w:t>
      </w:r>
      <w:r w:rsidRPr="00FA288E">
        <w:rPr>
          <w:rFonts w:ascii="Calibri" w:hAnsi="Calibri" w:cs="Calibri"/>
          <w:sz w:val="21"/>
          <w:szCs w:val="21"/>
        </w:rPr>
        <w:t xml:space="preserve"> to enable a value-for-money determination and </w:t>
      </w:r>
      <w:r w:rsidR="000A0A7E" w:rsidRPr="00FA288E">
        <w:rPr>
          <w:rFonts w:ascii="Calibri" w:hAnsi="Calibri" w:cs="Calibri"/>
          <w:sz w:val="21"/>
          <w:szCs w:val="21"/>
        </w:rPr>
        <w:t xml:space="preserve">to </w:t>
      </w:r>
      <w:r w:rsidRPr="00FA288E">
        <w:rPr>
          <w:rFonts w:ascii="Calibri" w:hAnsi="Calibri" w:cs="Calibri"/>
          <w:sz w:val="21"/>
          <w:szCs w:val="21"/>
        </w:rPr>
        <w:t>inform future investments.</w:t>
      </w:r>
    </w:p>
    <w:p w14:paraId="04AD7DF6" w14:textId="6A69E542" w:rsidR="00614C93" w:rsidRPr="00FA288E" w:rsidRDefault="00614C93" w:rsidP="001000C9">
      <w:pPr>
        <w:pStyle w:val="BodyText"/>
        <w:spacing w:after="80" w:line="240" w:lineRule="auto"/>
        <w:rPr>
          <w:rFonts w:ascii="Calibri" w:hAnsi="Calibri" w:cs="Calibri"/>
          <w:sz w:val="21"/>
          <w:szCs w:val="21"/>
        </w:rPr>
      </w:pPr>
      <w:r w:rsidRPr="00FA288E">
        <w:rPr>
          <w:rFonts w:ascii="Calibri" w:hAnsi="Calibri" w:cs="Calibri"/>
          <w:sz w:val="21"/>
          <w:szCs w:val="21"/>
        </w:rPr>
        <w:t>Based on the</w:t>
      </w:r>
      <w:r w:rsidR="0007122A" w:rsidRPr="00FA288E">
        <w:rPr>
          <w:rFonts w:ascii="Calibri" w:hAnsi="Calibri" w:cs="Calibri"/>
          <w:sz w:val="21"/>
          <w:szCs w:val="21"/>
        </w:rPr>
        <w:t xml:space="preserve"> review</w:t>
      </w:r>
      <w:r w:rsidRPr="00FA288E">
        <w:rPr>
          <w:rFonts w:ascii="Calibri" w:hAnsi="Calibri" w:cs="Calibri"/>
          <w:sz w:val="21"/>
          <w:szCs w:val="21"/>
        </w:rPr>
        <w:t xml:space="preserve"> findings, the projects have been efficient from an ‘output’ perspective, in that they will reach or exceed many of their targets within budget.  Determining efficiency of the interventions from the perspective of achieving results at the outcome level will need to be determined </w:t>
      </w:r>
      <w:r w:rsidR="000A0A7E" w:rsidRPr="00FA288E">
        <w:rPr>
          <w:rFonts w:ascii="Calibri" w:hAnsi="Calibri" w:cs="Calibri"/>
          <w:sz w:val="21"/>
          <w:szCs w:val="21"/>
        </w:rPr>
        <w:t xml:space="preserve">at </w:t>
      </w:r>
      <w:r w:rsidR="00FA288E">
        <w:rPr>
          <w:rFonts w:ascii="Calibri" w:hAnsi="Calibri" w:cs="Calibri"/>
          <w:sz w:val="21"/>
          <w:szCs w:val="21"/>
        </w:rPr>
        <w:t>end line</w:t>
      </w:r>
      <w:r w:rsidR="000A0A7E" w:rsidRPr="00FA288E">
        <w:rPr>
          <w:rFonts w:ascii="Calibri" w:hAnsi="Calibri" w:cs="Calibri"/>
          <w:sz w:val="21"/>
          <w:szCs w:val="21"/>
        </w:rPr>
        <w:t xml:space="preserve"> or following</w:t>
      </w:r>
      <w:r w:rsidRPr="00FA288E">
        <w:rPr>
          <w:rFonts w:ascii="Calibri" w:hAnsi="Calibri" w:cs="Calibri"/>
          <w:sz w:val="21"/>
          <w:szCs w:val="21"/>
        </w:rPr>
        <w:t xml:space="preserve"> conclusion of the projects.</w:t>
      </w:r>
    </w:p>
    <w:p w14:paraId="0EC60B01" w14:textId="77777777" w:rsidR="00614C93" w:rsidRPr="00FA288E" w:rsidRDefault="00614C93" w:rsidP="00FF62CC">
      <w:pPr>
        <w:pStyle w:val="Heading1"/>
        <w:numPr>
          <w:ilvl w:val="1"/>
          <w:numId w:val="66"/>
        </w:numPr>
        <w:spacing w:before="0" w:after="80" w:line="240" w:lineRule="auto"/>
        <w:ind w:left="709"/>
      </w:pPr>
      <w:bookmarkStart w:id="87" w:name="_Toc26914374"/>
      <w:bookmarkStart w:id="88" w:name="_Toc31625592"/>
      <w:bookmarkStart w:id="89" w:name="_Toc42075972"/>
      <w:r w:rsidRPr="00FA288E">
        <w:t>Extent to which grant approaches and practices have been institutionalised and/or are likely to be sustained (KRQ 5)</w:t>
      </w:r>
      <w:bookmarkEnd w:id="87"/>
      <w:bookmarkEnd w:id="88"/>
      <w:bookmarkEnd w:id="89"/>
    </w:p>
    <w:p w14:paraId="5EA0E786" w14:textId="77777777" w:rsidR="00A7210E" w:rsidRPr="00FA288E" w:rsidRDefault="00C7205A" w:rsidP="00AB2F99">
      <w:pPr>
        <w:spacing w:after="120" w:line="240" w:lineRule="auto"/>
        <w:jc w:val="both"/>
        <w:rPr>
          <w:rFonts w:cs="Calibri"/>
        </w:rPr>
      </w:pPr>
      <w:r w:rsidRPr="00FA288E">
        <w:rPr>
          <w:rFonts w:cs="Calibri"/>
        </w:rPr>
        <w:t>This section addresses sub-questions</w:t>
      </w:r>
      <w:r w:rsidR="00A7210E" w:rsidRPr="00FA288E">
        <w:rPr>
          <w:rFonts w:cs="Calibri"/>
        </w:rPr>
        <w:t xml:space="preserve"> </w:t>
      </w:r>
      <w:r w:rsidR="00A7210E" w:rsidRPr="00FA288E">
        <w:rPr>
          <w:rFonts w:cs="Calibri"/>
          <w:b/>
        </w:rPr>
        <w:t>5a,</w:t>
      </w:r>
      <w:r w:rsidR="00A7210E" w:rsidRPr="00FA288E">
        <w:rPr>
          <w:rFonts w:cs="Calibri"/>
        </w:rPr>
        <w:t xml:space="preserve"> have</w:t>
      </w:r>
      <w:r w:rsidR="00A7210E" w:rsidRPr="00FA288E">
        <w:rPr>
          <w:rFonts w:cs="Calibri"/>
          <w:iCs/>
        </w:rPr>
        <w:t xml:space="preserve"> financing and sustainability considerations driven the grant’s implementation choices; </w:t>
      </w:r>
      <w:r w:rsidR="00A7210E" w:rsidRPr="00FA288E">
        <w:rPr>
          <w:rFonts w:cs="Calibri"/>
          <w:b/>
          <w:iCs/>
        </w:rPr>
        <w:t xml:space="preserve">5b, </w:t>
      </w:r>
      <w:r w:rsidR="00A7210E" w:rsidRPr="00FA288E">
        <w:rPr>
          <w:rFonts w:cs="Calibri"/>
          <w:iCs/>
        </w:rPr>
        <w:t>degree of success</w:t>
      </w:r>
      <w:r w:rsidR="00A7210E" w:rsidRPr="00FA288E">
        <w:rPr>
          <w:rFonts w:cs="Calibri"/>
          <w:b/>
          <w:iCs/>
        </w:rPr>
        <w:t xml:space="preserve"> </w:t>
      </w:r>
      <w:r w:rsidR="00A7210E" w:rsidRPr="00FA288E">
        <w:rPr>
          <w:rFonts w:cs="Calibri"/>
        </w:rPr>
        <w:t xml:space="preserve">in institutionalising approaches and practices; </w:t>
      </w:r>
      <w:r w:rsidR="00A7210E" w:rsidRPr="00FA288E">
        <w:rPr>
          <w:rFonts w:cs="Calibri"/>
          <w:b/>
        </w:rPr>
        <w:t>5c,</w:t>
      </w:r>
      <w:r w:rsidR="00A7210E" w:rsidRPr="00FA288E">
        <w:rPr>
          <w:rFonts w:cs="Calibri"/>
        </w:rPr>
        <w:t xml:space="preserve"> evidence of securing ongoing support and/or </w:t>
      </w:r>
      <w:r w:rsidR="000C66A7" w:rsidRPr="00FA288E">
        <w:rPr>
          <w:rFonts w:cs="Calibri"/>
        </w:rPr>
        <w:t>resourcing;</w:t>
      </w:r>
      <w:r w:rsidR="00A7210E" w:rsidRPr="00FA288E">
        <w:rPr>
          <w:rFonts w:cs="Calibri"/>
        </w:rPr>
        <w:t xml:space="preserve"> and </w:t>
      </w:r>
      <w:r w:rsidR="00A7210E" w:rsidRPr="00FA288E">
        <w:rPr>
          <w:rFonts w:cs="Calibri"/>
          <w:b/>
        </w:rPr>
        <w:t xml:space="preserve">5d, </w:t>
      </w:r>
      <w:r w:rsidR="00A7210E" w:rsidRPr="00FA288E">
        <w:rPr>
          <w:rFonts w:cs="Calibri"/>
        </w:rPr>
        <w:t xml:space="preserve">adequate promotion of the </w:t>
      </w:r>
      <w:proofErr w:type="spellStart"/>
      <w:r w:rsidR="00A7210E" w:rsidRPr="00FA288E">
        <w:rPr>
          <w:rFonts w:cs="Calibri"/>
        </w:rPr>
        <w:t>PNGAus</w:t>
      </w:r>
      <w:proofErr w:type="spellEnd"/>
      <w:r w:rsidR="00A7210E" w:rsidRPr="00FA288E">
        <w:rPr>
          <w:rFonts w:cs="Calibri"/>
        </w:rPr>
        <w:t xml:space="preserve"> Partnership.</w:t>
      </w:r>
    </w:p>
    <w:p w14:paraId="5DDEE86E" w14:textId="77777777" w:rsidR="0045654B" w:rsidRPr="00FA288E" w:rsidRDefault="0045654B" w:rsidP="00AB2F99">
      <w:pPr>
        <w:spacing w:after="120" w:line="240" w:lineRule="auto"/>
        <w:jc w:val="both"/>
        <w:rPr>
          <w:rFonts w:cs="Calibri"/>
        </w:rPr>
      </w:pPr>
      <w:r w:rsidRPr="00FA288E">
        <w:rPr>
          <w:rFonts w:cs="Calibri"/>
          <w:b/>
        </w:rPr>
        <w:t xml:space="preserve">Finding: </w:t>
      </w:r>
      <w:r w:rsidRPr="00FA288E">
        <w:rPr>
          <w:rFonts w:cs="Calibri"/>
        </w:rPr>
        <w:t>Despite the focus of the grants on achieving large-scale service delivery outcomes over ensuring sustainability of results, all grantees have focussed to some extent on enhancing the ability of PDOE officials and teachers to perform their roles, and therefore increase the likelihood that at least some aspects of improved education quality will be sustained. Limited NDOE/PDOE budget available for staff to fulfil their supervisory functions, as well as adopt or maintain PPF innovations remains a significant barrier to sustainability.</w:t>
      </w:r>
    </w:p>
    <w:p w14:paraId="4B879B41" w14:textId="77777777" w:rsidR="0045654B" w:rsidRPr="00FA288E" w:rsidRDefault="0045654B" w:rsidP="00AB2F99">
      <w:pPr>
        <w:spacing w:after="120" w:line="240" w:lineRule="auto"/>
        <w:jc w:val="both"/>
        <w:rPr>
          <w:rFonts w:asciiTheme="minorHAnsi" w:hAnsiTheme="minorHAnsi" w:cstheme="minorHAnsi"/>
        </w:rPr>
      </w:pPr>
      <w:r w:rsidRPr="00FA288E">
        <w:rPr>
          <w:rFonts w:asciiTheme="minorHAnsi" w:hAnsiTheme="minorHAnsi" w:cstheme="minorHAnsi"/>
          <w:b/>
        </w:rPr>
        <w:t xml:space="preserve">Finding: </w:t>
      </w:r>
      <w:r w:rsidRPr="00FA288E">
        <w:rPr>
          <w:rFonts w:asciiTheme="minorHAnsi" w:hAnsiTheme="minorHAnsi" w:cstheme="minorHAnsi"/>
        </w:rPr>
        <w:t>While there was some evidence of institutionalising approaches and practices, in particular around gender and disability equity in teaching practice, there was less evidence of increased resourcing as a result of project activities. There is a great degree of emphasis placed on SLIPs by the NDOE to provide the funding that individual schools need to carry out teacher improvement (among other things), which has not yet been proven.</w:t>
      </w:r>
    </w:p>
    <w:p w14:paraId="2C5BD78B" w14:textId="77777777" w:rsidR="0045654B" w:rsidRPr="00FA288E" w:rsidRDefault="0045654B" w:rsidP="00AB2F99">
      <w:pPr>
        <w:spacing w:after="120" w:line="240" w:lineRule="auto"/>
        <w:jc w:val="both"/>
        <w:rPr>
          <w:rFonts w:asciiTheme="minorHAnsi" w:hAnsiTheme="minorHAnsi" w:cstheme="minorHAnsi"/>
        </w:rPr>
      </w:pPr>
      <w:r w:rsidRPr="00FA288E">
        <w:rPr>
          <w:rFonts w:asciiTheme="minorHAnsi" w:hAnsiTheme="minorHAnsi" w:cstheme="minorHAnsi"/>
          <w:b/>
        </w:rPr>
        <w:t xml:space="preserve">Finding: </w:t>
      </w:r>
      <w:r w:rsidRPr="00FA288E">
        <w:rPr>
          <w:rFonts w:asciiTheme="minorHAnsi" w:hAnsiTheme="minorHAnsi" w:cstheme="minorHAnsi"/>
        </w:rPr>
        <w:t xml:space="preserve">Awareness of the </w:t>
      </w:r>
      <w:proofErr w:type="spellStart"/>
      <w:r w:rsidRPr="00FA288E">
        <w:rPr>
          <w:rFonts w:asciiTheme="minorHAnsi" w:hAnsiTheme="minorHAnsi" w:cstheme="minorHAnsi"/>
        </w:rPr>
        <w:t>PNGAus</w:t>
      </w:r>
      <w:proofErr w:type="spellEnd"/>
      <w:r w:rsidRPr="00FA288E">
        <w:rPr>
          <w:rFonts w:asciiTheme="minorHAnsi" w:hAnsiTheme="minorHAnsi" w:cstheme="minorHAnsi"/>
        </w:rPr>
        <w:t xml:space="preserve"> Partnership at the National level is high, with good awareness that funding for the PPF grants come from the Australian Government. At the community level, awareness declines with a closer association with individual implementing consortia members.</w:t>
      </w:r>
    </w:p>
    <w:p w14:paraId="5A68BB8C" w14:textId="77777777" w:rsidR="00614C93" w:rsidRPr="00FA288E" w:rsidRDefault="00614C93" w:rsidP="001000C9">
      <w:pPr>
        <w:pStyle w:val="BodyText"/>
        <w:spacing w:after="80" w:line="240" w:lineRule="auto"/>
        <w:rPr>
          <w:rFonts w:ascii="Calibri" w:hAnsi="Calibri" w:cs="Calibri"/>
          <w:sz w:val="21"/>
          <w:szCs w:val="21"/>
        </w:rPr>
      </w:pPr>
      <w:r w:rsidRPr="00FA288E">
        <w:rPr>
          <w:rFonts w:ascii="Calibri" w:hAnsi="Calibri" w:cs="Calibri"/>
          <w:sz w:val="21"/>
          <w:szCs w:val="21"/>
        </w:rPr>
        <w:t xml:space="preserve">Arguably, the original purposes of the grants (see </w:t>
      </w:r>
      <w:r w:rsidR="00602E8D" w:rsidRPr="00FA288E">
        <w:rPr>
          <w:rFonts w:ascii="Calibri" w:hAnsi="Calibri" w:cs="Calibri"/>
          <w:sz w:val="21"/>
          <w:szCs w:val="21"/>
        </w:rPr>
        <w:t>page 3</w:t>
      </w:r>
      <w:r w:rsidRPr="00FA288E">
        <w:rPr>
          <w:rFonts w:ascii="Calibri" w:hAnsi="Calibri" w:cs="Calibri"/>
          <w:sz w:val="21"/>
          <w:szCs w:val="21"/>
        </w:rPr>
        <w:t xml:space="preserve">) </w:t>
      </w:r>
      <w:r w:rsidR="00602E8D" w:rsidRPr="00FA288E">
        <w:rPr>
          <w:rFonts w:ascii="Calibri" w:hAnsi="Calibri" w:cs="Calibri"/>
          <w:sz w:val="21"/>
          <w:szCs w:val="21"/>
        </w:rPr>
        <w:t>are</w:t>
      </w:r>
      <w:r w:rsidR="00CA23AD" w:rsidRPr="00FA288E">
        <w:rPr>
          <w:rFonts w:ascii="Calibri" w:hAnsi="Calibri" w:cs="Calibri"/>
          <w:sz w:val="21"/>
          <w:szCs w:val="21"/>
        </w:rPr>
        <w:t xml:space="preserve"> more</w:t>
      </w:r>
      <w:r w:rsidRPr="00FA288E">
        <w:rPr>
          <w:rFonts w:ascii="Calibri" w:hAnsi="Calibri" w:cs="Calibri"/>
          <w:sz w:val="21"/>
          <w:szCs w:val="21"/>
        </w:rPr>
        <w:t xml:space="preserve"> focus</w:t>
      </w:r>
      <w:r w:rsidR="00CA23AD" w:rsidRPr="00FA288E">
        <w:rPr>
          <w:rFonts w:ascii="Calibri" w:hAnsi="Calibri" w:cs="Calibri"/>
          <w:sz w:val="21"/>
          <w:szCs w:val="21"/>
        </w:rPr>
        <w:t>ed</w:t>
      </w:r>
      <w:r w:rsidRPr="00FA288E">
        <w:rPr>
          <w:rFonts w:ascii="Calibri" w:hAnsi="Calibri" w:cs="Calibri"/>
          <w:sz w:val="21"/>
          <w:szCs w:val="21"/>
        </w:rPr>
        <w:t xml:space="preserve"> more on achieving large-scale </w:t>
      </w:r>
      <w:r w:rsidR="00CA23AD" w:rsidRPr="00FA288E">
        <w:rPr>
          <w:rFonts w:ascii="Calibri" w:hAnsi="Calibri" w:cs="Calibri"/>
          <w:sz w:val="21"/>
          <w:szCs w:val="21"/>
        </w:rPr>
        <w:t xml:space="preserve">service delivery </w:t>
      </w:r>
      <w:r w:rsidRPr="00FA288E">
        <w:rPr>
          <w:rFonts w:ascii="Calibri" w:hAnsi="Calibri" w:cs="Calibri"/>
          <w:sz w:val="21"/>
          <w:szCs w:val="21"/>
        </w:rPr>
        <w:t xml:space="preserve">results, within a short time frame, than </w:t>
      </w:r>
      <w:r w:rsidR="00CA23AD" w:rsidRPr="00FA288E">
        <w:rPr>
          <w:rFonts w:ascii="Calibri" w:hAnsi="Calibri" w:cs="Calibri"/>
          <w:sz w:val="21"/>
          <w:szCs w:val="21"/>
        </w:rPr>
        <w:t xml:space="preserve">on </w:t>
      </w:r>
      <w:r w:rsidRPr="00FA288E">
        <w:rPr>
          <w:rFonts w:ascii="Calibri" w:hAnsi="Calibri" w:cs="Calibri"/>
          <w:sz w:val="21"/>
          <w:szCs w:val="21"/>
        </w:rPr>
        <w:t>ensuring sustainability.</w:t>
      </w:r>
      <w:r w:rsidRPr="00FA288E">
        <w:rPr>
          <w:rStyle w:val="FootnoteReference"/>
          <w:rFonts w:ascii="Calibri" w:hAnsi="Calibri" w:cs="Calibri"/>
          <w:sz w:val="21"/>
          <w:szCs w:val="21"/>
        </w:rPr>
        <w:footnoteReference w:id="67"/>
      </w:r>
      <w:r w:rsidRPr="00FA288E">
        <w:rPr>
          <w:rFonts w:ascii="Calibri" w:hAnsi="Calibri" w:cs="Calibri"/>
          <w:sz w:val="21"/>
          <w:szCs w:val="21"/>
        </w:rPr>
        <w:t xml:space="preserve"> </w:t>
      </w:r>
    </w:p>
    <w:p w14:paraId="7EEFD1B5" w14:textId="77777777" w:rsidR="00614C93" w:rsidRPr="00FA288E" w:rsidRDefault="00614C93" w:rsidP="001000C9">
      <w:pPr>
        <w:pStyle w:val="BodyText"/>
        <w:spacing w:after="80" w:line="240" w:lineRule="auto"/>
        <w:rPr>
          <w:rFonts w:ascii="Calibri" w:hAnsi="Calibri" w:cs="Calibri"/>
          <w:sz w:val="21"/>
          <w:szCs w:val="21"/>
        </w:rPr>
      </w:pPr>
      <w:r w:rsidRPr="00FA288E">
        <w:rPr>
          <w:rFonts w:ascii="Calibri" w:hAnsi="Calibri" w:cs="Calibri"/>
          <w:sz w:val="21"/>
          <w:szCs w:val="21"/>
        </w:rPr>
        <w:t xml:space="preserve">The danger in the approach </w:t>
      </w:r>
      <w:r w:rsidR="00CA23AD" w:rsidRPr="00FA288E">
        <w:rPr>
          <w:rFonts w:ascii="Calibri" w:hAnsi="Calibri" w:cs="Calibri"/>
          <w:sz w:val="21"/>
          <w:szCs w:val="21"/>
        </w:rPr>
        <w:t xml:space="preserve">is </w:t>
      </w:r>
      <w:r w:rsidRPr="00FA288E">
        <w:rPr>
          <w:rFonts w:ascii="Calibri" w:hAnsi="Calibri" w:cs="Calibri"/>
          <w:sz w:val="21"/>
          <w:szCs w:val="21"/>
        </w:rPr>
        <w:t xml:space="preserve">that interventions designed to achieve </w:t>
      </w:r>
      <w:r w:rsidR="00CA23AD" w:rsidRPr="00FA288E">
        <w:rPr>
          <w:rFonts w:ascii="Calibri" w:hAnsi="Calibri" w:cs="Calibri"/>
          <w:sz w:val="21"/>
          <w:szCs w:val="21"/>
        </w:rPr>
        <w:t>service delivery targets often</w:t>
      </w:r>
      <w:r w:rsidRPr="00FA288E">
        <w:rPr>
          <w:rFonts w:ascii="Calibri" w:hAnsi="Calibri" w:cs="Calibri"/>
          <w:sz w:val="21"/>
          <w:szCs w:val="21"/>
        </w:rPr>
        <w:t xml:space="preserve"> fail to take into account the capacity of host country systems to institutionalise and sustain the processes, practices and products that have been implemented</w:t>
      </w:r>
      <w:r w:rsidR="00CA23AD" w:rsidRPr="00FA288E">
        <w:rPr>
          <w:rFonts w:ascii="Calibri" w:hAnsi="Calibri" w:cs="Calibri"/>
          <w:sz w:val="21"/>
          <w:szCs w:val="21"/>
        </w:rPr>
        <w:t>.</w:t>
      </w:r>
      <w:r w:rsidRPr="00FA288E">
        <w:rPr>
          <w:rFonts w:ascii="Calibri" w:hAnsi="Calibri" w:cs="Calibri"/>
          <w:sz w:val="21"/>
          <w:szCs w:val="21"/>
        </w:rPr>
        <w:t xml:space="preserve"> </w:t>
      </w:r>
    </w:p>
    <w:p w14:paraId="514D0384" w14:textId="77777777" w:rsidR="00614C93" w:rsidRPr="00FA288E" w:rsidRDefault="00614C93" w:rsidP="001000C9">
      <w:pPr>
        <w:pStyle w:val="BodyText"/>
        <w:spacing w:after="80" w:line="240" w:lineRule="auto"/>
        <w:rPr>
          <w:rFonts w:ascii="Calibri" w:hAnsi="Calibri" w:cs="Calibri"/>
          <w:sz w:val="21"/>
          <w:szCs w:val="21"/>
        </w:rPr>
      </w:pPr>
      <w:r w:rsidRPr="00FA288E">
        <w:rPr>
          <w:rFonts w:ascii="Calibri" w:hAnsi="Calibri" w:cs="Calibri"/>
          <w:sz w:val="21"/>
          <w:szCs w:val="21"/>
        </w:rPr>
        <w:t xml:space="preserve">All grantees in their </w:t>
      </w:r>
      <w:r w:rsidR="00BB6A37" w:rsidRPr="00FA288E">
        <w:rPr>
          <w:rFonts w:ascii="Calibri" w:hAnsi="Calibri" w:cs="Calibri"/>
          <w:sz w:val="21"/>
          <w:szCs w:val="21"/>
        </w:rPr>
        <w:t xml:space="preserve">project </w:t>
      </w:r>
      <w:r w:rsidRPr="00FA288E">
        <w:rPr>
          <w:rFonts w:ascii="Calibri" w:hAnsi="Calibri" w:cs="Calibri"/>
          <w:sz w:val="21"/>
          <w:szCs w:val="21"/>
        </w:rPr>
        <w:t>concept notes identified sustainability as a key issue</w:t>
      </w:r>
      <w:r w:rsidR="0090711E" w:rsidRPr="00FA288E">
        <w:rPr>
          <w:rFonts w:ascii="Calibri" w:hAnsi="Calibri" w:cs="Calibri"/>
          <w:sz w:val="21"/>
          <w:szCs w:val="21"/>
        </w:rPr>
        <w:t>. A</w:t>
      </w:r>
      <w:r w:rsidRPr="00FA288E">
        <w:rPr>
          <w:rFonts w:ascii="Calibri" w:hAnsi="Calibri" w:cs="Calibri"/>
          <w:sz w:val="21"/>
          <w:szCs w:val="21"/>
        </w:rPr>
        <w:t xml:space="preserve"> significant aspect of their </w:t>
      </w:r>
      <w:r w:rsidR="0090711E" w:rsidRPr="00FA288E">
        <w:rPr>
          <w:rFonts w:ascii="Calibri" w:hAnsi="Calibri" w:cs="Calibri"/>
          <w:sz w:val="21"/>
          <w:szCs w:val="21"/>
        </w:rPr>
        <w:t>approach to</w:t>
      </w:r>
      <w:r w:rsidRPr="00FA288E">
        <w:rPr>
          <w:rFonts w:ascii="Calibri" w:hAnsi="Calibri" w:cs="Calibri"/>
          <w:sz w:val="21"/>
          <w:szCs w:val="21"/>
        </w:rPr>
        <w:t xml:space="preserve"> sustainability focuse</w:t>
      </w:r>
      <w:r w:rsidR="0090711E" w:rsidRPr="00FA288E">
        <w:rPr>
          <w:rFonts w:ascii="Calibri" w:hAnsi="Calibri" w:cs="Calibri"/>
          <w:sz w:val="21"/>
          <w:szCs w:val="21"/>
        </w:rPr>
        <w:t>s</w:t>
      </w:r>
      <w:r w:rsidRPr="00FA288E">
        <w:rPr>
          <w:rFonts w:ascii="Calibri" w:hAnsi="Calibri" w:cs="Calibri"/>
          <w:sz w:val="21"/>
          <w:szCs w:val="21"/>
        </w:rPr>
        <w:t xml:space="preserve"> on strengthening the abilit</w:t>
      </w:r>
      <w:r w:rsidR="00340801" w:rsidRPr="00FA288E">
        <w:rPr>
          <w:rFonts w:ascii="Calibri" w:hAnsi="Calibri" w:cs="Calibri"/>
          <w:sz w:val="21"/>
          <w:szCs w:val="21"/>
        </w:rPr>
        <w:t>y</w:t>
      </w:r>
      <w:r w:rsidRPr="00FA288E">
        <w:rPr>
          <w:rFonts w:ascii="Calibri" w:hAnsi="Calibri" w:cs="Calibri"/>
          <w:sz w:val="21"/>
          <w:szCs w:val="21"/>
        </w:rPr>
        <w:t xml:space="preserve"> of education stakeholders (</w:t>
      </w:r>
      <w:proofErr w:type="spellStart"/>
      <w:r w:rsidRPr="00FA288E">
        <w:rPr>
          <w:rFonts w:ascii="Calibri" w:hAnsi="Calibri" w:cs="Calibri"/>
          <w:sz w:val="21"/>
          <w:szCs w:val="21"/>
        </w:rPr>
        <w:t>SBoM</w:t>
      </w:r>
      <w:proofErr w:type="spellEnd"/>
      <w:r w:rsidRPr="00FA288E">
        <w:rPr>
          <w:rFonts w:ascii="Calibri" w:hAnsi="Calibri" w:cs="Calibri"/>
          <w:sz w:val="21"/>
          <w:szCs w:val="21"/>
        </w:rPr>
        <w:t xml:space="preserve">, </w:t>
      </w:r>
      <w:proofErr w:type="spellStart"/>
      <w:r w:rsidR="00826A52" w:rsidRPr="00FA288E">
        <w:rPr>
          <w:rFonts w:ascii="Calibri" w:hAnsi="Calibri" w:cs="Calibri"/>
          <w:sz w:val="21"/>
          <w:szCs w:val="21"/>
        </w:rPr>
        <w:t>TiCs</w:t>
      </w:r>
      <w:proofErr w:type="spellEnd"/>
      <w:r w:rsidRPr="00FA288E">
        <w:rPr>
          <w:rFonts w:ascii="Calibri" w:hAnsi="Calibri" w:cs="Calibri"/>
          <w:sz w:val="21"/>
          <w:szCs w:val="21"/>
        </w:rPr>
        <w:t xml:space="preserve">, teachers and </w:t>
      </w:r>
      <w:r w:rsidR="0090711E" w:rsidRPr="00FA288E">
        <w:rPr>
          <w:rFonts w:ascii="Calibri" w:hAnsi="Calibri" w:cs="Calibri"/>
          <w:sz w:val="21"/>
          <w:szCs w:val="21"/>
        </w:rPr>
        <w:t>district officials</w:t>
      </w:r>
      <w:r w:rsidRPr="00FA288E">
        <w:rPr>
          <w:rFonts w:ascii="Calibri" w:hAnsi="Calibri" w:cs="Calibri"/>
          <w:sz w:val="21"/>
          <w:szCs w:val="21"/>
        </w:rPr>
        <w:t>) to perform their functions</w:t>
      </w:r>
      <w:r w:rsidR="0090711E" w:rsidRPr="00FA288E">
        <w:rPr>
          <w:rFonts w:ascii="Calibri" w:hAnsi="Calibri" w:cs="Calibri"/>
          <w:sz w:val="21"/>
          <w:szCs w:val="21"/>
        </w:rPr>
        <w:t xml:space="preserve"> better</w:t>
      </w:r>
      <w:r w:rsidRPr="00FA288E">
        <w:rPr>
          <w:rFonts w:ascii="Calibri" w:hAnsi="Calibri" w:cs="Calibri"/>
          <w:sz w:val="21"/>
          <w:szCs w:val="21"/>
        </w:rPr>
        <w:t xml:space="preserve">. For </w:t>
      </w:r>
      <w:r w:rsidR="0090711E" w:rsidRPr="00FA288E">
        <w:rPr>
          <w:rFonts w:ascii="Calibri" w:hAnsi="Calibri" w:cs="Calibri"/>
          <w:sz w:val="21"/>
          <w:szCs w:val="21"/>
        </w:rPr>
        <w:t xml:space="preserve">example, for </w:t>
      </w:r>
      <w:proofErr w:type="spellStart"/>
      <w:r w:rsidRPr="00FA288E">
        <w:rPr>
          <w:rFonts w:ascii="Calibri" w:hAnsi="Calibri" w:cs="Calibri"/>
          <w:sz w:val="21"/>
          <w:szCs w:val="21"/>
        </w:rPr>
        <w:t>SBoM</w:t>
      </w:r>
      <w:proofErr w:type="spellEnd"/>
      <w:r w:rsidRPr="00FA288E">
        <w:rPr>
          <w:rFonts w:ascii="Calibri" w:hAnsi="Calibri" w:cs="Calibri"/>
          <w:sz w:val="21"/>
          <w:szCs w:val="21"/>
        </w:rPr>
        <w:t xml:space="preserve"> members, these </w:t>
      </w:r>
      <w:r w:rsidR="0090711E" w:rsidRPr="00FA288E">
        <w:rPr>
          <w:rFonts w:ascii="Calibri" w:hAnsi="Calibri" w:cs="Calibri"/>
          <w:sz w:val="21"/>
          <w:szCs w:val="21"/>
        </w:rPr>
        <w:t xml:space="preserve">functions </w:t>
      </w:r>
      <w:r w:rsidRPr="00FA288E">
        <w:rPr>
          <w:rFonts w:ascii="Calibri" w:hAnsi="Calibri" w:cs="Calibri"/>
          <w:sz w:val="21"/>
          <w:szCs w:val="21"/>
        </w:rPr>
        <w:t>relate to school planning; for teachers, their teaching duties</w:t>
      </w:r>
      <w:r w:rsidR="0090711E" w:rsidRPr="00FA288E">
        <w:rPr>
          <w:rFonts w:ascii="Calibri" w:hAnsi="Calibri" w:cs="Calibri"/>
          <w:sz w:val="21"/>
          <w:szCs w:val="21"/>
        </w:rPr>
        <w:t>; and for district officials, their supervisory responsibilities</w:t>
      </w:r>
      <w:r w:rsidRPr="00FA288E">
        <w:rPr>
          <w:rFonts w:ascii="Calibri" w:hAnsi="Calibri" w:cs="Calibri"/>
          <w:sz w:val="21"/>
          <w:szCs w:val="21"/>
        </w:rPr>
        <w:t>. For school planning, the hypothesis is that with better planning more resources will be accessed</w:t>
      </w:r>
      <w:r w:rsidR="0090711E" w:rsidRPr="00FA288E">
        <w:rPr>
          <w:rFonts w:ascii="Calibri" w:hAnsi="Calibri" w:cs="Calibri"/>
          <w:sz w:val="21"/>
          <w:szCs w:val="21"/>
        </w:rPr>
        <w:t xml:space="preserve"> and available</w:t>
      </w:r>
      <w:r w:rsidRPr="00FA288E">
        <w:rPr>
          <w:rFonts w:ascii="Calibri" w:hAnsi="Calibri" w:cs="Calibri"/>
          <w:sz w:val="21"/>
          <w:szCs w:val="21"/>
        </w:rPr>
        <w:t xml:space="preserve"> to provide</w:t>
      </w:r>
      <w:r w:rsidR="0090711E" w:rsidRPr="00FA288E">
        <w:rPr>
          <w:rFonts w:ascii="Calibri" w:hAnsi="Calibri" w:cs="Calibri"/>
          <w:sz w:val="21"/>
          <w:szCs w:val="21"/>
        </w:rPr>
        <w:t>:</w:t>
      </w:r>
      <w:r w:rsidRPr="00FA288E">
        <w:rPr>
          <w:rFonts w:ascii="Calibri" w:hAnsi="Calibri" w:cs="Calibri"/>
          <w:sz w:val="21"/>
          <w:szCs w:val="21"/>
        </w:rPr>
        <w:t xml:space="preserve"> </w:t>
      </w:r>
      <w:proofErr w:type="spellStart"/>
      <w:r w:rsidR="0090711E" w:rsidRPr="00FA288E">
        <w:rPr>
          <w:rFonts w:ascii="Calibri" w:hAnsi="Calibri" w:cs="Calibri"/>
          <w:sz w:val="21"/>
          <w:szCs w:val="21"/>
        </w:rPr>
        <w:t>i</w:t>
      </w:r>
      <w:proofErr w:type="spellEnd"/>
      <w:r w:rsidR="0090711E" w:rsidRPr="00FA288E">
        <w:rPr>
          <w:rFonts w:ascii="Calibri" w:hAnsi="Calibri" w:cs="Calibri"/>
          <w:sz w:val="21"/>
          <w:szCs w:val="21"/>
        </w:rPr>
        <w:t xml:space="preserve">) </w:t>
      </w:r>
      <w:r w:rsidRPr="00FA288E">
        <w:rPr>
          <w:rFonts w:ascii="Calibri" w:hAnsi="Calibri" w:cs="Calibri"/>
          <w:sz w:val="21"/>
          <w:szCs w:val="21"/>
        </w:rPr>
        <w:t>professional development for teachers</w:t>
      </w:r>
      <w:r w:rsidR="0090711E" w:rsidRPr="00FA288E">
        <w:rPr>
          <w:rFonts w:ascii="Calibri" w:hAnsi="Calibri" w:cs="Calibri"/>
          <w:sz w:val="21"/>
          <w:szCs w:val="21"/>
        </w:rPr>
        <w:t xml:space="preserve">; ii) </w:t>
      </w:r>
      <w:r w:rsidR="000A0A7E" w:rsidRPr="00FA288E">
        <w:rPr>
          <w:rFonts w:ascii="Calibri" w:hAnsi="Calibri" w:cs="Calibri"/>
          <w:sz w:val="21"/>
          <w:szCs w:val="21"/>
        </w:rPr>
        <w:t xml:space="preserve">additional </w:t>
      </w:r>
      <w:r w:rsidRPr="00FA288E">
        <w:rPr>
          <w:rFonts w:ascii="Calibri" w:hAnsi="Calibri" w:cs="Calibri"/>
          <w:sz w:val="21"/>
          <w:szCs w:val="21"/>
        </w:rPr>
        <w:t>teaching and learning resources</w:t>
      </w:r>
      <w:r w:rsidR="0090711E" w:rsidRPr="00FA288E">
        <w:rPr>
          <w:rFonts w:ascii="Calibri" w:hAnsi="Calibri" w:cs="Calibri"/>
          <w:sz w:val="21"/>
          <w:szCs w:val="21"/>
        </w:rPr>
        <w:t>;</w:t>
      </w:r>
      <w:r w:rsidRPr="00FA288E">
        <w:rPr>
          <w:rFonts w:ascii="Calibri" w:hAnsi="Calibri" w:cs="Calibri"/>
          <w:sz w:val="21"/>
          <w:szCs w:val="21"/>
        </w:rPr>
        <w:t xml:space="preserve"> and</w:t>
      </w:r>
      <w:r w:rsidR="0090711E" w:rsidRPr="00FA288E">
        <w:rPr>
          <w:rFonts w:ascii="Calibri" w:hAnsi="Calibri" w:cs="Calibri"/>
          <w:sz w:val="21"/>
          <w:szCs w:val="21"/>
        </w:rPr>
        <w:t>, iii)</w:t>
      </w:r>
      <w:r w:rsidRPr="00FA288E">
        <w:rPr>
          <w:rFonts w:ascii="Calibri" w:hAnsi="Calibri" w:cs="Calibri"/>
          <w:sz w:val="21"/>
          <w:szCs w:val="21"/>
        </w:rPr>
        <w:t xml:space="preserve"> </w:t>
      </w:r>
      <w:r w:rsidR="000A0A7E" w:rsidRPr="00FA288E">
        <w:rPr>
          <w:rFonts w:ascii="Calibri" w:hAnsi="Calibri" w:cs="Calibri"/>
          <w:sz w:val="21"/>
          <w:szCs w:val="21"/>
        </w:rPr>
        <w:t xml:space="preserve">ensure </w:t>
      </w:r>
      <w:r w:rsidRPr="00FA288E">
        <w:rPr>
          <w:rFonts w:ascii="Calibri" w:hAnsi="Calibri" w:cs="Calibri"/>
          <w:sz w:val="21"/>
          <w:szCs w:val="21"/>
        </w:rPr>
        <w:t xml:space="preserve">a safe learning environment.  </w:t>
      </w:r>
      <w:r w:rsidR="0090711E" w:rsidRPr="00FA288E">
        <w:rPr>
          <w:rFonts w:ascii="Calibri" w:hAnsi="Calibri" w:cs="Calibri"/>
          <w:sz w:val="21"/>
          <w:szCs w:val="21"/>
        </w:rPr>
        <w:t xml:space="preserve">For supervisory functions, the hypothesis is that with improved knowledge, skills and abilities district officials will be able to help teachers to improve. </w:t>
      </w:r>
      <w:r w:rsidRPr="00FA288E">
        <w:rPr>
          <w:rFonts w:ascii="Calibri" w:hAnsi="Calibri" w:cs="Calibri"/>
          <w:sz w:val="21"/>
          <w:szCs w:val="21"/>
        </w:rPr>
        <w:t xml:space="preserve">Given the challenges faced in the equitable distribution of the </w:t>
      </w:r>
      <w:r w:rsidR="0090711E" w:rsidRPr="00FA288E">
        <w:rPr>
          <w:rFonts w:ascii="Calibri" w:hAnsi="Calibri" w:cs="Calibri"/>
          <w:sz w:val="21"/>
          <w:szCs w:val="21"/>
        </w:rPr>
        <w:t>government support to education</w:t>
      </w:r>
      <w:r w:rsidR="00D52BB0" w:rsidRPr="00FA288E">
        <w:rPr>
          <w:rFonts w:ascii="Calibri" w:hAnsi="Calibri" w:cs="Calibri"/>
          <w:sz w:val="21"/>
          <w:szCs w:val="21"/>
        </w:rPr>
        <w:t xml:space="preserve"> </w:t>
      </w:r>
      <w:r w:rsidRPr="00FA288E">
        <w:rPr>
          <w:rFonts w:ascii="Calibri" w:hAnsi="Calibri" w:cs="Calibri"/>
          <w:sz w:val="21"/>
          <w:szCs w:val="21"/>
        </w:rPr>
        <w:t>and the limited economic activity in many communities,</w:t>
      </w:r>
      <w:r w:rsidR="0090711E" w:rsidRPr="00FA288E">
        <w:rPr>
          <w:rFonts w:ascii="Calibri" w:hAnsi="Calibri" w:cs="Calibri"/>
          <w:sz w:val="21"/>
          <w:szCs w:val="21"/>
        </w:rPr>
        <w:t xml:space="preserve"> resources may not be available to actualise the </w:t>
      </w:r>
      <w:r w:rsidR="00F954F3" w:rsidRPr="00FA288E">
        <w:rPr>
          <w:rFonts w:ascii="Calibri" w:hAnsi="Calibri" w:cs="Calibri"/>
          <w:sz w:val="21"/>
          <w:szCs w:val="21"/>
        </w:rPr>
        <w:t>plans of schools or to enable district officials to actually travel to schools to perform their functions.</w:t>
      </w:r>
    </w:p>
    <w:p w14:paraId="128CB50D" w14:textId="77777777" w:rsidR="00614C93" w:rsidRPr="00FA288E" w:rsidRDefault="00614C93" w:rsidP="001000C9">
      <w:pPr>
        <w:pStyle w:val="BodyText"/>
        <w:spacing w:after="80" w:line="240" w:lineRule="auto"/>
        <w:rPr>
          <w:rFonts w:ascii="Calibri" w:hAnsi="Calibri" w:cs="Calibri"/>
          <w:i/>
          <w:sz w:val="21"/>
          <w:szCs w:val="21"/>
        </w:rPr>
      </w:pPr>
      <w:r w:rsidRPr="00FA288E">
        <w:rPr>
          <w:rFonts w:ascii="Calibri" w:hAnsi="Calibri" w:cs="Calibri"/>
          <w:i/>
          <w:sz w:val="21"/>
          <w:szCs w:val="21"/>
        </w:rPr>
        <w:t>Programming efforts to promote sustainability</w:t>
      </w:r>
    </w:p>
    <w:p w14:paraId="3B0A5BE3" w14:textId="77777777" w:rsidR="00614C93" w:rsidRPr="00FA288E" w:rsidRDefault="00614C93" w:rsidP="001000C9">
      <w:pPr>
        <w:pStyle w:val="BodyText"/>
        <w:spacing w:after="80" w:line="240" w:lineRule="auto"/>
        <w:rPr>
          <w:rFonts w:ascii="Calibri" w:hAnsi="Calibri" w:cs="Calibri"/>
          <w:sz w:val="21"/>
          <w:szCs w:val="21"/>
        </w:rPr>
      </w:pPr>
      <w:r w:rsidRPr="00FA288E">
        <w:rPr>
          <w:rFonts w:ascii="Calibri" w:hAnsi="Calibri" w:cs="Calibri"/>
          <w:sz w:val="21"/>
          <w:szCs w:val="21"/>
        </w:rPr>
        <w:t xml:space="preserve">Sustainability requires not only developing the requisite abilities of individuals, but also the capacity to </w:t>
      </w:r>
      <w:r w:rsidRPr="00FA288E">
        <w:rPr>
          <w:rFonts w:ascii="Calibri" w:hAnsi="Calibri" w:cs="Calibri"/>
          <w:i/>
          <w:sz w:val="21"/>
          <w:szCs w:val="21"/>
        </w:rPr>
        <w:t>utilise</w:t>
      </w:r>
      <w:r w:rsidRPr="00FA288E">
        <w:rPr>
          <w:rFonts w:ascii="Calibri" w:hAnsi="Calibri" w:cs="Calibri"/>
          <w:sz w:val="21"/>
          <w:szCs w:val="21"/>
        </w:rPr>
        <w:t xml:space="preserve"> the</w:t>
      </w:r>
      <w:r w:rsidR="0078221F" w:rsidRPr="00FA288E">
        <w:rPr>
          <w:rFonts w:ascii="Calibri" w:hAnsi="Calibri" w:cs="Calibri"/>
          <w:sz w:val="21"/>
          <w:szCs w:val="21"/>
        </w:rPr>
        <w:t>se</w:t>
      </w:r>
      <w:r w:rsidRPr="00FA288E">
        <w:rPr>
          <w:rFonts w:ascii="Calibri" w:hAnsi="Calibri" w:cs="Calibri"/>
          <w:sz w:val="21"/>
          <w:szCs w:val="21"/>
        </w:rPr>
        <w:t xml:space="preserve"> abilities</w:t>
      </w:r>
      <w:r w:rsidR="000B7D20" w:rsidRPr="00FA288E">
        <w:rPr>
          <w:rFonts w:ascii="Calibri" w:hAnsi="Calibri" w:cs="Calibri"/>
          <w:sz w:val="21"/>
          <w:szCs w:val="21"/>
        </w:rPr>
        <w:t>. This</w:t>
      </w:r>
      <w:r w:rsidRPr="00FA288E">
        <w:rPr>
          <w:rFonts w:ascii="Calibri" w:hAnsi="Calibri" w:cs="Calibri"/>
          <w:sz w:val="21"/>
          <w:szCs w:val="21"/>
        </w:rPr>
        <w:t xml:space="preserve"> requires appropriate policies, systems, processes and funds to carry out the roles for which abilities </w:t>
      </w:r>
      <w:r w:rsidRPr="00FA288E">
        <w:rPr>
          <w:rFonts w:ascii="Calibri" w:hAnsi="Calibri" w:cs="Calibri"/>
          <w:sz w:val="21"/>
          <w:szCs w:val="21"/>
        </w:rPr>
        <w:lastRenderedPageBreak/>
        <w:t>have been developed.</w:t>
      </w:r>
      <w:r w:rsidR="000A0A7E" w:rsidRPr="00FA288E">
        <w:rPr>
          <w:rFonts w:ascii="Calibri" w:hAnsi="Calibri" w:cs="Calibri"/>
          <w:sz w:val="21"/>
          <w:szCs w:val="21"/>
        </w:rPr>
        <w:t xml:space="preserve"> While a</w:t>
      </w:r>
      <w:r w:rsidRPr="00FA288E">
        <w:rPr>
          <w:rFonts w:ascii="Calibri" w:hAnsi="Calibri" w:cs="Calibri"/>
          <w:sz w:val="21"/>
          <w:szCs w:val="21"/>
        </w:rPr>
        <w:t xml:space="preserve">ll projects </w:t>
      </w:r>
      <w:r w:rsidRPr="00FA288E">
        <w:rPr>
          <w:rFonts w:ascii="Calibri" w:hAnsi="Calibri" w:cs="Calibri"/>
          <w:i/>
          <w:sz w:val="21"/>
          <w:szCs w:val="21"/>
        </w:rPr>
        <w:t>did</w:t>
      </w:r>
      <w:r w:rsidRPr="00FA288E">
        <w:rPr>
          <w:rFonts w:ascii="Calibri" w:hAnsi="Calibri" w:cs="Calibri"/>
          <w:sz w:val="21"/>
          <w:szCs w:val="21"/>
        </w:rPr>
        <w:t xml:space="preserve"> make efforts to include provincial and district officials in their training and monitoring activities</w:t>
      </w:r>
      <w:r w:rsidR="000A0A7E" w:rsidRPr="00FA288E">
        <w:rPr>
          <w:rFonts w:ascii="Calibri" w:hAnsi="Calibri" w:cs="Calibri"/>
          <w:sz w:val="21"/>
          <w:szCs w:val="21"/>
        </w:rPr>
        <w:t xml:space="preserve"> to strengthen individual abilit</w:t>
      </w:r>
      <w:r w:rsidR="00340801" w:rsidRPr="00FA288E">
        <w:rPr>
          <w:rFonts w:ascii="Calibri" w:hAnsi="Calibri" w:cs="Calibri"/>
          <w:sz w:val="21"/>
          <w:szCs w:val="21"/>
        </w:rPr>
        <w:t>ies</w:t>
      </w:r>
      <w:r w:rsidR="000A0A7E" w:rsidRPr="00FA288E">
        <w:rPr>
          <w:rFonts w:ascii="Calibri" w:hAnsi="Calibri" w:cs="Calibri"/>
          <w:sz w:val="21"/>
          <w:szCs w:val="21"/>
        </w:rPr>
        <w:t xml:space="preserve">, there does not appear to be a corresponding </w:t>
      </w:r>
      <w:r w:rsidR="00AF28FE" w:rsidRPr="00FA288E">
        <w:rPr>
          <w:rFonts w:ascii="Calibri" w:hAnsi="Calibri" w:cs="Calibri"/>
          <w:sz w:val="21"/>
          <w:szCs w:val="21"/>
        </w:rPr>
        <w:t xml:space="preserve">direct </w:t>
      </w:r>
      <w:r w:rsidR="000A0A7E" w:rsidRPr="00FA288E">
        <w:rPr>
          <w:rFonts w:ascii="Calibri" w:hAnsi="Calibri" w:cs="Calibri"/>
          <w:sz w:val="21"/>
          <w:szCs w:val="21"/>
        </w:rPr>
        <w:t xml:space="preserve">effort to influence </w:t>
      </w:r>
      <w:r w:rsidR="00AF28FE" w:rsidRPr="00FA288E">
        <w:rPr>
          <w:rFonts w:ascii="Calibri" w:hAnsi="Calibri" w:cs="Calibri"/>
          <w:sz w:val="21"/>
          <w:szCs w:val="21"/>
        </w:rPr>
        <w:t>policies, systems and processes within the education system to facilitate ongoing application of these improved abilities</w:t>
      </w:r>
      <w:r w:rsidR="000B7D20" w:rsidRPr="00FA288E">
        <w:rPr>
          <w:rFonts w:ascii="Calibri" w:hAnsi="Calibri" w:cs="Calibri"/>
          <w:sz w:val="21"/>
          <w:szCs w:val="21"/>
        </w:rPr>
        <w:t>.</w:t>
      </w:r>
      <w:r w:rsidR="00AF28FE" w:rsidRPr="00FA288E">
        <w:rPr>
          <w:rStyle w:val="FootnoteReference"/>
          <w:rFonts w:ascii="Calibri" w:hAnsi="Calibri" w:cs="Calibri"/>
          <w:sz w:val="21"/>
          <w:szCs w:val="21"/>
        </w:rPr>
        <w:footnoteReference w:id="68"/>
      </w:r>
      <w:r w:rsidRPr="00FA288E">
        <w:rPr>
          <w:rFonts w:ascii="Calibri" w:hAnsi="Calibri" w:cs="Calibri"/>
          <w:sz w:val="21"/>
          <w:szCs w:val="21"/>
        </w:rPr>
        <w:t xml:space="preserve"> </w:t>
      </w:r>
      <w:r w:rsidR="00AF28FE" w:rsidRPr="00FA288E">
        <w:rPr>
          <w:rFonts w:ascii="Calibri" w:hAnsi="Calibri" w:cs="Calibri"/>
          <w:sz w:val="21"/>
          <w:szCs w:val="21"/>
        </w:rPr>
        <w:t>W</w:t>
      </w:r>
      <w:r w:rsidRPr="00FA288E">
        <w:rPr>
          <w:rFonts w:ascii="Calibri" w:hAnsi="Calibri" w:cs="Calibri"/>
          <w:sz w:val="21"/>
          <w:szCs w:val="21"/>
        </w:rPr>
        <w:t>hen all projects end, it is understood that there may be limited funding from the government to continue t</w:t>
      </w:r>
      <w:r w:rsidR="00AF28FE" w:rsidRPr="00FA288E">
        <w:rPr>
          <w:rFonts w:ascii="Calibri" w:hAnsi="Calibri" w:cs="Calibri"/>
          <w:sz w:val="21"/>
          <w:szCs w:val="21"/>
        </w:rPr>
        <w:t xml:space="preserve">raining and monitoring activities, leaving </w:t>
      </w:r>
      <w:r w:rsidR="00340801" w:rsidRPr="00FA288E">
        <w:rPr>
          <w:rFonts w:ascii="Calibri" w:hAnsi="Calibri" w:cs="Calibri"/>
          <w:sz w:val="21"/>
          <w:szCs w:val="21"/>
        </w:rPr>
        <w:t>individuals</w:t>
      </w:r>
      <w:r w:rsidR="00AF28FE" w:rsidRPr="00FA288E">
        <w:rPr>
          <w:rFonts w:ascii="Calibri" w:hAnsi="Calibri" w:cs="Calibri"/>
          <w:sz w:val="21"/>
          <w:szCs w:val="21"/>
        </w:rPr>
        <w:t xml:space="preserve"> unable to apply their acquired knowledge</w:t>
      </w:r>
      <w:r w:rsidR="0078221F" w:rsidRPr="00FA288E">
        <w:rPr>
          <w:rFonts w:ascii="Calibri" w:hAnsi="Calibri" w:cs="Calibri"/>
          <w:sz w:val="21"/>
          <w:szCs w:val="21"/>
        </w:rPr>
        <w:t xml:space="preserve">, </w:t>
      </w:r>
      <w:r w:rsidR="00AF28FE" w:rsidRPr="00FA288E">
        <w:rPr>
          <w:rFonts w:ascii="Calibri" w:hAnsi="Calibri" w:cs="Calibri"/>
          <w:sz w:val="21"/>
          <w:szCs w:val="21"/>
        </w:rPr>
        <w:t>skills</w:t>
      </w:r>
      <w:r w:rsidR="0078221F" w:rsidRPr="00FA288E">
        <w:rPr>
          <w:rFonts w:ascii="Calibri" w:hAnsi="Calibri" w:cs="Calibri"/>
          <w:sz w:val="21"/>
          <w:szCs w:val="21"/>
        </w:rPr>
        <w:t xml:space="preserve"> and abilities</w:t>
      </w:r>
      <w:r w:rsidR="00340801" w:rsidRPr="00FA288E">
        <w:rPr>
          <w:rFonts w:ascii="Calibri" w:hAnsi="Calibri" w:cs="Calibri"/>
          <w:sz w:val="21"/>
          <w:szCs w:val="21"/>
        </w:rPr>
        <w:t>.</w:t>
      </w:r>
      <w:r w:rsidR="0078221F" w:rsidRPr="00FA288E">
        <w:rPr>
          <w:rFonts w:ascii="Calibri" w:hAnsi="Calibri" w:cs="Calibri"/>
          <w:sz w:val="21"/>
          <w:szCs w:val="21"/>
        </w:rPr>
        <w:t xml:space="preserve"> </w:t>
      </w:r>
      <w:r w:rsidRPr="00FA288E">
        <w:rPr>
          <w:rFonts w:ascii="Calibri" w:hAnsi="Calibri" w:cs="Calibri"/>
          <w:sz w:val="21"/>
          <w:szCs w:val="21"/>
        </w:rPr>
        <w:t xml:space="preserve">The same </w:t>
      </w:r>
      <w:r w:rsidR="00AF28FE" w:rsidRPr="00FA288E">
        <w:rPr>
          <w:rFonts w:ascii="Calibri" w:hAnsi="Calibri" w:cs="Calibri"/>
          <w:sz w:val="21"/>
          <w:szCs w:val="21"/>
        </w:rPr>
        <w:t>observation also applies to</w:t>
      </w:r>
      <w:r w:rsidRPr="00FA288E">
        <w:rPr>
          <w:rFonts w:ascii="Calibri" w:hAnsi="Calibri" w:cs="Calibri"/>
          <w:sz w:val="21"/>
          <w:szCs w:val="21"/>
        </w:rPr>
        <w:t xml:space="preserve"> teachers as t</w:t>
      </w:r>
      <w:r w:rsidR="00AF28FE" w:rsidRPr="00FA288E">
        <w:rPr>
          <w:rFonts w:ascii="Calibri" w:hAnsi="Calibri" w:cs="Calibri"/>
          <w:sz w:val="21"/>
          <w:szCs w:val="21"/>
        </w:rPr>
        <w:t>eachers</w:t>
      </w:r>
      <w:r w:rsidRPr="00FA288E">
        <w:rPr>
          <w:rFonts w:ascii="Calibri" w:hAnsi="Calibri" w:cs="Calibri"/>
          <w:sz w:val="21"/>
          <w:szCs w:val="21"/>
        </w:rPr>
        <w:t xml:space="preserve"> require continuous professional development, coaching and supervision to maintain and develop their knowledge</w:t>
      </w:r>
      <w:r w:rsidR="0078221F" w:rsidRPr="00FA288E">
        <w:rPr>
          <w:rFonts w:ascii="Calibri" w:hAnsi="Calibri" w:cs="Calibri"/>
          <w:sz w:val="21"/>
          <w:szCs w:val="21"/>
        </w:rPr>
        <w:t xml:space="preserve">, </w:t>
      </w:r>
      <w:r w:rsidRPr="00FA288E">
        <w:rPr>
          <w:rFonts w:ascii="Calibri" w:hAnsi="Calibri" w:cs="Calibri"/>
          <w:sz w:val="21"/>
          <w:szCs w:val="21"/>
        </w:rPr>
        <w:t>skills</w:t>
      </w:r>
      <w:r w:rsidR="0078221F" w:rsidRPr="00FA288E">
        <w:rPr>
          <w:rFonts w:ascii="Calibri" w:hAnsi="Calibri" w:cs="Calibri"/>
          <w:sz w:val="21"/>
          <w:szCs w:val="21"/>
        </w:rPr>
        <w:t xml:space="preserve"> and abilities</w:t>
      </w:r>
      <w:r w:rsidRPr="00FA288E">
        <w:rPr>
          <w:rFonts w:ascii="Calibri" w:hAnsi="Calibri" w:cs="Calibri"/>
          <w:sz w:val="21"/>
          <w:szCs w:val="21"/>
        </w:rPr>
        <w:t>.</w:t>
      </w:r>
      <w:r w:rsidR="00AF28FE" w:rsidRPr="00FA288E">
        <w:rPr>
          <w:rFonts w:ascii="Calibri" w:hAnsi="Calibri" w:cs="Calibri"/>
          <w:sz w:val="21"/>
          <w:szCs w:val="21"/>
        </w:rPr>
        <w:t xml:space="preserve"> Yet, with limited funding going forward, teachers may not be able to do so</w:t>
      </w:r>
      <w:r w:rsidR="00CF187F" w:rsidRPr="00FA288E">
        <w:rPr>
          <w:rFonts w:ascii="Calibri" w:hAnsi="Calibri" w:cs="Calibri"/>
          <w:sz w:val="21"/>
          <w:szCs w:val="21"/>
        </w:rPr>
        <w:t>.</w:t>
      </w:r>
      <w:r w:rsidRPr="00FA288E">
        <w:rPr>
          <w:rFonts w:ascii="Calibri" w:hAnsi="Calibri" w:cs="Calibri"/>
          <w:sz w:val="21"/>
          <w:szCs w:val="21"/>
        </w:rPr>
        <w:t xml:space="preserve"> Nevertheless, there </w:t>
      </w:r>
      <w:r w:rsidR="00CF187F" w:rsidRPr="00FA288E">
        <w:rPr>
          <w:rFonts w:ascii="Calibri" w:hAnsi="Calibri" w:cs="Calibri"/>
          <w:sz w:val="21"/>
          <w:szCs w:val="21"/>
        </w:rPr>
        <w:t>are</w:t>
      </w:r>
      <w:r w:rsidRPr="00FA288E">
        <w:rPr>
          <w:rFonts w:ascii="Calibri" w:hAnsi="Calibri" w:cs="Calibri"/>
          <w:sz w:val="21"/>
          <w:szCs w:val="21"/>
        </w:rPr>
        <w:t xml:space="preserve"> good examples of programming decisions to promote sustainability while still achieving quality improvements and reach</w:t>
      </w:r>
      <w:r w:rsidR="0078221F" w:rsidRPr="00FA288E">
        <w:rPr>
          <w:rFonts w:ascii="Calibri" w:hAnsi="Calibri" w:cs="Calibri"/>
          <w:sz w:val="21"/>
          <w:szCs w:val="21"/>
        </w:rPr>
        <w:t>. These examples include</w:t>
      </w:r>
      <w:r w:rsidRPr="00FA288E">
        <w:rPr>
          <w:rFonts w:ascii="Calibri" w:hAnsi="Calibri" w:cs="Calibri"/>
          <w:sz w:val="21"/>
          <w:szCs w:val="21"/>
        </w:rPr>
        <w:t>:</w:t>
      </w:r>
    </w:p>
    <w:p w14:paraId="1773D4BB" w14:textId="77777777" w:rsidR="0078221F" w:rsidRPr="00FA288E" w:rsidRDefault="00614C93" w:rsidP="005C700B">
      <w:pPr>
        <w:pStyle w:val="Bullets"/>
        <w:numPr>
          <w:ilvl w:val="0"/>
          <w:numId w:val="32"/>
        </w:numPr>
        <w:tabs>
          <w:tab w:val="left" w:pos="1350"/>
        </w:tabs>
        <w:spacing w:after="0" w:line="240" w:lineRule="auto"/>
        <w:ind w:left="720"/>
        <w:rPr>
          <w:rFonts w:ascii="Calibri" w:hAnsi="Calibri" w:cs="Calibri"/>
          <w:sz w:val="21"/>
          <w:szCs w:val="21"/>
        </w:rPr>
      </w:pPr>
      <w:r w:rsidRPr="00FA288E">
        <w:rPr>
          <w:rFonts w:ascii="Calibri" w:hAnsi="Calibri" w:cs="Calibri"/>
          <w:sz w:val="21"/>
          <w:szCs w:val="21"/>
        </w:rPr>
        <w:t>promoting teacher development plan</w:t>
      </w:r>
      <w:r w:rsidR="0078221F" w:rsidRPr="00FA288E">
        <w:rPr>
          <w:rFonts w:ascii="Calibri" w:hAnsi="Calibri" w:cs="Calibri"/>
          <w:sz w:val="21"/>
          <w:szCs w:val="21"/>
        </w:rPr>
        <w:t>ning</w:t>
      </w:r>
      <w:r w:rsidRPr="00FA288E">
        <w:rPr>
          <w:rFonts w:ascii="Calibri" w:hAnsi="Calibri" w:cs="Calibri"/>
          <w:sz w:val="21"/>
          <w:szCs w:val="21"/>
        </w:rPr>
        <w:t xml:space="preserve"> and funding by schools through the SLIP process</w:t>
      </w:r>
      <w:r w:rsidR="0078221F" w:rsidRPr="00FA288E">
        <w:rPr>
          <w:rFonts w:ascii="Calibri" w:hAnsi="Calibri" w:cs="Calibri"/>
          <w:sz w:val="21"/>
          <w:szCs w:val="21"/>
        </w:rPr>
        <w:t>;</w:t>
      </w:r>
    </w:p>
    <w:p w14:paraId="51B4C56D" w14:textId="77777777" w:rsidR="00614C93" w:rsidRPr="00FA288E" w:rsidRDefault="0078221F" w:rsidP="005C700B">
      <w:pPr>
        <w:pStyle w:val="Bullets"/>
        <w:numPr>
          <w:ilvl w:val="0"/>
          <w:numId w:val="32"/>
        </w:numPr>
        <w:tabs>
          <w:tab w:val="left" w:pos="1350"/>
        </w:tabs>
        <w:spacing w:after="0" w:line="240" w:lineRule="auto"/>
        <w:ind w:left="720"/>
        <w:rPr>
          <w:rFonts w:ascii="Calibri" w:hAnsi="Calibri" w:cs="Calibri"/>
          <w:sz w:val="21"/>
          <w:szCs w:val="21"/>
        </w:rPr>
      </w:pPr>
      <w:r w:rsidRPr="00FA288E">
        <w:rPr>
          <w:rFonts w:ascii="Calibri" w:hAnsi="Calibri" w:cs="Calibri"/>
          <w:sz w:val="21"/>
          <w:szCs w:val="21"/>
        </w:rPr>
        <w:t>t</w:t>
      </w:r>
      <w:r w:rsidR="00614C93" w:rsidRPr="00FA288E">
        <w:rPr>
          <w:rFonts w:ascii="Calibri" w:hAnsi="Calibri" w:cs="Calibri"/>
          <w:sz w:val="21"/>
          <w:szCs w:val="21"/>
        </w:rPr>
        <w:t>he exploration of linking SLIPs to available Provincial/District resources (T4E and PKS)</w:t>
      </w:r>
      <w:r w:rsidRPr="00FA288E">
        <w:rPr>
          <w:rFonts w:ascii="Calibri" w:hAnsi="Calibri" w:cs="Calibri"/>
          <w:sz w:val="21"/>
          <w:szCs w:val="21"/>
        </w:rPr>
        <w:t>;</w:t>
      </w:r>
    </w:p>
    <w:p w14:paraId="1F06C8FB" w14:textId="77777777" w:rsidR="00614C93" w:rsidRPr="00FA288E" w:rsidRDefault="00614C93" w:rsidP="005C700B">
      <w:pPr>
        <w:pStyle w:val="Bullets"/>
        <w:numPr>
          <w:ilvl w:val="0"/>
          <w:numId w:val="32"/>
        </w:numPr>
        <w:tabs>
          <w:tab w:val="left" w:pos="1350"/>
        </w:tabs>
        <w:spacing w:after="0" w:line="240" w:lineRule="auto"/>
        <w:ind w:left="720"/>
        <w:rPr>
          <w:rFonts w:ascii="Calibri" w:hAnsi="Calibri" w:cs="Calibri"/>
          <w:sz w:val="21"/>
          <w:szCs w:val="21"/>
        </w:rPr>
      </w:pPr>
      <w:r w:rsidRPr="00FA288E">
        <w:rPr>
          <w:rFonts w:ascii="Calibri" w:hAnsi="Calibri" w:cs="Calibri"/>
          <w:sz w:val="21"/>
          <w:szCs w:val="21"/>
        </w:rPr>
        <w:t>the decision to focus teacher training on the effective use of the existing SBC teacher guides and not to augment with (potentially unsustainable) supplementary teaching and learning resources (PKS)</w:t>
      </w:r>
      <w:r w:rsidR="0078221F" w:rsidRPr="00FA288E">
        <w:rPr>
          <w:rFonts w:ascii="Calibri" w:hAnsi="Calibri" w:cs="Calibri"/>
          <w:sz w:val="21"/>
          <w:szCs w:val="21"/>
        </w:rPr>
        <w:t>;</w:t>
      </w:r>
      <w:r w:rsidRPr="00FA288E">
        <w:rPr>
          <w:rStyle w:val="FootnoteReference"/>
          <w:rFonts w:ascii="Calibri" w:hAnsi="Calibri" w:cs="Calibri"/>
          <w:sz w:val="21"/>
          <w:szCs w:val="21"/>
        </w:rPr>
        <w:footnoteReference w:id="69"/>
      </w:r>
      <w:r w:rsidRPr="00FA288E">
        <w:rPr>
          <w:rFonts w:ascii="Calibri" w:hAnsi="Calibri" w:cs="Calibri"/>
          <w:sz w:val="21"/>
          <w:szCs w:val="21"/>
        </w:rPr>
        <w:t xml:space="preserve"> </w:t>
      </w:r>
    </w:p>
    <w:p w14:paraId="62590B9D" w14:textId="77777777" w:rsidR="00614C93" w:rsidRPr="00FA288E" w:rsidRDefault="00614C93" w:rsidP="005C700B">
      <w:pPr>
        <w:pStyle w:val="Bullets"/>
        <w:numPr>
          <w:ilvl w:val="0"/>
          <w:numId w:val="32"/>
        </w:numPr>
        <w:tabs>
          <w:tab w:val="left" w:pos="1350"/>
        </w:tabs>
        <w:spacing w:after="0" w:line="240" w:lineRule="auto"/>
        <w:ind w:left="720"/>
        <w:rPr>
          <w:rFonts w:ascii="Calibri" w:hAnsi="Calibri" w:cs="Calibri"/>
          <w:sz w:val="21"/>
          <w:szCs w:val="21"/>
        </w:rPr>
      </w:pPr>
      <w:r w:rsidRPr="00FA288E">
        <w:rPr>
          <w:rFonts w:ascii="Calibri" w:hAnsi="Calibri" w:cs="Calibri"/>
          <w:sz w:val="21"/>
          <w:szCs w:val="21"/>
        </w:rPr>
        <w:t>promoting locally available, tested supplement</w:t>
      </w:r>
      <w:r w:rsidR="00CF187F" w:rsidRPr="00FA288E">
        <w:rPr>
          <w:rFonts w:ascii="Calibri" w:hAnsi="Calibri" w:cs="Calibri"/>
          <w:sz w:val="21"/>
          <w:szCs w:val="21"/>
        </w:rPr>
        <w:t xml:space="preserve">ary learning materials (e.g. </w:t>
      </w:r>
      <w:proofErr w:type="spellStart"/>
      <w:r w:rsidR="00CF187F" w:rsidRPr="00FA288E">
        <w:rPr>
          <w:rFonts w:ascii="Calibri" w:hAnsi="Calibri" w:cs="Calibri"/>
          <w:sz w:val="21"/>
          <w:szCs w:val="21"/>
        </w:rPr>
        <w:t>Bilum</w:t>
      </w:r>
      <w:proofErr w:type="spellEnd"/>
      <w:r w:rsidR="00CF187F" w:rsidRPr="00FA288E">
        <w:rPr>
          <w:rFonts w:ascii="Calibri" w:hAnsi="Calibri" w:cs="Calibri"/>
          <w:sz w:val="21"/>
          <w:szCs w:val="21"/>
        </w:rPr>
        <w:t xml:space="preserve"> Books)</w:t>
      </w:r>
      <w:r w:rsidRPr="00FA288E">
        <w:rPr>
          <w:rFonts w:ascii="Calibri" w:hAnsi="Calibri" w:cs="Calibri"/>
          <w:sz w:val="21"/>
          <w:szCs w:val="21"/>
        </w:rPr>
        <w:t xml:space="preserve"> which have a </w:t>
      </w:r>
      <w:r w:rsidR="00CF187F" w:rsidRPr="00FA288E">
        <w:rPr>
          <w:rFonts w:ascii="Calibri" w:hAnsi="Calibri" w:cs="Calibri"/>
          <w:sz w:val="21"/>
          <w:szCs w:val="21"/>
        </w:rPr>
        <w:t>greater</w:t>
      </w:r>
      <w:r w:rsidRPr="00FA288E">
        <w:rPr>
          <w:rFonts w:ascii="Calibri" w:hAnsi="Calibri" w:cs="Calibri"/>
          <w:sz w:val="21"/>
          <w:szCs w:val="21"/>
        </w:rPr>
        <w:t xml:space="preserve"> chance of </w:t>
      </w:r>
      <w:r w:rsidR="00CF187F" w:rsidRPr="00FA288E">
        <w:rPr>
          <w:rFonts w:ascii="Calibri" w:hAnsi="Calibri" w:cs="Calibri"/>
          <w:sz w:val="21"/>
          <w:szCs w:val="21"/>
        </w:rPr>
        <w:t>being purchased using government</w:t>
      </w:r>
      <w:r w:rsidRPr="00FA288E">
        <w:rPr>
          <w:rFonts w:ascii="Calibri" w:hAnsi="Calibri" w:cs="Calibri"/>
          <w:sz w:val="21"/>
          <w:szCs w:val="21"/>
        </w:rPr>
        <w:t xml:space="preserve"> funding</w:t>
      </w:r>
      <w:r w:rsidR="0078221F" w:rsidRPr="00FA288E">
        <w:rPr>
          <w:rFonts w:ascii="Calibri" w:hAnsi="Calibri" w:cs="Calibri"/>
          <w:sz w:val="21"/>
          <w:szCs w:val="21"/>
        </w:rPr>
        <w:t>;</w:t>
      </w:r>
      <w:r w:rsidRPr="00FA288E">
        <w:rPr>
          <w:rFonts w:ascii="Calibri" w:hAnsi="Calibri" w:cs="Calibri"/>
          <w:sz w:val="21"/>
          <w:szCs w:val="21"/>
        </w:rPr>
        <w:t xml:space="preserve"> and</w:t>
      </w:r>
      <w:r w:rsidR="0078221F" w:rsidRPr="00FA288E">
        <w:rPr>
          <w:rFonts w:ascii="Calibri" w:hAnsi="Calibri" w:cs="Calibri"/>
          <w:sz w:val="21"/>
          <w:szCs w:val="21"/>
        </w:rPr>
        <w:t>,</w:t>
      </w:r>
    </w:p>
    <w:p w14:paraId="0D1F7C5A" w14:textId="77777777" w:rsidR="00614C93" w:rsidRPr="00FA288E" w:rsidRDefault="00614C93" w:rsidP="005C700B">
      <w:pPr>
        <w:pStyle w:val="Bullets"/>
        <w:numPr>
          <w:ilvl w:val="0"/>
          <w:numId w:val="32"/>
        </w:numPr>
        <w:tabs>
          <w:tab w:val="left" w:pos="1350"/>
        </w:tabs>
        <w:spacing w:after="80" w:line="240" w:lineRule="auto"/>
        <w:ind w:left="720"/>
        <w:rPr>
          <w:rFonts w:ascii="Calibri" w:hAnsi="Calibri" w:cs="Calibri"/>
          <w:sz w:val="21"/>
          <w:szCs w:val="21"/>
        </w:rPr>
      </w:pPr>
      <w:r w:rsidRPr="00FA288E">
        <w:rPr>
          <w:rFonts w:ascii="Calibri" w:hAnsi="Calibri" w:cs="Calibri"/>
          <w:sz w:val="21"/>
          <w:szCs w:val="21"/>
        </w:rPr>
        <w:t xml:space="preserve">the development of </w:t>
      </w:r>
      <w:r w:rsidR="00CF187F" w:rsidRPr="00FA288E">
        <w:rPr>
          <w:rFonts w:ascii="Calibri" w:hAnsi="Calibri" w:cs="Calibri"/>
          <w:sz w:val="21"/>
          <w:szCs w:val="21"/>
        </w:rPr>
        <w:t>accessible</w:t>
      </w:r>
      <w:r w:rsidRPr="00FA288E">
        <w:rPr>
          <w:rFonts w:ascii="Calibri" w:hAnsi="Calibri" w:cs="Calibri"/>
          <w:sz w:val="21"/>
          <w:szCs w:val="21"/>
        </w:rPr>
        <w:t xml:space="preserve"> </w:t>
      </w:r>
      <w:r w:rsidR="0078221F" w:rsidRPr="00FA288E">
        <w:rPr>
          <w:rFonts w:ascii="Calibri" w:hAnsi="Calibri" w:cs="Calibri"/>
          <w:sz w:val="21"/>
          <w:szCs w:val="21"/>
        </w:rPr>
        <w:t xml:space="preserve">and free </w:t>
      </w:r>
      <w:r w:rsidRPr="00FA288E">
        <w:rPr>
          <w:rFonts w:ascii="Calibri" w:hAnsi="Calibri" w:cs="Calibri"/>
          <w:sz w:val="21"/>
          <w:szCs w:val="21"/>
        </w:rPr>
        <w:t xml:space="preserve">reading materials through </w:t>
      </w:r>
      <w:r w:rsidR="00CF187F" w:rsidRPr="00FA288E">
        <w:rPr>
          <w:rFonts w:ascii="Calibri" w:hAnsi="Calibri" w:cs="Calibri"/>
          <w:sz w:val="21"/>
          <w:szCs w:val="21"/>
        </w:rPr>
        <w:t xml:space="preserve">the </w:t>
      </w:r>
      <w:r w:rsidRPr="00FA288E">
        <w:rPr>
          <w:rFonts w:ascii="Calibri" w:hAnsi="Calibri" w:cs="Calibri"/>
          <w:sz w:val="21"/>
          <w:szCs w:val="21"/>
        </w:rPr>
        <w:t xml:space="preserve">Bloom Reader (RISE) </w:t>
      </w:r>
      <w:r w:rsidR="00CF187F" w:rsidRPr="00FA288E">
        <w:rPr>
          <w:rFonts w:ascii="Calibri" w:hAnsi="Calibri" w:cs="Calibri"/>
          <w:sz w:val="21"/>
          <w:szCs w:val="21"/>
        </w:rPr>
        <w:t>and the</w:t>
      </w:r>
      <w:r w:rsidRPr="00FA288E">
        <w:rPr>
          <w:rFonts w:ascii="Calibri" w:hAnsi="Calibri" w:cs="Calibri"/>
          <w:sz w:val="21"/>
          <w:szCs w:val="21"/>
        </w:rPr>
        <w:t xml:space="preserve"> </w:t>
      </w:r>
      <w:proofErr w:type="spellStart"/>
      <w:r w:rsidRPr="00FA288E">
        <w:rPr>
          <w:rFonts w:ascii="Calibri" w:hAnsi="Calibri" w:cs="Calibri"/>
          <w:sz w:val="21"/>
          <w:szCs w:val="21"/>
        </w:rPr>
        <w:t>LfA</w:t>
      </w:r>
      <w:proofErr w:type="spellEnd"/>
      <w:r w:rsidRPr="00FA288E">
        <w:rPr>
          <w:rFonts w:ascii="Calibri" w:hAnsi="Calibri" w:cs="Calibri"/>
          <w:sz w:val="21"/>
          <w:szCs w:val="21"/>
        </w:rPr>
        <w:t xml:space="preserve"> (T4E) which will be available as an e-resource to families </w:t>
      </w:r>
      <w:r w:rsidR="00CF187F" w:rsidRPr="00FA288E">
        <w:rPr>
          <w:rFonts w:ascii="Calibri" w:hAnsi="Calibri" w:cs="Calibri"/>
          <w:sz w:val="21"/>
          <w:szCs w:val="21"/>
        </w:rPr>
        <w:t>and teachers</w:t>
      </w:r>
    </w:p>
    <w:p w14:paraId="0BF234E8" w14:textId="77777777" w:rsidR="00614C93" w:rsidRPr="00FA288E" w:rsidRDefault="00614C93" w:rsidP="001000C9">
      <w:pPr>
        <w:pStyle w:val="BodyText"/>
        <w:spacing w:after="80" w:line="240" w:lineRule="auto"/>
        <w:rPr>
          <w:rFonts w:ascii="Calibri" w:hAnsi="Calibri" w:cs="Calibri"/>
          <w:i/>
          <w:sz w:val="21"/>
          <w:szCs w:val="21"/>
        </w:rPr>
      </w:pPr>
      <w:r w:rsidRPr="00FA288E">
        <w:rPr>
          <w:rFonts w:ascii="Calibri" w:hAnsi="Calibri" w:cs="Calibri"/>
          <w:i/>
          <w:sz w:val="21"/>
          <w:szCs w:val="21"/>
        </w:rPr>
        <w:t>Mixed potential of initiatives for institutionalisation</w:t>
      </w:r>
    </w:p>
    <w:p w14:paraId="65E46233" w14:textId="77777777" w:rsidR="00614C93" w:rsidRPr="00FA288E" w:rsidRDefault="00614C93" w:rsidP="001000C9">
      <w:pPr>
        <w:pStyle w:val="BodyText"/>
        <w:spacing w:after="80" w:line="240" w:lineRule="auto"/>
        <w:rPr>
          <w:rFonts w:ascii="Calibri" w:hAnsi="Calibri" w:cs="Calibri"/>
          <w:sz w:val="21"/>
          <w:szCs w:val="21"/>
        </w:rPr>
      </w:pPr>
      <w:r w:rsidRPr="00FA288E">
        <w:rPr>
          <w:rFonts w:ascii="Calibri" w:hAnsi="Calibri" w:cs="Calibri"/>
          <w:sz w:val="21"/>
          <w:szCs w:val="21"/>
        </w:rPr>
        <w:t>One area that has promise for being institutionalised is the content and delivery elements of the different in-service teacher training packages that have been offered</w:t>
      </w:r>
      <w:r w:rsidR="00865638" w:rsidRPr="00FA288E">
        <w:rPr>
          <w:rFonts w:ascii="Calibri" w:hAnsi="Calibri" w:cs="Calibri"/>
          <w:sz w:val="21"/>
          <w:szCs w:val="21"/>
        </w:rPr>
        <w:t xml:space="preserve"> by the projects</w:t>
      </w:r>
      <w:r w:rsidRPr="00FA288E">
        <w:rPr>
          <w:rFonts w:ascii="Calibri" w:hAnsi="Calibri" w:cs="Calibri"/>
          <w:sz w:val="21"/>
          <w:szCs w:val="21"/>
        </w:rPr>
        <w:t xml:space="preserve">.  While there have been initial discussions with </w:t>
      </w:r>
      <w:r w:rsidR="00865638" w:rsidRPr="00FA288E">
        <w:rPr>
          <w:rFonts w:ascii="Calibri" w:hAnsi="Calibri" w:cs="Calibri"/>
          <w:sz w:val="21"/>
          <w:szCs w:val="21"/>
        </w:rPr>
        <w:t xml:space="preserve">the </w:t>
      </w:r>
      <w:r w:rsidRPr="00FA288E">
        <w:rPr>
          <w:rFonts w:ascii="Calibri" w:hAnsi="Calibri" w:cs="Calibri"/>
          <w:sz w:val="21"/>
          <w:szCs w:val="21"/>
        </w:rPr>
        <w:t>P</w:t>
      </w:r>
      <w:r w:rsidR="00921E65" w:rsidRPr="00FA288E">
        <w:rPr>
          <w:rFonts w:ascii="Calibri" w:hAnsi="Calibri" w:cs="Calibri"/>
          <w:sz w:val="21"/>
          <w:szCs w:val="21"/>
        </w:rPr>
        <w:t>apua New Guinea Education Institute</w:t>
      </w:r>
      <w:r w:rsidRPr="00FA288E">
        <w:rPr>
          <w:rFonts w:ascii="Calibri" w:hAnsi="Calibri" w:cs="Calibri"/>
          <w:sz w:val="21"/>
          <w:szCs w:val="21"/>
        </w:rPr>
        <w:t xml:space="preserve"> and some universities offering pre-service programming about the training materials and </w:t>
      </w:r>
      <w:r w:rsidR="009723E0" w:rsidRPr="00FA288E">
        <w:rPr>
          <w:rFonts w:ascii="Calibri" w:hAnsi="Calibri" w:cs="Calibri"/>
          <w:sz w:val="21"/>
          <w:szCs w:val="21"/>
        </w:rPr>
        <w:t xml:space="preserve">the </w:t>
      </w:r>
      <w:r w:rsidRPr="00FA288E">
        <w:rPr>
          <w:rFonts w:ascii="Calibri" w:hAnsi="Calibri" w:cs="Calibri"/>
          <w:sz w:val="21"/>
          <w:szCs w:val="21"/>
        </w:rPr>
        <w:t xml:space="preserve">methods </w:t>
      </w:r>
      <w:r w:rsidR="009723E0" w:rsidRPr="00FA288E">
        <w:rPr>
          <w:rFonts w:ascii="Calibri" w:hAnsi="Calibri" w:cs="Calibri"/>
          <w:sz w:val="21"/>
          <w:szCs w:val="21"/>
        </w:rPr>
        <w:t xml:space="preserve">used </w:t>
      </w:r>
      <w:r w:rsidRPr="00FA288E">
        <w:rPr>
          <w:rFonts w:ascii="Calibri" w:hAnsi="Calibri" w:cs="Calibri"/>
          <w:sz w:val="21"/>
          <w:szCs w:val="21"/>
        </w:rPr>
        <w:t>to teach</w:t>
      </w:r>
      <w:r w:rsidR="009723E0" w:rsidRPr="00FA288E">
        <w:rPr>
          <w:rFonts w:ascii="Calibri" w:hAnsi="Calibri" w:cs="Calibri"/>
          <w:sz w:val="21"/>
          <w:szCs w:val="21"/>
        </w:rPr>
        <w:t xml:space="preserve"> teachers</w:t>
      </w:r>
      <w:r w:rsidRPr="00FA288E">
        <w:rPr>
          <w:rFonts w:ascii="Calibri" w:hAnsi="Calibri" w:cs="Calibri"/>
          <w:sz w:val="21"/>
          <w:szCs w:val="21"/>
        </w:rPr>
        <w:t xml:space="preserve">, the review team was advised by NDOE that these </w:t>
      </w:r>
      <w:r w:rsidR="009723E0" w:rsidRPr="00FA288E">
        <w:rPr>
          <w:rFonts w:ascii="Calibri" w:hAnsi="Calibri" w:cs="Calibri"/>
          <w:sz w:val="21"/>
          <w:szCs w:val="21"/>
        </w:rPr>
        <w:t xml:space="preserve">training packages </w:t>
      </w:r>
      <w:r w:rsidRPr="00FA288E">
        <w:rPr>
          <w:rFonts w:ascii="Calibri" w:hAnsi="Calibri" w:cs="Calibri"/>
          <w:sz w:val="21"/>
          <w:szCs w:val="21"/>
        </w:rPr>
        <w:t>need to be submitted to the NDOE Board of Studies for Teacher Development for review and approval if they are to be advocated for broader use in schools by government – an important step in maximising sustainability.</w:t>
      </w:r>
      <w:r w:rsidR="009723E0" w:rsidRPr="00FA288E">
        <w:rPr>
          <w:rStyle w:val="FootnoteReference"/>
          <w:rFonts w:ascii="Calibri" w:hAnsi="Calibri" w:cs="Calibri"/>
          <w:sz w:val="21"/>
          <w:szCs w:val="21"/>
        </w:rPr>
        <w:footnoteReference w:id="70"/>
      </w:r>
      <w:r w:rsidRPr="00FA288E">
        <w:rPr>
          <w:rFonts w:ascii="Calibri" w:hAnsi="Calibri" w:cs="Calibri"/>
          <w:sz w:val="21"/>
          <w:szCs w:val="21"/>
        </w:rPr>
        <w:t xml:space="preserve"> </w:t>
      </w:r>
    </w:p>
    <w:p w14:paraId="05982808" w14:textId="77777777" w:rsidR="00614C93" w:rsidRPr="00FA288E" w:rsidRDefault="00614C93" w:rsidP="001000C9">
      <w:pPr>
        <w:pStyle w:val="BodyText"/>
        <w:spacing w:after="80" w:line="240" w:lineRule="auto"/>
        <w:rPr>
          <w:rFonts w:ascii="Calibri" w:eastAsia="Calibri" w:hAnsi="Calibri" w:cs="Calibri"/>
          <w:sz w:val="21"/>
          <w:szCs w:val="21"/>
        </w:rPr>
      </w:pPr>
      <w:r w:rsidRPr="00FA288E">
        <w:rPr>
          <w:rFonts w:ascii="Calibri" w:hAnsi="Calibri" w:cs="Calibri"/>
          <w:sz w:val="21"/>
          <w:szCs w:val="21"/>
        </w:rPr>
        <w:t>The draft ECCE curriculum being ‘tested’ under the RISE project also has some potential for uptake by the NDOE. UNICEF, which is spearheading the alliance for early childhood care and developmen</w:t>
      </w:r>
      <w:r w:rsidR="00CA1CCF" w:rsidRPr="00FA288E">
        <w:rPr>
          <w:rFonts w:ascii="Calibri" w:hAnsi="Calibri" w:cs="Calibri"/>
          <w:sz w:val="21"/>
          <w:szCs w:val="21"/>
        </w:rPr>
        <w:t>t</w:t>
      </w:r>
      <w:r w:rsidRPr="00FA288E">
        <w:rPr>
          <w:rFonts w:ascii="Calibri" w:hAnsi="Calibri" w:cs="Calibri"/>
          <w:sz w:val="21"/>
          <w:szCs w:val="21"/>
        </w:rPr>
        <w:t xml:space="preserve"> policy and legislation, has expressed an interest in learning from the RISE</w:t>
      </w:r>
      <w:r w:rsidR="00CF187F" w:rsidRPr="00FA288E">
        <w:rPr>
          <w:rFonts w:ascii="Calibri" w:hAnsi="Calibri" w:cs="Calibri"/>
          <w:sz w:val="21"/>
          <w:szCs w:val="21"/>
        </w:rPr>
        <w:t xml:space="preserve"> ECCE</w:t>
      </w:r>
      <w:r w:rsidRPr="00FA288E">
        <w:rPr>
          <w:rFonts w:ascii="Calibri" w:hAnsi="Calibri" w:cs="Calibri"/>
          <w:sz w:val="21"/>
          <w:szCs w:val="21"/>
        </w:rPr>
        <w:t xml:space="preserve"> </w:t>
      </w:r>
      <w:r w:rsidR="009723E0" w:rsidRPr="00FA288E">
        <w:rPr>
          <w:rFonts w:ascii="Calibri" w:hAnsi="Calibri" w:cs="Calibri"/>
          <w:sz w:val="21"/>
          <w:szCs w:val="21"/>
        </w:rPr>
        <w:t>pilot</w:t>
      </w:r>
      <w:r w:rsidRPr="00FA288E">
        <w:rPr>
          <w:rFonts w:ascii="Calibri" w:hAnsi="Calibri" w:cs="Calibri"/>
          <w:sz w:val="21"/>
          <w:szCs w:val="21"/>
        </w:rPr>
        <w:t>.</w:t>
      </w:r>
      <w:r w:rsidRPr="00FA288E">
        <w:rPr>
          <w:rFonts w:ascii="Calibri" w:eastAsia="Calibri" w:hAnsi="Calibri" w:cs="Calibri"/>
          <w:sz w:val="21"/>
          <w:szCs w:val="21"/>
        </w:rPr>
        <w:t xml:space="preserve"> The </w:t>
      </w:r>
      <w:r w:rsidR="00CF187F" w:rsidRPr="00FA288E">
        <w:rPr>
          <w:rFonts w:ascii="Calibri" w:eastAsia="Calibri" w:hAnsi="Calibri" w:cs="Calibri"/>
          <w:sz w:val="21"/>
          <w:szCs w:val="21"/>
        </w:rPr>
        <w:t>evolving</w:t>
      </w:r>
      <w:r w:rsidR="00935971" w:rsidRPr="00FA288E">
        <w:rPr>
          <w:rFonts w:ascii="Calibri" w:eastAsia="Calibri" w:hAnsi="Calibri" w:cs="Calibri"/>
          <w:sz w:val="21"/>
          <w:szCs w:val="21"/>
        </w:rPr>
        <w:t xml:space="preserve"> </w:t>
      </w:r>
      <w:r w:rsidRPr="00FA288E">
        <w:rPr>
          <w:rFonts w:ascii="Calibri" w:eastAsia="Calibri" w:hAnsi="Calibri" w:cs="Calibri"/>
          <w:sz w:val="21"/>
          <w:szCs w:val="21"/>
        </w:rPr>
        <w:t xml:space="preserve">policy framework for ECCE, </w:t>
      </w:r>
      <w:r w:rsidR="00935971" w:rsidRPr="00FA288E">
        <w:rPr>
          <w:rFonts w:ascii="Calibri" w:eastAsia="Calibri" w:hAnsi="Calibri" w:cs="Calibri"/>
          <w:sz w:val="21"/>
          <w:szCs w:val="21"/>
        </w:rPr>
        <w:t xml:space="preserve">changes in responsibilities for ECCE within </w:t>
      </w:r>
      <w:r w:rsidRPr="00FA288E">
        <w:rPr>
          <w:rFonts w:ascii="Calibri" w:eastAsia="Calibri" w:hAnsi="Calibri" w:cs="Calibri"/>
          <w:sz w:val="21"/>
          <w:szCs w:val="21"/>
        </w:rPr>
        <w:t>GoPNG department</w:t>
      </w:r>
      <w:r w:rsidR="00935971" w:rsidRPr="00FA288E">
        <w:rPr>
          <w:rFonts w:ascii="Calibri" w:eastAsia="Calibri" w:hAnsi="Calibri" w:cs="Calibri"/>
          <w:sz w:val="21"/>
          <w:szCs w:val="21"/>
        </w:rPr>
        <w:t>s</w:t>
      </w:r>
      <w:r w:rsidR="002E29FB" w:rsidRPr="00FA288E">
        <w:rPr>
          <w:rFonts w:ascii="Calibri" w:eastAsia="Calibri" w:hAnsi="Calibri" w:cs="Calibri"/>
          <w:sz w:val="21"/>
          <w:szCs w:val="21"/>
        </w:rPr>
        <w:t xml:space="preserve"> with delivery becoming a new responsibility of NDOE and standards the responsibility of the newly established National Office of Child and Family Services</w:t>
      </w:r>
      <w:r w:rsidRPr="00FA288E">
        <w:rPr>
          <w:rFonts w:ascii="Calibri" w:eastAsia="Calibri" w:hAnsi="Calibri" w:cs="Calibri"/>
          <w:sz w:val="21"/>
          <w:szCs w:val="21"/>
        </w:rPr>
        <w:t xml:space="preserve">, and an incomplete ECCE curriculum </w:t>
      </w:r>
      <w:r w:rsidR="002E29FB" w:rsidRPr="00FA288E">
        <w:rPr>
          <w:rFonts w:ascii="Calibri" w:eastAsia="Calibri" w:hAnsi="Calibri" w:cs="Calibri"/>
          <w:sz w:val="21"/>
          <w:szCs w:val="21"/>
        </w:rPr>
        <w:t xml:space="preserve">pose some </w:t>
      </w:r>
      <w:r w:rsidR="009723E0" w:rsidRPr="00FA288E">
        <w:rPr>
          <w:rFonts w:ascii="Calibri" w:eastAsia="Calibri" w:hAnsi="Calibri" w:cs="Calibri"/>
          <w:sz w:val="21"/>
          <w:szCs w:val="21"/>
        </w:rPr>
        <w:t xml:space="preserve">questions for </w:t>
      </w:r>
      <w:r w:rsidRPr="00FA288E">
        <w:rPr>
          <w:rFonts w:ascii="Calibri" w:eastAsia="Calibri" w:hAnsi="Calibri" w:cs="Calibri"/>
          <w:sz w:val="21"/>
          <w:szCs w:val="21"/>
        </w:rPr>
        <w:t>sustainability.</w:t>
      </w:r>
    </w:p>
    <w:p w14:paraId="394464CB" w14:textId="77777777" w:rsidR="00614C93" w:rsidRPr="00FA288E" w:rsidRDefault="00614C93" w:rsidP="001000C9">
      <w:pPr>
        <w:pStyle w:val="BodyText"/>
        <w:spacing w:after="80" w:line="240" w:lineRule="auto"/>
        <w:rPr>
          <w:rFonts w:ascii="Calibri" w:hAnsi="Calibri" w:cs="Calibri"/>
          <w:sz w:val="21"/>
          <w:szCs w:val="21"/>
        </w:rPr>
      </w:pPr>
      <w:r w:rsidRPr="00FA288E">
        <w:rPr>
          <w:rFonts w:ascii="Calibri" w:hAnsi="Calibri" w:cs="Calibri"/>
          <w:sz w:val="21"/>
          <w:szCs w:val="21"/>
        </w:rPr>
        <w:t xml:space="preserve">For many of the demonstration interventions such as Education for Life, </w:t>
      </w:r>
      <w:proofErr w:type="spellStart"/>
      <w:r w:rsidRPr="00FA288E">
        <w:rPr>
          <w:rFonts w:ascii="Calibri" w:hAnsi="Calibri" w:cs="Calibri"/>
          <w:sz w:val="21"/>
          <w:szCs w:val="21"/>
        </w:rPr>
        <w:t>LfA</w:t>
      </w:r>
      <w:proofErr w:type="spellEnd"/>
      <w:r w:rsidRPr="00FA288E">
        <w:rPr>
          <w:rFonts w:ascii="Calibri" w:hAnsi="Calibri" w:cs="Calibri"/>
          <w:sz w:val="21"/>
          <w:szCs w:val="21"/>
        </w:rPr>
        <w:t xml:space="preserve"> and the Knowledge Hub, assessing sustainability of their application in schools is premature as evidence is just starting to become available.  All of these demonstration interventions rely to some degree on the ability to access and use new technologies, or will require additional funding to </w:t>
      </w:r>
      <w:r w:rsidR="009723E0" w:rsidRPr="00FA288E">
        <w:rPr>
          <w:rFonts w:ascii="Calibri" w:hAnsi="Calibri" w:cs="Calibri"/>
          <w:sz w:val="21"/>
          <w:szCs w:val="21"/>
        </w:rPr>
        <w:t xml:space="preserve">continue or expand </w:t>
      </w:r>
      <w:r w:rsidRPr="00FA288E">
        <w:rPr>
          <w:rFonts w:ascii="Calibri" w:hAnsi="Calibri" w:cs="Calibri"/>
          <w:sz w:val="21"/>
          <w:szCs w:val="21"/>
        </w:rPr>
        <w:t>implement</w:t>
      </w:r>
      <w:r w:rsidR="009723E0" w:rsidRPr="00FA288E">
        <w:rPr>
          <w:rFonts w:ascii="Calibri" w:hAnsi="Calibri" w:cs="Calibri"/>
          <w:sz w:val="21"/>
          <w:szCs w:val="21"/>
        </w:rPr>
        <w:t>ation</w:t>
      </w:r>
      <w:r w:rsidRPr="00FA288E">
        <w:rPr>
          <w:rFonts w:ascii="Calibri" w:hAnsi="Calibri" w:cs="Calibri"/>
          <w:sz w:val="21"/>
          <w:szCs w:val="21"/>
        </w:rPr>
        <w:t xml:space="preserve">, which appears to be beyond the </w:t>
      </w:r>
      <w:r w:rsidR="009723E0" w:rsidRPr="00FA288E">
        <w:rPr>
          <w:rFonts w:ascii="Calibri" w:hAnsi="Calibri" w:cs="Calibri"/>
          <w:sz w:val="21"/>
          <w:szCs w:val="21"/>
        </w:rPr>
        <w:t xml:space="preserve">current </w:t>
      </w:r>
      <w:r w:rsidRPr="00FA288E">
        <w:rPr>
          <w:rFonts w:ascii="Calibri" w:hAnsi="Calibri" w:cs="Calibri"/>
          <w:sz w:val="21"/>
          <w:szCs w:val="21"/>
        </w:rPr>
        <w:t xml:space="preserve">capacity of government.  For the Education for Life and the </w:t>
      </w:r>
      <w:proofErr w:type="spellStart"/>
      <w:r w:rsidRPr="00FA288E">
        <w:rPr>
          <w:rFonts w:ascii="Calibri" w:hAnsi="Calibri" w:cs="Calibri"/>
          <w:sz w:val="21"/>
          <w:szCs w:val="21"/>
        </w:rPr>
        <w:t>LfA</w:t>
      </w:r>
      <w:proofErr w:type="spellEnd"/>
      <w:r w:rsidR="009723E0" w:rsidRPr="00FA288E">
        <w:rPr>
          <w:rFonts w:ascii="Calibri" w:hAnsi="Calibri" w:cs="Calibri"/>
          <w:sz w:val="21"/>
          <w:szCs w:val="21"/>
        </w:rPr>
        <w:t xml:space="preserve"> interventions</w:t>
      </w:r>
      <w:r w:rsidRPr="00FA288E">
        <w:rPr>
          <w:rFonts w:ascii="Calibri" w:hAnsi="Calibri" w:cs="Calibri"/>
          <w:sz w:val="21"/>
          <w:szCs w:val="21"/>
        </w:rPr>
        <w:t>, both are showing promising results but need more time and training for these to be considered effective school-based demonstrations (click to view</w:t>
      </w:r>
      <w:r w:rsidR="00C8064F" w:rsidRPr="00FA288E">
        <w:rPr>
          <w:rFonts w:ascii="Calibri" w:hAnsi="Calibri" w:cs="Calibri"/>
          <w:sz w:val="21"/>
          <w:szCs w:val="21"/>
        </w:rPr>
        <w:t xml:space="preserve">: </w:t>
      </w:r>
      <w:hyperlink w:anchor="_Box_9._The" w:history="1">
        <w:r w:rsidRPr="00FA288E">
          <w:rPr>
            <w:rStyle w:val="Hyperlink"/>
            <w:rFonts w:ascii="Calibri" w:hAnsi="Calibri" w:cs="Calibri"/>
            <w:sz w:val="21"/>
            <w:szCs w:val="21"/>
          </w:rPr>
          <w:t xml:space="preserve">Box 9 Annex </w:t>
        </w:r>
        <w:r w:rsidR="008C2C8F" w:rsidRPr="00FA288E">
          <w:rPr>
            <w:rStyle w:val="Hyperlink"/>
            <w:rFonts w:ascii="Calibri" w:hAnsi="Calibri" w:cs="Calibri"/>
            <w:sz w:val="21"/>
            <w:szCs w:val="21"/>
          </w:rPr>
          <w:t>F</w:t>
        </w:r>
        <w:r w:rsidRPr="00FA288E">
          <w:rPr>
            <w:rStyle w:val="Hyperlink"/>
            <w:rFonts w:ascii="Calibri" w:hAnsi="Calibri" w:cs="Calibri"/>
            <w:sz w:val="21"/>
            <w:szCs w:val="21"/>
          </w:rPr>
          <w:t>.2</w:t>
        </w:r>
      </w:hyperlink>
      <w:r w:rsidRPr="00FA288E">
        <w:rPr>
          <w:rFonts w:ascii="Calibri" w:hAnsi="Calibri" w:cs="Calibri"/>
          <w:sz w:val="21"/>
          <w:szCs w:val="21"/>
        </w:rPr>
        <w:t xml:space="preserve">).  For the Knowledge Hub, the fact that the platform is not yet accessible and is struggling with technology and access </w:t>
      </w:r>
      <w:r w:rsidR="009723E0" w:rsidRPr="00FA288E">
        <w:rPr>
          <w:rFonts w:ascii="Calibri" w:hAnsi="Calibri" w:cs="Calibri"/>
          <w:sz w:val="21"/>
          <w:szCs w:val="21"/>
        </w:rPr>
        <w:t xml:space="preserve">protocols </w:t>
      </w:r>
      <w:r w:rsidRPr="00FA288E">
        <w:rPr>
          <w:rFonts w:ascii="Calibri" w:hAnsi="Calibri" w:cs="Calibri"/>
          <w:sz w:val="21"/>
          <w:szCs w:val="21"/>
        </w:rPr>
        <w:t>issues is concern</w:t>
      </w:r>
      <w:r w:rsidR="009723E0" w:rsidRPr="00FA288E">
        <w:rPr>
          <w:rFonts w:ascii="Calibri" w:hAnsi="Calibri" w:cs="Calibri"/>
          <w:sz w:val="21"/>
          <w:szCs w:val="21"/>
        </w:rPr>
        <w:t>ing</w:t>
      </w:r>
      <w:r w:rsidRPr="00FA288E">
        <w:rPr>
          <w:rFonts w:ascii="Calibri" w:hAnsi="Calibri" w:cs="Calibri"/>
          <w:sz w:val="21"/>
          <w:szCs w:val="21"/>
        </w:rPr>
        <w:t xml:space="preserve">.   More importantly, it does not appear to </w:t>
      </w:r>
      <w:r w:rsidR="009723E0" w:rsidRPr="00FA288E">
        <w:rPr>
          <w:rFonts w:ascii="Calibri" w:hAnsi="Calibri" w:cs="Calibri"/>
          <w:sz w:val="21"/>
          <w:szCs w:val="21"/>
        </w:rPr>
        <w:t xml:space="preserve">be connected with an appropriate unit within NDOE </w:t>
      </w:r>
      <w:r w:rsidRPr="00FA288E">
        <w:rPr>
          <w:rFonts w:ascii="Calibri" w:hAnsi="Calibri" w:cs="Calibri"/>
          <w:sz w:val="21"/>
          <w:szCs w:val="21"/>
        </w:rPr>
        <w:t xml:space="preserve">where it can be maintained and sustained once up and running. Finally, the inclusion of broad-based community participation in SLIP planning may be beyond the </w:t>
      </w:r>
      <w:r w:rsidR="00A07B4A" w:rsidRPr="00FA288E">
        <w:rPr>
          <w:rFonts w:ascii="Calibri" w:hAnsi="Calibri" w:cs="Calibri"/>
          <w:sz w:val="21"/>
          <w:szCs w:val="21"/>
        </w:rPr>
        <w:t>abil</w:t>
      </w:r>
      <w:r w:rsidRPr="00FA288E">
        <w:rPr>
          <w:rFonts w:ascii="Calibri" w:hAnsi="Calibri" w:cs="Calibri"/>
          <w:sz w:val="21"/>
          <w:szCs w:val="21"/>
        </w:rPr>
        <w:t xml:space="preserve">ity of </w:t>
      </w:r>
      <w:proofErr w:type="spellStart"/>
      <w:r w:rsidRPr="00FA288E">
        <w:rPr>
          <w:rFonts w:ascii="Calibri" w:hAnsi="Calibri" w:cs="Calibri"/>
          <w:sz w:val="21"/>
          <w:szCs w:val="21"/>
        </w:rPr>
        <w:t>SBoMs</w:t>
      </w:r>
      <w:proofErr w:type="spellEnd"/>
      <w:r w:rsidRPr="00FA288E">
        <w:rPr>
          <w:rFonts w:ascii="Calibri" w:hAnsi="Calibri" w:cs="Calibri"/>
          <w:sz w:val="21"/>
          <w:szCs w:val="21"/>
        </w:rPr>
        <w:t>/District Officers to facilitate effectively without significant external support (click to view</w:t>
      </w:r>
      <w:r w:rsidR="00C8064F" w:rsidRPr="00FA288E">
        <w:rPr>
          <w:rFonts w:ascii="Calibri" w:hAnsi="Calibri" w:cs="Calibri"/>
          <w:sz w:val="21"/>
          <w:szCs w:val="21"/>
        </w:rPr>
        <w:t>:</w:t>
      </w:r>
      <w:r w:rsidRPr="00FA288E">
        <w:rPr>
          <w:rFonts w:ascii="Calibri" w:hAnsi="Calibri" w:cs="Calibri"/>
          <w:sz w:val="21"/>
          <w:szCs w:val="21"/>
        </w:rPr>
        <w:t xml:space="preserve"> </w:t>
      </w:r>
      <w:hyperlink w:anchor="_Box_14._" w:history="1">
        <w:r w:rsidRPr="00FA288E">
          <w:rPr>
            <w:rStyle w:val="Hyperlink"/>
            <w:rFonts w:ascii="Calibri" w:hAnsi="Calibri" w:cs="Calibri"/>
            <w:sz w:val="21"/>
            <w:szCs w:val="21"/>
          </w:rPr>
          <w:t xml:space="preserve">Box 14 Annex </w:t>
        </w:r>
        <w:r w:rsidR="008C2C8F" w:rsidRPr="00FA288E">
          <w:rPr>
            <w:rStyle w:val="Hyperlink"/>
            <w:rFonts w:ascii="Calibri" w:hAnsi="Calibri" w:cs="Calibri"/>
            <w:sz w:val="21"/>
            <w:szCs w:val="21"/>
          </w:rPr>
          <w:t>F</w:t>
        </w:r>
        <w:r w:rsidRPr="00FA288E">
          <w:rPr>
            <w:rStyle w:val="Hyperlink"/>
            <w:rFonts w:ascii="Calibri" w:hAnsi="Calibri" w:cs="Calibri"/>
            <w:sz w:val="21"/>
            <w:szCs w:val="21"/>
          </w:rPr>
          <w:t>.3</w:t>
        </w:r>
      </w:hyperlink>
      <w:r w:rsidRPr="00FA288E">
        <w:rPr>
          <w:rFonts w:ascii="Calibri" w:hAnsi="Calibri" w:cs="Calibri"/>
          <w:sz w:val="21"/>
          <w:szCs w:val="21"/>
        </w:rPr>
        <w:t xml:space="preserve">). Potentially, all of these initiatives </w:t>
      </w:r>
      <w:r w:rsidR="009723E0" w:rsidRPr="00FA288E">
        <w:rPr>
          <w:rFonts w:ascii="Calibri" w:hAnsi="Calibri" w:cs="Calibri"/>
          <w:sz w:val="21"/>
          <w:szCs w:val="21"/>
        </w:rPr>
        <w:t>may</w:t>
      </w:r>
      <w:r w:rsidRPr="00FA288E">
        <w:rPr>
          <w:rFonts w:ascii="Calibri" w:hAnsi="Calibri" w:cs="Calibri"/>
          <w:sz w:val="21"/>
          <w:szCs w:val="21"/>
        </w:rPr>
        <w:t xml:space="preserve"> provide valuable lessons for what </w:t>
      </w:r>
      <w:r w:rsidRPr="00FA288E">
        <w:rPr>
          <w:rFonts w:ascii="Calibri" w:hAnsi="Calibri" w:cs="Calibri"/>
          <w:i/>
          <w:sz w:val="21"/>
          <w:szCs w:val="21"/>
        </w:rPr>
        <w:t>can</w:t>
      </w:r>
      <w:r w:rsidRPr="00FA288E">
        <w:rPr>
          <w:rFonts w:ascii="Calibri" w:hAnsi="Calibri" w:cs="Calibri"/>
          <w:sz w:val="21"/>
          <w:szCs w:val="21"/>
        </w:rPr>
        <w:t xml:space="preserve"> be</w:t>
      </w:r>
      <w:r w:rsidR="009723E0" w:rsidRPr="00FA288E">
        <w:rPr>
          <w:rFonts w:ascii="Calibri" w:hAnsi="Calibri" w:cs="Calibri"/>
          <w:sz w:val="21"/>
          <w:szCs w:val="21"/>
        </w:rPr>
        <w:t xml:space="preserve"> sustained</w:t>
      </w:r>
      <w:r w:rsidRPr="00FA288E">
        <w:rPr>
          <w:rFonts w:ascii="Calibri" w:hAnsi="Calibri" w:cs="Calibri"/>
          <w:sz w:val="21"/>
          <w:szCs w:val="21"/>
        </w:rPr>
        <w:t xml:space="preserve"> within the means of a constrained budget environment.</w:t>
      </w:r>
    </w:p>
    <w:p w14:paraId="0FDB87D5" w14:textId="77777777" w:rsidR="00C8064F" w:rsidRPr="00FA288E" w:rsidRDefault="00614C93" w:rsidP="001000C9">
      <w:pPr>
        <w:pStyle w:val="BodyText"/>
        <w:spacing w:after="80" w:line="240" w:lineRule="auto"/>
        <w:rPr>
          <w:rFonts w:ascii="Calibri" w:hAnsi="Calibri" w:cs="Calibri"/>
          <w:i/>
          <w:sz w:val="21"/>
          <w:szCs w:val="21"/>
        </w:rPr>
      </w:pPr>
      <w:r w:rsidRPr="00FA288E">
        <w:rPr>
          <w:rFonts w:ascii="Calibri" w:hAnsi="Calibri" w:cs="Calibri"/>
          <w:i/>
          <w:sz w:val="21"/>
          <w:szCs w:val="21"/>
        </w:rPr>
        <w:t xml:space="preserve">Extent of </w:t>
      </w:r>
      <w:proofErr w:type="spellStart"/>
      <w:r w:rsidR="00CC0078" w:rsidRPr="00FA288E">
        <w:rPr>
          <w:rFonts w:ascii="Calibri" w:hAnsi="Calibri" w:cs="Calibri"/>
          <w:i/>
          <w:sz w:val="21"/>
          <w:szCs w:val="21"/>
        </w:rPr>
        <w:t>PNGAus</w:t>
      </w:r>
      <w:proofErr w:type="spellEnd"/>
      <w:r w:rsidRPr="00FA288E">
        <w:rPr>
          <w:rFonts w:ascii="Calibri" w:hAnsi="Calibri" w:cs="Calibri"/>
          <w:i/>
          <w:sz w:val="21"/>
          <w:szCs w:val="21"/>
        </w:rPr>
        <w:t xml:space="preserve"> Partnership visibility</w:t>
      </w:r>
    </w:p>
    <w:p w14:paraId="73F69FD0" w14:textId="5CD0FFFD" w:rsidR="00614C93" w:rsidRPr="00FA288E" w:rsidRDefault="00614C93" w:rsidP="003570A2">
      <w:pPr>
        <w:pStyle w:val="BodyText"/>
        <w:spacing w:after="80" w:line="240" w:lineRule="auto"/>
        <w:rPr>
          <w:rFonts w:ascii="Calibri" w:hAnsi="Calibri" w:cs="Calibri"/>
          <w:sz w:val="21"/>
          <w:szCs w:val="21"/>
        </w:rPr>
      </w:pPr>
      <w:r w:rsidRPr="00FA288E">
        <w:rPr>
          <w:rFonts w:ascii="Calibri" w:hAnsi="Calibri" w:cs="Calibri"/>
          <w:sz w:val="21"/>
          <w:szCs w:val="21"/>
        </w:rPr>
        <w:lastRenderedPageBreak/>
        <w:t>One area of interest to the A</w:t>
      </w:r>
      <w:r w:rsidR="00D54281" w:rsidRPr="00FA288E">
        <w:rPr>
          <w:rFonts w:ascii="Calibri" w:hAnsi="Calibri" w:cs="Calibri"/>
          <w:sz w:val="21"/>
          <w:szCs w:val="21"/>
        </w:rPr>
        <w:t xml:space="preserve">ustralian </w:t>
      </w:r>
      <w:r w:rsidR="001444CE" w:rsidRPr="00FA288E">
        <w:rPr>
          <w:rFonts w:ascii="Calibri" w:hAnsi="Calibri" w:cs="Calibri"/>
          <w:sz w:val="21"/>
          <w:szCs w:val="21"/>
        </w:rPr>
        <w:t>G</w:t>
      </w:r>
      <w:r w:rsidR="00D54281" w:rsidRPr="00FA288E">
        <w:rPr>
          <w:rFonts w:ascii="Calibri" w:hAnsi="Calibri" w:cs="Calibri"/>
          <w:sz w:val="21"/>
          <w:szCs w:val="21"/>
        </w:rPr>
        <w:t>overnment</w:t>
      </w:r>
      <w:r w:rsidRPr="00FA288E">
        <w:rPr>
          <w:rFonts w:ascii="Calibri" w:hAnsi="Calibri" w:cs="Calibri"/>
          <w:sz w:val="21"/>
          <w:szCs w:val="21"/>
        </w:rPr>
        <w:t xml:space="preserve"> is the visibility of the </w:t>
      </w:r>
      <w:proofErr w:type="spellStart"/>
      <w:r w:rsidR="00BD4A5F" w:rsidRPr="00FA288E">
        <w:rPr>
          <w:rFonts w:ascii="Calibri" w:hAnsi="Calibri" w:cs="Calibri"/>
          <w:sz w:val="21"/>
          <w:szCs w:val="21"/>
        </w:rPr>
        <w:t>PNGAus</w:t>
      </w:r>
      <w:proofErr w:type="spellEnd"/>
      <w:r w:rsidR="00CC0078" w:rsidRPr="00FA288E">
        <w:rPr>
          <w:rFonts w:ascii="Calibri" w:hAnsi="Calibri" w:cs="Calibri"/>
          <w:sz w:val="21"/>
          <w:szCs w:val="21"/>
        </w:rPr>
        <w:t xml:space="preserve"> </w:t>
      </w:r>
      <w:r w:rsidR="00BD4A5F" w:rsidRPr="00FA288E">
        <w:rPr>
          <w:rFonts w:ascii="Calibri" w:hAnsi="Calibri" w:cs="Calibri"/>
          <w:sz w:val="21"/>
          <w:szCs w:val="21"/>
        </w:rPr>
        <w:t>Partnership</w:t>
      </w:r>
      <w:r w:rsidRPr="00FA288E">
        <w:rPr>
          <w:rFonts w:ascii="Calibri" w:hAnsi="Calibri" w:cs="Calibri"/>
          <w:sz w:val="21"/>
          <w:szCs w:val="21"/>
        </w:rPr>
        <w:t xml:space="preserve"> </w:t>
      </w:r>
      <w:r w:rsidR="009723E0" w:rsidRPr="00FA288E">
        <w:rPr>
          <w:rFonts w:ascii="Calibri" w:hAnsi="Calibri" w:cs="Calibri"/>
          <w:sz w:val="21"/>
          <w:szCs w:val="21"/>
        </w:rPr>
        <w:t xml:space="preserve">in relation to the education </w:t>
      </w:r>
      <w:r w:rsidRPr="00FA288E">
        <w:rPr>
          <w:rFonts w:ascii="Calibri" w:hAnsi="Calibri" w:cs="Calibri"/>
          <w:sz w:val="21"/>
          <w:szCs w:val="21"/>
        </w:rPr>
        <w:t xml:space="preserve">projects. While not having a direct effect on sustainability, increasing visibility would indicate to stakeholders and beneficiaries </w:t>
      </w:r>
      <w:r w:rsidR="009723E0" w:rsidRPr="00FA288E">
        <w:rPr>
          <w:rFonts w:ascii="Calibri" w:hAnsi="Calibri" w:cs="Calibri"/>
          <w:sz w:val="21"/>
          <w:szCs w:val="21"/>
        </w:rPr>
        <w:t xml:space="preserve">that </w:t>
      </w:r>
      <w:r w:rsidRPr="00FA288E">
        <w:rPr>
          <w:rFonts w:ascii="Calibri" w:hAnsi="Calibri" w:cs="Calibri"/>
          <w:sz w:val="21"/>
          <w:szCs w:val="21"/>
        </w:rPr>
        <w:t xml:space="preserve">both </w:t>
      </w:r>
      <w:r w:rsidR="009723E0" w:rsidRPr="00FA288E">
        <w:rPr>
          <w:rFonts w:ascii="Calibri" w:hAnsi="Calibri" w:cs="Calibri"/>
          <w:sz w:val="21"/>
          <w:szCs w:val="21"/>
        </w:rPr>
        <w:t>g</w:t>
      </w:r>
      <w:r w:rsidRPr="00FA288E">
        <w:rPr>
          <w:rFonts w:ascii="Calibri" w:hAnsi="Calibri" w:cs="Calibri"/>
          <w:sz w:val="21"/>
          <w:szCs w:val="21"/>
        </w:rPr>
        <w:t xml:space="preserve">overnments </w:t>
      </w:r>
      <w:r w:rsidR="009723E0" w:rsidRPr="00FA288E">
        <w:rPr>
          <w:rFonts w:ascii="Calibri" w:hAnsi="Calibri" w:cs="Calibri"/>
          <w:sz w:val="21"/>
          <w:szCs w:val="21"/>
        </w:rPr>
        <w:t xml:space="preserve">have an </w:t>
      </w:r>
      <w:r w:rsidRPr="00FA288E">
        <w:rPr>
          <w:rFonts w:ascii="Calibri" w:hAnsi="Calibri" w:cs="Calibri"/>
          <w:sz w:val="21"/>
          <w:szCs w:val="21"/>
        </w:rPr>
        <w:t>interest in and support initiatives</w:t>
      </w:r>
      <w:r w:rsidR="009723E0" w:rsidRPr="00FA288E">
        <w:rPr>
          <w:rFonts w:ascii="Calibri" w:hAnsi="Calibri" w:cs="Calibri"/>
          <w:sz w:val="21"/>
          <w:szCs w:val="21"/>
        </w:rPr>
        <w:t xml:space="preserve"> in early literacy and numeracy </w:t>
      </w:r>
      <w:r w:rsidR="00E31715" w:rsidRPr="00FA288E">
        <w:rPr>
          <w:rFonts w:ascii="Calibri" w:hAnsi="Calibri" w:cs="Calibri"/>
          <w:sz w:val="21"/>
          <w:szCs w:val="21"/>
        </w:rPr>
        <w:t>acquisition</w:t>
      </w:r>
      <w:r w:rsidRPr="00FA288E">
        <w:rPr>
          <w:rFonts w:ascii="Calibri" w:hAnsi="Calibri" w:cs="Calibri"/>
          <w:sz w:val="21"/>
          <w:szCs w:val="21"/>
        </w:rPr>
        <w:t xml:space="preserve">.  Based on interviews and observations during the field visits, while </w:t>
      </w:r>
      <w:r w:rsidR="00376C63" w:rsidRPr="00FA288E">
        <w:rPr>
          <w:rFonts w:ascii="Calibri" w:hAnsi="Calibri" w:cs="Calibri"/>
          <w:sz w:val="21"/>
          <w:szCs w:val="21"/>
        </w:rPr>
        <w:t>n</w:t>
      </w:r>
      <w:r w:rsidRPr="00FA288E">
        <w:rPr>
          <w:rFonts w:ascii="Calibri" w:hAnsi="Calibri" w:cs="Calibri"/>
          <w:sz w:val="21"/>
          <w:szCs w:val="21"/>
        </w:rPr>
        <w:t xml:space="preserve">ational level awareness of the partnership is high, there are varying levels of awareness </w:t>
      </w:r>
      <w:r w:rsidR="009723E0" w:rsidRPr="00FA288E">
        <w:rPr>
          <w:rFonts w:ascii="Calibri" w:hAnsi="Calibri" w:cs="Calibri"/>
          <w:sz w:val="21"/>
          <w:szCs w:val="21"/>
        </w:rPr>
        <w:t xml:space="preserve">of the </w:t>
      </w:r>
      <w:proofErr w:type="spellStart"/>
      <w:r w:rsidR="009723E0" w:rsidRPr="00FA288E">
        <w:rPr>
          <w:rFonts w:ascii="Calibri" w:hAnsi="Calibri" w:cs="Calibri"/>
          <w:sz w:val="21"/>
          <w:szCs w:val="21"/>
        </w:rPr>
        <w:t>PNGAus</w:t>
      </w:r>
      <w:proofErr w:type="spellEnd"/>
      <w:r w:rsidR="009723E0" w:rsidRPr="00FA288E">
        <w:rPr>
          <w:rFonts w:ascii="Calibri" w:hAnsi="Calibri" w:cs="Calibri"/>
          <w:sz w:val="21"/>
          <w:szCs w:val="21"/>
        </w:rPr>
        <w:t xml:space="preserve"> Partnership </w:t>
      </w:r>
      <w:r w:rsidRPr="00FA288E">
        <w:rPr>
          <w:rFonts w:ascii="Calibri" w:hAnsi="Calibri" w:cs="Calibri"/>
          <w:sz w:val="21"/>
          <w:szCs w:val="21"/>
        </w:rPr>
        <w:t xml:space="preserve">at the provincial and district levels. Most interviewees at the provincial and district level were aware that the funding is coming from Australia (with some still referencing ‘AusAID’), but many are not aware that it is part of a partnership with their government. Awareness declines however at the school/community level, where project interventions are more recognised as being provided by the implementing NGOs. </w:t>
      </w:r>
      <w:r w:rsidR="00376C63" w:rsidRPr="00FA288E">
        <w:rPr>
          <w:rFonts w:ascii="Calibri" w:hAnsi="Calibri" w:cs="Calibri"/>
          <w:sz w:val="21"/>
          <w:szCs w:val="21"/>
        </w:rPr>
        <w:t>While</w:t>
      </w:r>
      <w:r w:rsidRPr="00FA288E">
        <w:rPr>
          <w:rFonts w:ascii="Calibri" w:hAnsi="Calibri" w:cs="Calibri"/>
          <w:sz w:val="21"/>
          <w:szCs w:val="21"/>
        </w:rPr>
        <w:t xml:space="preserve"> all materials </w:t>
      </w:r>
      <w:r w:rsidR="00376C63" w:rsidRPr="00FA288E">
        <w:rPr>
          <w:rFonts w:ascii="Calibri" w:hAnsi="Calibri" w:cs="Calibri"/>
          <w:sz w:val="21"/>
          <w:szCs w:val="21"/>
        </w:rPr>
        <w:t>are to</w:t>
      </w:r>
      <w:r w:rsidRPr="00FA288E">
        <w:rPr>
          <w:rFonts w:ascii="Calibri" w:hAnsi="Calibri" w:cs="Calibri"/>
          <w:sz w:val="21"/>
          <w:szCs w:val="21"/>
        </w:rPr>
        <w:t xml:space="preserve"> include the </w:t>
      </w:r>
      <w:proofErr w:type="spellStart"/>
      <w:r w:rsidR="00CC0078" w:rsidRPr="00FA288E">
        <w:rPr>
          <w:rFonts w:ascii="Calibri" w:hAnsi="Calibri" w:cs="Calibri"/>
          <w:sz w:val="21"/>
          <w:szCs w:val="21"/>
        </w:rPr>
        <w:t>PNGAus</w:t>
      </w:r>
      <w:proofErr w:type="spellEnd"/>
      <w:r w:rsidRPr="00FA288E">
        <w:rPr>
          <w:rFonts w:ascii="Calibri" w:hAnsi="Calibri" w:cs="Calibri"/>
          <w:sz w:val="21"/>
          <w:szCs w:val="21"/>
        </w:rPr>
        <w:t xml:space="preserve"> Partnership logo</w:t>
      </w:r>
      <w:r w:rsidR="00376C63" w:rsidRPr="00FA288E">
        <w:rPr>
          <w:rFonts w:ascii="Calibri" w:hAnsi="Calibri" w:cs="Calibri"/>
          <w:sz w:val="21"/>
          <w:szCs w:val="21"/>
        </w:rPr>
        <w:t xml:space="preserve"> and </w:t>
      </w:r>
      <w:r w:rsidRPr="00FA288E">
        <w:rPr>
          <w:rFonts w:ascii="Calibri" w:hAnsi="Calibri" w:cs="Calibri"/>
          <w:sz w:val="21"/>
          <w:szCs w:val="21"/>
        </w:rPr>
        <w:t>all official speeches</w:t>
      </w:r>
      <w:r w:rsidR="00376C63" w:rsidRPr="00FA288E">
        <w:rPr>
          <w:rFonts w:ascii="Calibri" w:hAnsi="Calibri" w:cs="Calibri"/>
          <w:sz w:val="21"/>
          <w:szCs w:val="21"/>
        </w:rPr>
        <w:t xml:space="preserve"> reference the partnership</w:t>
      </w:r>
      <w:r w:rsidRPr="00FA288E">
        <w:rPr>
          <w:rFonts w:ascii="Calibri" w:hAnsi="Calibri" w:cs="Calibri"/>
          <w:sz w:val="21"/>
          <w:szCs w:val="21"/>
        </w:rPr>
        <w:t>, pro</w:t>
      </w:r>
      <w:r w:rsidR="00376C63" w:rsidRPr="00FA288E">
        <w:rPr>
          <w:rFonts w:ascii="Calibri" w:hAnsi="Calibri" w:cs="Calibri"/>
          <w:sz w:val="21"/>
          <w:szCs w:val="21"/>
        </w:rPr>
        <w:t>ject</w:t>
      </w:r>
      <w:r w:rsidRPr="00FA288E">
        <w:rPr>
          <w:rFonts w:ascii="Calibri" w:hAnsi="Calibri" w:cs="Calibri"/>
          <w:sz w:val="21"/>
          <w:szCs w:val="21"/>
        </w:rPr>
        <w:t xml:space="preserve"> staff wear T-shirts which include their NGO name.</w:t>
      </w:r>
      <w:r w:rsidRPr="00FA288E">
        <w:rPr>
          <w:rStyle w:val="FootnoteReference"/>
          <w:rFonts w:ascii="Calibri" w:hAnsi="Calibri" w:cs="Calibri"/>
          <w:sz w:val="21"/>
          <w:szCs w:val="21"/>
        </w:rPr>
        <w:footnoteReference w:id="71"/>
      </w:r>
      <w:r w:rsidRPr="00FA288E">
        <w:rPr>
          <w:rFonts w:ascii="Calibri" w:hAnsi="Calibri" w:cs="Calibri"/>
          <w:sz w:val="21"/>
          <w:szCs w:val="21"/>
        </w:rPr>
        <w:t xml:space="preserve"> As part of the success of NGO-implemented programs comes from their staff’s commitment to and pride in the values of their organisations, increasing </w:t>
      </w:r>
      <w:proofErr w:type="spellStart"/>
      <w:r w:rsidR="00CC0078" w:rsidRPr="00FA288E">
        <w:rPr>
          <w:rFonts w:ascii="Calibri" w:hAnsi="Calibri" w:cs="Calibri"/>
          <w:sz w:val="21"/>
          <w:szCs w:val="21"/>
        </w:rPr>
        <w:t>P</w:t>
      </w:r>
      <w:r w:rsidR="00821332" w:rsidRPr="00FA288E">
        <w:rPr>
          <w:rFonts w:ascii="Calibri" w:hAnsi="Calibri" w:cs="Calibri"/>
          <w:sz w:val="21"/>
          <w:szCs w:val="21"/>
        </w:rPr>
        <w:t>NGAus</w:t>
      </w:r>
      <w:proofErr w:type="spellEnd"/>
      <w:r w:rsidR="00821332" w:rsidRPr="00FA288E">
        <w:rPr>
          <w:rFonts w:ascii="Calibri" w:hAnsi="Calibri" w:cs="Calibri"/>
          <w:sz w:val="21"/>
          <w:szCs w:val="21"/>
        </w:rPr>
        <w:t xml:space="preserve"> </w:t>
      </w:r>
      <w:r w:rsidR="00CC0078" w:rsidRPr="00FA288E">
        <w:rPr>
          <w:rFonts w:ascii="Calibri" w:hAnsi="Calibri" w:cs="Calibri"/>
          <w:sz w:val="21"/>
          <w:szCs w:val="21"/>
        </w:rPr>
        <w:t>Partnership</w:t>
      </w:r>
      <w:r w:rsidRPr="00FA288E">
        <w:rPr>
          <w:rFonts w:ascii="Calibri" w:hAnsi="Calibri" w:cs="Calibri"/>
          <w:sz w:val="21"/>
          <w:szCs w:val="21"/>
        </w:rPr>
        <w:t xml:space="preserve"> visibility should be reviewed to determine the positive and negative effects on both NGO and </w:t>
      </w:r>
      <w:proofErr w:type="spellStart"/>
      <w:r w:rsidR="00CC0078" w:rsidRPr="00FA288E">
        <w:rPr>
          <w:rFonts w:ascii="Calibri" w:hAnsi="Calibri" w:cs="Calibri"/>
          <w:sz w:val="21"/>
          <w:szCs w:val="21"/>
        </w:rPr>
        <w:t>PNGAus</w:t>
      </w:r>
      <w:proofErr w:type="spellEnd"/>
      <w:r w:rsidRPr="00FA288E">
        <w:rPr>
          <w:rFonts w:ascii="Calibri" w:hAnsi="Calibri" w:cs="Calibri"/>
          <w:sz w:val="21"/>
          <w:szCs w:val="21"/>
        </w:rPr>
        <w:t xml:space="preserve"> Partnership identification</w:t>
      </w:r>
      <w:r w:rsidR="00686098" w:rsidRPr="00FA288E">
        <w:rPr>
          <w:rFonts w:ascii="Calibri" w:hAnsi="Calibri" w:cs="Calibri"/>
          <w:sz w:val="21"/>
          <w:szCs w:val="21"/>
        </w:rPr>
        <w:t xml:space="preserve"> requirements</w:t>
      </w:r>
      <w:r w:rsidRPr="00FA288E">
        <w:rPr>
          <w:rFonts w:ascii="Calibri" w:hAnsi="Calibri" w:cs="Calibri"/>
          <w:sz w:val="21"/>
          <w:szCs w:val="21"/>
        </w:rPr>
        <w:t xml:space="preserve">. </w:t>
      </w:r>
    </w:p>
    <w:p w14:paraId="575DD98F" w14:textId="77777777" w:rsidR="00614C93" w:rsidRPr="00FA288E" w:rsidRDefault="00614C93" w:rsidP="00FF62CC">
      <w:pPr>
        <w:pStyle w:val="Heading1"/>
        <w:numPr>
          <w:ilvl w:val="1"/>
          <w:numId w:val="66"/>
        </w:numPr>
        <w:spacing w:before="0" w:after="80" w:line="240" w:lineRule="auto"/>
        <w:ind w:left="720"/>
      </w:pPr>
      <w:bookmarkStart w:id="90" w:name="_Toc26914375"/>
      <w:bookmarkStart w:id="91" w:name="_Toc31625593"/>
      <w:bookmarkStart w:id="92" w:name="_Toc42075973"/>
      <w:r w:rsidRPr="00FA288E">
        <w:t>Lessons from the implementation of the grants can contribute to future Australia investments in early grades education in PNG (KRQ 6)</w:t>
      </w:r>
      <w:bookmarkEnd w:id="90"/>
      <w:bookmarkEnd w:id="91"/>
      <w:bookmarkEnd w:id="92"/>
      <w:r w:rsidRPr="00FA288E">
        <w:t xml:space="preserve"> </w:t>
      </w:r>
    </w:p>
    <w:p w14:paraId="46702B79" w14:textId="77777777" w:rsidR="00614C93" w:rsidRPr="00FA288E" w:rsidRDefault="00614C93" w:rsidP="003570A2">
      <w:pPr>
        <w:pStyle w:val="Bullets"/>
        <w:numPr>
          <w:ilvl w:val="0"/>
          <w:numId w:val="0"/>
        </w:numPr>
        <w:spacing w:after="80" w:line="240" w:lineRule="auto"/>
        <w:jc w:val="both"/>
        <w:rPr>
          <w:rFonts w:ascii="Calibri" w:hAnsi="Calibri" w:cs="Calibri"/>
          <w:sz w:val="21"/>
          <w:szCs w:val="21"/>
        </w:rPr>
      </w:pPr>
      <w:r w:rsidRPr="00FA288E">
        <w:rPr>
          <w:rFonts w:ascii="Calibri" w:hAnsi="Calibri" w:cs="Calibri"/>
          <w:sz w:val="21"/>
          <w:szCs w:val="21"/>
        </w:rPr>
        <w:t xml:space="preserve">The different models and strategies employed by the three consortia </w:t>
      </w:r>
      <w:r w:rsidR="00522891" w:rsidRPr="00FA288E">
        <w:rPr>
          <w:rFonts w:ascii="Calibri" w:hAnsi="Calibri" w:cs="Calibri"/>
          <w:sz w:val="21"/>
          <w:szCs w:val="21"/>
        </w:rPr>
        <w:t xml:space="preserve">and the progress they have made </w:t>
      </w:r>
      <w:r w:rsidRPr="00FA288E">
        <w:rPr>
          <w:rFonts w:ascii="Calibri" w:hAnsi="Calibri" w:cs="Calibri"/>
          <w:sz w:val="21"/>
          <w:szCs w:val="21"/>
        </w:rPr>
        <w:t>are discussed throughout this report</w:t>
      </w:r>
      <w:r w:rsidR="00821332" w:rsidRPr="00FA288E">
        <w:rPr>
          <w:rFonts w:ascii="Calibri" w:hAnsi="Calibri" w:cs="Calibri"/>
          <w:sz w:val="21"/>
          <w:szCs w:val="21"/>
        </w:rPr>
        <w:t>.</w:t>
      </w:r>
      <w:r w:rsidRPr="00FA288E">
        <w:rPr>
          <w:rFonts w:ascii="Calibri" w:hAnsi="Calibri" w:cs="Calibri"/>
          <w:sz w:val="21"/>
          <w:szCs w:val="21"/>
        </w:rPr>
        <w:t xml:space="preserve"> </w:t>
      </w:r>
      <w:r w:rsidR="00821332" w:rsidRPr="00FA288E">
        <w:rPr>
          <w:rFonts w:ascii="Calibri" w:hAnsi="Calibri" w:cs="Calibri"/>
          <w:sz w:val="21"/>
          <w:szCs w:val="21"/>
        </w:rPr>
        <w:t>This</w:t>
      </w:r>
      <w:r w:rsidRPr="00FA288E">
        <w:rPr>
          <w:rFonts w:ascii="Calibri" w:hAnsi="Calibri" w:cs="Calibri"/>
          <w:sz w:val="21"/>
          <w:szCs w:val="21"/>
        </w:rPr>
        <w:t xml:space="preserve"> section will synthesise and summarise the lessons for future Australian support to early grade education in PNG.</w:t>
      </w:r>
    </w:p>
    <w:p w14:paraId="5840A9B5" w14:textId="77777777" w:rsidR="00C8064F" w:rsidRPr="00FA288E" w:rsidRDefault="005B0C7F" w:rsidP="003570A2">
      <w:pPr>
        <w:pStyle w:val="Bullets"/>
        <w:numPr>
          <w:ilvl w:val="0"/>
          <w:numId w:val="0"/>
        </w:numPr>
        <w:spacing w:after="80" w:line="240" w:lineRule="auto"/>
        <w:rPr>
          <w:sz w:val="24"/>
          <w:szCs w:val="24"/>
        </w:rPr>
      </w:pPr>
      <w:r w:rsidRPr="00FA288E">
        <w:rPr>
          <w:sz w:val="24"/>
          <w:szCs w:val="24"/>
        </w:rPr>
        <w:t xml:space="preserve">3.6.1 </w:t>
      </w:r>
      <w:r w:rsidR="00614C93" w:rsidRPr="00FA288E">
        <w:rPr>
          <w:sz w:val="24"/>
          <w:szCs w:val="24"/>
        </w:rPr>
        <w:t>Success of approaches</w:t>
      </w:r>
    </w:p>
    <w:p w14:paraId="43BB5C0C" w14:textId="740F2BC7" w:rsidR="00614C93" w:rsidRPr="00FA288E" w:rsidRDefault="00614C93" w:rsidP="003570A2">
      <w:pPr>
        <w:pStyle w:val="Bullets"/>
        <w:numPr>
          <w:ilvl w:val="0"/>
          <w:numId w:val="0"/>
        </w:numPr>
        <w:spacing w:after="80" w:line="240" w:lineRule="auto"/>
        <w:jc w:val="both"/>
        <w:rPr>
          <w:rFonts w:ascii="Calibri" w:hAnsi="Calibri" w:cs="Calibri"/>
          <w:sz w:val="21"/>
          <w:szCs w:val="21"/>
        </w:rPr>
      </w:pPr>
      <w:r w:rsidRPr="00FA288E">
        <w:rPr>
          <w:rFonts w:ascii="Calibri" w:hAnsi="Calibri" w:cs="Calibri"/>
          <w:sz w:val="21"/>
          <w:szCs w:val="21"/>
        </w:rPr>
        <w:t xml:space="preserve">Perhaps the most significant success has been the </w:t>
      </w:r>
      <w:r w:rsidR="006C1EB7" w:rsidRPr="00FA288E">
        <w:rPr>
          <w:rFonts w:ascii="Calibri" w:hAnsi="Calibri" w:cs="Calibri"/>
          <w:sz w:val="21"/>
          <w:szCs w:val="21"/>
        </w:rPr>
        <w:t xml:space="preserve">approach of </w:t>
      </w:r>
      <w:r w:rsidRPr="00FA288E">
        <w:rPr>
          <w:rFonts w:ascii="Calibri" w:hAnsi="Calibri" w:cs="Calibri"/>
          <w:sz w:val="21"/>
          <w:szCs w:val="21"/>
        </w:rPr>
        <w:t xml:space="preserve">implementing </w:t>
      </w:r>
      <w:r w:rsidR="006C1EB7" w:rsidRPr="00FA288E">
        <w:rPr>
          <w:rFonts w:ascii="Calibri" w:hAnsi="Calibri" w:cs="Calibri"/>
          <w:sz w:val="21"/>
          <w:szCs w:val="21"/>
        </w:rPr>
        <w:t xml:space="preserve">large-scale </w:t>
      </w:r>
      <w:r w:rsidRPr="00FA288E">
        <w:rPr>
          <w:rFonts w:ascii="Calibri" w:hAnsi="Calibri" w:cs="Calibri"/>
          <w:sz w:val="21"/>
          <w:szCs w:val="21"/>
        </w:rPr>
        <w:t xml:space="preserve">projects through consortia.  </w:t>
      </w:r>
      <w:r w:rsidR="00F42E5A" w:rsidRPr="00FA288E">
        <w:rPr>
          <w:rFonts w:ascii="Calibri" w:hAnsi="Calibri" w:cs="Calibri"/>
          <w:sz w:val="21"/>
          <w:szCs w:val="21"/>
        </w:rPr>
        <w:t>Despite</w:t>
      </w:r>
      <w:r w:rsidRPr="00FA288E">
        <w:rPr>
          <w:rFonts w:ascii="Calibri" w:hAnsi="Calibri" w:cs="Calibri"/>
          <w:sz w:val="21"/>
          <w:szCs w:val="21"/>
        </w:rPr>
        <w:t xml:space="preserve"> consortia members</w:t>
      </w:r>
      <w:r w:rsidR="00F42E5A" w:rsidRPr="00FA288E">
        <w:rPr>
          <w:rFonts w:ascii="Calibri" w:hAnsi="Calibri" w:cs="Calibri"/>
          <w:sz w:val="21"/>
          <w:szCs w:val="21"/>
        </w:rPr>
        <w:t xml:space="preserve"> having varying degrees of knowledge, skillsets and expertise</w:t>
      </w:r>
      <w:r w:rsidRPr="00FA288E">
        <w:rPr>
          <w:rFonts w:ascii="Calibri" w:hAnsi="Calibri" w:cs="Calibri"/>
          <w:sz w:val="21"/>
          <w:szCs w:val="21"/>
        </w:rPr>
        <w:t>, the underlying premise of the consortia approach is that through the combined knowledge, expertise, skills and relationships of each consortia member, there is value added to the quality and reach of the projects. Child Fund and ADRA enable WV and CARE respectively to increase the geographic coverage of the</w:t>
      </w:r>
      <w:r w:rsidR="003570A2" w:rsidRPr="00FA288E">
        <w:rPr>
          <w:rFonts w:ascii="Calibri" w:hAnsi="Calibri" w:cs="Calibri"/>
          <w:sz w:val="21"/>
          <w:szCs w:val="21"/>
        </w:rPr>
        <w:t>ir</w:t>
      </w:r>
      <w:r w:rsidRPr="00FA288E">
        <w:rPr>
          <w:rFonts w:ascii="Calibri" w:hAnsi="Calibri" w:cs="Calibri"/>
          <w:sz w:val="21"/>
          <w:szCs w:val="21"/>
        </w:rPr>
        <w:t xml:space="preserve"> projects. University consortia members br</w:t>
      </w:r>
      <w:r w:rsidR="003570A2" w:rsidRPr="00FA288E">
        <w:rPr>
          <w:rFonts w:ascii="Calibri" w:hAnsi="Calibri" w:cs="Calibri"/>
          <w:sz w:val="21"/>
          <w:szCs w:val="21"/>
        </w:rPr>
        <w:t>ing what one project manager referred to as</w:t>
      </w:r>
      <w:r w:rsidRPr="00FA288E">
        <w:rPr>
          <w:rFonts w:ascii="Calibri" w:hAnsi="Calibri" w:cs="Calibri"/>
          <w:sz w:val="21"/>
          <w:szCs w:val="21"/>
        </w:rPr>
        <w:t xml:space="preserve"> </w:t>
      </w:r>
      <w:r w:rsidR="003570A2" w:rsidRPr="00FA288E">
        <w:rPr>
          <w:rFonts w:ascii="Calibri" w:hAnsi="Calibri" w:cs="Calibri"/>
          <w:sz w:val="21"/>
          <w:szCs w:val="21"/>
        </w:rPr>
        <w:t>‘</w:t>
      </w:r>
      <w:r w:rsidRPr="00FA288E">
        <w:rPr>
          <w:rFonts w:ascii="Calibri" w:hAnsi="Calibri" w:cs="Calibri"/>
          <w:sz w:val="21"/>
          <w:szCs w:val="21"/>
        </w:rPr>
        <w:t>additional rigour</w:t>
      </w:r>
      <w:r w:rsidR="003570A2" w:rsidRPr="00FA288E">
        <w:rPr>
          <w:rFonts w:ascii="Calibri" w:hAnsi="Calibri" w:cs="Calibri"/>
          <w:sz w:val="21"/>
          <w:szCs w:val="21"/>
        </w:rPr>
        <w:t>’</w:t>
      </w:r>
      <w:r w:rsidRPr="00FA288E">
        <w:rPr>
          <w:rFonts w:ascii="Calibri" w:hAnsi="Calibri" w:cs="Calibri"/>
          <w:sz w:val="21"/>
          <w:szCs w:val="21"/>
        </w:rPr>
        <w:t xml:space="preserve"> to </w:t>
      </w:r>
      <w:r w:rsidR="003570A2" w:rsidRPr="00FA288E">
        <w:rPr>
          <w:rFonts w:ascii="Calibri" w:hAnsi="Calibri" w:cs="Calibri"/>
          <w:sz w:val="21"/>
          <w:szCs w:val="21"/>
        </w:rPr>
        <w:t xml:space="preserve">activity </w:t>
      </w:r>
      <w:r w:rsidRPr="00FA288E">
        <w:rPr>
          <w:rFonts w:ascii="Calibri" w:hAnsi="Calibri" w:cs="Calibri"/>
          <w:sz w:val="21"/>
          <w:szCs w:val="21"/>
        </w:rPr>
        <w:t>design</w:t>
      </w:r>
      <w:r w:rsidR="003570A2" w:rsidRPr="00FA288E">
        <w:rPr>
          <w:rFonts w:ascii="Calibri" w:hAnsi="Calibri" w:cs="Calibri"/>
          <w:sz w:val="21"/>
          <w:szCs w:val="21"/>
        </w:rPr>
        <w:t>s</w:t>
      </w:r>
      <w:r w:rsidRPr="00FA288E">
        <w:rPr>
          <w:rFonts w:ascii="Calibri" w:hAnsi="Calibri" w:cs="Calibri"/>
          <w:sz w:val="21"/>
          <w:szCs w:val="21"/>
        </w:rPr>
        <w:t xml:space="preserve"> and assessments, while other</w:t>
      </w:r>
      <w:r w:rsidR="003570A2" w:rsidRPr="00FA288E">
        <w:rPr>
          <w:rFonts w:ascii="Calibri" w:hAnsi="Calibri" w:cs="Calibri"/>
          <w:sz w:val="21"/>
          <w:szCs w:val="21"/>
        </w:rPr>
        <w:t xml:space="preserve"> members</w:t>
      </w:r>
      <w:r w:rsidRPr="00FA288E">
        <w:rPr>
          <w:rFonts w:ascii="Calibri" w:hAnsi="Calibri" w:cs="Calibri"/>
          <w:sz w:val="21"/>
          <w:szCs w:val="21"/>
        </w:rPr>
        <w:t xml:space="preserve"> br</w:t>
      </w:r>
      <w:r w:rsidR="003570A2" w:rsidRPr="00FA288E">
        <w:rPr>
          <w:rFonts w:ascii="Calibri" w:hAnsi="Calibri" w:cs="Calibri"/>
          <w:sz w:val="21"/>
          <w:szCs w:val="21"/>
        </w:rPr>
        <w:t>ing</w:t>
      </w:r>
      <w:r w:rsidRPr="00FA288E">
        <w:rPr>
          <w:rFonts w:ascii="Calibri" w:hAnsi="Calibri" w:cs="Calibri"/>
          <w:sz w:val="21"/>
          <w:szCs w:val="21"/>
        </w:rPr>
        <w:t xml:space="preserve"> innovative ideas that c</w:t>
      </w:r>
      <w:r w:rsidR="003570A2" w:rsidRPr="00FA288E">
        <w:rPr>
          <w:rFonts w:ascii="Calibri" w:hAnsi="Calibri" w:cs="Calibri"/>
          <w:sz w:val="21"/>
          <w:szCs w:val="21"/>
        </w:rPr>
        <w:t>an</w:t>
      </w:r>
      <w:r w:rsidRPr="00FA288E">
        <w:rPr>
          <w:rFonts w:ascii="Calibri" w:hAnsi="Calibri" w:cs="Calibri"/>
          <w:sz w:val="21"/>
          <w:szCs w:val="21"/>
        </w:rPr>
        <w:t xml:space="preserve"> be piloted on a larger scale than usual.  </w:t>
      </w:r>
      <w:r w:rsidR="003570A2" w:rsidRPr="00FA288E">
        <w:rPr>
          <w:rFonts w:ascii="Calibri" w:hAnsi="Calibri" w:cs="Calibri"/>
          <w:sz w:val="21"/>
          <w:szCs w:val="21"/>
        </w:rPr>
        <w:t>T</w:t>
      </w:r>
      <w:r w:rsidRPr="00FA288E">
        <w:rPr>
          <w:rFonts w:ascii="Calibri" w:hAnsi="Calibri" w:cs="Calibri"/>
          <w:sz w:val="21"/>
          <w:szCs w:val="21"/>
        </w:rPr>
        <w:t xml:space="preserve">he consortia model </w:t>
      </w:r>
      <w:r w:rsidR="003570A2" w:rsidRPr="00FA288E">
        <w:rPr>
          <w:rFonts w:ascii="Calibri" w:hAnsi="Calibri" w:cs="Calibri"/>
          <w:sz w:val="21"/>
          <w:szCs w:val="21"/>
        </w:rPr>
        <w:t>enabled</w:t>
      </w:r>
      <w:r w:rsidRPr="00FA288E">
        <w:rPr>
          <w:rFonts w:ascii="Calibri" w:hAnsi="Calibri" w:cs="Calibri"/>
          <w:sz w:val="21"/>
          <w:szCs w:val="21"/>
        </w:rPr>
        <w:t xml:space="preserve"> significantly more resources to be released and at the same time served to reduce transactional cost to </w:t>
      </w:r>
      <w:r w:rsidR="003570A2" w:rsidRPr="00FA288E">
        <w:rPr>
          <w:rFonts w:ascii="Calibri" w:hAnsi="Calibri" w:cs="Calibri"/>
          <w:sz w:val="21"/>
          <w:szCs w:val="21"/>
        </w:rPr>
        <w:t xml:space="preserve">the </w:t>
      </w:r>
      <w:r w:rsidRPr="00FA288E">
        <w:rPr>
          <w:rFonts w:ascii="Calibri" w:hAnsi="Calibri" w:cs="Calibri"/>
          <w:sz w:val="21"/>
          <w:szCs w:val="21"/>
        </w:rPr>
        <w:t xml:space="preserve">Australia </w:t>
      </w:r>
      <w:r w:rsidR="003570A2" w:rsidRPr="00FA288E">
        <w:rPr>
          <w:rFonts w:ascii="Calibri" w:hAnsi="Calibri" w:cs="Calibri"/>
          <w:sz w:val="21"/>
          <w:szCs w:val="21"/>
        </w:rPr>
        <w:t xml:space="preserve">Government </w:t>
      </w:r>
      <w:r w:rsidRPr="00FA288E">
        <w:rPr>
          <w:rFonts w:ascii="Calibri" w:hAnsi="Calibri" w:cs="Calibri"/>
          <w:sz w:val="21"/>
          <w:szCs w:val="21"/>
        </w:rPr>
        <w:t>and GoPNG by having a single managing contractor oversee management</w:t>
      </w:r>
      <w:r w:rsidR="003570A2" w:rsidRPr="00FA288E">
        <w:rPr>
          <w:rFonts w:ascii="Calibri" w:hAnsi="Calibri" w:cs="Calibri"/>
          <w:sz w:val="21"/>
          <w:szCs w:val="21"/>
        </w:rPr>
        <w:t xml:space="preserve"> of only three grants</w:t>
      </w:r>
      <w:r w:rsidRPr="00FA288E">
        <w:rPr>
          <w:rFonts w:ascii="Calibri" w:hAnsi="Calibri" w:cs="Calibri"/>
          <w:sz w:val="21"/>
          <w:szCs w:val="21"/>
        </w:rPr>
        <w:t>.  The challenge to the approach is that</w:t>
      </w:r>
      <w:r w:rsidR="003570A2" w:rsidRPr="00FA288E">
        <w:rPr>
          <w:rFonts w:ascii="Calibri" w:hAnsi="Calibri" w:cs="Calibri"/>
          <w:sz w:val="21"/>
          <w:szCs w:val="21"/>
        </w:rPr>
        <w:t xml:space="preserve"> decisions</w:t>
      </w:r>
      <w:r w:rsidRPr="00FA288E">
        <w:rPr>
          <w:rFonts w:ascii="Calibri" w:hAnsi="Calibri" w:cs="Calibri"/>
          <w:sz w:val="21"/>
          <w:szCs w:val="21"/>
        </w:rPr>
        <w:t xml:space="preserve"> should not be driven by resource imperatives and should have adequate time to: 1) be designed in a collaborative manner</w:t>
      </w:r>
      <w:r w:rsidR="003570A2" w:rsidRPr="00FA288E">
        <w:rPr>
          <w:rFonts w:ascii="Calibri" w:hAnsi="Calibri" w:cs="Calibri"/>
          <w:sz w:val="21"/>
          <w:szCs w:val="21"/>
        </w:rPr>
        <w:t xml:space="preserve"> with stakeholders</w:t>
      </w:r>
      <w:r w:rsidRPr="00FA288E">
        <w:rPr>
          <w:rFonts w:ascii="Calibri" w:hAnsi="Calibri" w:cs="Calibri"/>
          <w:sz w:val="21"/>
          <w:szCs w:val="21"/>
        </w:rPr>
        <w:t>; and, 2) allow implementation to be long enough to realise results.</w:t>
      </w:r>
      <w:r w:rsidR="003570A2" w:rsidRPr="00FA288E">
        <w:rPr>
          <w:rStyle w:val="FootnoteReference"/>
          <w:rFonts w:ascii="Calibri" w:hAnsi="Calibri" w:cs="Calibri"/>
          <w:sz w:val="21"/>
          <w:szCs w:val="21"/>
        </w:rPr>
        <w:footnoteReference w:id="72"/>
      </w:r>
    </w:p>
    <w:p w14:paraId="05C7034B" w14:textId="77777777" w:rsidR="00614C93" w:rsidRPr="00FA288E" w:rsidRDefault="00614C93" w:rsidP="003570A2">
      <w:pPr>
        <w:pStyle w:val="Bullets"/>
        <w:numPr>
          <w:ilvl w:val="0"/>
          <w:numId w:val="0"/>
        </w:numPr>
        <w:spacing w:after="80" w:line="240" w:lineRule="auto"/>
        <w:jc w:val="both"/>
        <w:rPr>
          <w:rFonts w:ascii="Calibri" w:hAnsi="Calibri" w:cs="Calibri"/>
          <w:sz w:val="21"/>
          <w:szCs w:val="21"/>
        </w:rPr>
      </w:pPr>
      <w:r w:rsidRPr="00FA288E">
        <w:rPr>
          <w:rFonts w:ascii="Calibri" w:hAnsi="Calibri" w:cs="Calibri"/>
          <w:sz w:val="21"/>
          <w:szCs w:val="21"/>
        </w:rPr>
        <w:t xml:space="preserve">At the project level, it is difficult to ascertain at this stage which </w:t>
      </w:r>
      <w:r w:rsidR="00015AB4" w:rsidRPr="00FA288E">
        <w:rPr>
          <w:rFonts w:ascii="Calibri" w:hAnsi="Calibri" w:cs="Calibri"/>
          <w:sz w:val="21"/>
          <w:szCs w:val="21"/>
        </w:rPr>
        <w:t xml:space="preserve">grantee </w:t>
      </w:r>
      <w:r w:rsidRPr="00FA288E">
        <w:rPr>
          <w:rFonts w:ascii="Calibri" w:hAnsi="Calibri" w:cs="Calibri"/>
          <w:sz w:val="21"/>
          <w:szCs w:val="21"/>
        </w:rPr>
        <w:t xml:space="preserve">approach has been more effective, however, </w:t>
      </w:r>
      <w:r w:rsidR="00015AB4" w:rsidRPr="00FA288E">
        <w:rPr>
          <w:rFonts w:ascii="Calibri" w:hAnsi="Calibri" w:cs="Calibri"/>
          <w:sz w:val="21"/>
          <w:szCs w:val="21"/>
        </w:rPr>
        <w:t>the</w:t>
      </w:r>
      <w:r w:rsidRPr="00FA288E">
        <w:rPr>
          <w:rFonts w:ascii="Calibri" w:hAnsi="Calibri" w:cs="Calibri"/>
          <w:sz w:val="21"/>
          <w:szCs w:val="21"/>
        </w:rPr>
        <w:t xml:space="preserve"> rough c</w:t>
      </w:r>
      <w:r w:rsidR="00015AB4" w:rsidRPr="00FA288E">
        <w:rPr>
          <w:rFonts w:ascii="Calibri" w:hAnsi="Calibri" w:cs="Calibri"/>
          <w:sz w:val="21"/>
          <w:szCs w:val="21"/>
        </w:rPr>
        <w:t>alculation of total grant budgets</w:t>
      </w:r>
      <w:r w:rsidRPr="00FA288E">
        <w:rPr>
          <w:rFonts w:ascii="Calibri" w:hAnsi="Calibri" w:cs="Calibri"/>
          <w:sz w:val="21"/>
          <w:szCs w:val="21"/>
        </w:rPr>
        <w:t xml:space="preserve"> to </w:t>
      </w:r>
      <w:r w:rsidR="00015AB4" w:rsidRPr="00FA288E">
        <w:rPr>
          <w:rFonts w:ascii="Calibri" w:hAnsi="Calibri" w:cs="Calibri"/>
          <w:sz w:val="21"/>
          <w:szCs w:val="21"/>
        </w:rPr>
        <w:t xml:space="preserve">the total </w:t>
      </w:r>
      <w:r w:rsidRPr="00FA288E">
        <w:rPr>
          <w:rFonts w:ascii="Calibri" w:hAnsi="Calibri" w:cs="Calibri"/>
          <w:sz w:val="21"/>
          <w:szCs w:val="21"/>
        </w:rPr>
        <w:t xml:space="preserve">number of targeted beneficiaries </w:t>
      </w:r>
      <w:r w:rsidR="00015AB4" w:rsidRPr="00FA288E">
        <w:rPr>
          <w:rFonts w:ascii="Calibri" w:hAnsi="Calibri" w:cs="Calibri"/>
          <w:sz w:val="21"/>
          <w:szCs w:val="21"/>
        </w:rPr>
        <w:t>suggests</w:t>
      </w:r>
      <w:r w:rsidRPr="00FA288E">
        <w:rPr>
          <w:rFonts w:ascii="Calibri" w:hAnsi="Calibri" w:cs="Calibri"/>
          <w:sz w:val="21"/>
          <w:szCs w:val="21"/>
        </w:rPr>
        <w:t xml:space="preserve"> that </w:t>
      </w:r>
      <w:r w:rsidR="00015AB4" w:rsidRPr="00FA288E">
        <w:rPr>
          <w:rFonts w:ascii="Calibri" w:hAnsi="Calibri" w:cs="Calibri"/>
          <w:sz w:val="21"/>
          <w:szCs w:val="21"/>
        </w:rPr>
        <w:t>the RISE model</w:t>
      </w:r>
      <w:r w:rsidRPr="00FA288E">
        <w:rPr>
          <w:rFonts w:ascii="Calibri" w:hAnsi="Calibri" w:cs="Calibri"/>
          <w:sz w:val="21"/>
          <w:szCs w:val="21"/>
        </w:rPr>
        <w:t xml:space="preserve"> may be more cost-efficient, while </w:t>
      </w:r>
      <w:r w:rsidR="00015AB4" w:rsidRPr="00FA288E">
        <w:rPr>
          <w:rFonts w:ascii="Calibri" w:hAnsi="Calibri" w:cs="Calibri"/>
          <w:sz w:val="21"/>
          <w:szCs w:val="21"/>
        </w:rPr>
        <w:t>the T4E</w:t>
      </w:r>
      <w:r w:rsidRPr="00FA288E">
        <w:rPr>
          <w:rFonts w:ascii="Calibri" w:hAnsi="Calibri" w:cs="Calibri"/>
          <w:sz w:val="21"/>
          <w:szCs w:val="21"/>
        </w:rPr>
        <w:t xml:space="preserve"> may be less cost-efficient – with PKS offering a middle ground (See Section 3.4 for additional discussion on efficiency).</w:t>
      </w:r>
      <w:r w:rsidR="00015AB4" w:rsidRPr="00FA288E">
        <w:rPr>
          <w:rFonts w:ascii="Calibri" w:hAnsi="Calibri" w:cs="Calibri"/>
          <w:sz w:val="21"/>
          <w:szCs w:val="21"/>
        </w:rPr>
        <w:t xml:space="preserve"> Additional investigation is warranted to ascertain a more accurate value-for-money assessment.</w:t>
      </w:r>
    </w:p>
    <w:p w14:paraId="3ED5F9EF" w14:textId="77777777" w:rsidR="00614C93" w:rsidRPr="00FA288E" w:rsidRDefault="00614C93" w:rsidP="003570A2">
      <w:pPr>
        <w:pStyle w:val="Bullets"/>
        <w:numPr>
          <w:ilvl w:val="0"/>
          <w:numId w:val="0"/>
        </w:numPr>
        <w:spacing w:after="80" w:line="240" w:lineRule="auto"/>
        <w:jc w:val="both"/>
        <w:rPr>
          <w:rFonts w:ascii="Calibri" w:hAnsi="Calibri" w:cs="Calibri"/>
          <w:sz w:val="21"/>
          <w:szCs w:val="21"/>
        </w:rPr>
      </w:pPr>
      <w:r w:rsidRPr="00FA288E">
        <w:rPr>
          <w:rFonts w:ascii="Calibri" w:hAnsi="Calibri" w:cs="Calibri"/>
          <w:sz w:val="21"/>
          <w:szCs w:val="21"/>
        </w:rPr>
        <w:t>For specific interventions, while there is commonality in the approaches to train teachers, there are differences in the content and duration of training and the number of teachers</w:t>
      </w:r>
      <w:r w:rsidR="00015AB4" w:rsidRPr="00FA288E">
        <w:rPr>
          <w:rFonts w:ascii="Calibri" w:hAnsi="Calibri" w:cs="Calibri"/>
          <w:sz w:val="21"/>
          <w:szCs w:val="21"/>
        </w:rPr>
        <w:t xml:space="preserve"> that are</w:t>
      </w:r>
      <w:r w:rsidRPr="00FA288E">
        <w:rPr>
          <w:rFonts w:ascii="Calibri" w:hAnsi="Calibri" w:cs="Calibri"/>
          <w:sz w:val="21"/>
          <w:szCs w:val="21"/>
        </w:rPr>
        <w:t xml:space="preserve"> trained in each school</w:t>
      </w:r>
      <w:r w:rsidR="002E29FB" w:rsidRPr="00FA288E">
        <w:rPr>
          <w:rFonts w:ascii="Calibri" w:hAnsi="Calibri" w:cs="Calibri"/>
          <w:sz w:val="21"/>
          <w:szCs w:val="21"/>
        </w:rPr>
        <w:t>.</w:t>
      </w:r>
      <w:r w:rsidRPr="00FA288E">
        <w:rPr>
          <w:rFonts w:ascii="Calibri" w:hAnsi="Calibri" w:cs="Calibri"/>
          <w:sz w:val="21"/>
          <w:szCs w:val="21"/>
        </w:rPr>
        <w:t xml:space="preserve">  </w:t>
      </w:r>
      <w:r w:rsidR="009A19F6" w:rsidRPr="00FA288E">
        <w:rPr>
          <w:rFonts w:ascii="Calibri" w:hAnsi="Calibri" w:cs="Calibri"/>
          <w:sz w:val="21"/>
          <w:szCs w:val="21"/>
        </w:rPr>
        <w:t>W</w:t>
      </w:r>
      <w:r w:rsidRPr="00FA288E">
        <w:rPr>
          <w:rFonts w:ascii="Calibri" w:hAnsi="Calibri" w:cs="Calibri"/>
          <w:sz w:val="21"/>
          <w:szCs w:val="21"/>
        </w:rPr>
        <w:t xml:space="preserve">hich content or duration of training is most effective remains to be determined in the PNG context, however evidence from other countries would suggest that </w:t>
      </w:r>
      <w:r w:rsidR="00015AB4" w:rsidRPr="00FA288E">
        <w:rPr>
          <w:rFonts w:ascii="Calibri" w:hAnsi="Calibri" w:cs="Calibri"/>
          <w:sz w:val="21"/>
          <w:szCs w:val="21"/>
        </w:rPr>
        <w:t xml:space="preserve">the regular </w:t>
      </w:r>
      <w:r w:rsidRPr="00FA288E">
        <w:rPr>
          <w:rFonts w:ascii="Calibri" w:hAnsi="Calibri" w:cs="Calibri"/>
          <w:sz w:val="21"/>
          <w:szCs w:val="21"/>
        </w:rPr>
        <w:t>training all teachers in a school, together with the school head</w:t>
      </w:r>
      <w:r w:rsidR="00155FAA" w:rsidRPr="00FA288E">
        <w:rPr>
          <w:rFonts w:ascii="Calibri" w:hAnsi="Calibri" w:cs="Calibri"/>
          <w:sz w:val="21"/>
          <w:szCs w:val="21"/>
        </w:rPr>
        <w:t>/</w:t>
      </w:r>
      <w:proofErr w:type="spellStart"/>
      <w:r w:rsidR="00155FAA" w:rsidRPr="00FA288E">
        <w:rPr>
          <w:rFonts w:ascii="Calibri" w:hAnsi="Calibri" w:cs="Calibri"/>
          <w:sz w:val="21"/>
          <w:szCs w:val="21"/>
        </w:rPr>
        <w:t>TiC</w:t>
      </w:r>
      <w:proofErr w:type="spellEnd"/>
      <w:r w:rsidRPr="00FA288E">
        <w:rPr>
          <w:rFonts w:ascii="Calibri" w:hAnsi="Calibri" w:cs="Calibri"/>
          <w:sz w:val="21"/>
          <w:szCs w:val="21"/>
        </w:rPr>
        <w:t xml:space="preserve"> and the individual</w:t>
      </w:r>
      <w:r w:rsidR="00015AB4" w:rsidRPr="00FA288E">
        <w:rPr>
          <w:rFonts w:ascii="Calibri" w:hAnsi="Calibri" w:cs="Calibri"/>
          <w:sz w:val="21"/>
          <w:szCs w:val="21"/>
        </w:rPr>
        <w:t>s</w:t>
      </w:r>
      <w:r w:rsidRPr="00FA288E">
        <w:rPr>
          <w:rFonts w:ascii="Calibri" w:hAnsi="Calibri" w:cs="Calibri"/>
          <w:sz w:val="21"/>
          <w:szCs w:val="21"/>
        </w:rPr>
        <w:t xml:space="preserve"> responsible for teacher supervision, is </w:t>
      </w:r>
      <w:r w:rsidR="00155FAA" w:rsidRPr="00FA288E">
        <w:rPr>
          <w:rFonts w:ascii="Calibri" w:hAnsi="Calibri" w:cs="Calibri"/>
          <w:sz w:val="21"/>
          <w:szCs w:val="21"/>
        </w:rPr>
        <w:t xml:space="preserve">more effective than training a single teacher in a school and expecting that teacher to pass on </w:t>
      </w:r>
      <w:r w:rsidR="00015AB4" w:rsidRPr="00FA288E">
        <w:rPr>
          <w:rFonts w:ascii="Calibri" w:hAnsi="Calibri" w:cs="Calibri"/>
          <w:sz w:val="21"/>
          <w:szCs w:val="21"/>
        </w:rPr>
        <w:t xml:space="preserve">their </w:t>
      </w:r>
      <w:r w:rsidR="00155FAA" w:rsidRPr="00FA288E">
        <w:rPr>
          <w:rFonts w:ascii="Calibri" w:hAnsi="Calibri" w:cs="Calibri"/>
          <w:sz w:val="21"/>
          <w:szCs w:val="21"/>
        </w:rPr>
        <w:t>knowledge and</w:t>
      </w:r>
      <w:r w:rsidR="00015AB4" w:rsidRPr="00FA288E">
        <w:rPr>
          <w:rFonts w:ascii="Calibri" w:hAnsi="Calibri" w:cs="Calibri"/>
          <w:sz w:val="21"/>
          <w:szCs w:val="21"/>
        </w:rPr>
        <w:t xml:space="preserve"> develop the </w:t>
      </w:r>
      <w:r w:rsidR="00155FAA" w:rsidRPr="00FA288E">
        <w:rPr>
          <w:rFonts w:ascii="Calibri" w:hAnsi="Calibri" w:cs="Calibri"/>
          <w:sz w:val="21"/>
          <w:szCs w:val="21"/>
        </w:rPr>
        <w:t xml:space="preserve">skills </w:t>
      </w:r>
      <w:r w:rsidR="00015AB4" w:rsidRPr="00FA288E">
        <w:rPr>
          <w:rFonts w:ascii="Calibri" w:hAnsi="Calibri" w:cs="Calibri"/>
          <w:sz w:val="21"/>
          <w:szCs w:val="21"/>
        </w:rPr>
        <w:t>of</w:t>
      </w:r>
      <w:r w:rsidR="00155FAA" w:rsidRPr="00FA288E">
        <w:rPr>
          <w:rFonts w:ascii="Calibri" w:hAnsi="Calibri" w:cs="Calibri"/>
          <w:sz w:val="21"/>
          <w:szCs w:val="21"/>
        </w:rPr>
        <w:t xml:space="preserve"> other teachers in the school</w:t>
      </w:r>
      <w:r w:rsidR="00015AB4" w:rsidRPr="00FA288E">
        <w:rPr>
          <w:rFonts w:ascii="Calibri" w:hAnsi="Calibri" w:cs="Calibri"/>
          <w:sz w:val="21"/>
          <w:szCs w:val="21"/>
        </w:rPr>
        <w:t>. Engaging the school head/</w:t>
      </w:r>
      <w:proofErr w:type="spellStart"/>
      <w:r w:rsidR="00015AB4" w:rsidRPr="00FA288E">
        <w:rPr>
          <w:rFonts w:ascii="Calibri" w:hAnsi="Calibri" w:cs="Calibri"/>
          <w:sz w:val="21"/>
          <w:szCs w:val="21"/>
        </w:rPr>
        <w:t>TiC</w:t>
      </w:r>
      <w:proofErr w:type="spellEnd"/>
      <w:r w:rsidR="00015AB4" w:rsidRPr="00FA288E">
        <w:rPr>
          <w:rFonts w:ascii="Calibri" w:hAnsi="Calibri" w:cs="Calibri"/>
          <w:sz w:val="21"/>
          <w:szCs w:val="21"/>
        </w:rPr>
        <w:t xml:space="preserve"> and supervisor in teacher training increases the </w:t>
      </w:r>
      <w:r w:rsidR="00155FAA" w:rsidRPr="00FA288E">
        <w:rPr>
          <w:rFonts w:ascii="Calibri" w:hAnsi="Calibri" w:cs="Calibri"/>
          <w:sz w:val="21"/>
          <w:szCs w:val="21"/>
        </w:rPr>
        <w:t>understanding and support of the school head/</w:t>
      </w:r>
      <w:proofErr w:type="spellStart"/>
      <w:r w:rsidR="00155FAA" w:rsidRPr="00FA288E">
        <w:rPr>
          <w:rFonts w:ascii="Calibri" w:hAnsi="Calibri" w:cs="Calibri"/>
          <w:sz w:val="21"/>
          <w:szCs w:val="21"/>
        </w:rPr>
        <w:t>TiC</w:t>
      </w:r>
      <w:proofErr w:type="spellEnd"/>
      <w:r w:rsidR="00155FAA" w:rsidRPr="00FA288E">
        <w:rPr>
          <w:rFonts w:ascii="Calibri" w:hAnsi="Calibri" w:cs="Calibri"/>
          <w:sz w:val="21"/>
          <w:szCs w:val="21"/>
        </w:rPr>
        <w:t xml:space="preserve"> or supervisor. PKS </w:t>
      </w:r>
      <w:r w:rsidR="00015AB4" w:rsidRPr="00FA288E">
        <w:rPr>
          <w:rFonts w:ascii="Calibri" w:hAnsi="Calibri" w:cs="Calibri"/>
          <w:sz w:val="21"/>
          <w:szCs w:val="21"/>
        </w:rPr>
        <w:t>is committed</w:t>
      </w:r>
      <w:r w:rsidR="00155FAA" w:rsidRPr="00FA288E">
        <w:rPr>
          <w:rFonts w:ascii="Calibri" w:hAnsi="Calibri" w:cs="Calibri"/>
          <w:sz w:val="21"/>
          <w:szCs w:val="21"/>
        </w:rPr>
        <w:t xml:space="preserve"> to training all teachers in the targeted school</w:t>
      </w:r>
      <w:r w:rsidR="00015AB4" w:rsidRPr="00FA288E">
        <w:rPr>
          <w:rFonts w:ascii="Calibri" w:hAnsi="Calibri" w:cs="Calibri"/>
          <w:sz w:val="21"/>
          <w:szCs w:val="21"/>
        </w:rPr>
        <w:t>s</w:t>
      </w:r>
      <w:r w:rsidR="00155FAA" w:rsidRPr="00FA288E">
        <w:rPr>
          <w:rFonts w:ascii="Calibri" w:hAnsi="Calibri" w:cs="Calibri"/>
          <w:sz w:val="21"/>
          <w:szCs w:val="21"/>
        </w:rPr>
        <w:t xml:space="preserve"> as did T4E in Central Province (due to budget savings).  RISE trained 2 to 3 teachers per school, while T4E in provinces other than Central targeted one teacher per school.</w:t>
      </w:r>
    </w:p>
    <w:p w14:paraId="31E22DAD" w14:textId="77777777" w:rsidR="00614C93" w:rsidRPr="00FA288E" w:rsidRDefault="00614C93" w:rsidP="003570A2">
      <w:pPr>
        <w:pStyle w:val="Bullets"/>
        <w:numPr>
          <w:ilvl w:val="0"/>
          <w:numId w:val="0"/>
        </w:numPr>
        <w:spacing w:after="80" w:line="240" w:lineRule="auto"/>
        <w:jc w:val="both"/>
        <w:rPr>
          <w:rFonts w:ascii="Calibri" w:hAnsi="Calibri" w:cs="Calibri"/>
          <w:sz w:val="21"/>
          <w:szCs w:val="21"/>
        </w:rPr>
      </w:pPr>
      <w:r w:rsidRPr="00FA288E">
        <w:rPr>
          <w:rFonts w:ascii="Calibri" w:hAnsi="Calibri" w:cs="Calibri"/>
          <w:sz w:val="21"/>
          <w:szCs w:val="21"/>
        </w:rPr>
        <w:lastRenderedPageBreak/>
        <w:t xml:space="preserve">The approach to engage </w:t>
      </w:r>
      <w:r w:rsidR="00044F03" w:rsidRPr="00FA288E">
        <w:rPr>
          <w:rFonts w:ascii="Calibri" w:hAnsi="Calibri" w:cs="Calibri"/>
          <w:sz w:val="21"/>
          <w:szCs w:val="21"/>
        </w:rPr>
        <w:t>p</w:t>
      </w:r>
      <w:r w:rsidRPr="00FA288E">
        <w:rPr>
          <w:rFonts w:ascii="Calibri" w:hAnsi="Calibri" w:cs="Calibri"/>
          <w:sz w:val="21"/>
          <w:szCs w:val="21"/>
        </w:rPr>
        <w:t xml:space="preserve">rovincial and </w:t>
      </w:r>
      <w:r w:rsidR="00044F03" w:rsidRPr="00FA288E">
        <w:rPr>
          <w:rFonts w:ascii="Calibri" w:hAnsi="Calibri" w:cs="Calibri"/>
          <w:sz w:val="21"/>
          <w:szCs w:val="21"/>
        </w:rPr>
        <w:t>d</w:t>
      </w:r>
      <w:r w:rsidRPr="00FA288E">
        <w:rPr>
          <w:rFonts w:ascii="Calibri" w:hAnsi="Calibri" w:cs="Calibri"/>
          <w:sz w:val="21"/>
          <w:szCs w:val="21"/>
        </w:rPr>
        <w:t xml:space="preserve">istrict officials in both the training programs and in monitoring the application of the training at the school level is also good practice and can </w:t>
      </w:r>
      <w:r w:rsidR="00044F03" w:rsidRPr="00FA288E">
        <w:rPr>
          <w:rFonts w:ascii="Calibri" w:hAnsi="Calibri" w:cs="Calibri"/>
          <w:sz w:val="21"/>
          <w:szCs w:val="21"/>
        </w:rPr>
        <w:t xml:space="preserve">also serve to </w:t>
      </w:r>
      <w:r w:rsidRPr="00FA288E">
        <w:rPr>
          <w:rFonts w:ascii="Calibri" w:hAnsi="Calibri" w:cs="Calibri"/>
          <w:sz w:val="21"/>
          <w:szCs w:val="21"/>
        </w:rPr>
        <w:t>build the abilities of th</w:t>
      </w:r>
      <w:r w:rsidR="00AB3E2A" w:rsidRPr="00FA288E">
        <w:rPr>
          <w:rFonts w:ascii="Calibri" w:hAnsi="Calibri" w:cs="Calibri"/>
          <w:sz w:val="21"/>
          <w:szCs w:val="21"/>
        </w:rPr>
        <w:t>ose involved</w:t>
      </w:r>
      <w:r w:rsidRPr="00FA288E">
        <w:rPr>
          <w:rFonts w:ascii="Calibri" w:hAnsi="Calibri" w:cs="Calibri"/>
          <w:sz w:val="21"/>
          <w:szCs w:val="21"/>
        </w:rPr>
        <w:t>.</w:t>
      </w:r>
      <w:r w:rsidR="002E29FB" w:rsidRPr="00FA288E">
        <w:rPr>
          <w:rFonts w:ascii="Calibri" w:hAnsi="Calibri" w:cs="Calibri"/>
          <w:sz w:val="21"/>
          <w:szCs w:val="21"/>
        </w:rPr>
        <w:t xml:space="preserve"> While all three projects engage officials in training programs and monitoring, PKS demonstrate</w:t>
      </w:r>
      <w:r w:rsidR="00AB3E2A" w:rsidRPr="00FA288E">
        <w:rPr>
          <w:rFonts w:ascii="Calibri" w:hAnsi="Calibri" w:cs="Calibri"/>
          <w:sz w:val="21"/>
          <w:szCs w:val="21"/>
        </w:rPr>
        <w:t>s</w:t>
      </w:r>
      <w:r w:rsidR="002E29FB" w:rsidRPr="00FA288E">
        <w:rPr>
          <w:rFonts w:ascii="Calibri" w:hAnsi="Calibri" w:cs="Calibri"/>
          <w:sz w:val="21"/>
          <w:szCs w:val="21"/>
        </w:rPr>
        <w:t xml:space="preserve"> greater engagement of district and provincial officials.</w:t>
      </w:r>
    </w:p>
    <w:p w14:paraId="4CFF163F" w14:textId="77777777" w:rsidR="00C8064F" w:rsidRPr="00FA288E" w:rsidRDefault="00614C93" w:rsidP="00044F03">
      <w:pPr>
        <w:pStyle w:val="Bullets"/>
        <w:numPr>
          <w:ilvl w:val="0"/>
          <w:numId w:val="0"/>
        </w:numPr>
        <w:spacing w:after="80" w:line="240" w:lineRule="auto"/>
        <w:jc w:val="both"/>
        <w:rPr>
          <w:rFonts w:ascii="Calibri" w:hAnsi="Calibri" w:cs="Calibri"/>
          <w:sz w:val="21"/>
          <w:szCs w:val="21"/>
        </w:rPr>
      </w:pPr>
      <w:r w:rsidRPr="00FA288E">
        <w:rPr>
          <w:rFonts w:ascii="Calibri" w:hAnsi="Calibri" w:cs="Calibri"/>
          <w:sz w:val="21"/>
          <w:szCs w:val="21"/>
        </w:rPr>
        <w:t>In a low resource environment, the sustainability of providing numerous teaching and learning resources is limited and raises expectations that th</w:t>
      </w:r>
      <w:r w:rsidR="00155FAA" w:rsidRPr="00FA288E">
        <w:rPr>
          <w:rFonts w:ascii="Calibri" w:hAnsi="Calibri" w:cs="Calibri"/>
          <w:sz w:val="21"/>
          <w:szCs w:val="21"/>
        </w:rPr>
        <w:t>e</w:t>
      </w:r>
      <w:r w:rsidRPr="00FA288E">
        <w:rPr>
          <w:rFonts w:ascii="Calibri" w:hAnsi="Calibri" w:cs="Calibri"/>
          <w:sz w:val="21"/>
          <w:szCs w:val="21"/>
        </w:rPr>
        <w:t xml:space="preserve"> same level of resource provision will be available in the future and to non-intervention schools in the same district. PKS has made a conscious decision to limit the provision of large numbers of print-based teaching and learning materials, instead experimenting with the provision of S</w:t>
      </w:r>
      <w:r w:rsidR="00FD2EFC" w:rsidRPr="00FA288E">
        <w:rPr>
          <w:rFonts w:ascii="Calibri" w:hAnsi="Calibri" w:cs="Calibri"/>
          <w:sz w:val="21"/>
          <w:szCs w:val="21"/>
        </w:rPr>
        <w:t xml:space="preserve">ecure </w:t>
      </w:r>
      <w:r w:rsidRPr="00FA288E">
        <w:rPr>
          <w:rFonts w:ascii="Calibri" w:hAnsi="Calibri" w:cs="Calibri"/>
          <w:sz w:val="21"/>
          <w:szCs w:val="21"/>
        </w:rPr>
        <w:t>D</w:t>
      </w:r>
      <w:r w:rsidR="00FD2EFC" w:rsidRPr="00FA288E">
        <w:rPr>
          <w:rFonts w:ascii="Calibri" w:hAnsi="Calibri" w:cs="Calibri"/>
          <w:sz w:val="21"/>
          <w:szCs w:val="21"/>
        </w:rPr>
        <w:t>igital (SD)</w:t>
      </w:r>
      <w:r w:rsidRPr="00FA288E">
        <w:rPr>
          <w:rFonts w:ascii="Calibri" w:hAnsi="Calibri" w:cs="Calibri"/>
          <w:sz w:val="21"/>
          <w:szCs w:val="21"/>
        </w:rPr>
        <w:t xml:space="preserve"> cards for teachers (with teacher’s guides, stories, songs and teaching videos), and </w:t>
      </w:r>
      <w:r w:rsidR="00155FAA" w:rsidRPr="00FA288E">
        <w:rPr>
          <w:rFonts w:ascii="Calibri" w:hAnsi="Calibri" w:cs="Calibri"/>
          <w:sz w:val="21"/>
          <w:szCs w:val="21"/>
        </w:rPr>
        <w:t xml:space="preserve">proposed future </w:t>
      </w:r>
      <w:r w:rsidRPr="00FA288E">
        <w:rPr>
          <w:rFonts w:ascii="Calibri" w:hAnsi="Calibri" w:cs="Calibri"/>
          <w:sz w:val="21"/>
          <w:szCs w:val="21"/>
        </w:rPr>
        <w:t xml:space="preserve">access to </w:t>
      </w:r>
      <w:r w:rsidR="00042FF0" w:rsidRPr="00FA288E">
        <w:rPr>
          <w:rFonts w:ascii="Calibri" w:hAnsi="Calibri" w:cs="Calibri"/>
          <w:sz w:val="21"/>
          <w:szCs w:val="21"/>
        </w:rPr>
        <w:t xml:space="preserve">teaching and learning </w:t>
      </w:r>
      <w:r w:rsidRPr="00FA288E">
        <w:rPr>
          <w:rFonts w:ascii="Calibri" w:hAnsi="Calibri" w:cs="Calibri"/>
          <w:sz w:val="21"/>
          <w:szCs w:val="21"/>
        </w:rPr>
        <w:t xml:space="preserve">resources through the </w:t>
      </w:r>
      <w:r w:rsidR="00155FAA" w:rsidRPr="00FA288E">
        <w:rPr>
          <w:rFonts w:ascii="Calibri" w:hAnsi="Calibri" w:cs="Calibri"/>
          <w:sz w:val="21"/>
          <w:szCs w:val="21"/>
        </w:rPr>
        <w:t>development of the</w:t>
      </w:r>
      <w:r w:rsidRPr="00FA288E">
        <w:rPr>
          <w:rFonts w:ascii="Calibri" w:hAnsi="Calibri" w:cs="Calibri"/>
          <w:sz w:val="21"/>
          <w:szCs w:val="21"/>
        </w:rPr>
        <w:t xml:space="preserve"> Knowledge Hub. </w:t>
      </w:r>
      <w:r w:rsidR="003B7F77" w:rsidRPr="00FA288E">
        <w:rPr>
          <w:rFonts w:ascii="Calibri" w:hAnsi="Calibri" w:cs="Calibri"/>
          <w:sz w:val="21"/>
          <w:szCs w:val="21"/>
        </w:rPr>
        <w:t>T</w:t>
      </w:r>
      <w:r w:rsidR="00155FAA" w:rsidRPr="00FA288E">
        <w:rPr>
          <w:rFonts w:ascii="Calibri" w:hAnsi="Calibri" w:cs="Calibri"/>
          <w:sz w:val="21"/>
          <w:szCs w:val="21"/>
        </w:rPr>
        <w:t xml:space="preserve">he review team was not able to interview </w:t>
      </w:r>
      <w:r w:rsidR="003B7F77" w:rsidRPr="00FA288E">
        <w:rPr>
          <w:rFonts w:ascii="Calibri" w:hAnsi="Calibri" w:cs="Calibri"/>
          <w:sz w:val="21"/>
          <w:szCs w:val="21"/>
        </w:rPr>
        <w:t>teachers</w:t>
      </w:r>
      <w:r w:rsidR="00196B3F" w:rsidRPr="00FA288E">
        <w:rPr>
          <w:rFonts w:ascii="Calibri" w:hAnsi="Calibri" w:cs="Calibri"/>
          <w:sz w:val="21"/>
          <w:szCs w:val="21"/>
        </w:rPr>
        <w:t xml:space="preserve"> </w:t>
      </w:r>
      <w:r w:rsidR="00155FAA" w:rsidRPr="00FA288E">
        <w:rPr>
          <w:rFonts w:ascii="Calibri" w:hAnsi="Calibri" w:cs="Calibri"/>
          <w:sz w:val="21"/>
          <w:szCs w:val="21"/>
        </w:rPr>
        <w:t xml:space="preserve">who had received the SD card to investigate </w:t>
      </w:r>
      <w:r w:rsidR="00E73341" w:rsidRPr="00FA288E">
        <w:rPr>
          <w:rFonts w:ascii="Calibri" w:hAnsi="Calibri" w:cs="Calibri"/>
          <w:sz w:val="21"/>
          <w:szCs w:val="21"/>
        </w:rPr>
        <w:t xml:space="preserve">type, application and frequency of </w:t>
      </w:r>
      <w:r w:rsidR="00155FAA" w:rsidRPr="00FA288E">
        <w:rPr>
          <w:rFonts w:ascii="Calibri" w:hAnsi="Calibri" w:cs="Calibri"/>
          <w:sz w:val="21"/>
          <w:szCs w:val="21"/>
        </w:rPr>
        <w:t>us</w:t>
      </w:r>
      <w:r w:rsidR="00E73341" w:rsidRPr="00FA288E">
        <w:rPr>
          <w:rFonts w:ascii="Calibri" w:hAnsi="Calibri" w:cs="Calibri"/>
          <w:sz w:val="21"/>
          <w:szCs w:val="21"/>
        </w:rPr>
        <w:t>e</w:t>
      </w:r>
      <w:r w:rsidR="003B7F77" w:rsidRPr="00FA288E">
        <w:rPr>
          <w:rFonts w:ascii="Calibri" w:hAnsi="Calibri" w:cs="Calibri"/>
          <w:sz w:val="21"/>
          <w:szCs w:val="21"/>
        </w:rPr>
        <w:t>. W</w:t>
      </w:r>
      <w:r w:rsidR="00E73341" w:rsidRPr="00FA288E">
        <w:rPr>
          <w:rFonts w:ascii="Calibri" w:hAnsi="Calibri" w:cs="Calibri"/>
          <w:sz w:val="21"/>
          <w:szCs w:val="21"/>
        </w:rPr>
        <w:t xml:space="preserve">ith appropriate training and support </w:t>
      </w:r>
      <w:r w:rsidR="00155FAA" w:rsidRPr="00FA288E">
        <w:rPr>
          <w:rFonts w:ascii="Calibri" w:hAnsi="Calibri" w:cs="Calibri"/>
          <w:sz w:val="21"/>
          <w:szCs w:val="21"/>
        </w:rPr>
        <w:t xml:space="preserve">this technology holds </w:t>
      </w:r>
      <w:r w:rsidR="00E73341" w:rsidRPr="00FA288E">
        <w:rPr>
          <w:rFonts w:ascii="Calibri" w:hAnsi="Calibri" w:cs="Calibri"/>
          <w:sz w:val="21"/>
          <w:szCs w:val="21"/>
        </w:rPr>
        <w:t xml:space="preserve">some </w:t>
      </w:r>
      <w:r w:rsidR="00155FAA" w:rsidRPr="00FA288E">
        <w:rPr>
          <w:rFonts w:ascii="Calibri" w:hAnsi="Calibri" w:cs="Calibri"/>
          <w:sz w:val="21"/>
          <w:szCs w:val="21"/>
        </w:rPr>
        <w:t>promise as the reach and functionalities of mobile phones improve</w:t>
      </w:r>
      <w:r w:rsidR="00042FF0" w:rsidRPr="00FA288E">
        <w:rPr>
          <w:rFonts w:ascii="Calibri" w:hAnsi="Calibri" w:cs="Calibri"/>
          <w:sz w:val="21"/>
          <w:szCs w:val="21"/>
        </w:rPr>
        <w:t xml:space="preserve"> in PNG</w:t>
      </w:r>
      <w:r w:rsidR="00155FAA" w:rsidRPr="00FA288E">
        <w:rPr>
          <w:rFonts w:ascii="Calibri" w:hAnsi="Calibri" w:cs="Calibri"/>
          <w:sz w:val="21"/>
          <w:szCs w:val="21"/>
        </w:rPr>
        <w:t>.</w:t>
      </w:r>
    </w:p>
    <w:p w14:paraId="710544E7" w14:textId="77777777" w:rsidR="00614C93" w:rsidRPr="00FA288E" w:rsidRDefault="00CF06C8" w:rsidP="003570A2">
      <w:pPr>
        <w:pStyle w:val="Bullets"/>
        <w:numPr>
          <w:ilvl w:val="0"/>
          <w:numId w:val="0"/>
        </w:numPr>
        <w:spacing w:after="80" w:line="240" w:lineRule="auto"/>
        <w:rPr>
          <w:sz w:val="24"/>
          <w:szCs w:val="24"/>
        </w:rPr>
      </w:pPr>
      <w:r w:rsidRPr="00FA288E">
        <w:rPr>
          <w:sz w:val="24"/>
          <w:szCs w:val="24"/>
        </w:rPr>
        <w:t xml:space="preserve">3.6.2 </w:t>
      </w:r>
      <w:r w:rsidR="00614C93" w:rsidRPr="00FA288E">
        <w:rPr>
          <w:sz w:val="24"/>
          <w:szCs w:val="24"/>
        </w:rPr>
        <w:t xml:space="preserve">Specific suggestions for adapting and adjusting </w:t>
      </w:r>
      <w:r w:rsidR="00907C7B" w:rsidRPr="00FA288E">
        <w:rPr>
          <w:sz w:val="24"/>
          <w:szCs w:val="24"/>
        </w:rPr>
        <w:t xml:space="preserve">project </w:t>
      </w:r>
      <w:r w:rsidR="00614C93" w:rsidRPr="00FA288E">
        <w:rPr>
          <w:sz w:val="24"/>
          <w:szCs w:val="24"/>
        </w:rPr>
        <w:t xml:space="preserve">approaches </w:t>
      </w:r>
    </w:p>
    <w:p w14:paraId="72313FD6" w14:textId="77777777" w:rsidR="00C8064F" w:rsidRPr="00FA288E" w:rsidRDefault="00614C93" w:rsidP="003570A2">
      <w:pPr>
        <w:pStyle w:val="Bullets"/>
        <w:numPr>
          <w:ilvl w:val="0"/>
          <w:numId w:val="0"/>
        </w:numPr>
        <w:spacing w:after="80" w:line="240" w:lineRule="auto"/>
        <w:jc w:val="both"/>
        <w:rPr>
          <w:rFonts w:ascii="Calibri" w:hAnsi="Calibri" w:cs="Calibri"/>
          <w:sz w:val="21"/>
          <w:szCs w:val="21"/>
        </w:rPr>
      </w:pPr>
      <w:r w:rsidRPr="00FA288E">
        <w:rPr>
          <w:rFonts w:ascii="Calibri" w:hAnsi="Calibri" w:cs="Calibri"/>
          <w:sz w:val="21"/>
          <w:szCs w:val="21"/>
        </w:rPr>
        <w:t>While</w:t>
      </w:r>
      <w:r w:rsidR="002767D9" w:rsidRPr="00FA288E">
        <w:rPr>
          <w:rFonts w:ascii="Calibri" w:hAnsi="Calibri" w:cs="Calibri"/>
          <w:sz w:val="21"/>
          <w:szCs w:val="21"/>
        </w:rPr>
        <w:t xml:space="preserve"> </w:t>
      </w:r>
      <w:r w:rsidRPr="00FA288E">
        <w:rPr>
          <w:rFonts w:ascii="Calibri" w:hAnsi="Calibri" w:cs="Calibri"/>
          <w:sz w:val="21"/>
          <w:szCs w:val="21"/>
        </w:rPr>
        <w:t>early to determine overall effectiveness of current approaches</w:t>
      </w:r>
      <w:r w:rsidR="00907C7B" w:rsidRPr="00FA288E">
        <w:rPr>
          <w:rFonts w:ascii="Calibri" w:hAnsi="Calibri" w:cs="Calibri"/>
          <w:sz w:val="21"/>
          <w:szCs w:val="21"/>
        </w:rPr>
        <w:t xml:space="preserve"> of the projects</w:t>
      </w:r>
      <w:r w:rsidRPr="00FA288E">
        <w:rPr>
          <w:rFonts w:ascii="Calibri" w:hAnsi="Calibri" w:cs="Calibri"/>
          <w:sz w:val="21"/>
          <w:szCs w:val="21"/>
        </w:rPr>
        <w:t>, the following suggestions for adapting/adjusting may be considered:</w:t>
      </w:r>
    </w:p>
    <w:p w14:paraId="666AE090" w14:textId="77777777" w:rsidR="008978C8" w:rsidRPr="00FA288E" w:rsidRDefault="00614C93" w:rsidP="000C1E22">
      <w:pPr>
        <w:pStyle w:val="ListParagraph"/>
        <w:numPr>
          <w:ilvl w:val="0"/>
          <w:numId w:val="21"/>
        </w:numPr>
        <w:spacing w:after="80" w:line="240" w:lineRule="auto"/>
        <w:ind w:left="540"/>
        <w:jc w:val="both"/>
        <w:rPr>
          <w:rFonts w:eastAsia="Calibri" w:cs="Calibri"/>
          <w:iCs/>
          <w:szCs w:val="21"/>
          <w:lang w:val="en-AU"/>
        </w:rPr>
      </w:pPr>
      <w:r w:rsidRPr="00FA288E">
        <w:rPr>
          <w:rFonts w:ascii="Calibri" w:eastAsia="Calibri" w:hAnsi="Calibri" w:cs="Calibri"/>
          <w:iCs/>
          <w:sz w:val="21"/>
          <w:szCs w:val="21"/>
          <w:lang w:val="en-AU"/>
        </w:rPr>
        <w:t>Teaching and learning at the school level</w:t>
      </w:r>
    </w:p>
    <w:p w14:paraId="2D35DCD7" w14:textId="77777777" w:rsidR="00614C93" w:rsidRPr="00FA288E" w:rsidRDefault="00614C93" w:rsidP="005C700B">
      <w:pPr>
        <w:pStyle w:val="Bullets"/>
        <w:numPr>
          <w:ilvl w:val="0"/>
          <w:numId w:val="33"/>
        </w:numPr>
        <w:spacing w:after="0" w:line="240" w:lineRule="auto"/>
        <w:ind w:left="900" w:hanging="270"/>
        <w:jc w:val="both"/>
        <w:rPr>
          <w:rFonts w:ascii="Calibri" w:hAnsi="Calibri" w:cs="Calibri"/>
          <w:sz w:val="21"/>
          <w:szCs w:val="21"/>
        </w:rPr>
      </w:pPr>
      <w:r w:rsidRPr="00FA288E">
        <w:rPr>
          <w:rFonts w:ascii="Calibri" w:hAnsi="Calibri" w:cs="Calibri"/>
          <w:sz w:val="21"/>
          <w:szCs w:val="21"/>
        </w:rPr>
        <w:t>Train all teachers</w:t>
      </w:r>
      <w:r w:rsidR="00E12ED9" w:rsidRPr="00FA288E">
        <w:rPr>
          <w:rFonts w:ascii="Calibri" w:hAnsi="Calibri" w:cs="Calibri"/>
          <w:sz w:val="21"/>
          <w:szCs w:val="21"/>
        </w:rPr>
        <w:t xml:space="preserve"> as well as </w:t>
      </w:r>
      <w:r w:rsidRPr="00FA288E">
        <w:rPr>
          <w:rFonts w:ascii="Calibri" w:hAnsi="Calibri" w:cs="Calibri"/>
          <w:sz w:val="21"/>
          <w:szCs w:val="21"/>
        </w:rPr>
        <w:t xml:space="preserve">the head teacher/teacher-in-charge </w:t>
      </w:r>
      <w:r w:rsidR="00E12ED9" w:rsidRPr="00FA288E">
        <w:rPr>
          <w:rFonts w:ascii="Calibri" w:hAnsi="Calibri" w:cs="Calibri"/>
          <w:sz w:val="21"/>
          <w:szCs w:val="21"/>
        </w:rPr>
        <w:t xml:space="preserve">in a school </w:t>
      </w:r>
      <w:r w:rsidRPr="00FA288E">
        <w:rPr>
          <w:rFonts w:ascii="Calibri" w:hAnsi="Calibri" w:cs="Calibri"/>
          <w:sz w:val="21"/>
          <w:szCs w:val="21"/>
        </w:rPr>
        <w:t>to ensure that there is a shared understanding and mutual support for the change that is required</w:t>
      </w:r>
      <w:r w:rsidR="00E12ED9" w:rsidRPr="00FA288E">
        <w:rPr>
          <w:rFonts w:ascii="Calibri" w:hAnsi="Calibri" w:cs="Calibri"/>
          <w:sz w:val="21"/>
          <w:szCs w:val="21"/>
        </w:rPr>
        <w:t xml:space="preserve">.  Supervisors should also be aware of and understand the </w:t>
      </w:r>
      <w:r w:rsidR="000C1E22" w:rsidRPr="00FA288E">
        <w:rPr>
          <w:rFonts w:ascii="Calibri" w:hAnsi="Calibri" w:cs="Calibri"/>
          <w:sz w:val="21"/>
          <w:szCs w:val="21"/>
        </w:rPr>
        <w:t>training program to be able to provide appropriate supervision and support</w:t>
      </w:r>
    </w:p>
    <w:p w14:paraId="0665E67F" w14:textId="77777777" w:rsidR="00614C93" w:rsidRPr="00FA288E" w:rsidRDefault="00614C93" w:rsidP="005C700B">
      <w:pPr>
        <w:pStyle w:val="Bullets"/>
        <w:numPr>
          <w:ilvl w:val="0"/>
          <w:numId w:val="33"/>
        </w:numPr>
        <w:spacing w:after="0" w:line="240" w:lineRule="auto"/>
        <w:ind w:left="900" w:hanging="270"/>
        <w:jc w:val="both"/>
        <w:rPr>
          <w:rFonts w:ascii="Calibri" w:hAnsi="Calibri" w:cs="Calibri"/>
          <w:sz w:val="21"/>
          <w:szCs w:val="21"/>
        </w:rPr>
      </w:pPr>
      <w:r w:rsidRPr="00FA288E">
        <w:rPr>
          <w:rFonts w:ascii="Calibri" w:hAnsi="Calibri" w:cs="Calibri"/>
          <w:sz w:val="21"/>
          <w:szCs w:val="21"/>
        </w:rPr>
        <w:t xml:space="preserve">Encourage the ‘best’ teachers to be assigned in the early grades – this is particularly important as the system shifts to a 1-6-6 structure.  A child is more likely to ‘survive’ a poor teacher in later grade levels if they have a good </w:t>
      </w:r>
      <w:r w:rsidR="000C1E22" w:rsidRPr="00FA288E">
        <w:rPr>
          <w:rFonts w:ascii="Calibri" w:hAnsi="Calibri" w:cs="Calibri"/>
          <w:sz w:val="21"/>
          <w:szCs w:val="21"/>
        </w:rPr>
        <w:t xml:space="preserve">educational </w:t>
      </w:r>
      <w:r w:rsidRPr="00FA288E">
        <w:rPr>
          <w:rFonts w:ascii="Calibri" w:hAnsi="Calibri" w:cs="Calibri"/>
          <w:sz w:val="21"/>
          <w:szCs w:val="21"/>
        </w:rPr>
        <w:t xml:space="preserve">foundation </w:t>
      </w:r>
      <w:r w:rsidR="00155FAA" w:rsidRPr="00FA288E">
        <w:rPr>
          <w:rFonts w:ascii="Calibri" w:hAnsi="Calibri" w:cs="Calibri"/>
          <w:sz w:val="21"/>
          <w:szCs w:val="21"/>
        </w:rPr>
        <w:t xml:space="preserve">developed during </w:t>
      </w:r>
      <w:r w:rsidRPr="00FA288E">
        <w:rPr>
          <w:rFonts w:ascii="Calibri" w:hAnsi="Calibri" w:cs="Calibri"/>
          <w:sz w:val="21"/>
          <w:szCs w:val="21"/>
        </w:rPr>
        <w:t>the early grades</w:t>
      </w:r>
    </w:p>
    <w:p w14:paraId="0E484711" w14:textId="7368E23C" w:rsidR="00E12ED9" w:rsidRPr="00FA288E" w:rsidRDefault="00E12ED9" w:rsidP="005C700B">
      <w:pPr>
        <w:pStyle w:val="Bullets"/>
        <w:numPr>
          <w:ilvl w:val="0"/>
          <w:numId w:val="33"/>
        </w:numPr>
        <w:spacing w:after="0" w:line="240" w:lineRule="auto"/>
        <w:ind w:left="900" w:hanging="270"/>
        <w:jc w:val="both"/>
        <w:rPr>
          <w:rFonts w:ascii="Calibri" w:hAnsi="Calibri" w:cs="Calibri"/>
          <w:sz w:val="21"/>
          <w:szCs w:val="21"/>
        </w:rPr>
      </w:pPr>
      <w:r w:rsidRPr="00FA288E">
        <w:rPr>
          <w:rFonts w:ascii="Calibri" w:hAnsi="Calibri" w:cs="Calibri"/>
          <w:sz w:val="21"/>
          <w:szCs w:val="21"/>
        </w:rPr>
        <w:t>Consider supporting classroom and school-based research to develop awareness and understanding of early language learning to inform strategies to support learning English in communities that use languages other than English</w:t>
      </w:r>
      <w:r w:rsidRPr="00FA288E">
        <w:rPr>
          <w:rStyle w:val="FootnoteReference"/>
          <w:rFonts w:ascii="Calibri" w:hAnsi="Calibri" w:cs="Calibri"/>
          <w:sz w:val="21"/>
          <w:szCs w:val="21"/>
        </w:rPr>
        <w:footnoteReference w:id="73"/>
      </w:r>
    </w:p>
    <w:p w14:paraId="05DB221C" w14:textId="77777777" w:rsidR="00E12ED9" w:rsidRPr="00FA288E" w:rsidRDefault="00614C93" w:rsidP="005C700B">
      <w:pPr>
        <w:pStyle w:val="Bullets"/>
        <w:numPr>
          <w:ilvl w:val="0"/>
          <w:numId w:val="33"/>
        </w:numPr>
        <w:spacing w:after="0" w:line="240" w:lineRule="auto"/>
        <w:ind w:left="900" w:hanging="270"/>
        <w:jc w:val="both"/>
        <w:rPr>
          <w:rFonts w:ascii="Calibri" w:hAnsi="Calibri" w:cs="Calibri"/>
          <w:sz w:val="21"/>
          <w:szCs w:val="21"/>
        </w:rPr>
      </w:pPr>
      <w:r w:rsidRPr="00FA288E">
        <w:rPr>
          <w:rFonts w:ascii="Calibri" w:hAnsi="Calibri" w:cs="Calibri"/>
          <w:sz w:val="21"/>
          <w:szCs w:val="21"/>
        </w:rPr>
        <w:t xml:space="preserve">Seek ways to influence/adjust the school timetable to allow dedicated time for reading – preferably in the morning </w:t>
      </w:r>
      <w:r w:rsidR="00E12ED9" w:rsidRPr="00FA288E">
        <w:rPr>
          <w:rFonts w:ascii="Calibri" w:hAnsi="Calibri" w:cs="Calibri"/>
          <w:sz w:val="21"/>
          <w:szCs w:val="21"/>
        </w:rPr>
        <w:t>when children are more alert and likely to learn</w:t>
      </w:r>
    </w:p>
    <w:p w14:paraId="42B831DC" w14:textId="77777777" w:rsidR="00614C93" w:rsidRPr="00FA288E" w:rsidRDefault="00614C93" w:rsidP="005C700B">
      <w:pPr>
        <w:pStyle w:val="Bullets"/>
        <w:numPr>
          <w:ilvl w:val="0"/>
          <w:numId w:val="33"/>
        </w:numPr>
        <w:spacing w:after="80" w:line="240" w:lineRule="auto"/>
        <w:ind w:left="908" w:hanging="274"/>
        <w:jc w:val="both"/>
        <w:rPr>
          <w:rFonts w:ascii="Calibri" w:hAnsi="Calibri" w:cs="Calibri"/>
          <w:sz w:val="21"/>
          <w:szCs w:val="21"/>
        </w:rPr>
      </w:pPr>
      <w:r w:rsidRPr="00FA288E">
        <w:rPr>
          <w:rFonts w:ascii="Calibri" w:hAnsi="Calibri" w:cs="Calibri"/>
          <w:sz w:val="21"/>
          <w:szCs w:val="21"/>
        </w:rPr>
        <w:t xml:space="preserve">Seek ways to strengthen peer coaching and support – </w:t>
      </w:r>
      <w:r w:rsidR="000C1E22" w:rsidRPr="00FA288E">
        <w:rPr>
          <w:rFonts w:ascii="Calibri" w:hAnsi="Calibri" w:cs="Calibri"/>
          <w:sz w:val="21"/>
          <w:szCs w:val="21"/>
        </w:rPr>
        <w:t xml:space="preserve">including </w:t>
      </w:r>
      <w:r w:rsidRPr="00FA288E">
        <w:rPr>
          <w:rFonts w:ascii="Calibri" w:hAnsi="Calibri" w:cs="Calibri"/>
          <w:sz w:val="21"/>
          <w:szCs w:val="21"/>
        </w:rPr>
        <w:t>redesign</w:t>
      </w:r>
      <w:r w:rsidR="000C1E22" w:rsidRPr="00FA288E">
        <w:rPr>
          <w:rFonts w:ascii="Calibri" w:hAnsi="Calibri" w:cs="Calibri"/>
          <w:sz w:val="21"/>
          <w:szCs w:val="21"/>
        </w:rPr>
        <w:t xml:space="preserve"> of</w:t>
      </w:r>
      <w:r w:rsidRPr="00FA288E">
        <w:rPr>
          <w:rFonts w:ascii="Calibri" w:hAnsi="Calibri" w:cs="Calibri"/>
          <w:sz w:val="21"/>
          <w:szCs w:val="21"/>
        </w:rPr>
        <w:t xml:space="preserve"> the Resource Teacher concept and supporting further trialling and adaptation of the Peer Learning Circles</w:t>
      </w:r>
      <w:r w:rsidR="000C1E22" w:rsidRPr="00FA288E">
        <w:rPr>
          <w:rFonts w:ascii="Calibri" w:hAnsi="Calibri" w:cs="Calibri"/>
          <w:sz w:val="21"/>
          <w:szCs w:val="21"/>
        </w:rPr>
        <w:t xml:space="preserve"> concept</w:t>
      </w:r>
    </w:p>
    <w:p w14:paraId="2F5DACC6" w14:textId="77777777" w:rsidR="008978C8" w:rsidRPr="00FA288E" w:rsidRDefault="00614C93" w:rsidP="000C1E22">
      <w:pPr>
        <w:pStyle w:val="ListParagraph"/>
        <w:numPr>
          <w:ilvl w:val="0"/>
          <w:numId w:val="21"/>
        </w:numPr>
        <w:spacing w:after="80" w:line="240" w:lineRule="auto"/>
        <w:ind w:left="540"/>
        <w:jc w:val="both"/>
        <w:rPr>
          <w:rFonts w:eastAsia="Calibri" w:cs="Calibri"/>
          <w:iCs/>
          <w:szCs w:val="21"/>
          <w:lang w:val="en-AU"/>
        </w:rPr>
      </w:pPr>
      <w:r w:rsidRPr="00FA288E">
        <w:rPr>
          <w:rFonts w:ascii="Calibri" w:eastAsia="Calibri" w:hAnsi="Calibri" w:cs="Calibri"/>
          <w:iCs/>
          <w:sz w:val="21"/>
          <w:szCs w:val="21"/>
          <w:lang w:val="en-AU"/>
        </w:rPr>
        <w:t>E-learning approaches</w:t>
      </w:r>
    </w:p>
    <w:p w14:paraId="37B9F854" w14:textId="77777777" w:rsidR="00614C93" w:rsidRPr="00FA288E" w:rsidRDefault="00614C93" w:rsidP="005C700B">
      <w:pPr>
        <w:pStyle w:val="Bullets"/>
        <w:numPr>
          <w:ilvl w:val="0"/>
          <w:numId w:val="33"/>
        </w:numPr>
        <w:spacing w:after="0" w:line="240" w:lineRule="auto"/>
        <w:ind w:left="900" w:hanging="270"/>
        <w:jc w:val="both"/>
        <w:rPr>
          <w:rFonts w:ascii="Calibri" w:hAnsi="Calibri" w:cs="Calibri"/>
          <w:sz w:val="21"/>
          <w:szCs w:val="21"/>
        </w:rPr>
      </w:pPr>
      <w:r w:rsidRPr="00FA288E">
        <w:rPr>
          <w:rFonts w:ascii="Calibri" w:hAnsi="Calibri" w:cs="Calibri"/>
          <w:sz w:val="21"/>
          <w:szCs w:val="21"/>
        </w:rPr>
        <w:t xml:space="preserve">Provide additional support to teachers so that they are familiar with and not reluctant to operate and </w:t>
      </w:r>
      <w:r w:rsidR="003F5ABF" w:rsidRPr="00FA288E">
        <w:rPr>
          <w:rFonts w:ascii="Calibri" w:hAnsi="Calibri" w:cs="Calibri"/>
          <w:sz w:val="21"/>
          <w:szCs w:val="21"/>
        </w:rPr>
        <w:t xml:space="preserve">use </w:t>
      </w:r>
      <w:r w:rsidRPr="00FA288E">
        <w:rPr>
          <w:rFonts w:ascii="Calibri" w:hAnsi="Calibri" w:cs="Calibri"/>
          <w:sz w:val="21"/>
          <w:szCs w:val="21"/>
        </w:rPr>
        <w:t>the technologies</w:t>
      </w:r>
    </w:p>
    <w:p w14:paraId="74788488" w14:textId="77777777" w:rsidR="00614C93" w:rsidRPr="00FA288E" w:rsidRDefault="00614C93" w:rsidP="005C700B">
      <w:pPr>
        <w:pStyle w:val="Bullets"/>
        <w:numPr>
          <w:ilvl w:val="0"/>
          <w:numId w:val="33"/>
        </w:numPr>
        <w:spacing w:after="0" w:line="240" w:lineRule="auto"/>
        <w:ind w:left="900" w:hanging="270"/>
        <w:jc w:val="both"/>
        <w:rPr>
          <w:rFonts w:ascii="Calibri" w:hAnsi="Calibri" w:cs="Calibri"/>
          <w:sz w:val="21"/>
          <w:szCs w:val="21"/>
        </w:rPr>
      </w:pPr>
      <w:r w:rsidRPr="00FA288E">
        <w:rPr>
          <w:rFonts w:ascii="Calibri" w:hAnsi="Calibri" w:cs="Calibri"/>
          <w:sz w:val="21"/>
          <w:szCs w:val="21"/>
        </w:rPr>
        <w:t xml:space="preserve">Examine companion mechanisms to enable local community members to trouble-shoot </w:t>
      </w:r>
      <w:r w:rsidR="00907C7B" w:rsidRPr="00FA288E">
        <w:rPr>
          <w:rFonts w:ascii="Calibri" w:hAnsi="Calibri" w:cs="Calibri"/>
          <w:sz w:val="21"/>
          <w:szCs w:val="21"/>
        </w:rPr>
        <w:t xml:space="preserve">simple </w:t>
      </w:r>
      <w:r w:rsidRPr="00FA288E">
        <w:rPr>
          <w:rFonts w:ascii="Calibri" w:hAnsi="Calibri" w:cs="Calibri"/>
          <w:sz w:val="21"/>
          <w:szCs w:val="21"/>
        </w:rPr>
        <w:t xml:space="preserve">technical challenges with </w:t>
      </w:r>
      <w:r w:rsidR="00907C7B" w:rsidRPr="00FA288E">
        <w:rPr>
          <w:rFonts w:ascii="Calibri" w:hAnsi="Calibri" w:cs="Calibri"/>
          <w:sz w:val="21"/>
          <w:szCs w:val="21"/>
        </w:rPr>
        <w:t xml:space="preserve">the use of information and communication </w:t>
      </w:r>
      <w:r w:rsidRPr="00FA288E">
        <w:rPr>
          <w:rFonts w:ascii="Calibri" w:hAnsi="Calibri" w:cs="Calibri"/>
          <w:sz w:val="21"/>
          <w:szCs w:val="21"/>
        </w:rPr>
        <w:t>technologies</w:t>
      </w:r>
    </w:p>
    <w:p w14:paraId="4E814353" w14:textId="77777777" w:rsidR="00614C93" w:rsidRPr="00FA288E" w:rsidRDefault="00614C93" w:rsidP="005C700B">
      <w:pPr>
        <w:pStyle w:val="Bullets"/>
        <w:numPr>
          <w:ilvl w:val="0"/>
          <w:numId w:val="33"/>
        </w:numPr>
        <w:spacing w:after="80" w:line="240" w:lineRule="auto"/>
        <w:ind w:left="908" w:hanging="274"/>
        <w:jc w:val="both"/>
        <w:rPr>
          <w:rFonts w:ascii="Calibri" w:hAnsi="Calibri" w:cs="Calibri"/>
          <w:sz w:val="21"/>
          <w:szCs w:val="21"/>
        </w:rPr>
      </w:pPr>
      <w:r w:rsidRPr="00FA288E">
        <w:rPr>
          <w:rFonts w:ascii="Calibri" w:hAnsi="Calibri" w:cs="Calibri"/>
          <w:sz w:val="21"/>
          <w:szCs w:val="21"/>
        </w:rPr>
        <w:t>Enable the Resource Teacher to be a</w:t>
      </w:r>
      <w:r w:rsidR="00907C7B" w:rsidRPr="00FA288E">
        <w:rPr>
          <w:rFonts w:ascii="Calibri" w:hAnsi="Calibri" w:cs="Calibri"/>
          <w:sz w:val="21"/>
          <w:szCs w:val="21"/>
        </w:rPr>
        <w:t>lso be a</w:t>
      </w:r>
      <w:r w:rsidRPr="00FA288E">
        <w:rPr>
          <w:rFonts w:ascii="Calibri" w:hAnsi="Calibri" w:cs="Calibri"/>
          <w:sz w:val="21"/>
          <w:szCs w:val="21"/>
        </w:rPr>
        <w:t xml:space="preserve"> </w:t>
      </w:r>
      <w:r w:rsidR="00907C7B" w:rsidRPr="00FA288E">
        <w:rPr>
          <w:rFonts w:ascii="Calibri" w:hAnsi="Calibri" w:cs="Calibri"/>
          <w:sz w:val="21"/>
          <w:szCs w:val="21"/>
        </w:rPr>
        <w:t>coach and facilitator</w:t>
      </w:r>
      <w:r w:rsidRPr="00FA288E">
        <w:rPr>
          <w:rFonts w:ascii="Calibri" w:hAnsi="Calibri" w:cs="Calibri"/>
          <w:sz w:val="21"/>
          <w:szCs w:val="21"/>
        </w:rPr>
        <w:t xml:space="preserve"> in the use of technology and </w:t>
      </w:r>
      <w:r w:rsidR="00907C7B" w:rsidRPr="00FA288E">
        <w:rPr>
          <w:rFonts w:ascii="Calibri" w:hAnsi="Calibri" w:cs="Calibri"/>
          <w:sz w:val="21"/>
          <w:szCs w:val="21"/>
        </w:rPr>
        <w:t xml:space="preserve">use of </w:t>
      </w:r>
      <w:r w:rsidRPr="00FA288E">
        <w:rPr>
          <w:rFonts w:ascii="Calibri" w:hAnsi="Calibri" w:cs="Calibri"/>
          <w:sz w:val="21"/>
          <w:szCs w:val="21"/>
        </w:rPr>
        <w:t>e-learning</w:t>
      </w:r>
      <w:r w:rsidR="00907C7B" w:rsidRPr="00FA288E">
        <w:rPr>
          <w:rFonts w:ascii="Calibri" w:hAnsi="Calibri" w:cs="Calibri"/>
          <w:sz w:val="21"/>
          <w:szCs w:val="21"/>
        </w:rPr>
        <w:t xml:space="preserve"> materials</w:t>
      </w:r>
      <w:r w:rsidRPr="00FA288E">
        <w:rPr>
          <w:rFonts w:ascii="Calibri" w:hAnsi="Calibri" w:cs="Calibri"/>
          <w:sz w:val="21"/>
          <w:szCs w:val="21"/>
        </w:rPr>
        <w:t>; use technologies to support coaching efforts and as a delivery venue for the Peer Learning Circles</w:t>
      </w:r>
    </w:p>
    <w:p w14:paraId="5000B2F9" w14:textId="77777777" w:rsidR="008978C8" w:rsidRPr="00FA288E" w:rsidRDefault="00614C93" w:rsidP="000C1E22">
      <w:pPr>
        <w:pStyle w:val="ListParagraph"/>
        <w:numPr>
          <w:ilvl w:val="0"/>
          <w:numId w:val="21"/>
        </w:numPr>
        <w:spacing w:after="80" w:line="240" w:lineRule="auto"/>
        <w:ind w:left="540"/>
        <w:jc w:val="both"/>
        <w:rPr>
          <w:rFonts w:eastAsia="Calibri" w:cs="Calibri"/>
          <w:iCs/>
          <w:szCs w:val="21"/>
          <w:lang w:val="en-AU"/>
        </w:rPr>
      </w:pPr>
      <w:r w:rsidRPr="00FA288E">
        <w:rPr>
          <w:rFonts w:ascii="Calibri" w:eastAsia="Calibri" w:hAnsi="Calibri" w:cs="Calibri"/>
          <w:iCs/>
          <w:sz w:val="21"/>
          <w:szCs w:val="21"/>
          <w:lang w:val="en-AU"/>
        </w:rPr>
        <w:t>Strategies to institutionalise change and promote sustainability</w:t>
      </w:r>
      <w:r w:rsidR="00EF45E5" w:rsidRPr="00FA288E">
        <w:rPr>
          <w:rFonts w:ascii="Calibri" w:eastAsia="Calibri" w:hAnsi="Calibri" w:cs="Calibri"/>
          <w:iCs/>
          <w:sz w:val="21"/>
          <w:szCs w:val="21"/>
          <w:lang w:val="en-AU"/>
        </w:rPr>
        <w:t xml:space="preserve"> </w:t>
      </w:r>
      <w:r w:rsidRPr="00FA288E">
        <w:rPr>
          <w:rFonts w:ascii="Calibri" w:eastAsia="Calibri" w:hAnsi="Calibri" w:cs="Calibri"/>
          <w:iCs/>
          <w:sz w:val="21"/>
          <w:szCs w:val="21"/>
          <w:lang w:val="en-AU"/>
        </w:rPr>
        <w:t>/ scalability</w:t>
      </w:r>
    </w:p>
    <w:p w14:paraId="45DEE2E8" w14:textId="77777777" w:rsidR="00614C93" w:rsidRPr="00FA288E" w:rsidRDefault="00614C93" w:rsidP="005C700B">
      <w:pPr>
        <w:pStyle w:val="Bullets"/>
        <w:numPr>
          <w:ilvl w:val="0"/>
          <w:numId w:val="33"/>
        </w:numPr>
        <w:spacing w:after="0" w:line="240" w:lineRule="auto"/>
        <w:ind w:left="908" w:hanging="274"/>
        <w:jc w:val="both"/>
        <w:rPr>
          <w:rFonts w:ascii="Calibri" w:hAnsi="Calibri" w:cs="Calibri"/>
          <w:sz w:val="21"/>
          <w:szCs w:val="21"/>
        </w:rPr>
      </w:pPr>
      <w:r w:rsidRPr="00FA288E">
        <w:rPr>
          <w:rFonts w:ascii="Calibri" w:hAnsi="Calibri" w:cs="Calibri"/>
          <w:sz w:val="21"/>
          <w:szCs w:val="21"/>
        </w:rPr>
        <w:t xml:space="preserve">The best chances for the institutionalisation of change/sustainability/scalability start from the engagement of key decision-makers, influence-holders and stakeholders at the beginning of an investment – to build ownership </w:t>
      </w:r>
      <w:r w:rsidR="00907C7B" w:rsidRPr="00FA288E">
        <w:rPr>
          <w:rFonts w:ascii="Calibri" w:hAnsi="Calibri" w:cs="Calibri"/>
          <w:sz w:val="21"/>
          <w:szCs w:val="21"/>
        </w:rPr>
        <w:t xml:space="preserve">of the activities </w:t>
      </w:r>
      <w:r w:rsidRPr="00FA288E">
        <w:rPr>
          <w:rFonts w:ascii="Calibri" w:hAnsi="Calibri" w:cs="Calibri"/>
          <w:sz w:val="21"/>
          <w:szCs w:val="21"/>
        </w:rPr>
        <w:t xml:space="preserve">and </w:t>
      </w:r>
      <w:r w:rsidR="00907C7B" w:rsidRPr="00FA288E">
        <w:rPr>
          <w:rFonts w:ascii="Calibri" w:hAnsi="Calibri" w:cs="Calibri"/>
          <w:sz w:val="21"/>
          <w:szCs w:val="21"/>
        </w:rPr>
        <w:t xml:space="preserve">develop a </w:t>
      </w:r>
      <w:r w:rsidRPr="00FA288E">
        <w:rPr>
          <w:rFonts w:ascii="Calibri" w:hAnsi="Calibri" w:cs="Calibri"/>
          <w:sz w:val="21"/>
          <w:szCs w:val="21"/>
        </w:rPr>
        <w:t xml:space="preserve">commitment to </w:t>
      </w:r>
      <w:r w:rsidR="00907C7B" w:rsidRPr="00FA288E">
        <w:rPr>
          <w:rFonts w:ascii="Calibri" w:hAnsi="Calibri" w:cs="Calibri"/>
          <w:sz w:val="21"/>
          <w:szCs w:val="21"/>
        </w:rPr>
        <w:t xml:space="preserve">sustain </w:t>
      </w:r>
      <w:r w:rsidRPr="00FA288E">
        <w:rPr>
          <w:rFonts w:ascii="Calibri" w:hAnsi="Calibri" w:cs="Calibri"/>
          <w:sz w:val="21"/>
          <w:szCs w:val="21"/>
        </w:rPr>
        <w:t xml:space="preserve">the results.  For the projects, the planning for the extension period provides an </w:t>
      </w:r>
      <w:r w:rsidR="00907C7B" w:rsidRPr="00FA288E">
        <w:rPr>
          <w:rFonts w:ascii="Calibri" w:hAnsi="Calibri" w:cs="Calibri"/>
          <w:sz w:val="21"/>
          <w:szCs w:val="21"/>
        </w:rPr>
        <w:t xml:space="preserve">excellent </w:t>
      </w:r>
      <w:r w:rsidRPr="00FA288E">
        <w:rPr>
          <w:rFonts w:ascii="Calibri" w:hAnsi="Calibri" w:cs="Calibri"/>
          <w:sz w:val="21"/>
          <w:szCs w:val="21"/>
        </w:rPr>
        <w:t xml:space="preserve">opportunity to </w:t>
      </w:r>
      <w:r w:rsidR="00907C7B" w:rsidRPr="00FA288E">
        <w:rPr>
          <w:rFonts w:ascii="Calibri" w:hAnsi="Calibri" w:cs="Calibri"/>
          <w:sz w:val="21"/>
          <w:szCs w:val="21"/>
        </w:rPr>
        <w:t xml:space="preserve">engage stakeholders to </w:t>
      </w:r>
      <w:r w:rsidRPr="00FA288E">
        <w:rPr>
          <w:rFonts w:ascii="Calibri" w:hAnsi="Calibri" w:cs="Calibri"/>
          <w:sz w:val="21"/>
          <w:szCs w:val="21"/>
        </w:rPr>
        <w:t xml:space="preserve">build ownership and commitment </w:t>
      </w:r>
      <w:r w:rsidR="00907C7B" w:rsidRPr="00FA288E">
        <w:rPr>
          <w:rFonts w:ascii="Calibri" w:hAnsi="Calibri" w:cs="Calibri"/>
          <w:sz w:val="21"/>
          <w:szCs w:val="21"/>
        </w:rPr>
        <w:t>during</w:t>
      </w:r>
      <w:r w:rsidRPr="00FA288E">
        <w:rPr>
          <w:rFonts w:ascii="Calibri" w:hAnsi="Calibri" w:cs="Calibri"/>
          <w:sz w:val="21"/>
          <w:szCs w:val="21"/>
        </w:rPr>
        <w:t xml:space="preserve"> the remaining period of implementation</w:t>
      </w:r>
    </w:p>
    <w:p w14:paraId="12B3C011" w14:textId="77777777" w:rsidR="00614C93" w:rsidRPr="00FA288E" w:rsidRDefault="00614C93" w:rsidP="005C700B">
      <w:pPr>
        <w:pStyle w:val="Bullets"/>
        <w:numPr>
          <w:ilvl w:val="0"/>
          <w:numId w:val="33"/>
        </w:numPr>
        <w:spacing w:after="0" w:line="240" w:lineRule="auto"/>
        <w:ind w:left="908" w:hanging="274"/>
        <w:jc w:val="both"/>
        <w:rPr>
          <w:rFonts w:ascii="Calibri" w:hAnsi="Calibri" w:cs="Calibri"/>
          <w:sz w:val="21"/>
          <w:szCs w:val="21"/>
        </w:rPr>
      </w:pPr>
      <w:r w:rsidRPr="00FA288E">
        <w:rPr>
          <w:rFonts w:ascii="Calibri" w:hAnsi="Calibri" w:cs="Calibri"/>
          <w:sz w:val="21"/>
          <w:szCs w:val="21"/>
        </w:rPr>
        <w:t xml:space="preserve">Convene and/or participate in additional fora at the national, provincial and district levels that have early years and early grades education as a focus, finding ways to share </w:t>
      </w:r>
      <w:r w:rsidR="00907C7B" w:rsidRPr="00FA288E">
        <w:rPr>
          <w:rFonts w:ascii="Calibri" w:hAnsi="Calibri" w:cs="Calibri"/>
          <w:sz w:val="21"/>
          <w:szCs w:val="21"/>
        </w:rPr>
        <w:t xml:space="preserve">the </w:t>
      </w:r>
      <w:r w:rsidRPr="00FA288E">
        <w:rPr>
          <w:rFonts w:ascii="Calibri" w:hAnsi="Calibri" w:cs="Calibri"/>
          <w:sz w:val="21"/>
          <w:szCs w:val="21"/>
        </w:rPr>
        <w:t>success</w:t>
      </w:r>
      <w:r w:rsidR="00907C7B" w:rsidRPr="00FA288E">
        <w:rPr>
          <w:rFonts w:ascii="Calibri" w:hAnsi="Calibri" w:cs="Calibri"/>
          <w:sz w:val="21"/>
          <w:szCs w:val="21"/>
        </w:rPr>
        <w:t>ful</w:t>
      </w:r>
      <w:r w:rsidRPr="00FA288E">
        <w:rPr>
          <w:rFonts w:ascii="Calibri" w:hAnsi="Calibri" w:cs="Calibri"/>
          <w:sz w:val="21"/>
          <w:szCs w:val="21"/>
        </w:rPr>
        <w:t xml:space="preserve"> and the not-so-successful </w:t>
      </w:r>
      <w:r w:rsidR="00907C7B" w:rsidRPr="00FA288E">
        <w:rPr>
          <w:rFonts w:ascii="Calibri" w:hAnsi="Calibri" w:cs="Calibri"/>
          <w:sz w:val="21"/>
          <w:szCs w:val="21"/>
        </w:rPr>
        <w:t>results</w:t>
      </w:r>
      <w:r w:rsidRPr="00FA288E">
        <w:rPr>
          <w:rFonts w:ascii="Calibri" w:hAnsi="Calibri" w:cs="Calibri"/>
          <w:sz w:val="21"/>
          <w:szCs w:val="21"/>
        </w:rPr>
        <w:t xml:space="preserve"> so that others can learn from implementation of the projects</w:t>
      </w:r>
    </w:p>
    <w:p w14:paraId="14DC013A" w14:textId="77777777" w:rsidR="00614C93" w:rsidRPr="00FA288E" w:rsidRDefault="00614C93" w:rsidP="005C700B">
      <w:pPr>
        <w:pStyle w:val="Bullets"/>
        <w:numPr>
          <w:ilvl w:val="0"/>
          <w:numId w:val="33"/>
        </w:numPr>
        <w:spacing w:after="80" w:line="240" w:lineRule="auto"/>
        <w:ind w:left="908" w:hanging="274"/>
        <w:jc w:val="both"/>
        <w:rPr>
          <w:rFonts w:ascii="Calibri" w:hAnsi="Calibri" w:cs="Calibri"/>
          <w:sz w:val="21"/>
          <w:szCs w:val="21"/>
        </w:rPr>
      </w:pPr>
      <w:r w:rsidRPr="00FA288E">
        <w:rPr>
          <w:rFonts w:ascii="Calibri" w:hAnsi="Calibri" w:cs="Calibri"/>
          <w:sz w:val="21"/>
          <w:szCs w:val="21"/>
        </w:rPr>
        <w:lastRenderedPageBreak/>
        <w:t>Build in time to negotiate and implement detailed M</w:t>
      </w:r>
      <w:r w:rsidR="00C628BA" w:rsidRPr="00FA288E">
        <w:rPr>
          <w:rFonts w:ascii="Calibri" w:hAnsi="Calibri" w:cs="Calibri"/>
          <w:sz w:val="21"/>
          <w:szCs w:val="21"/>
        </w:rPr>
        <w:t>O</w:t>
      </w:r>
      <w:r w:rsidRPr="00FA288E">
        <w:rPr>
          <w:rFonts w:ascii="Calibri" w:hAnsi="Calibri" w:cs="Calibri"/>
          <w:sz w:val="21"/>
          <w:szCs w:val="21"/>
        </w:rPr>
        <w:t xml:space="preserve">Us at Provincial/District levels to ensure the meaningful involvement of staff in </w:t>
      </w:r>
      <w:r w:rsidR="00907C7B" w:rsidRPr="00FA288E">
        <w:rPr>
          <w:rFonts w:ascii="Calibri" w:hAnsi="Calibri" w:cs="Calibri"/>
          <w:sz w:val="21"/>
          <w:szCs w:val="21"/>
        </w:rPr>
        <w:t xml:space="preserve">project activities, particularly </w:t>
      </w:r>
      <w:r w:rsidRPr="00FA288E">
        <w:rPr>
          <w:rFonts w:ascii="Calibri" w:hAnsi="Calibri" w:cs="Calibri"/>
          <w:sz w:val="21"/>
          <w:szCs w:val="21"/>
        </w:rPr>
        <w:t xml:space="preserve">training and monitoring to maximise their exposure to improved practice. While systemic change may be beyond the </w:t>
      </w:r>
      <w:r w:rsidR="00A07B4A" w:rsidRPr="00FA288E">
        <w:rPr>
          <w:rFonts w:ascii="Calibri" w:hAnsi="Calibri" w:cs="Calibri"/>
          <w:sz w:val="21"/>
          <w:szCs w:val="21"/>
        </w:rPr>
        <w:t>abil</w:t>
      </w:r>
      <w:r w:rsidRPr="00FA288E">
        <w:rPr>
          <w:rFonts w:ascii="Calibri" w:hAnsi="Calibri" w:cs="Calibri"/>
          <w:sz w:val="21"/>
          <w:szCs w:val="21"/>
        </w:rPr>
        <w:t xml:space="preserve">ity of NGOs to initiate, focusing on </w:t>
      </w:r>
      <w:r w:rsidR="00907C7B" w:rsidRPr="00FA288E">
        <w:rPr>
          <w:rFonts w:ascii="Calibri" w:hAnsi="Calibri" w:cs="Calibri"/>
          <w:sz w:val="21"/>
          <w:szCs w:val="21"/>
        </w:rPr>
        <w:t xml:space="preserve">strengthening </w:t>
      </w:r>
      <w:r w:rsidRPr="00FA288E">
        <w:rPr>
          <w:rFonts w:ascii="Calibri" w:hAnsi="Calibri" w:cs="Calibri"/>
          <w:sz w:val="21"/>
          <w:szCs w:val="21"/>
        </w:rPr>
        <w:t>individual abilit</w:t>
      </w:r>
      <w:r w:rsidR="00A07B4A" w:rsidRPr="00FA288E">
        <w:rPr>
          <w:rFonts w:ascii="Calibri" w:hAnsi="Calibri" w:cs="Calibri"/>
          <w:sz w:val="21"/>
          <w:szCs w:val="21"/>
        </w:rPr>
        <w:t>ies</w:t>
      </w:r>
      <w:r w:rsidRPr="00FA288E">
        <w:rPr>
          <w:rFonts w:ascii="Calibri" w:hAnsi="Calibri" w:cs="Calibri"/>
          <w:sz w:val="21"/>
          <w:szCs w:val="21"/>
        </w:rPr>
        <w:t xml:space="preserve"> is still worthwhile</w:t>
      </w:r>
    </w:p>
    <w:p w14:paraId="5727D89F" w14:textId="77777777" w:rsidR="008978C8" w:rsidRPr="00FA288E" w:rsidRDefault="00614C93" w:rsidP="000C1E22">
      <w:pPr>
        <w:pStyle w:val="ListParagraph"/>
        <w:numPr>
          <w:ilvl w:val="0"/>
          <w:numId w:val="21"/>
        </w:numPr>
        <w:spacing w:after="80" w:line="240" w:lineRule="auto"/>
        <w:ind w:left="540"/>
        <w:jc w:val="both"/>
        <w:rPr>
          <w:rFonts w:eastAsia="Calibri" w:cs="Calibri"/>
          <w:iCs/>
          <w:szCs w:val="21"/>
          <w:lang w:val="en-AU"/>
        </w:rPr>
      </w:pPr>
      <w:r w:rsidRPr="00FA288E">
        <w:rPr>
          <w:rFonts w:ascii="Calibri" w:eastAsia="Calibri" w:hAnsi="Calibri" w:cs="Calibri"/>
          <w:iCs/>
          <w:sz w:val="21"/>
          <w:szCs w:val="21"/>
          <w:lang w:val="en-AU"/>
        </w:rPr>
        <w:t xml:space="preserve">Strategies for GoPNG engagement and / or policy </w:t>
      </w:r>
      <w:r w:rsidR="00AE56E5" w:rsidRPr="00FA288E">
        <w:rPr>
          <w:rFonts w:ascii="Calibri" w:eastAsia="Calibri" w:hAnsi="Calibri" w:cs="Calibri"/>
          <w:iCs/>
          <w:sz w:val="21"/>
          <w:szCs w:val="21"/>
          <w:lang w:val="en-AU"/>
        </w:rPr>
        <w:t xml:space="preserve">dialogue </w:t>
      </w:r>
    </w:p>
    <w:p w14:paraId="2EAE41B3" w14:textId="19BC1155" w:rsidR="00614C93" w:rsidRPr="00FA288E" w:rsidRDefault="00614C93" w:rsidP="005C700B">
      <w:pPr>
        <w:pStyle w:val="Bullets"/>
        <w:numPr>
          <w:ilvl w:val="0"/>
          <w:numId w:val="33"/>
        </w:numPr>
        <w:spacing w:after="0" w:line="240" w:lineRule="auto"/>
        <w:ind w:left="908" w:hanging="274"/>
        <w:jc w:val="both"/>
        <w:rPr>
          <w:rFonts w:ascii="Calibri" w:hAnsi="Calibri" w:cs="Calibri"/>
          <w:sz w:val="21"/>
          <w:szCs w:val="21"/>
        </w:rPr>
      </w:pPr>
      <w:r w:rsidRPr="00FA288E">
        <w:rPr>
          <w:rFonts w:ascii="Calibri" w:hAnsi="Calibri" w:cs="Calibri"/>
          <w:sz w:val="21"/>
          <w:szCs w:val="21"/>
        </w:rPr>
        <w:t>While MOUs and Steering Committees (</w:t>
      </w:r>
      <w:r w:rsidR="00D05B41" w:rsidRPr="00FA288E">
        <w:rPr>
          <w:rFonts w:ascii="Calibri" w:hAnsi="Calibri" w:cs="Calibri"/>
          <w:sz w:val="21"/>
          <w:szCs w:val="21"/>
        </w:rPr>
        <w:t xml:space="preserve">i.e. the </w:t>
      </w:r>
      <w:r w:rsidRPr="00FA288E">
        <w:rPr>
          <w:rFonts w:ascii="Calibri" w:hAnsi="Calibri" w:cs="Calibri"/>
          <w:sz w:val="21"/>
          <w:szCs w:val="21"/>
        </w:rPr>
        <w:t xml:space="preserve">PPF NOC) provide the official channels for governance and decision-making, they are insufficient to ensure GoPNG engagement. Other formal and informal mechanisms need to be developed that will ensure that there is continuous engagement at different levels and within different departments. The concept of </w:t>
      </w:r>
      <w:r w:rsidR="008F0F25" w:rsidRPr="00FA288E">
        <w:rPr>
          <w:rFonts w:ascii="Calibri" w:hAnsi="Calibri" w:cs="Calibri"/>
          <w:sz w:val="21"/>
          <w:szCs w:val="21"/>
        </w:rPr>
        <w:t xml:space="preserve">early grades education </w:t>
      </w:r>
      <w:r w:rsidRPr="00FA288E">
        <w:rPr>
          <w:rFonts w:ascii="Calibri" w:hAnsi="Calibri" w:cs="Calibri"/>
          <w:sz w:val="21"/>
          <w:szCs w:val="21"/>
        </w:rPr>
        <w:t xml:space="preserve">technical working groups could be explored – or perhaps </w:t>
      </w:r>
      <w:r w:rsidR="008A1491" w:rsidRPr="00FA288E">
        <w:rPr>
          <w:rFonts w:ascii="Calibri" w:hAnsi="Calibri" w:cs="Calibri"/>
          <w:sz w:val="21"/>
          <w:szCs w:val="21"/>
        </w:rPr>
        <w:t xml:space="preserve">a more appropriate solution is for </w:t>
      </w:r>
      <w:r w:rsidRPr="00FA288E">
        <w:rPr>
          <w:rFonts w:ascii="Calibri" w:hAnsi="Calibri" w:cs="Calibri"/>
          <w:sz w:val="21"/>
          <w:szCs w:val="21"/>
        </w:rPr>
        <w:t xml:space="preserve">the technical aspects of project implementation </w:t>
      </w:r>
      <w:r w:rsidR="008A1491" w:rsidRPr="00FA288E">
        <w:rPr>
          <w:rFonts w:ascii="Calibri" w:hAnsi="Calibri" w:cs="Calibri"/>
          <w:sz w:val="21"/>
          <w:szCs w:val="21"/>
        </w:rPr>
        <w:t>to</w:t>
      </w:r>
      <w:r w:rsidRPr="00FA288E">
        <w:rPr>
          <w:rFonts w:ascii="Calibri" w:hAnsi="Calibri" w:cs="Calibri"/>
          <w:sz w:val="21"/>
          <w:szCs w:val="21"/>
        </w:rPr>
        <w:t xml:space="preserve"> be </w:t>
      </w:r>
      <w:r w:rsidR="008F0F25" w:rsidRPr="00FA288E">
        <w:rPr>
          <w:rFonts w:ascii="Calibri" w:hAnsi="Calibri" w:cs="Calibri"/>
          <w:sz w:val="21"/>
          <w:szCs w:val="21"/>
        </w:rPr>
        <w:t>included as part</w:t>
      </w:r>
      <w:r w:rsidRPr="00FA288E">
        <w:rPr>
          <w:rFonts w:ascii="Calibri" w:hAnsi="Calibri" w:cs="Calibri"/>
          <w:sz w:val="21"/>
          <w:szCs w:val="21"/>
        </w:rPr>
        <w:t xml:space="preserve"> of</w:t>
      </w:r>
      <w:r w:rsidR="008F0F25" w:rsidRPr="00FA288E">
        <w:rPr>
          <w:rFonts w:ascii="Calibri" w:hAnsi="Calibri" w:cs="Calibri"/>
          <w:sz w:val="21"/>
          <w:szCs w:val="21"/>
        </w:rPr>
        <w:t xml:space="preserve"> the</w:t>
      </w:r>
      <w:r w:rsidRPr="00FA288E">
        <w:rPr>
          <w:rFonts w:ascii="Calibri" w:hAnsi="Calibri" w:cs="Calibri"/>
          <w:sz w:val="21"/>
          <w:szCs w:val="21"/>
        </w:rPr>
        <w:t xml:space="preserve"> agenda of </w:t>
      </w:r>
      <w:r w:rsidR="008A1491" w:rsidRPr="00FA288E">
        <w:rPr>
          <w:rFonts w:ascii="Calibri" w:hAnsi="Calibri" w:cs="Calibri"/>
          <w:sz w:val="21"/>
          <w:szCs w:val="21"/>
        </w:rPr>
        <w:t xml:space="preserve">existing </w:t>
      </w:r>
      <w:r w:rsidRPr="00FA288E">
        <w:rPr>
          <w:rFonts w:ascii="Calibri" w:hAnsi="Calibri" w:cs="Calibri"/>
          <w:sz w:val="21"/>
          <w:szCs w:val="21"/>
        </w:rPr>
        <w:t>regular NDOE technical committees</w:t>
      </w:r>
      <w:r w:rsidR="008F0F25" w:rsidRPr="00FA288E">
        <w:rPr>
          <w:rFonts w:ascii="Calibri" w:hAnsi="Calibri" w:cs="Calibri"/>
          <w:sz w:val="21"/>
          <w:szCs w:val="21"/>
        </w:rPr>
        <w:t xml:space="preserve">. This </w:t>
      </w:r>
      <w:r w:rsidR="00B70D58" w:rsidRPr="00FA288E">
        <w:rPr>
          <w:rFonts w:ascii="Calibri" w:hAnsi="Calibri" w:cs="Calibri"/>
          <w:sz w:val="21"/>
          <w:szCs w:val="21"/>
        </w:rPr>
        <w:t>approach,</w:t>
      </w:r>
      <w:r w:rsidR="008A1491" w:rsidRPr="00FA288E">
        <w:rPr>
          <w:rFonts w:ascii="Calibri" w:hAnsi="Calibri" w:cs="Calibri"/>
          <w:sz w:val="21"/>
          <w:szCs w:val="21"/>
        </w:rPr>
        <w:t xml:space="preserve"> rather than setting up a separate committee (which would demand time from already busy officials) </w:t>
      </w:r>
      <w:r w:rsidR="00B70D58" w:rsidRPr="00FA288E">
        <w:rPr>
          <w:rFonts w:ascii="Calibri" w:hAnsi="Calibri" w:cs="Calibri"/>
          <w:sz w:val="21"/>
          <w:szCs w:val="21"/>
        </w:rPr>
        <w:t xml:space="preserve">could be employed </w:t>
      </w:r>
      <w:r w:rsidR="008A1491" w:rsidRPr="00FA288E">
        <w:rPr>
          <w:rFonts w:ascii="Calibri" w:hAnsi="Calibri" w:cs="Calibri"/>
          <w:sz w:val="21"/>
          <w:szCs w:val="21"/>
        </w:rPr>
        <w:t>to discuss project specific issues</w:t>
      </w:r>
      <w:r w:rsidR="00B70D58" w:rsidRPr="00FA288E">
        <w:rPr>
          <w:rFonts w:ascii="Calibri" w:hAnsi="Calibri" w:cs="Calibri"/>
          <w:sz w:val="21"/>
          <w:szCs w:val="21"/>
        </w:rPr>
        <w:t xml:space="preserve"> as part of regular NDOE decision-making</w:t>
      </w:r>
      <w:r w:rsidRPr="00FA288E">
        <w:rPr>
          <w:rFonts w:ascii="Calibri" w:hAnsi="Calibri" w:cs="Calibri"/>
          <w:sz w:val="21"/>
          <w:szCs w:val="21"/>
        </w:rPr>
        <w:t xml:space="preserve">. Informal channels (already in place with the three projects) </w:t>
      </w:r>
      <w:r w:rsidR="009632FD" w:rsidRPr="00FA288E">
        <w:rPr>
          <w:rFonts w:ascii="Calibri" w:hAnsi="Calibri" w:cs="Calibri"/>
          <w:sz w:val="21"/>
          <w:szCs w:val="21"/>
        </w:rPr>
        <w:t>could be formally recognised</w:t>
      </w:r>
      <w:r w:rsidRPr="00FA288E">
        <w:rPr>
          <w:rFonts w:ascii="Calibri" w:hAnsi="Calibri" w:cs="Calibri"/>
          <w:sz w:val="21"/>
          <w:szCs w:val="21"/>
        </w:rPr>
        <w:t xml:space="preserve"> to facilitate decision-making.</w:t>
      </w:r>
      <w:r w:rsidR="009632FD" w:rsidRPr="00FA288E">
        <w:rPr>
          <w:rStyle w:val="FootnoteReference"/>
          <w:rFonts w:ascii="Calibri" w:hAnsi="Calibri" w:cs="Calibri"/>
          <w:sz w:val="21"/>
          <w:szCs w:val="21"/>
        </w:rPr>
        <w:footnoteReference w:id="74"/>
      </w:r>
      <w:r w:rsidRPr="00FA288E">
        <w:rPr>
          <w:rStyle w:val="FootnoteReference"/>
        </w:rPr>
        <w:t xml:space="preserve"> </w:t>
      </w:r>
      <w:r w:rsidRPr="00FA288E">
        <w:rPr>
          <w:rFonts w:ascii="Calibri" w:hAnsi="Calibri" w:cs="Calibri"/>
          <w:sz w:val="21"/>
          <w:szCs w:val="21"/>
        </w:rPr>
        <w:t xml:space="preserve"> The</w:t>
      </w:r>
      <w:r w:rsidR="00B70D58" w:rsidRPr="00FA288E">
        <w:rPr>
          <w:rFonts w:ascii="Calibri" w:hAnsi="Calibri" w:cs="Calibri"/>
          <w:sz w:val="21"/>
          <w:szCs w:val="21"/>
        </w:rPr>
        <w:t>re are distinct advantages in</w:t>
      </w:r>
      <w:r w:rsidRPr="00FA288E">
        <w:rPr>
          <w:rFonts w:ascii="Calibri" w:hAnsi="Calibri" w:cs="Calibri"/>
          <w:sz w:val="21"/>
          <w:szCs w:val="21"/>
        </w:rPr>
        <w:t xml:space="preserve"> conducting a</w:t>
      </w:r>
      <w:r w:rsidR="00B70D58" w:rsidRPr="00FA288E">
        <w:rPr>
          <w:rFonts w:ascii="Calibri" w:hAnsi="Calibri" w:cs="Calibri"/>
          <w:sz w:val="21"/>
          <w:szCs w:val="21"/>
        </w:rPr>
        <w:t xml:space="preserve">n informal </w:t>
      </w:r>
      <w:r w:rsidRPr="00FA288E">
        <w:rPr>
          <w:rFonts w:ascii="Calibri" w:hAnsi="Calibri" w:cs="Calibri"/>
          <w:sz w:val="21"/>
          <w:szCs w:val="21"/>
        </w:rPr>
        <w:t>meeting before the</w:t>
      </w:r>
      <w:r w:rsidR="00B70D58" w:rsidRPr="00FA288E">
        <w:rPr>
          <w:rFonts w:ascii="Calibri" w:hAnsi="Calibri" w:cs="Calibri"/>
          <w:sz w:val="21"/>
          <w:szCs w:val="21"/>
        </w:rPr>
        <w:t xml:space="preserve"> official</w:t>
      </w:r>
      <w:r w:rsidRPr="00FA288E">
        <w:rPr>
          <w:rFonts w:ascii="Calibri" w:hAnsi="Calibri" w:cs="Calibri"/>
          <w:sz w:val="21"/>
          <w:szCs w:val="21"/>
        </w:rPr>
        <w:t xml:space="preserve"> meeting </w:t>
      </w:r>
      <w:r w:rsidR="00B70D58" w:rsidRPr="00FA288E">
        <w:rPr>
          <w:rFonts w:ascii="Calibri" w:hAnsi="Calibri" w:cs="Calibri"/>
          <w:sz w:val="21"/>
          <w:szCs w:val="21"/>
        </w:rPr>
        <w:t>to avoid any misunderstanding</w:t>
      </w:r>
      <w:r w:rsidRPr="00FA288E">
        <w:rPr>
          <w:rFonts w:ascii="Calibri" w:hAnsi="Calibri" w:cs="Calibri"/>
          <w:sz w:val="21"/>
          <w:szCs w:val="21"/>
        </w:rPr>
        <w:t xml:space="preserve"> has value in the PNG context</w:t>
      </w:r>
    </w:p>
    <w:p w14:paraId="6E1B461E" w14:textId="77777777" w:rsidR="00614C93" w:rsidRPr="00FA288E" w:rsidRDefault="00614C93" w:rsidP="005C700B">
      <w:pPr>
        <w:pStyle w:val="Bullets"/>
        <w:numPr>
          <w:ilvl w:val="0"/>
          <w:numId w:val="33"/>
        </w:numPr>
        <w:spacing w:after="0" w:line="240" w:lineRule="auto"/>
        <w:ind w:left="908" w:hanging="274"/>
        <w:jc w:val="both"/>
        <w:rPr>
          <w:rFonts w:ascii="Calibri" w:hAnsi="Calibri" w:cs="Calibri"/>
          <w:sz w:val="21"/>
          <w:szCs w:val="21"/>
        </w:rPr>
      </w:pPr>
      <w:r w:rsidRPr="00FA288E">
        <w:rPr>
          <w:rFonts w:ascii="Calibri" w:hAnsi="Calibri" w:cs="Calibri"/>
          <w:sz w:val="21"/>
          <w:szCs w:val="21"/>
        </w:rPr>
        <w:t>En</w:t>
      </w:r>
      <w:r w:rsidR="008A1EF9" w:rsidRPr="00FA288E">
        <w:rPr>
          <w:rFonts w:ascii="Calibri" w:hAnsi="Calibri" w:cs="Calibri"/>
          <w:sz w:val="21"/>
          <w:szCs w:val="21"/>
        </w:rPr>
        <w:t>courage</w:t>
      </w:r>
      <w:r w:rsidRPr="00FA288E">
        <w:rPr>
          <w:rFonts w:ascii="Calibri" w:hAnsi="Calibri" w:cs="Calibri"/>
          <w:sz w:val="21"/>
          <w:szCs w:val="21"/>
        </w:rPr>
        <w:t xml:space="preserve"> the grantees to work </w:t>
      </w:r>
      <w:r w:rsidR="008A1EF9" w:rsidRPr="00FA288E">
        <w:rPr>
          <w:rFonts w:ascii="Calibri" w:hAnsi="Calibri" w:cs="Calibri"/>
          <w:sz w:val="21"/>
          <w:szCs w:val="21"/>
        </w:rPr>
        <w:t xml:space="preserve">in collaboration </w:t>
      </w:r>
      <w:r w:rsidRPr="00FA288E">
        <w:rPr>
          <w:rFonts w:ascii="Calibri" w:hAnsi="Calibri" w:cs="Calibri"/>
          <w:sz w:val="21"/>
          <w:szCs w:val="21"/>
        </w:rPr>
        <w:t xml:space="preserve">with the PPF Secretariat to develop appropriate ‘direct contact’ mechanisms </w:t>
      </w:r>
      <w:r w:rsidR="008A1EF9" w:rsidRPr="00FA288E">
        <w:rPr>
          <w:rFonts w:ascii="Calibri" w:hAnsi="Calibri" w:cs="Calibri"/>
          <w:sz w:val="21"/>
          <w:szCs w:val="21"/>
        </w:rPr>
        <w:t>with NDOE officials to</w:t>
      </w:r>
      <w:r w:rsidRPr="00FA288E">
        <w:rPr>
          <w:rFonts w:ascii="Calibri" w:hAnsi="Calibri" w:cs="Calibri"/>
          <w:sz w:val="21"/>
          <w:szCs w:val="21"/>
        </w:rPr>
        <w:t xml:space="preserve"> facilitate sharing of information from the projects.  There is a requirement for building trust and transparency in the important work that is being done, and finding ways to share information quickly </w:t>
      </w:r>
      <w:r w:rsidR="008A1EF9" w:rsidRPr="00FA288E">
        <w:rPr>
          <w:rFonts w:ascii="Calibri" w:hAnsi="Calibri" w:cs="Calibri"/>
          <w:sz w:val="21"/>
          <w:szCs w:val="21"/>
        </w:rPr>
        <w:t xml:space="preserve">with the relevant senior and mid-level officials </w:t>
      </w:r>
      <w:r w:rsidRPr="00FA288E">
        <w:rPr>
          <w:rFonts w:ascii="Calibri" w:hAnsi="Calibri" w:cs="Calibri"/>
          <w:sz w:val="21"/>
          <w:szCs w:val="21"/>
        </w:rPr>
        <w:t>will be required</w:t>
      </w:r>
    </w:p>
    <w:p w14:paraId="275DE1CA" w14:textId="77777777" w:rsidR="00614C93" w:rsidRPr="00FA288E" w:rsidRDefault="008A1491" w:rsidP="005C700B">
      <w:pPr>
        <w:pStyle w:val="Bullets"/>
        <w:numPr>
          <w:ilvl w:val="0"/>
          <w:numId w:val="33"/>
        </w:numPr>
        <w:spacing w:after="80" w:line="240" w:lineRule="auto"/>
        <w:ind w:left="908" w:hanging="274"/>
        <w:jc w:val="both"/>
        <w:rPr>
          <w:rFonts w:ascii="Calibri" w:hAnsi="Calibri" w:cs="Calibri"/>
          <w:sz w:val="21"/>
          <w:szCs w:val="21"/>
        </w:rPr>
      </w:pPr>
      <w:r w:rsidRPr="00FA288E">
        <w:rPr>
          <w:rFonts w:ascii="Calibri" w:hAnsi="Calibri" w:cs="Calibri"/>
          <w:sz w:val="21"/>
          <w:szCs w:val="21"/>
        </w:rPr>
        <w:t>Consider e</w:t>
      </w:r>
      <w:r w:rsidR="00614C93" w:rsidRPr="00FA288E">
        <w:rPr>
          <w:rFonts w:ascii="Calibri" w:hAnsi="Calibri" w:cs="Calibri"/>
          <w:sz w:val="21"/>
          <w:szCs w:val="21"/>
        </w:rPr>
        <w:t>xtending the services of the CIMC across all three projects</w:t>
      </w:r>
      <w:r w:rsidRPr="00FA288E">
        <w:rPr>
          <w:rFonts w:ascii="Calibri" w:hAnsi="Calibri" w:cs="Calibri"/>
          <w:sz w:val="21"/>
          <w:szCs w:val="21"/>
        </w:rPr>
        <w:t>, recognising the potential policy engagement role that CIMC could perform</w:t>
      </w:r>
      <w:r w:rsidR="00614C93" w:rsidRPr="00FA288E">
        <w:rPr>
          <w:rFonts w:ascii="Calibri" w:hAnsi="Calibri" w:cs="Calibri"/>
          <w:sz w:val="21"/>
          <w:szCs w:val="21"/>
        </w:rPr>
        <w:t xml:space="preserve"> – perhaps by transitioning the original relationship of CIMC as a T4E consortium member to </w:t>
      </w:r>
      <w:r w:rsidRPr="00FA288E">
        <w:rPr>
          <w:rFonts w:ascii="Calibri" w:hAnsi="Calibri" w:cs="Calibri"/>
          <w:sz w:val="21"/>
          <w:szCs w:val="21"/>
        </w:rPr>
        <w:t>work directly</w:t>
      </w:r>
      <w:r w:rsidR="00614C93" w:rsidRPr="00FA288E">
        <w:rPr>
          <w:rFonts w:ascii="Calibri" w:hAnsi="Calibri" w:cs="Calibri"/>
          <w:sz w:val="21"/>
          <w:szCs w:val="21"/>
        </w:rPr>
        <w:t xml:space="preserve"> with the PPF Secretariat</w:t>
      </w:r>
    </w:p>
    <w:p w14:paraId="57ABC3A5" w14:textId="77777777" w:rsidR="008978C8" w:rsidRPr="00FA288E" w:rsidRDefault="00614C93" w:rsidP="000C1E22">
      <w:pPr>
        <w:pStyle w:val="ListParagraph"/>
        <w:numPr>
          <w:ilvl w:val="0"/>
          <w:numId w:val="21"/>
        </w:numPr>
        <w:spacing w:after="80" w:line="240" w:lineRule="auto"/>
        <w:ind w:left="540"/>
        <w:jc w:val="both"/>
        <w:rPr>
          <w:rFonts w:ascii="Calibri" w:eastAsia="Calibri" w:hAnsi="Calibri" w:cs="Calibri"/>
          <w:iCs/>
          <w:sz w:val="21"/>
          <w:szCs w:val="21"/>
          <w:lang w:val="en-AU"/>
        </w:rPr>
      </w:pPr>
      <w:r w:rsidRPr="00FA288E">
        <w:rPr>
          <w:rFonts w:ascii="Calibri" w:eastAsia="Calibri" w:hAnsi="Calibri" w:cs="Calibri"/>
          <w:iCs/>
          <w:sz w:val="21"/>
          <w:szCs w:val="21"/>
          <w:lang w:val="en-AU"/>
        </w:rPr>
        <w:t>Modifications to M&amp;E indicators</w:t>
      </w:r>
      <w:r w:rsidR="008A1EF9" w:rsidRPr="00FA288E">
        <w:rPr>
          <w:rFonts w:ascii="Calibri" w:eastAsia="Calibri" w:hAnsi="Calibri" w:cs="Calibri"/>
          <w:iCs/>
          <w:sz w:val="21"/>
          <w:szCs w:val="21"/>
          <w:lang w:val="en-AU"/>
        </w:rPr>
        <w:t xml:space="preserve"> </w:t>
      </w:r>
      <w:r w:rsidRPr="00FA288E">
        <w:rPr>
          <w:rFonts w:ascii="Calibri" w:eastAsia="Calibri" w:hAnsi="Calibri" w:cs="Calibri"/>
          <w:iCs/>
          <w:sz w:val="21"/>
          <w:szCs w:val="21"/>
          <w:lang w:val="en-AU"/>
        </w:rPr>
        <w:t>/</w:t>
      </w:r>
      <w:r w:rsidR="008A1EF9" w:rsidRPr="00FA288E">
        <w:rPr>
          <w:rFonts w:ascii="Calibri" w:eastAsia="Calibri" w:hAnsi="Calibri" w:cs="Calibri"/>
          <w:iCs/>
          <w:sz w:val="21"/>
          <w:szCs w:val="21"/>
          <w:lang w:val="en-AU"/>
        </w:rPr>
        <w:t xml:space="preserve"> </w:t>
      </w:r>
      <w:r w:rsidRPr="00FA288E">
        <w:rPr>
          <w:rFonts w:ascii="Calibri" w:eastAsia="Calibri" w:hAnsi="Calibri" w:cs="Calibri"/>
          <w:iCs/>
          <w:sz w:val="21"/>
          <w:szCs w:val="21"/>
          <w:lang w:val="en-AU"/>
        </w:rPr>
        <w:t>outcomes (including for gender and disability)</w:t>
      </w:r>
    </w:p>
    <w:p w14:paraId="737D72CC" w14:textId="77777777" w:rsidR="008978C8" w:rsidRPr="00FA288E" w:rsidRDefault="008A1EF9" w:rsidP="005C700B">
      <w:pPr>
        <w:pStyle w:val="Bullets"/>
        <w:numPr>
          <w:ilvl w:val="0"/>
          <w:numId w:val="33"/>
        </w:numPr>
        <w:spacing w:after="0" w:line="240" w:lineRule="auto"/>
        <w:ind w:left="908" w:hanging="274"/>
        <w:jc w:val="both"/>
        <w:rPr>
          <w:rFonts w:ascii="Calibri" w:hAnsi="Calibri" w:cs="Calibri"/>
          <w:sz w:val="21"/>
          <w:szCs w:val="21"/>
        </w:rPr>
      </w:pPr>
      <w:r w:rsidRPr="00FA288E">
        <w:rPr>
          <w:rFonts w:ascii="Calibri" w:hAnsi="Calibri" w:cs="Calibri"/>
          <w:sz w:val="21"/>
          <w:szCs w:val="21"/>
        </w:rPr>
        <w:t>While a</w:t>
      </w:r>
      <w:r w:rsidR="00614C93" w:rsidRPr="00FA288E">
        <w:rPr>
          <w:rFonts w:ascii="Calibri" w:hAnsi="Calibri" w:cs="Calibri"/>
          <w:sz w:val="21"/>
          <w:szCs w:val="21"/>
        </w:rPr>
        <w:t xml:space="preserve">djustments to the </w:t>
      </w:r>
      <w:r w:rsidR="00E73341" w:rsidRPr="00FA288E">
        <w:rPr>
          <w:rFonts w:ascii="Calibri" w:hAnsi="Calibri" w:cs="Calibri"/>
          <w:sz w:val="21"/>
          <w:szCs w:val="21"/>
        </w:rPr>
        <w:t xml:space="preserve">end of project </w:t>
      </w:r>
      <w:r w:rsidR="00614C93" w:rsidRPr="00FA288E">
        <w:rPr>
          <w:rFonts w:ascii="Calibri" w:hAnsi="Calibri" w:cs="Calibri"/>
          <w:sz w:val="21"/>
          <w:szCs w:val="21"/>
        </w:rPr>
        <w:t>outcomes</w:t>
      </w:r>
      <w:r w:rsidR="00E73341" w:rsidRPr="00FA288E">
        <w:rPr>
          <w:rFonts w:ascii="Calibri" w:hAnsi="Calibri" w:cs="Calibri"/>
          <w:sz w:val="21"/>
          <w:szCs w:val="21"/>
        </w:rPr>
        <w:t xml:space="preserve"> of each grant</w:t>
      </w:r>
      <w:r w:rsidR="00614C93" w:rsidRPr="00FA288E">
        <w:rPr>
          <w:rFonts w:ascii="Calibri" w:hAnsi="Calibri" w:cs="Calibri"/>
          <w:sz w:val="21"/>
          <w:szCs w:val="21"/>
        </w:rPr>
        <w:t xml:space="preserve"> is not recommended for the period of the extension, there should be effort to see how the different projects can </w:t>
      </w:r>
      <w:r w:rsidR="00E73341" w:rsidRPr="00FA288E">
        <w:rPr>
          <w:rFonts w:ascii="Calibri" w:hAnsi="Calibri" w:cs="Calibri"/>
          <w:sz w:val="21"/>
          <w:szCs w:val="21"/>
        </w:rPr>
        <w:t>align their intermediate objectives, outputs an</w:t>
      </w:r>
      <w:r w:rsidRPr="00FA288E">
        <w:rPr>
          <w:rFonts w:ascii="Calibri" w:hAnsi="Calibri" w:cs="Calibri"/>
          <w:sz w:val="21"/>
          <w:szCs w:val="21"/>
        </w:rPr>
        <w:t>d activities</w:t>
      </w:r>
      <w:r w:rsidR="00E73341" w:rsidRPr="00FA288E">
        <w:rPr>
          <w:rFonts w:ascii="Calibri" w:hAnsi="Calibri" w:cs="Calibri"/>
          <w:sz w:val="21"/>
          <w:szCs w:val="21"/>
        </w:rPr>
        <w:t xml:space="preserve"> – ideally through the development of a</w:t>
      </w:r>
      <w:r w:rsidR="00614C93" w:rsidRPr="00FA288E">
        <w:rPr>
          <w:rFonts w:ascii="Calibri" w:hAnsi="Calibri" w:cs="Calibri"/>
          <w:sz w:val="21"/>
          <w:szCs w:val="21"/>
        </w:rPr>
        <w:t xml:space="preserve"> shared program logic</w:t>
      </w:r>
      <w:r w:rsidR="00E73341" w:rsidRPr="00FA288E">
        <w:rPr>
          <w:rFonts w:ascii="Calibri" w:hAnsi="Calibri" w:cs="Calibri"/>
          <w:sz w:val="21"/>
          <w:szCs w:val="21"/>
        </w:rPr>
        <w:t xml:space="preserve"> </w:t>
      </w:r>
      <w:r w:rsidRPr="00FA288E">
        <w:rPr>
          <w:rFonts w:ascii="Calibri" w:hAnsi="Calibri" w:cs="Calibri"/>
          <w:sz w:val="21"/>
          <w:szCs w:val="21"/>
        </w:rPr>
        <w:t xml:space="preserve">and M&amp;E results framework </w:t>
      </w:r>
      <w:r w:rsidR="00E73341" w:rsidRPr="00FA288E">
        <w:rPr>
          <w:rFonts w:ascii="Calibri" w:hAnsi="Calibri" w:cs="Calibri"/>
          <w:sz w:val="21"/>
          <w:szCs w:val="21"/>
        </w:rPr>
        <w:t xml:space="preserve">that </w:t>
      </w:r>
      <w:r w:rsidRPr="00FA288E">
        <w:rPr>
          <w:rFonts w:ascii="Calibri" w:hAnsi="Calibri" w:cs="Calibri"/>
          <w:sz w:val="21"/>
          <w:szCs w:val="21"/>
        </w:rPr>
        <w:t>shares</w:t>
      </w:r>
      <w:r w:rsidR="00E73341" w:rsidRPr="00FA288E">
        <w:rPr>
          <w:rFonts w:ascii="Calibri" w:hAnsi="Calibri" w:cs="Calibri"/>
          <w:sz w:val="21"/>
          <w:szCs w:val="21"/>
        </w:rPr>
        <w:t xml:space="preserve"> common core elements</w:t>
      </w:r>
    </w:p>
    <w:p w14:paraId="2EA9DE7E" w14:textId="77777777" w:rsidR="008978C8" w:rsidRPr="00FA288E" w:rsidRDefault="00614C93" w:rsidP="005C700B">
      <w:pPr>
        <w:pStyle w:val="Bullets"/>
        <w:numPr>
          <w:ilvl w:val="0"/>
          <w:numId w:val="33"/>
        </w:numPr>
        <w:spacing w:after="80" w:line="240" w:lineRule="auto"/>
        <w:ind w:left="908" w:hanging="274"/>
        <w:jc w:val="both"/>
        <w:rPr>
          <w:rFonts w:eastAsia="Calibri"/>
          <w:iCs/>
        </w:rPr>
      </w:pPr>
      <w:r w:rsidRPr="00FA288E">
        <w:rPr>
          <w:rFonts w:ascii="Calibri" w:hAnsi="Calibri" w:cs="Calibri"/>
          <w:sz w:val="21"/>
          <w:szCs w:val="21"/>
        </w:rPr>
        <w:t>It is suggested that common indicators relating to</w:t>
      </w:r>
      <w:r w:rsidR="008A1EF9" w:rsidRPr="00FA288E">
        <w:rPr>
          <w:rFonts w:ascii="Calibri" w:hAnsi="Calibri" w:cs="Calibri"/>
          <w:sz w:val="21"/>
          <w:szCs w:val="21"/>
        </w:rPr>
        <w:t>:</w:t>
      </w:r>
      <w:r w:rsidRPr="00FA288E">
        <w:rPr>
          <w:rFonts w:ascii="Calibri" w:hAnsi="Calibri" w:cs="Calibri"/>
          <w:sz w:val="21"/>
          <w:szCs w:val="21"/>
        </w:rPr>
        <w:t xml:space="preserve"> </w:t>
      </w:r>
      <w:proofErr w:type="spellStart"/>
      <w:r w:rsidR="008A1EF9" w:rsidRPr="00FA288E">
        <w:rPr>
          <w:rFonts w:ascii="Calibri" w:hAnsi="Calibri" w:cs="Calibri"/>
          <w:sz w:val="21"/>
          <w:szCs w:val="21"/>
        </w:rPr>
        <w:t>i</w:t>
      </w:r>
      <w:proofErr w:type="spellEnd"/>
      <w:r w:rsidR="008A1EF9" w:rsidRPr="00FA288E">
        <w:rPr>
          <w:rFonts w:ascii="Calibri" w:hAnsi="Calibri" w:cs="Calibri"/>
          <w:sz w:val="21"/>
          <w:szCs w:val="21"/>
        </w:rPr>
        <w:t xml:space="preserve">) </w:t>
      </w:r>
      <w:r w:rsidRPr="00FA288E">
        <w:rPr>
          <w:rFonts w:ascii="Calibri" w:hAnsi="Calibri" w:cs="Calibri"/>
          <w:sz w:val="21"/>
          <w:szCs w:val="21"/>
        </w:rPr>
        <w:t xml:space="preserve">the aggregation of age appropriate literacy/numeracy outcomes; </w:t>
      </w:r>
      <w:r w:rsidR="008A1EF9" w:rsidRPr="00FA288E">
        <w:rPr>
          <w:rFonts w:ascii="Calibri" w:hAnsi="Calibri" w:cs="Calibri"/>
          <w:sz w:val="21"/>
          <w:szCs w:val="21"/>
        </w:rPr>
        <w:t xml:space="preserve">ii) </w:t>
      </w:r>
      <w:r w:rsidRPr="00FA288E">
        <w:rPr>
          <w:rFonts w:ascii="Calibri" w:hAnsi="Calibri" w:cs="Calibri"/>
          <w:sz w:val="21"/>
          <w:szCs w:val="21"/>
        </w:rPr>
        <w:t>teacher’s use of appropriate teaching strategies</w:t>
      </w:r>
      <w:r w:rsidR="008A1EF9" w:rsidRPr="00FA288E">
        <w:rPr>
          <w:rFonts w:ascii="Calibri" w:hAnsi="Calibri" w:cs="Calibri"/>
          <w:sz w:val="21"/>
          <w:szCs w:val="21"/>
        </w:rPr>
        <w:t xml:space="preserve">; iii) </w:t>
      </w:r>
      <w:r w:rsidRPr="00FA288E">
        <w:rPr>
          <w:rFonts w:ascii="Calibri" w:hAnsi="Calibri" w:cs="Calibri"/>
          <w:sz w:val="21"/>
          <w:szCs w:val="21"/>
        </w:rPr>
        <w:t xml:space="preserve">children’s reading practices; and </w:t>
      </w:r>
      <w:r w:rsidR="008A1EF9" w:rsidRPr="00FA288E">
        <w:rPr>
          <w:rFonts w:ascii="Calibri" w:hAnsi="Calibri" w:cs="Calibri"/>
          <w:sz w:val="21"/>
          <w:szCs w:val="21"/>
        </w:rPr>
        <w:t xml:space="preserve">iv) </w:t>
      </w:r>
      <w:r w:rsidRPr="00FA288E">
        <w:rPr>
          <w:rFonts w:ascii="Calibri" w:hAnsi="Calibri" w:cs="Calibri"/>
          <w:sz w:val="21"/>
          <w:szCs w:val="21"/>
        </w:rPr>
        <w:t xml:space="preserve">the </w:t>
      </w:r>
      <w:r w:rsidR="00A07B4A" w:rsidRPr="00FA288E">
        <w:rPr>
          <w:rFonts w:ascii="Calibri" w:hAnsi="Calibri" w:cs="Calibri"/>
          <w:sz w:val="21"/>
          <w:szCs w:val="21"/>
        </w:rPr>
        <w:t>abil</w:t>
      </w:r>
      <w:r w:rsidRPr="00FA288E">
        <w:rPr>
          <w:rFonts w:ascii="Calibri" w:hAnsi="Calibri" w:cs="Calibri"/>
          <w:sz w:val="21"/>
          <w:szCs w:val="21"/>
        </w:rPr>
        <w:t xml:space="preserve">ity of schools to attract additional resources be collaboratively developed </w:t>
      </w:r>
      <w:r w:rsidR="00E73341" w:rsidRPr="00FA288E">
        <w:rPr>
          <w:rFonts w:ascii="Calibri" w:hAnsi="Calibri" w:cs="Calibri"/>
          <w:sz w:val="21"/>
          <w:szCs w:val="21"/>
        </w:rPr>
        <w:t>by the grantees – facilitated by the PPF Secretariat</w:t>
      </w:r>
    </w:p>
    <w:p w14:paraId="45C94E48" w14:textId="77777777" w:rsidR="008978C8" w:rsidRPr="00FA288E" w:rsidRDefault="00614C93" w:rsidP="000C1E22">
      <w:pPr>
        <w:pStyle w:val="ListParagraph"/>
        <w:numPr>
          <w:ilvl w:val="0"/>
          <w:numId w:val="21"/>
        </w:numPr>
        <w:spacing w:after="80" w:line="240" w:lineRule="auto"/>
        <w:ind w:left="540"/>
        <w:jc w:val="both"/>
        <w:rPr>
          <w:rFonts w:ascii="Calibri" w:eastAsia="Calibri" w:hAnsi="Calibri" w:cs="Calibri"/>
          <w:iCs/>
          <w:sz w:val="21"/>
          <w:szCs w:val="21"/>
          <w:lang w:val="en-AU"/>
        </w:rPr>
      </w:pPr>
      <w:r w:rsidRPr="00FA288E">
        <w:rPr>
          <w:rFonts w:ascii="Calibri" w:eastAsia="Calibri" w:hAnsi="Calibri" w:cs="Calibri"/>
          <w:iCs/>
          <w:sz w:val="21"/>
          <w:szCs w:val="21"/>
          <w:lang w:val="en-AU"/>
        </w:rPr>
        <w:t xml:space="preserve">Effective communications and branding of the </w:t>
      </w:r>
      <w:proofErr w:type="spellStart"/>
      <w:r w:rsidR="00913928" w:rsidRPr="00FA288E">
        <w:rPr>
          <w:rFonts w:ascii="Calibri" w:eastAsia="Calibri" w:hAnsi="Calibri" w:cs="Calibri"/>
          <w:iCs/>
          <w:sz w:val="21"/>
          <w:szCs w:val="21"/>
          <w:lang w:val="en-AU"/>
        </w:rPr>
        <w:t>PNGAus</w:t>
      </w:r>
      <w:proofErr w:type="spellEnd"/>
      <w:r w:rsidR="00913928" w:rsidRPr="00FA288E">
        <w:rPr>
          <w:rFonts w:ascii="Calibri" w:eastAsia="Calibri" w:hAnsi="Calibri" w:cs="Calibri"/>
          <w:iCs/>
          <w:sz w:val="21"/>
          <w:szCs w:val="21"/>
          <w:lang w:val="en-AU"/>
        </w:rPr>
        <w:t xml:space="preserve"> Partnership</w:t>
      </w:r>
    </w:p>
    <w:p w14:paraId="56CCF712" w14:textId="77777777" w:rsidR="00C8064F" w:rsidRPr="00FA288E" w:rsidRDefault="00614C93" w:rsidP="005C700B">
      <w:pPr>
        <w:pStyle w:val="Bullets"/>
        <w:numPr>
          <w:ilvl w:val="0"/>
          <w:numId w:val="34"/>
        </w:numPr>
        <w:spacing w:after="80" w:line="240" w:lineRule="auto"/>
        <w:ind w:left="900" w:hanging="357"/>
        <w:jc w:val="both"/>
        <w:rPr>
          <w:rFonts w:ascii="Calibri" w:hAnsi="Calibri" w:cs="Calibri"/>
          <w:sz w:val="21"/>
          <w:szCs w:val="21"/>
        </w:rPr>
      </w:pPr>
      <w:r w:rsidRPr="00FA288E">
        <w:rPr>
          <w:rFonts w:ascii="Calibri" w:hAnsi="Calibri" w:cs="Calibri"/>
          <w:sz w:val="21"/>
          <w:szCs w:val="21"/>
        </w:rPr>
        <w:t>The grantees and the A</w:t>
      </w:r>
      <w:r w:rsidR="00D54281" w:rsidRPr="00FA288E">
        <w:rPr>
          <w:rFonts w:ascii="Calibri" w:hAnsi="Calibri" w:cs="Calibri"/>
          <w:sz w:val="21"/>
          <w:szCs w:val="21"/>
        </w:rPr>
        <w:t xml:space="preserve">ustralian </w:t>
      </w:r>
      <w:r w:rsidR="001444CE" w:rsidRPr="00FA288E">
        <w:rPr>
          <w:rFonts w:ascii="Calibri" w:hAnsi="Calibri" w:cs="Calibri"/>
          <w:sz w:val="21"/>
          <w:szCs w:val="21"/>
        </w:rPr>
        <w:t>G</w:t>
      </w:r>
      <w:r w:rsidR="00D54281" w:rsidRPr="00FA288E">
        <w:rPr>
          <w:rFonts w:ascii="Calibri" w:hAnsi="Calibri" w:cs="Calibri"/>
          <w:sz w:val="21"/>
          <w:szCs w:val="21"/>
        </w:rPr>
        <w:t>overnment</w:t>
      </w:r>
      <w:r w:rsidRPr="00FA288E">
        <w:rPr>
          <w:rFonts w:ascii="Calibri" w:hAnsi="Calibri" w:cs="Calibri"/>
          <w:sz w:val="21"/>
          <w:szCs w:val="21"/>
        </w:rPr>
        <w:t xml:space="preserve"> need to discuss the advantages and disadvantages of </w:t>
      </w:r>
      <w:r w:rsidR="008A1EF9" w:rsidRPr="00FA288E">
        <w:rPr>
          <w:rFonts w:ascii="Calibri" w:hAnsi="Calibri" w:cs="Calibri"/>
          <w:sz w:val="21"/>
          <w:szCs w:val="21"/>
        </w:rPr>
        <w:t xml:space="preserve">promoting their own </w:t>
      </w:r>
      <w:r w:rsidRPr="00FA288E">
        <w:rPr>
          <w:rFonts w:ascii="Calibri" w:hAnsi="Calibri" w:cs="Calibri"/>
          <w:sz w:val="21"/>
          <w:szCs w:val="21"/>
        </w:rPr>
        <w:t xml:space="preserve">branding and how best to ensure that there is effective communication related to the </w:t>
      </w:r>
      <w:proofErr w:type="spellStart"/>
      <w:r w:rsidR="00913928" w:rsidRPr="00FA288E">
        <w:rPr>
          <w:rFonts w:ascii="Calibri" w:hAnsi="Calibri" w:cs="Calibri"/>
          <w:sz w:val="21"/>
          <w:szCs w:val="21"/>
        </w:rPr>
        <w:t>PNGAus</w:t>
      </w:r>
      <w:proofErr w:type="spellEnd"/>
      <w:r w:rsidR="00913928" w:rsidRPr="00FA288E">
        <w:rPr>
          <w:rFonts w:ascii="Calibri" w:hAnsi="Calibri" w:cs="Calibri"/>
          <w:sz w:val="21"/>
          <w:szCs w:val="21"/>
        </w:rPr>
        <w:t xml:space="preserve"> Partnership</w:t>
      </w:r>
      <w:r w:rsidRPr="00FA288E">
        <w:rPr>
          <w:rFonts w:ascii="Calibri" w:hAnsi="Calibri" w:cs="Calibri"/>
          <w:sz w:val="21"/>
          <w:szCs w:val="21"/>
        </w:rPr>
        <w:t>. There are competing interests at play, and a negotiated (rather than imposed) solution will be the most appropriate way forward</w:t>
      </w:r>
    </w:p>
    <w:p w14:paraId="102F625B" w14:textId="77777777" w:rsidR="00614C93" w:rsidRPr="00FA288E" w:rsidRDefault="00841279" w:rsidP="003570A2">
      <w:pPr>
        <w:pStyle w:val="Bullets"/>
        <w:numPr>
          <w:ilvl w:val="0"/>
          <w:numId w:val="0"/>
        </w:numPr>
        <w:spacing w:after="80" w:line="240" w:lineRule="auto"/>
        <w:rPr>
          <w:sz w:val="24"/>
          <w:szCs w:val="24"/>
        </w:rPr>
      </w:pPr>
      <w:r w:rsidRPr="00FA288E">
        <w:rPr>
          <w:sz w:val="24"/>
          <w:szCs w:val="24"/>
        </w:rPr>
        <w:t xml:space="preserve">3.6.3 </w:t>
      </w:r>
      <w:r w:rsidR="00614C93" w:rsidRPr="00FA288E">
        <w:rPr>
          <w:sz w:val="24"/>
          <w:szCs w:val="24"/>
        </w:rPr>
        <w:t xml:space="preserve">Relevant lessons for the </w:t>
      </w:r>
      <w:r w:rsidR="004E3037" w:rsidRPr="00FA288E">
        <w:rPr>
          <w:sz w:val="24"/>
          <w:szCs w:val="24"/>
        </w:rPr>
        <w:t xml:space="preserve">proposed </w:t>
      </w:r>
      <w:r w:rsidR="00614C93" w:rsidRPr="00FA288E">
        <w:rPr>
          <w:sz w:val="24"/>
          <w:szCs w:val="24"/>
        </w:rPr>
        <w:t>E4P design, considering especially:</w:t>
      </w:r>
    </w:p>
    <w:p w14:paraId="04DCF75B" w14:textId="77777777" w:rsidR="00A34CB9" w:rsidRPr="00FA288E" w:rsidRDefault="00614C93" w:rsidP="00FF62CC">
      <w:pPr>
        <w:pStyle w:val="ListParagraph"/>
        <w:numPr>
          <w:ilvl w:val="0"/>
          <w:numId w:val="85"/>
        </w:numPr>
        <w:spacing w:after="80" w:line="240" w:lineRule="auto"/>
        <w:ind w:left="540"/>
        <w:jc w:val="both"/>
        <w:rPr>
          <w:rFonts w:eastAsia="Calibri" w:cs="Calibri"/>
          <w:iCs/>
          <w:szCs w:val="21"/>
          <w:lang w:val="en-AU"/>
        </w:rPr>
      </w:pPr>
      <w:r w:rsidRPr="00FA288E">
        <w:rPr>
          <w:rFonts w:ascii="Calibri" w:eastAsia="Calibri" w:hAnsi="Calibri" w:cs="Calibri"/>
          <w:iCs/>
          <w:sz w:val="21"/>
          <w:szCs w:val="21"/>
          <w:lang w:val="en-AU"/>
        </w:rPr>
        <w:t>Improving or adapting current approaches to teaching and learning</w:t>
      </w:r>
    </w:p>
    <w:p w14:paraId="2C0A1DAD" w14:textId="3A3D4102" w:rsidR="00614C93" w:rsidRPr="00FA288E" w:rsidRDefault="004E3037" w:rsidP="005C700B">
      <w:pPr>
        <w:pStyle w:val="Bullets"/>
        <w:numPr>
          <w:ilvl w:val="0"/>
          <w:numId w:val="34"/>
        </w:numPr>
        <w:spacing w:after="0" w:line="240" w:lineRule="auto"/>
        <w:ind w:left="900" w:hanging="357"/>
        <w:jc w:val="both"/>
        <w:rPr>
          <w:rFonts w:ascii="Calibri" w:hAnsi="Calibri" w:cs="Calibri"/>
          <w:sz w:val="21"/>
          <w:szCs w:val="21"/>
        </w:rPr>
      </w:pPr>
      <w:r w:rsidRPr="00FA288E">
        <w:rPr>
          <w:rFonts w:ascii="Calibri" w:hAnsi="Calibri" w:cs="Calibri"/>
          <w:sz w:val="21"/>
          <w:szCs w:val="21"/>
        </w:rPr>
        <w:t>T</w:t>
      </w:r>
      <w:r w:rsidR="00614C93" w:rsidRPr="00FA288E">
        <w:rPr>
          <w:rFonts w:ascii="Calibri" w:hAnsi="Calibri" w:cs="Calibri"/>
          <w:sz w:val="21"/>
          <w:szCs w:val="21"/>
        </w:rPr>
        <w:t xml:space="preserve">he E4P design </w:t>
      </w:r>
      <w:r w:rsidR="00AE56E5" w:rsidRPr="00FA288E">
        <w:rPr>
          <w:rFonts w:ascii="Calibri" w:hAnsi="Calibri" w:cs="Calibri"/>
          <w:sz w:val="21"/>
          <w:szCs w:val="21"/>
        </w:rPr>
        <w:t xml:space="preserve">may </w:t>
      </w:r>
      <w:r w:rsidR="00614C93" w:rsidRPr="00FA288E">
        <w:rPr>
          <w:rFonts w:ascii="Calibri" w:hAnsi="Calibri" w:cs="Calibri"/>
          <w:sz w:val="21"/>
          <w:szCs w:val="21"/>
        </w:rPr>
        <w:t>adopt a</w:t>
      </w:r>
      <w:r w:rsidRPr="00FA288E">
        <w:rPr>
          <w:rFonts w:ascii="Calibri" w:hAnsi="Calibri" w:cs="Calibri"/>
          <w:sz w:val="21"/>
          <w:szCs w:val="21"/>
        </w:rPr>
        <w:t xml:space="preserve"> </w:t>
      </w:r>
      <w:r w:rsidR="00614C93" w:rsidRPr="00FA288E">
        <w:rPr>
          <w:rFonts w:ascii="Calibri" w:hAnsi="Calibri" w:cs="Calibri"/>
          <w:sz w:val="21"/>
          <w:szCs w:val="21"/>
        </w:rPr>
        <w:t>time horizon of up to 15 years</w:t>
      </w:r>
      <w:r w:rsidR="00B336DB" w:rsidRPr="00FA288E">
        <w:rPr>
          <w:rFonts w:ascii="Calibri" w:hAnsi="Calibri" w:cs="Calibri"/>
          <w:sz w:val="21"/>
          <w:szCs w:val="21"/>
        </w:rPr>
        <w:t>,</w:t>
      </w:r>
      <w:r w:rsidRPr="00FA288E">
        <w:rPr>
          <w:rFonts w:ascii="Calibri" w:hAnsi="Calibri" w:cs="Calibri"/>
          <w:sz w:val="21"/>
          <w:szCs w:val="21"/>
        </w:rPr>
        <w:t xml:space="preserve"> which means that the investment </w:t>
      </w:r>
      <w:r w:rsidR="00614C93" w:rsidRPr="00FA288E">
        <w:rPr>
          <w:rFonts w:ascii="Calibri" w:hAnsi="Calibri" w:cs="Calibri"/>
          <w:sz w:val="21"/>
          <w:szCs w:val="21"/>
        </w:rPr>
        <w:t>will run parallel with the new NEP</w:t>
      </w:r>
      <w:r w:rsidR="009E2F4F" w:rsidRPr="00FA288E">
        <w:rPr>
          <w:rFonts w:ascii="Calibri" w:hAnsi="Calibri" w:cs="Calibri"/>
          <w:sz w:val="21"/>
          <w:szCs w:val="21"/>
        </w:rPr>
        <w:t xml:space="preserve"> </w:t>
      </w:r>
      <w:r w:rsidRPr="00FA288E">
        <w:rPr>
          <w:rFonts w:ascii="Calibri" w:hAnsi="Calibri" w:cs="Calibri"/>
          <w:sz w:val="21"/>
          <w:szCs w:val="21"/>
        </w:rPr>
        <w:t>covering</w:t>
      </w:r>
      <w:r w:rsidR="009E2F4F" w:rsidRPr="00FA288E">
        <w:rPr>
          <w:rFonts w:ascii="Calibri" w:hAnsi="Calibri" w:cs="Calibri"/>
          <w:sz w:val="21"/>
          <w:szCs w:val="21"/>
        </w:rPr>
        <w:t xml:space="preserve"> </w:t>
      </w:r>
      <w:r w:rsidR="003B7F77" w:rsidRPr="00FA288E">
        <w:rPr>
          <w:rFonts w:ascii="Calibri" w:hAnsi="Calibri" w:cs="Calibri"/>
          <w:sz w:val="21"/>
          <w:szCs w:val="21"/>
        </w:rPr>
        <w:t>the</w:t>
      </w:r>
      <w:r w:rsidR="009E2F4F" w:rsidRPr="00FA288E">
        <w:rPr>
          <w:rFonts w:ascii="Calibri" w:hAnsi="Calibri" w:cs="Calibri"/>
          <w:sz w:val="21"/>
          <w:szCs w:val="21"/>
        </w:rPr>
        <w:t xml:space="preserve"> period from 2020 </w:t>
      </w:r>
      <w:r w:rsidRPr="00FA288E">
        <w:rPr>
          <w:rFonts w:ascii="Calibri" w:hAnsi="Calibri" w:cs="Calibri"/>
          <w:sz w:val="21"/>
          <w:szCs w:val="21"/>
        </w:rPr>
        <w:t>–</w:t>
      </w:r>
      <w:r w:rsidR="009E2F4F" w:rsidRPr="00FA288E">
        <w:rPr>
          <w:rFonts w:ascii="Calibri" w:hAnsi="Calibri" w:cs="Calibri"/>
          <w:sz w:val="21"/>
          <w:szCs w:val="21"/>
        </w:rPr>
        <w:t xml:space="preserve"> 2029</w:t>
      </w:r>
      <w:r w:rsidRPr="00FA288E">
        <w:rPr>
          <w:rFonts w:ascii="Calibri" w:hAnsi="Calibri" w:cs="Calibri"/>
          <w:sz w:val="21"/>
          <w:szCs w:val="21"/>
        </w:rPr>
        <w:t xml:space="preserve">. This </w:t>
      </w:r>
      <w:r w:rsidR="00614C93" w:rsidRPr="00FA288E">
        <w:rPr>
          <w:rFonts w:ascii="Calibri" w:hAnsi="Calibri" w:cs="Calibri"/>
          <w:sz w:val="21"/>
          <w:szCs w:val="21"/>
        </w:rPr>
        <w:t xml:space="preserve">provides a unique opportunity </w:t>
      </w:r>
      <w:r w:rsidRPr="00FA288E">
        <w:rPr>
          <w:rFonts w:ascii="Calibri" w:hAnsi="Calibri" w:cs="Calibri"/>
          <w:sz w:val="21"/>
          <w:szCs w:val="21"/>
        </w:rPr>
        <w:t>for long-term</w:t>
      </w:r>
      <w:r w:rsidR="00614C93" w:rsidRPr="00FA288E">
        <w:rPr>
          <w:rFonts w:ascii="Calibri" w:hAnsi="Calibri" w:cs="Calibri"/>
          <w:sz w:val="21"/>
          <w:szCs w:val="21"/>
        </w:rPr>
        <w:t xml:space="preserve"> influence</w:t>
      </w:r>
      <w:r w:rsidRPr="00FA288E">
        <w:rPr>
          <w:rFonts w:ascii="Calibri" w:hAnsi="Calibri" w:cs="Calibri"/>
          <w:sz w:val="21"/>
          <w:szCs w:val="21"/>
        </w:rPr>
        <w:t>. Having longer-term influence is particularly important to address issues related to teacher quality. The investment could support</w:t>
      </w:r>
      <w:r w:rsidR="00614C93" w:rsidRPr="00FA288E">
        <w:rPr>
          <w:rFonts w:ascii="Calibri" w:hAnsi="Calibri" w:cs="Calibri"/>
          <w:sz w:val="21"/>
          <w:szCs w:val="21"/>
        </w:rPr>
        <w:t xml:space="preserve">: </w:t>
      </w:r>
      <w:proofErr w:type="spellStart"/>
      <w:r w:rsidRPr="00FA288E">
        <w:rPr>
          <w:rFonts w:ascii="Calibri" w:hAnsi="Calibri" w:cs="Calibri"/>
          <w:sz w:val="21"/>
          <w:szCs w:val="21"/>
        </w:rPr>
        <w:t>i</w:t>
      </w:r>
      <w:proofErr w:type="spellEnd"/>
      <w:r w:rsidRPr="00FA288E">
        <w:rPr>
          <w:rFonts w:ascii="Calibri" w:hAnsi="Calibri" w:cs="Calibri"/>
          <w:sz w:val="21"/>
          <w:szCs w:val="21"/>
        </w:rPr>
        <w:t xml:space="preserve">) </w:t>
      </w:r>
      <w:r w:rsidR="00614C93" w:rsidRPr="00FA288E">
        <w:rPr>
          <w:rFonts w:ascii="Calibri" w:hAnsi="Calibri" w:cs="Calibri"/>
          <w:sz w:val="21"/>
          <w:szCs w:val="21"/>
        </w:rPr>
        <w:t>reviewing and revising the standards for teach</w:t>
      </w:r>
      <w:r w:rsidRPr="00FA288E">
        <w:rPr>
          <w:rFonts w:ascii="Calibri" w:hAnsi="Calibri" w:cs="Calibri"/>
          <w:sz w:val="21"/>
          <w:szCs w:val="21"/>
        </w:rPr>
        <w:t>ing;</w:t>
      </w:r>
      <w:r w:rsidR="00614C93" w:rsidRPr="00FA288E">
        <w:rPr>
          <w:rFonts w:ascii="Calibri" w:hAnsi="Calibri" w:cs="Calibri"/>
          <w:sz w:val="21"/>
          <w:szCs w:val="21"/>
        </w:rPr>
        <w:t xml:space="preserve"> </w:t>
      </w:r>
      <w:r w:rsidRPr="00FA288E">
        <w:rPr>
          <w:rFonts w:ascii="Calibri" w:hAnsi="Calibri" w:cs="Calibri"/>
          <w:sz w:val="21"/>
          <w:szCs w:val="21"/>
        </w:rPr>
        <w:t xml:space="preserve">ii) </w:t>
      </w:r>
      <w:r w:rsidR="00614C93" w:rsidRPr="00FA288E">
        <w:rPr>
          <w:rFonts w:ascii="Calibri" w:hAnsi="Calibri" w:cs="Calibri"/>
          <w:sz w:val="21"/>
          <w:szCs w:val="21"/>
        </w:rPr>
        <w:t>strengthening the pre-service teacher curriculum and the ability of pre-service faculty to deliver; and</w:t>
      </w:r>
      <w:r w:rsidRPr="00FA288E">
        <w:rPr>
          <w:rFonts w:ascii="Calibri" w:hAnsi="Calibri" w:cs="Calibri"/>
          <w:sz w:val="21"/>
          <w:szCs w:val="21"/>
        </w:rPr>
        <w:t>, iii)</w:t>
      </w:r>
      <w:r w:rsidR="00614C93" w:rsidRPr="00FA288E">
        <w:rPr>
          <w:rFonts w:ascii="Calibri" w:hAnsi="Calibri" w:cs="Calibri"/>
          <w:sz w:val="21"/>
          <w:szCs w:val="21"/>
        </w:rPr>
        <w:t xml:space="preserve"> institutional strengthening of the P</w:t>
      </w:r>
      <w:r w:rsidR="00921E65" w:rsidRPr="00FA288E">
        <w:rPr>
          <w:rFonts w:ascii="Calibri" w:hAnsi="Calibri" w:cs="Calibri"/>
          <w:sz w:val="21"/>
          <w:szCs w:val="21"/>
        </w:rPr>
        <w:t>apua New Guinea Education Institute.</w:t>
      </w:r>
    </w:p>
    <w:p w14:paraId="1B21317E" w14:textId="77777777" w:rsidR="00614C93" w:rsidRPr="00FA288E" w:rsidRDefault="00614C93" w:rsidP="005C700B">
      <w:pPr>
        <w:pStyle w:val="Bullets"/>
        <w:numPr>
          <w:ilvl w:val="0"/>
          <w:numId w:val="34"/>
        </w:numPr>
        <w:spacing w:after="0" w:line="240" w:lineRule="auto"/>
        <w:ind w:left="900" w:hanging="357"/>
        <w:jc w:val="both"/>
        <w:rPr>
          <w:rFonts w:ascii="Calibri" w:hAnsi="Calibri" w:cs="Calibri"/>
          <w:sz w:val="21"/>
          <w:szCs w:val="21"/>
        </w:rPr>
      </w:pPr>
      <w:r w:rsidRPr="00FA288E">
        <w:rPr>
          <w:rFonts w:ascii="Calibri" w:hAnsi="Calibri" w:cs="Calibri"/>
          <w:sz w:val="21"/>
          <w:szCs w:val="21"/>
        </w:rPr>
        <w:lastRenderedPageBreak/>
        <w:t>Strengthening the abilities of school heads/</w:t>
      </w:r>
      <w:proofErr w:type="spellStart"/>
      <w:r w:rsidR="00826A52" w:rsidRPr="00FA288E">
        <w:rPr>
          <w:rFonts w:ascii="Calibri" w:hAnsi="Calibri" w:cs="Calibri"/>
          <w:sz w:val="21"/>
          <w:szCs w:val="21"/>
        </w:rPr>
        <w:t>TiCs</w:t>
      </w:r>
      <w:proofErr w:type="spellEnd"/>
      <w:r w:rsidRPr="00FA288E">
        <w:rPr>
          <w:rFonts w:ascii="Calibri" w:hAnsi="Calibri" w:cs="Calibri"/>
          <w:sz w:val="21"/>
          <w:szCs w:val="21"/>
        </w:rPr>
        <w:t xml:space="preserve"> to provide appropriate and effective supervision and classroom observation feedback to teachers</w:t>
      </w:r>
      <w:r w:rsidR="00921E65" w:rsidRPr="00FA288E">
        <w:rPr>
          <w:rFonts w:ascii="Calibri" w:hAnsi="Calibri" w:cs="Calibri"/>
          <w:sz w:val="21"/>
          <w:szCs w:val="21"/>
        </w:rPr>
        <w:t>.</w:t>
      </w:r>
    </w:p>
    <w:p w14:paraId="637478BA" w14:textId="77777777" w:rsidR="00614C93" w:rsidRPr="00FA288E" w:rsidRDefault="00614C93" w:rsidP="005C700B">
      <w:pPr>
        <w:pStyle w:val="Bullets"/>
        <w:numPr>
          <w:ilvl w:val="0"/>
          <w:numId w:val="34"/>
        </w:numPr>
        <w:spacing w:after="0" w:line="240" w:lineRule="auto"/>
        <w:ind w:left="900" w:hanging="357"/>
        <w:jc w:val="both"/>
        <w:rPr>
          <w:rFonts w:ascii="Calibri" w:hAnsi="Calibri" w:cs="Calibri"/>
          <w:sz w:val="21"/>
          <w:szCs w:val="21"/>
        </w:rPr>
      </w:pPr>
      <w:r w:rsidRPr="00FA288E">
        <w:rPr>
          <w:rFonts w:ascii="Calibri" w:hAnsi="Calibri" w:cs="Calibri"/>
          <w:sz w:val="21"/>
          <w:szCs w:val="21"/>
        </w:rPr>
        <w:t xml:space="preserve">Continue to </w:t>
      </w:r>
      <w:r w:rsidR="004E3037" w:rsidRPr="00FA288E">
        <w:rPr>
          <w:rFonts w:ascii="Calibri" w:hAnsi="Calibri" w:cs="Calibri"/>
          <w:sz w:val="21"/>
          <w:szCs w:val="21"/>
        </w:rPr>
        <w:t>explore</w:t>
      </w:r>
      <w:r w:rsidRPr="00FA288E">
        <w:rPr>
          <w:rFonts w:ascii="Calibri" w:hAnsi="Calibri" w:cs="Calibri"/>
          <w:sz w:val="21"/>
          <w:szCs w:val="21"/>
        </w:rPr>
        <w:t xml:space="preserve"> ways to strengthen peer-to-peer </w:t>
      </w:r>
      <w:r w:rsidR="004E3037" w:rsidRPr="00FA288E">
        <w:rPr>
          <w:rFonts w:ascii="Calibri" w:hAnsi="Calibri" w:cs="Calibri"/>
          <w:sz w:val="21"/>
          <w:szCs w:val="21"/>
        </w:rPr>
        <w:t xml:space="preserve">coaching and support </w:t>
      </w:r>
      <w:r w:rsidRPr="00FA288E">
        <w:rPr>
          <w:rFonts w:ascii="Calibri" w:hAnsi="Calibri" w:cs="Calibri"/>
          <w:sz w:val="21"/>
          <w:szCs w:val="21"/>
        </w:rPr>
        <w:t>mechanisms to improve teaching</w:t>
      </w:r>
      <w:r w:rsidR="004E3037" w:rsidRPr="00FA288E">
        <w:rPr>
          <w:rFonts w:ascii="Calibri" w:hAnsi="Calibri" w:cs="Calibri"/>
          <w:sz w:val="21"/>
          <w:szCs w:val="21"/>
        </w:rPr>
        <w:t xml:space="preserve"> practice</w:t>
      </w:r>
      <w:r w:rsidR="00921E65" w:rsidRPr="00FA288E">
        <w:rPr>
          <w:rFonts w:ascii="Calibri" w:hAnsi="Calibri" w:cs="Calibri"/>
          <w:sz w:val="21"/>
          <w:szCs w:val="21"/>
        </w:rPr>
        <w:t>.</w:t>
      </w:r>
    </w:p>
    <w:p w14:paraId="06485C21" w14:textId="77777777" w:rsidR="00614C93" w:rsidRPr="00FA288E" w:rsidRDefault="00614C93" w:rsidP="005C700B">
      <w:pPr>
        <w:pStyle w:val="Bullets"/>
        <w:numPr>
          <w:ilvl w:val="0"/>
          <w:numId w:val="34"/>
        </w:numPr>
        <w:spacing w:after="80" w:line="240" w:lineRule="auto"/>
        <w:ind w:left="907"/>
        <w:jc w:val="both"/>
        <w:rPr>
          <w:rFonts w:ascii="Calibri" w:hAnsi="Calibri" w:cs="Calibri"/>
          <w:sz w:val="21"/>
          <w:szCs w:val="21"/>
        </w:rPr>
      </w:pPr>
      <w:r w:rsidRPr="00FA288E">
        <w:rPr>
          <w:rFonts w:ascii="Calibri" w:hAnsi="Calibri" w:cs="Calibri"/>
          <w:sz w:val="21"/>
          <w:szCs w:val="21"/>
        </w:rPr>
        <w:t xml:space="preserve">Depending on the reach of technology </w:t>
      </w:r>
      <w:r w:rsidR="004E3037" w:rsidRPr="00FA288E">
        <w:rPr>
          <w:rFonts w:ascii="Calibri" w:hAnsi="Calibri" w:cs="Calibri"/>
          <w:sz w:val="21"/>
          <w:szCs w:val="21"/>
        </w:rPr>
        <w:t xml:space="preserve">across PNG </w:t>
      </w:r>
      <w:r w:rsidRPr="00FA288E">
        <w:rPr>
          <w:rFonts w:ascii="Calibri" w:hAnsi="Calibri" w:cs="Calibri"/>
          <w:sz w:val="21"/>
          <w:szCs w:val="21"/>
        </w:rPr>
        <w:t xml:space="preserve">in the coming years, continue to experiment with low-cost </w:t>
      </w:r>
      <w:r w:rsidR="004E3037" w:rsidRPr="00FA288E">
        <w:rPr>
          <w:rFonts w:ascii="Calibri" w:hAnsi="Calibri" w:cs="Calibri"/>
          <w:sz w:val="21"/>
          <w:szCs w:val="21"/>
        </w:rPr>
        <w:t xml:space="preserve">information and communication technology </w:t>
      </w:r>
      <w:r w:rsidRPr="00FA288E">
        <w:rPr>
          <w:rFonts w:ascii="Calibri" w:hAnsi="Calibri" w:cs="Calibri"/>
          <w:sz w:val="21"/>
          <w:szCs w:val="21"/>
        </w:rPr>
        <w:t xml:space="preserve">solutions in </w:t>
      </w:r>
      <w:r w:rsidR="004E3037" w:rsidRPr="00FA288E">
        <w:rPr>
          <w:rFonts w:ascii="Calibri" w:hAnsi="Calibri" w:cs="Calibri"/>
          <w:sz w:val="21"/>
          <w:szCs w:val="21"/>
        </w:rPr>
        <w:t>providing</w:t>
      </w:r>
      <w:r w:rsidRPr="00FA288E">
        <w:rPr>
          <w:rFonts w:ascii="Calibri" w:hAnsi="Calibri" w:cs="Calibri"/>
          <w:sz w:val="21"/>
          <w:szCs w:val="21"/>
        </w:rPr>
        <w:t xml:space="preserve"> teaching and learning materials</w:t>
      </w:r>
      <w:r w:rsidR="00921E65" w:rsidRPr="00FA288E">
        <w:rPr>
          <w:rFonts w:ascii="Calibri" w:hAnsi="Calibri" w:cs="Calibri"/>
          <w:sz w:val="21"/>
          <w:szCs w:val="21"/>
        </w:rPr>
        <w:t>.</w:t>
      </w:r>
    </w:p>
    <w:p w14:paraId="21030853" w14:textId="77777777" w:rsidR="00A34CB9" w:rsidRPr="00FA288E" w:rsidRDefault="00614C93" w:rsidP="00FF62CC">
      <w:pPr>
        <w:pStyle w:val="ListParagraph"/>
        <w:numPr>
          <w:ilvl w:val="0"/>
          <w:numId w:val="85"/>
        </w:numPr>
        <w:spacing w:after="80" w:line="240" w:lineRule="auto"/>
        <w:ind w:left="540"/>
        <w:jc w:val="both"/>
        <w:rPr>
          <w:rFonts w:ascii="Calibri" w:hAnsi="Calibri" w:cs="Calibri"/>
          <w:sz w:val="21"/>
          <w:szCs w:val="21"/>
          <w:lang w:val="en-AU"/>
        </w:rPr>
      </w:pPr>
      <w:r w:rsidRPr="00FA288E">
        <w:rPr>
          <w:rFonts w:ascii="Calibri" w:eastAsia="Calibri" w:hAnsi="Calibri" w:cs="Calibri"/>
          <w:iCs/>
          <w:sz w:val="21"/>
          <w:szCs w:val="21"/>
          <w:lang w:val="en-AU"/>
        </w:rPr>
        <w:t>Facilitating GoPNG engagement and / or policy</w:t>
      </w:r>
      <w:r w:rsidR="000118A2" w:rsidRPr="00FA288E">
        <w:rPr>
          <w:rFonts w:ascii="Calibri" w:eastAsia="Calibri" w:hAnsi="Calibri" w:cs="Calibri"/>
          <w:iCs/>
          <w:sz w:val="21"/>
          <w:szCs w:val="21"/>
          <w:lang w:val="en-AU"/>
        </w:rPr>
        <w:t xml:space="preserve"> </w:t>
      </w:r>
      <w:r w:rsidR="00AE56E5" w:rsidRPr="00FA288E">
        <w:rPr>
          <w:rFonts w:ascii="Calibri" w:eastAsia="Calibri" w:hAnsi="Calibri" w:cs="Calibri"/>
          <w:iCs/>
          <w:sz w:val="21"/>
          <w:szCs w:val="21"/>
          <w:lang w:val="en-AU"/>
        </w:rPr>
        <w:t>dialogue</w:t>
      </w:r>
    </w:p>
    <w:p w14:paraId="0C6323AF" w14:textId="77777777" w:rsidR="00614C93" w:rsidRPr="00FA288E" w:rsidRDefault="00614C93" w:rsidP="005C700B">
      <w:pPr>
        <w:pStyle w:val="Bullets"/>
        <w:numPr>
          <w:ilvl w:val="0"/>
          <w:numId w:val="34"/>
        </w:numPr>
        <w:spacing w:after="0" w:line="240" w:lineRule="auto"/>
        <w:ind w:left="900" w:hanging="357"/>
        <w:jc w:val="both"/>
        <w:rPr>
          <w:rFonts w:ascii="Calibri" w:hAnsi="Calibri" w:cs="Calibri"/>
          <w:sz w:val="21"/>
          <w:szCs w:val="21"/>
        </w:rPr>
      </w:pPr>
      <w:r w:rsidRPr="00FA288E">
        <w:rPr>
          <w:rFonts w:ascii="Calibri" w:hAnsi="Calibri" w:cs="Calibri"/>
          <w:sz w:val="21"/>
          <w:szCs w:val="21"/>
        </w:rPr>
        <w:t xml:space="preserve">Establish a mechanism for dialogue </w:t>
      </w:r>
      <w:r w:rsidR="004E2D89" w:rsidRPr="00FA288E">
        <w:rPr>
          <w:rFonts w:ascii="Calibri" w:hAnsi="Calibri" w:cs="Calibri"/>
          <w:sz w:val="21"/>
          <w:szCs w:val="21"/>
        </w:rPr>
        <w:t xml:space="preserve">between the GoPNG and the Australian Government </w:t>
      </w:r>
      <w:r w:rsidRPr="00FA288E">
        <w:rPr>
          <w:rFonts w:ascii="Calibri" w:hAnsi="Calibri" w:cs="Calibri"/>
          <w:sz w:val="21"/>
          <w:szCs w:val="21"/>
        </w:rPr>
        <w:t>on education issues that is not dependent on any one investment.  As the Local Education Group of the G</w:t>
      </w:r>
      <w:r w:rsidR="004155A2" w:rsidRPr="00FA288E">
        <w:rPr>
          <w:rFonts w:ascii="Calibri" w:hAnsi="Calibri" w:cs="Calibri"/>
          <w:sz w:val="21"/>
          <w:szCs w:val="21"/>
        </w:rPr>
        <w:t>lobal Partnership for Education</w:t>
      </w:r>
      <w:r w:rsidRPr="00FA288E">
        <w:rPr>
          <w:rFonts w:ascii="Calibri" w:hAnsi="Calibri" w:cs="Calibri"/>
          <w:sz w:val="21"/>
          <w:szCs w:val="21"/>
        </w:rPr>
        <w:t xml:space="preserve"> appears to have replaced the previous committee that engaged various donors and NDOE on education issues, Australia, as the single largest donor to education in PNG, may wish to request a standing committee </w:t>
      </w:r>
      <w:r w:rsidR="008A1491" w:rsidRPr="00FA288E">
        <w:rPr>
          <w:rFonts w:ascii="Calibri" w:hAnsi="Calibri" w:cs="Calibri"/>
          <w:sz w:val="21"/>
          <w:szCs w:val="21"/>
        </w:rPr>
        <w:t xml:space="preserve">on education </w:t>
      </w:r>
      <w:r w:rsidRPr="00FA288E">
        <w:rPr>
          <w:rFonts w:ascii="Calibri" w:hAnsi="Calibri" w:cs="Calibri"/>
          <w:sz w:val="21"/>
          <w:szCs w:val="21"/>
        </w:rPr>
        <w:t>with NDOE</w:t>
      </w:r>
      <w:r w:rsidR="008A1491" w:rsidRPr="00FA288E">
        <w:rPr>
          <w:rFonts w:ascii="Calibri" w:hAnsi="Calibri" w:cs="Calibri"/>
          <w:sz w:val="21"/>
          <w:szCs w:val="21"/>
        </w:rPr>
        <w:t xml:space="preserve"> as a platform to discuss in a single forum all forms of Australian assistance to improve PNG education. This standing committee could also</w:t>
      </w:r>
      <w:r w:rsidRPr="00FA288E">
        <w:rPr>
          <w:rFonts w:ascii="Calibri" w:hAnsi="Calibri" w:cs="Calibri"/>
          <w:sz w:val="21"/>
          <w:szCs w:val="21"/>
        </w:rPr>
        <w:t xml:space="preserve"> serve as the Steering Committee for </w:t>
      </w:r>
      <w:r w:rsidR="004E2D89" w:rsidRPr="00FA288E">
        <w:rPr>
          <w:rFonts w:ascii="Calibri" w:hAnsi="Calibri" w:cs="Calibri"/>
          <w:sz w:val="21"/>
          <w:szCs w:val="21"/>
        </w:rPr>
        <w:t xml:space="preserve">different </w:t>
      </w:r>
      <w:r w:rsidR="008A1491" w:rsidRPr="00FA288E">
        <w:rPr>
          <w:rFonts w:ascii="Calibri" w:hAnsi="Calibri" w:cs="Calibri"/>
          <w:sz w:val="21"/>
          <w:szCs w:val="21"/>
        </w:rPr>
        <w:t>current and</w:t>
      </w:r>
      <w:r w:rsidRPr="00FA288E">
        <w:rPr>
          <w:rFonts w:ascii="Calibri" w:hAnsi="Calibri" w:cs="Calibri"/>
          <w:sz w:val="21"/>
          <w:szCs w:val="21"/>
        </w:rPr>
        <w:t xml:space="preserve"> future investments</w:t>
      </w:r>
      <w:r w:rsidR="004E2D89" w:rsidRPr="00FA288E">
        <w:rPr>
          <w:rFonts w:ascii="Calibri" w:hAnsi="Calibri" w:cs="Calibri"/>
          <w:sz w:val="21"/>
          <w:szCs w:val="21"/>
        </w:rPr>
        <w:t xml:space="preserve"> in education</w:t>
      </w:r>
      <w:r w:rsidR="00921E65" w:rsidRPr="00FA288E">
        <w:rPr>
          <w:rFonts w:ascii="Calibri" w:hAnsi="Calibri" w:cs="Calibri"/>
          <w:sz w:val="21"/>
          <w:szCs w:val="21"/>
        </w:rPr>
        <w:t>.</w:t>
      </w:r>
      <w:r w:rsidR="008A1491" w:rsidRPr="00FA288E">
        <w:rPr>
          <w:rFonts w:ascii="Calibri" w:hAnsi="Calibri" w:cs="Calibri"/>
          <w:sz w:val="21"/>
          <w:szCs w:val="21"/>
        </w:rPr>
        <w:t xml:space="preserve"> Th</w:t>
      </w:r>
      <w:r w:rsidR="00E6355E" w:rsidRPr="00FA288E">
        <w:rPr>
          <w:rFonts w:ascii="Calibri" w:hAnsi="Calibri" w:cs="Calibri"/>
          <w:sz w:val="21"/>
          <w:szCs w:val="21"/>
        </w:rPr>
        <w:t xml:space="preserve">is </w:t>
      </w:r>
      <w:r w:rsidR="008A1491" w:rsidRPr="00FA288E">
        <w:rPr>
          <w:rFonts w:ascii="Calibri" w:hAnsi="Calibri" w:cs="Calibri"/>
          <w:sz w:val="21"/>
          <w:szCs w:val="21"/>
        </w:rPr>
        <w:t xml:space="preserve">approach would </w:t>
      </w:r>
      <w:r w:rsidR="00E6355E" w:rsidRPr="00FA288E">
        <w:rPr>
          <w:rFonts w:ascii="Calibri" w:hAnsi="Calibri" w:cs="Calibri"/>
          <w:sz w:val="21"/>
          <w:szCs w:val="21"/>
        </w:rPr>
        <w:t xml:space="preserve">prevent project-specific Steering Committees </w:t>
      </w:r>
      <w:r w:rsidR="004E2D89" w:rsidRPr="00FA288E">
        <w:rPr>
          <w:rFonts w:ascii="Calibri" w:hAnsi="Calibri" w:cs="Calibri"/>
          <w:sz w:val="21"/>
          <w:szCs w:val="21"/>
        </w:rPr>
        <w:t xml:space="preserve">imposing </w:t>
      </w:r>
      <w:r w:rsidR="00E6355E" w:rsidRPr="00FA288E">
        <w:rPr>
          <w:rFonts w:ascii="Calibri" w:hAnsi="Calibri" w:cs="Calibri"/>
          <w:sz w:val="21"/>
          <w:szCs w:val="21"/>
        </w:rPr>
        <w:t xml:space="preserve">additional time and effort demands on both the GoPNG and Australian </w:t>
      </w:r>
      <w:r w:rsidR="001444CE" w:rsidRPr="00FA288E">
        <w:rPr>
          <w:rFonts w:ascii="Calibri" w:hAnsi="Calibri" w:cs="Calibri"/>
          <w:sz w:val="21"/>
          <w:szCs w:val="21"/>
        </w:rPr>
        <w:t>G</w:t>
      </w:r>
      <w:r w:rsidR="00E6355E" w:rsidRPr="00FA288E">
        <w:rPr>
          <w:rFonts w:ascii="Calibri" w:hAnsi="Calibri" w:cs="Calibri"/>
          <w:sz w:val="21"/>
          <w:szCs w:val="21"/>
        </w:rPr>
        <w:t xml:space="preserve">overnment officials.  The standing committee </w:t>
      </w:r>
      <w:r w:rsidR="004E2D89" w:rsidRPr="00FA288E">
        <w:rPr>
          <w:rFonts w:ascii="Calibri" w:hAnsi="Calibri" w:cs="Calibri"/>
          <w:sz w:val="21"/>
          <w:szCs w:val="21"/>
        </w:rPr>
        <w:t>could</w:t>
      </w:r>
      <w:r w:rsidR="00E6355E" w:rsidRPr="00FA288E">
        <w:rPr>
          <w:rFonts w:ascii="Calibri" w:hAnsi="Calibri" w:cs="Calibri"/>
          <w:sz w:val="21"/>
          <w:szCs w:val="21"/>
        </w:rPr>
        <w:t xml:space="preserve"> address a unified agenda covering all investments of Australia in support of PNG education</w:t>
      </w:r>
      <w:r w:rsidR="004A4407" w:rsidRPr="00FA288E">
        <w:rPr>
          <w:rFonts w:ascii="Calibri" w:hAnsi="Calibri" w:cs="Calibri"/>
          <w:sz w:val="21"/>
          <w:szCs w:val="21"/>
        </w:rPr>
        <w:t xml:space="preserve"> and provide for a long-term consistent approach to the governance of these investments</w:t>
      </w:r>
      <w:r w:rsidR="00E6355E" w:rsidRPr="00FA288E">
        <w:rPr>
          <w:rFonts w:ascii="Calibri" w:hAnsi="Calibri" w:cs="Calibri"/>
          <w:sz w:val="21"/>
          <w:szCs w:val="21"/>
        </w:rPr>
        <w:t>.</w:t>
      </w:r>
    </w:p>
    <w:p w14:paraId="525CA7A5" w14:textId="77777777" w:rsidR="00614C93" w:rsidRPr="00FA288E" w:rsidRDefault="00614C93" w:rsidP="005C700B">
      <w:pPr>
        <w:pStyle w:val="Bullets"/>
        <w:numPr>
          <w:ilvl w:val="0"/>
          <w:numId w:val="34"/>
        </w:numPr>
        <w:spacing w:after="0" w:line="240" w:lineRule="auto"/>
        <w:ind w:left="900" w:hanging="357"/>
        <w:jc w:val="both"/>
        <w:rPr>
          <w:rFonts w:ascii="Calibri" w:hAnsi="Calibri" w:cs="Calibri"/>
          <w:sz w:val="21"/>
          <w:szCs w:val="21"/>
        </w:rPr>
      </w:pPr>
      <w:r w:rsidRPr="00FA288E">
        <w:rPr>
          <w:rFonts w:ascii="Calibri" w:hAnsi="Calibri" w:cs="Calibri"/>
          <w:sz w:val="21"/>
          <w:szCs w:val="21"/>
        </w:rPr>
        <w:t>Acknowledge and adhere to GoPNG policies, plans, processes and requirements with respect to the design and implementation of future investments</w:t>
      </w:r>
      <w:r w:rsidR="004E2D89" w:rsidRPr="00FA288E">
        <w:rPr>
          <w:rFonts w:ascii="Calibri" w:hAnsi="Calibri" w:cs="Calibri"/>
          <w:sz w:val="21"/>
          <w:szCs w:val="21"/>
        </w:rPr>
        <w:t xml:space="preserve"> in education. The NDPM has updated its policy with respect to development cooperation and expects donors to respect the guidance provided</w:t>
      </w:r>
    </w:p>
    <w:p w14:paraId="47985230" w14:textId="77777777" w:rsidR="00614C93" w:rsidRPr="00FA288E" w:rsidRDefault="00614C93" w:rsidP="005C700B">
      <w:pPr>
        <w:pStyle w:val="Bullets"/>
        <w:numPr>
          <w:ilvl w:val="0"/>
          <w:numId w:val="34"/>
        </w:numPr>
        <w:spacing w:after="80" w:line="240" w:lineRule="auto"/>
        <w:ind w:left="907"/>
        <w:jc w:val="both"/>
        <w:rPr>
          <w:rFonts w:ascii="Calibri" w:hAnsi="Calibri" w:cs="Calibri"/>
          <w:sz w:val="21"/>
          <w:szCs w:val="21"/>
        </w:rPr>
      </w:pPr>
      <w:r w:rsidRPr="00FA288E">
        <w:rPr>
          <w:rFonts w:ascii="Calibri" w:hAnsi="Calibri" w:cs="Calibri"/>
          <w:sz w:val="21"/>
          <w:szCs w:val="21"/>
        </w:rPr>
        <w:t xml:space="preserve">Acknowledge and utilise </w:t>
      </w:r>
      <w:r w:rsidR="00181D2E" w:rsidRPr="00FA288E">
        <w:rPr>
          <w:rFonts w:ascii="Calibri" w:hAnsi="Calibri" w:cs="Calibri"/>
          <w:sz w:val="21"/>
          <w:szCs w:val="21"/>
        </w:rPr>
        <w:t xml:space="preserve">more effectively </w:t>
      </w:r>
      <w:r w:rsidRPr="00FA288E">
        <w:rPr>
          <w:rFonts w:ascii="Calibri" w:hAnsi="Calibri" w:cs="Calibri"/>
          <w:sz w:val="21"/>
          <w:szCs w:val="21"/>
        </w:rPr>
        <w:t xml:space="preserve">the knowledge, skills and ‘connections’ of </w:t>
      </w:r>
      <w:r w:rsidR="00181D2E" w:rsidRPr="00FA288E">
        <w:rPr>
          <w:rFonts w:ascii="Calibri" w:hAnsi="Calibri" w:cs="Calibri"/>
          <w:sz w:val="21"/>
          <w:szCs w:val="21"/>
        </w:rPr>
        <w:t>the l</w:t>
      </w:r>
      <w:r w:rsidRPr="00FA288E">
        <w:rPr>
          <w:rFonts w:ascii="Calibri" w:hAnsi="Calibri" w:cs="Calibri"/>
          <w:sz w:val="21"/>
          <w:szCs w:val="21"/>
        </w:rPr>
        <w:t xml:space="preserve">ocally </w:t>
      </w:r>
      <w:r w:rsidR="00181D2E" w:rsidRPr="00FA288E">
        <w:rPr>
          <w:rFonts w:ascii="Calibri" w:hAnsi="Calibri" w:cs="Calibri"/>
          <w:sz w:val="21"/>
          <w:szCs w:val="21"/>
        </w:rPr>
        <w:t>e</w:t>
      </w:r>
      <w:r w:rsidRPr="00FA288E">
        <w:rPr>
          <w:rFonts w:ascii="Calibri" w:hAnsi="Calibri" w:cs="Calibri"/>
          <w:sz w:val="21"/>
          <w:szCs w:val="21"/>
        </w:rPr>
        <w:t xml:space="preserve">ngaged </w:t>
      </w:r>
      <w:r w:rsidR="00181D2E" w:rsidRPr="00FA288E">
        <w:rPr>
          <w:rFonts w:ascii="Calibri" w:hAnsi="Calibri" w:cs="Calibri"/>
          <w:sz w:val="21"/>
          <w:szCs w:val="21"/>
        </w:rPr>
        <w:t>s</w:t>
      </w:r>
      <w:r w:rsidRPr="00FA288E">
        <w:rPr>
          <w:rFonts w:ascii="Calibri" w:hAnsi="Calibri" w:cs="Calibri"/>
          <w:sz w:val="21"/>
          <w:szCs w:val="21"/>
        </w:rPr>
        <w:t>taff of the A</w:t>
      </w:r>
      <w:r w:rsidR="000F311A" w:rsidRPr="00FA288E">
        <w:rPr>
          <w:rFonts w:ascii="Calibri" w:hAnsi="Calibri" w:cs="Calibri"/>
          <w:sz w:val="21"/>
          <w:szCs w:val="21"/>
        </w:rPr>
        <w:t xml:space="preserve">ustralian </w:t>
      </w:r>
      <w:r w:rsidR="001444CE" w:rsidRPr="00FA288E">
        <w:rPr>
          <w:rFonts w:ascii="Calibri" w:hAnsi="Calibri" w:cs="Calibri"/>
          <w:sz w:val="21"/>
          <w:szCs w:val="21"/>
        </w:rPr>
        <w:t>G</w:t>
      </w:r>
      <w:r w:rsidR="000F311A" w:rsidRPr="00FA288E">
        <w:rPr>
          <w:rFonts w:ascii="Calibri" w:hAnsi="Calibri" w:cs="Calibri"/>
          <w:sz w:val="21"/>
          <w:szCs w:val="21"/>
        </w:rPr>
        <w:t>overnment</w:t>
      </w:r>
      <w:r w:rsidR="00181D2E" w:rsidRPr="00FA288E">
        <w:rPr>
          <w:rFonts w:ascii="Calibri" w:hAnsi="Calibri" w:cs="Calibri"/>
          <w:sz w:val="21"/>
          <w:szCs w:val="21"/>
        </w:rPr>
        <w:t xml:space="preserve">. These staff members, having the cultural awareness and technical skills are able to </w:t>
      </w:r>
      <w:r w:rsidRPr="00FA288E">
        <w:rPr>
          <w:rFonts w:ascii="Calibri" w:hAnsi="Calibri" w:cs="Calibri"/>
          <w:sz w:val="21"/>
          <w:szCs w:val="21"/>
        </w:rPr>
        <w:t>facilitate</w:t>
      </w:r>
      <w:r w:rsidR="00181D2E" w:rsidRPr="00FA288E">
        <w:rPr>
          <w:rFonts w:ascii="Calibri" w:hAnsi="Calibri" w:cs="Calibri"/>
          <w:sz w:val="21"/>
          <w:szCs w:val="21"/>
        </w:rPr>
        <w:t xml:space="preserve"> interactions</w:t>
      </w:r>
      <w:r w:rsidRPr="00FA288E">
        <w:rPr>
          <w:rFonts w:ascii="Calibri" w:hAnsi="Calibri" w:cs="Calibri"/>
          <w:sz w:val="21"/>
          <w:szCs w:val="21"/>
        </w:rPr>
        <w:t xml:space="preserve"> and communications with and between NDOE, DNPM and the A</w:t>
      </w:r>
      <w:r w:rsidR="000F311A" w:rsidRPr="00FA288E">
        <w:rPr>
          <w:rFonts w:ascii="Calibri" w:hAnsi="Calibri" w:cs="Calibri"/>
          <w:sz w:val="21"/>
          <w:szCs w:val="21"/>
        </w:rPr>
        <w:t xml:space="preserve">ustralian </w:t>
      </w:r>
      <w:r w:rsidR="001444CE" w:rsidRPr="00FA288E">
        <w:rPr>
          <w:rFonts w:ascii="Calibri" w:hAnsi="Calibri" w:cs="Calibri"/>
          <w:sz w:val="21"/>
          <w:szCs w:val="21"/>
        </w:rPr>
        <w:t>G</w:t>
      </w:r>
      <w:r w:rsidR="000F311A" w:rsidRPr="00FA288E">
        <w:rPr>
          <w:rFonts w:ascii="Calibri" w:hAnsi="Calibri" w:cs="Calibri"/>
          <w:sz w:val="21"/>
          <w:szCs w:val="21"/>
        </w:rPr>
        <w:t>overnment</w:t>
      </w:r>
      <w:r w:rsidR="00921E65" w:rsidRPr="00FA288E">
        <w:rPr>
          <w:rFonts w:ascii="Calibri" w:hAnsi="Calibri" w:cs="Calibri"/>
          <w:sz w:val="21"/>
          <w:szCs w:val="21"/>
        </w:rPr>
        <w:t>.</w:t>
      </w:r>
    </w:p>
    <w:p w14:paraId="3995CED5" w14:textId="77777777" w:rsidR="00A34CB9" w:rsidRPr="00FA288E" w:rsidRDefault="00614C93" w:rsidP="00FF62CC">
      <w:pPr>
        <w:pStyle w:val="ListParagraph"/>
        <w:numPr>
          <w:ilvl w:val="0"/>
          <w:numId w:val="85"/>
        </w:numPr>
        <w:spacing w:after="80" w:line="240" w:lineRule="auto"/>
        <w:ind w:left="540"/>
        <w:jc w:val="both"/>
        <w:rPr>
          <w:rFonts w:ascii="Calibri" w:hAnsi="Calibri" w:cs="Calibri"/>
          <w:sz w:val="21"/>
          <w:szCs w:val="21"/>
          <w:lang w:val="en-AU"/>
        </w:rPr>
      </w:pPr>
      <w:r w:rsidRPr="00FA288E">
        <w:rPr>
          <w:rFonts w:ascii="Calibri" w:eastAsia="Calibri" w:hAnsi="Calibri" w:cs="Calibri"/>
          <w:iCs/>
          <w:sz w:val="21"/>
          <w:szCs w:val="21"/>
          <w:lang w:val="en-AU"/>
        </w:rPr>
        <w:t>Enhancing</w:t>
      </w:r>
      <w:r w:rsidR="00BD0E3B" w:rsidRPr="00FA288E">
        <w:rPr>
          <w:rFonts w:ascii="Calibri" w:eastAsia="Calibri" w:hAnsi="Calibri" w:cs="Calibri"/>
          <w:iCs/>
          <w:sz w:val="21"/>
          <w:szCs w:val="21"/>
          <w:lang w:val="en-AU"/>
        </w:rPr>
        <w:t xml:space="preserve"> </w:t>
      </w:r>
      <w:r w:rsidRPr="00FA288E">
        <w:rPr>
          <w:rFonts w:ascii="Calibri" w:eastAsia="Calibri" w:hAnsi="Calibri" w:cs="Calibri"/>
          <w:iCs/>
          <w:sz w:val="21"/>
          <w:szCs w:val="21"/>
          <w:lang w:val="en-AU"/>
        </w:rPr>
        <w:t xml:space="preserve">sustainability </w:t>
      </w:r>
      <w:r w:rsidR="00EA3CBE" w:rsidRPr="00FA288E">
        <w:rPr>
          <w:rFonts w:ascii="Calibri" w:eastAsia="Calibri" w:hAnsi="Calibri" w:cs="Calibri"/>
          <w:iCs/>
          <w:sz w:val="21"/>
          <w:szCs w:val="21"/>
          <w:lang w:val="en-AU"/>
        </w:rPr>
        <w:t>of outcomes</w:t>
      </w:r>
    </w:p>
    <w:p w14:paraId="432CA196" w14:textId="77777777" w:rsidR="00614C93" w:rsidRPr="00FA288E" w:rsidRDefault="00614C93" w:rsidP="005C700B">
      <w:pPr>
        <w:pStyle w:val="Bullets"/>
        <w:numPr>
          <w:ilvl w:val="0"/>
          <w:numId w:val="34"/>
        </w:numPr>
        <w:spacing w:after="0" w:line="240" w:lineRule="auto"/>
        <w:ind w:left="900" w:hanging="357"/>
        <w:jc w:val="both"/>
        <w:rPr>
          <w:rFonts w:ascii="Calibri" w:hAnsi="Calibri" w:cs="Calibri"/>
          <w:sz w:val="21"/>
          <w:szCs w:val="21"/>
        </w:rPr>
      </w:pPr>
      <w:r w:rsidRPr="00FA288E">
        <w:rPr>
          <w:rFonts w:ascii="Calibri" w:hAnsi="Calibri" w:cs="Calibri"/>
          <w:sz w:val="21"/>
          <w:szCs w:val="21"/>
        </w:rPr>
        <w:t>Acknowledge and require investments to reflect the fact that GoPNG is likely to be, for the short to medium-term, in a constrained financial position</w:t>
      </w:r>
      <w:r w:rsidR="00181D2E" w:rsidRPr="00FA288E">
        <w:rPr>
          <w:rFonts w:ascii="Calibri" w:hAnsi="Calibri" w:cs="Calibri"/>
          <w:sz w:val="21"/>
          <w:szCs w:val="21"/>
        </w:rPr>
        <w:t xml:space="preserve"> and not in a position to institutionalise and sustain costly solutions</w:t>
      </w:r>
      <w:r w:rsidRPr="00FA288E">
        <w:rPr>
          <w:rFonts w:ascii="Calibri" w:hAnsi="Calibri" w:cs="Calibri"/>
          <w:sz w:val="21"/>
          <w:szCs w:val="21"/>
        </w:rPr>
        <w:t>. Solutions proposed by projects, if they are intended to be sustained, will need to be appropriate for a limited government funding environment</w:t>
      </w:r>
    </w:p>
    <w:p w14:paraId="223FDA06" w14:textId="77777777" w:rsidR="00614C93" w:rsidRPr="00FA288E" w:rsidRDefault="00614C93" w:rsidP="005C700B">
      <w:pPr>
        <w:pStyle w:val="Bullets"/>
        <w:numPr>
          <w:ilvl w:val="0"/>
          <w:numId w:val="34"/>
        </w:numPr>
        <w:spacing w:after="0" w:line="240" w:lineRule="auto"/>
        <w:ind w:left="900" w:hanging="357"/>
        <w:jc w:val="both"/>
        <w:rPr>
          <w:rFonts w:ascii="Calibri" w:hAnsi="Calibri" w:cs="Calibri"/>
          <w:sz w:val="21"/>
          <w:szCs w:val="21"/>
        </w:rPr>
      </w:pPr>
      <w:r w:rsidRPr="00FA288E">
        <w:rPr>
          <w:rFonts w:ascii="Calibri" w:hAnsi="Calibri" w:cs="Calibri"/>
          <w:sz w:val="21"/>
          <w:szCs w:val="21"/>
        </w:rPr>
        <w:t xml:space="preserve">Bring key decision-makers, influence-holders and stakeholders in early on investment discussions </w:t>
      </w:r>
      <w:r w:rsidR="00181D2E" w:rsidRPr="00FA288E">
        <w:rPr>
          <w:rFonts w:ascii="Calibri" w:hAnsi="Calibri" w:cs="Calibri"/>
          <w:sz w:val="21"/>
          <w:szCs w:val="21"/>
        </w:rPr>
        <w:t>will help to</w:t>
      </w:r>
      <w:r w:rsidRPr="00FA288E">
        <w:rPr>
          <w:rFonts w:ascii="Calibri" w:hAnsi="Calibri" w:cs="Calibri"/>
          <w:sz w:val="21"/>
          <w:szCs w:val="21"/>
        </w:rPr>
        <w:t xml:space="preserve"> build ownership and commitment</w:t>
      </w:r>
    </w:p>
    <w:p w14:paraId="069BEC8E" w14:textId="77777777" w:rsidR="00614C93" w:rsidRPr="00FA288E" w:rsidRDefault="00614C93" w:rsidP="005C700B">
      <w:pPr>
        <w:pStyle w:val="Bullets"/>
        <w:numPr>
          <w:ilvl w:val="0"/>
          <w:numId w:val="34"/>
        </w:numPr>
        <w:spacing w:after="80" w:line="240" w:lineRule="auto"/>
        <w:ind w:left="907"/>
        <w:jc w:val="both"/>
        <w:rPr>
          <w:rFonts w:ascii="Calibri" w:hAnsi="Calibri" w:cs="Calibri"/>
          <w:sz w:val="21"/>
          <w:szCs w:val="21"/>
        </w:rPr>
      </w:pPr>
      <w:r w:rsidRPr="00FA288E">
        <w:rPr>
          <w:rFonts w:ascii="Calibri" w:hAnsi="Calibri" w:cs="Calibri"/>
          <w:sz w:val="21"/>
          <w:szCs w:val="21"/>
        </w:rPr>
        <w:t xml:space="preserve">Place </w:t>
      </w:r>
      <w:r w:rsidR="00AC6E48" w:rsidRPr="00FA288E">
        <w:rPr>
          <w:rFonts w:ascii="Calibri" w:hAnsi="Calibri" w:cs="Calibri"/>
          <w:sz w:val="21"/>
          <w:szCs w:val="21"/>
        </w:rPr>
        <w:t xml:space="preserve">increased </w:t>
      </w:r>
      <w:r w:rsidRPr="00FA288E">
        <w:rPr>
          <w:rFonts w:ascii="Calibri" w:hAnsi="Calibri" w:cs="Calibri"/>
          <w:sz w:val="21"/>
          <w:szCs w:val="21"/>
        </w:rPr>
        <w:t>efforts on strengthening partnerships with civil society and the private sector</w:t>
      </w:r>
      <w:r w:rsidR="00AC6E48" w:rsidRPr="00FA288E">
        <w:rPr>
          <w:rFonts w:ascii="Calibri" w:hAnsi="Calibri" w:cs="Calibri"/>
          <w:sz w:val="21"/>
          <w:szCs w:val="21"/>
        </w:rPr>
        <w:t xml:space="preserve"> to support implementation of sustainable education solutions</w:t>
      </w:r>
    </w:p>
    <w:p w14:paraId="26CEA4EE" w14:textId="77777777" w:rsidR="00A34CB9" w:rsidRPr="00FA288E" w:rsidRDefault="00614C93" w:rsidP="00FF62CC">
      <w:pPr>
        <w:pStyle w:val="ListParagraph"/>
        <w:numPr>
          <w:ilvl w:val="0"/>
          <w:numId w:val="85"/>
        </w:numPr>
        <w:spacing w:after="80" w:line="240" w:lineRule="auto"/>
        <w:ind w:left="540"/>
        <w:jc w:val="both"/>
        <w:rPr>
          <w:rFonts w:ascii="Calibri" w:eastAsiaTheme="minorHAnsi" w:hAnsi="Calibri" w:cs="Calibri"/>
          <w:sz w:val="21"/>
          <w:szCs w:val="21"/>
          <w:lang w:val="en-AU"/>
        </w:rPr>
      </w:pPr>
      <w:r w:rsidRPr="00FA288E">
        <w:rPr>
          <w:rFonts w:ascii="Calibri" w:eastAsiaTheme="minorHAnsi" w:hAnsi="Calibri" w:cs="Calibri"/>
          <w:sz w:val="21"/>
          <w:szCs w:val="21"/>
          <w:lang w:val="en-AU"/>
        </w:rPr>
        <w:t xml:space="preserve">The </w:t>
      </w:r>
      <w:r w:rsidRPr="00FA288E">
        <w:rPr>
          <w:rFonts w:ascii="Calibri" w:eastAsia="Calibri" w:hAnsi="Calibri" w:cs="Calibri"/>
          <w:iCs/>
          <w:sz w:val="21"/>
          <w:szCs w:val="21"/>
          <w:lang w:val="en-AU"/>
        </w:rPr>
        <w:t>relative</w:t>
      </w:r>
      <w:r w:rsidRPr="00FA288E">
        <w:rPr>
          <w:rFonts w:ascii="Calibri" w:eastAsiaTheme="minorHAnsi" w:hAnsi="Calibri" w:cs="Calibri"/>
          <w:sz w:val="21"/>
          <w:szCs w:val="21"/>
          <w:lang w:val="en-AU"/>
        </w:rPr>
        <w:t xml:space="preserve"> merits of continuing the PPF grant mechanism as a separate funding stream beyond the proposed completion of the grants </w:t>
      </w:r>
      <w:r w:rsidR="00E90BF2" w:rsidRPr="00FA288E">
        <w:rPr>
          <w:rFonts w:ascii="Calibri" w:eastAsiaTheme="minorHAnsi" w:hAnsi="Calibri" w:cs="Calibri"/>
          <w:sz w:val="21"/>
          <w:szCs w:val="21"/>
          <w:lang w:val="en-AU"/>
        </w:rPr>
        <w:t xml:space="preserve">in </w:t>
      </w:r>
      <w:r w:rsidR="006166CC" w:rsidRPr="00FA288E">
        <w:rPr>
          <w:rFonts w:ascii="Calibri" w:eastAsiaTheme="minorHAnsi" w:hAnsi="Calibri" w:cs="Calibri"/>
          <w:sz w:val="21"/>
          <w:szCs w:val="21"/>
          <w:lang w:val="en-AU"/>
        </w:rPr>
        <w:t>February</w:t>
      </w:r>
      <w:r w:rsidR="00AC6E48" w:rsidRPr="00FA288E">
        <w:rPr>
          <w:rFonts w:ascii="Calibri" w:eastAsiaTheme="minorHAnsi" w:hAnsi="Calibri" w:cs="Calibri"/>
          <w:sz w:val="21"/>
          <w:szCs w:val="21"/>
          <w:lang w:val="en-AU"/>
        </w:rPr>
        <w:t xml:space="preserve"> </w:t>
      </w:r>
      <w:r w:rsidR="00E90BF2" w:rsidRPr="00FA288E">
        <w:rPr>
          <w:rFonts w:ascii="Calibri" w:eastAsiaTheme="minorHAnsi" w:hAnsi="Calibri" w:cs="Calibri"/>
          <w:sz w:val="21"/>
          <w:szCs w:val="21"/>
          <w:lang w:val="en-AU"/>
        </w:rPr>
        <w:t>2022</w:t>
      </w:r>
      <w:r w:rsidRPr="00FA288E">
        <w:rPr>
          <w:rFonts w:ascii="Calibri" w:eastAsiaTheme="minorHAnsi" w:hAnsi="Calibri" w:cs="Calibri"/>
          <w:sz w:val="21"/>
          <w:szCs w:val="21"/>
          <w:lang w:val="en-AU"/>
        </w:rPr>
        <w:t xml:space="preserve"> or novating PPF activities under E4</w:t>
      </w:r>
      <w:r w:rsidR="006166CC" w:rsidRPr="00FA288E">
        <w:rPr>
          <w:rFonts w:ascii="Calibri" w:eastAsiaTheme="minorHAnsi" w:hAnsi="Calibri" w:cs="Calibri"/>
          <w:sz w:val="21"/>
          <w:szCs w:val="21"/>
          <w:lang w:val="en-AU"/>
        </w:rPr>
        <w:t>P</w:t>
      </w:r>
    </w:p>
    <w:p w14:paraId="609A11C8" w14:textId="77777777" w:rsidR="00A915FC" w:rsidRPr="00FA288E" w:rsidRDefault="00A915FC" w:rsidP="005C700B">
      <w:pPr>
        <w:pStyle w:val="Bullets"/>
        <w:numPr>
          <w:ilvl w:val="0"/>
          <w:numId w:val="34"/>
        </w:numPr>
        <w:spacing w:after="0" w:line="240" w:lineRule="auto"/>
        <w:ind w:left="900" w:hanging="357"/>
        <w:jc w:val="both"/>
        <w:rPr>
          <w:rFonts w:ascii="Calibri" w:hAnsi="Calibri" w:cs="Calibri"/>
          <w:sz w:val="21"/>
          <w:szCs w:val="21"/>
        </w:rPr>
      </w:pPr>
      <w:r w:rsidRPr="00FA288E">
        <w:rPr>
          <w:rFonts w:ascii="Calibri" w:hAnsi="Calibri" w:cs="Calibri"/>
          <w:sz w:val="21"/>
          <w:szCs w:val="21"/>
        </w:rPr>
        <w:t xml:space="preserve">Through the current PPF </w:t>
      </w:r>
      <w:r w:rsidR="008531C5" w:rsidRPr="00FA288E">
        <w:rPr>
          <w:rFonts w:ascii="Calibri" w:hAnsi="Calibri" w:cs="Calibri"/>
          <w:sz w:val="21"/>
          <w:szCs w:val="21"/>
        </w:rPr>
        <w:t>E</w:t>
      </w:r>
      <w:r w:rsidRPr="00FA288E">
        <w:rPr>
          <w:rFonts w:ascii="Calibri" w:hAnsi="Calibri" w:cs="Calibri"/>
          <w:sz w:val="21"/>
          <w:szCs w:val="21"/>
        </w:rPr>
        <w:t xml:space="preserve">ducation </w:t>
      </w:r>
      <w:r w:rsidR="008531C5" w:rsidRPr="00FA288E">
        <w:rPr>
          <w:rFonts w:ascii="Calibri" w:hAnsi="Calibri" w:cs="Calibri"/>
          <w:sz w:val="21"/>
          <w:szCs w:val="21"/>
        </w:rPr>
        <w:t>G</w:t>
      </w:r>
      <w:r w:rsidRPr="00FA288E">
        <w:rPr>
          <w:rFonts w:ascii="Calibri" w:hAnsi="Calibri" w:cs="Calibri"/>
          <w:sz w:val="21"/>
          <w:szCs w:val="21"/>
        </w:rPr>
        <w:t>rants, it has been demonstrated that grants can be used to mobilise implementation quickly and efficiently</w:t>
      </w:r>
      <w:r w:rsidR="00835942" w:rsidRPr="00FA288E">
        <w:rPr>
          <w:rFonts w:ascii="Calibri" w:hAnsi="Calibri" w:cs="Calibri"/>
          <w:sz w:val="21"/>
          <w:szCs w:val="21"/>
        </w:rPr>
        <w:t xml:space="preserve"> and by using consortia, achieve increased reach and benefit from the unique added value of different organisations</w:t>
      </w:r>
      <w:r w:rsidRPr="00FA288E">
        <w:rPr>
          <w:rFonts w:ascii="Calibri" w:hAnsi="Calibri" w:cs="Calibri"/>
          <w:sz w:val="21"/>
          <w:szCs w:val="21"/>
        </w:rPr>
        <w:t xml:space="preserve">  </w:t>
      </w:r>
    </w:p>
    <w:p w14:paraId="11A8FEE6" w14:textId="77777777" w:rsidR="00A915FC" w:rsidRPr="00FA288E" w:rsidRDefault="00835942" w:rsidP="005C700B">
      <w:pPr>
        <w:pStyle w:val="Bullets"/>
        <w:numPr>
          <w:ilvl w:val="0"/>
          <w:numId w:val="34"/>
        </w:numPr>
        <w:spacing w:after="0" w:line="240" w:lineRule="auto"/>
        <w:ind w:left="900" w:hanging="357"/>
        <w:jc w:val="both"/>
        <w:rPr>
          <w:rFonts w:ascii="Calibri" w:hAnsi="Calibri" w:cs="Calibri"/>
          <w:sz w:val="21"/>
          <w:szCs w:val="21"/>
        </w:rPr>
      </w:pPr>
      <w:r w:rsidRPr="00FA288E">
        <w:rPr>
          <w:rFonts w:ascii="Calibri" w:hAnsi="Calibri" w:cs="Calibri"/>
          <w:sz w:val="21"/>
          <w:szCs w:val="21"/>
        </w:rPr>
        <w:t xml:space="preserve">Engaging the current </w:t>
      </w:r>
      <w:r w:rsidR="00A915FC" w:rsidRPr="00FA288E">
        <w:rPr>
          <w:rFonts w:ascii="Calibri" w:hAnsi="Calibri" w:cs="Calibri"/>
          <w:sz w:val="21"/>
          <w:szCs w:val="21"/>
        </w:rPr>
        <w:t>consortia</w:t>
      </w:r>
      <w:r w:rsidRPr="00FA288E">
        <w:rPr>
          <w:rFonts w:ascii="Calibri" w:hAnsi="Calibri" w:cs="Calibri"/>
          <w:sz w:val="21"/>
          <w:szCs w:val="21"/>
        </w:rPr>
        <w:t xml:space="preserve"> as part of a longer-term partnership</w:t>
      </w:r>
      <w:r w:rsidR="00A915FC" w:rsidRPr="00FA288E">
        <w:rPr>
          <w:rFonts w:ascii="Calibri" w:hAnsi="Calibri" w:cs="Calibri"/>
          <w:sz w:val="21"/>
          <w:szCs w:val="21"/>
        </w:rPr>
        <w:t xml:space="preserve"> has </w:t>
      </w:r>
      <w:r w:rsidRPr="00FA288E">
        <w:rPr>
          <w:rFonts w:ascii="Calibri" w:hAnsi="Calibri" w:cs="Calibri"/>
          <w:sz w:val="21"/>
          <w:szCs w:val="21"/>
        </w:rPr>
        <w:t>considerable merit</w:t>
      </w:r>
      <w:r w:rsidR="00A915FC" w:rsidRPr="00FA288E">
        <w:rPr>
          <w:rFonts w:ascii="Calibri" w:hAnsi="Calibri" w:cs="Calibri"/>
          <w:sz w:val="21"/>
          <w:szCs w:val="21"/>
        </w:rPr>
        <w:t xml:space="preserve"> as the grantees </w:t>
      </w:r>
      <w:r w:rsidRPr="00FA288E">
        <w:rPr>
          <w:rFonts w:ascii="Calibri" w:hAnsi="Calibri" w:cs="Calibri"/>
          <w:sz w:val="21"/>
          <w:szCs w:val="21"/>
        </w:rPr>
        <w:t xml:space="preserve">already </w:t>
      </w:r>
      <w:r w:rsidR="00A915FC" w:rsidRPr="00FA288E">
        <w:rPr>
          <w:rFonts w:ascii="Calibri" w:hAnsi="Calibri" w:cs="Calibri"/>
          <w:sz w:val="21"/>
          <w:szCs w:val="21"/>
        </w:rPr>
        <w:t>have working relationships with education officials at the national, provincial, district and school levels</w:t>
      </w:r>
      <w:r w:rsidRPr="00FA288E">
        <w:rPr>
          <w:rFonts w:ascii="Calibri" w:hAnsi="Calibri" w:cs="Calibri"/>
          <w:sz w:val="21"/>
          <w:szCs w:val="21"/>
        </w:rPr>
        <w:t xml:space="preserve"> and have rich knowledge and experiences to draw upon to inform future activities</w:t>
      </w:r>
    </w:p>
    <w:p w14:paraId="1B477DD9" w14:textId="77777777" w:rsidR="00A34CB9" w:rsidRPr="00FA288E" w:rsidRDefault="00D856CB" w:rsidP="005C700B">
      <w:pPr>
        <w:pStyle w:val="Bullets"/>
        <w:numPr>
          <w:ilvl w:val="0"/>
          <w:numId w:val="34"/>
        </w:numPr>
        <w:spacing w:after="80" w:line="240" w:lineRule="auto"/>
        <w:ind w:left="900" w:hanging="357"/>
        <w:jc w:val="both"/>
      </w:pPr>
      <w:r w:rsidRPr="00FA288E">
        <w:rPr>
          <w:rFonts w:ascii="Calibri" w:hAnsi="Calibri" w:cs="Calibri"/>
          <w:sz w:val="21"/>
          <w:szCs w:val="21"/>
        </w:rPr>
        <w:t xml:space="preserve">It is recommended to continue the grant funding approach in parallel with and </w:t>
      </w:r>
      <w:r w:rsidRPr="00FA288E">
        <w:rPr>
          <w:rFonts w:ascii="Calibri" w:hAnsi="Calibri" w:cs="Calibri"/>
          <w:i/>
          <w:iCs/>
          <w:sz w:val="21"/>
          <w:szCs w:val="21"/>
        </w:rPr>
        <w:t>part of</w:t>
      </w:r>
      <w:r w:rsidRPr="00FA288E">
        <w:rPr>
          <w:rFonts w:ascii="Calibri" w:hAnsi="Calibri" w:cs="Calibri"/>
          <w:sz w:val="21"/>
          <w:szCs w:val="21"/>
        </w:rPr>
        <w:t xml:space="preserve"> the E4P investment. While the current grantees are </w:t>
      </w:r>
      <w:r w:rsidR="00835942" w:rsidRPr="00FA288E">
        <w:rPr>
          <w:rFonts w:ascii="Calibri" w:hAnsi="Calibri" w:cs="Calibri"/>
          <w:sz w:val="21"/>
          <w:szCs w:val="21"/>
        </w:rPr>
        <w:t xml:space="preserve">highly </w:t>
      </w:r>
      <w:r w:rsidR="00A915FC" w:rsidRPr="00FA288E">
        <w:rPr>
          <w:rFonts w:ascii="Calibri" w:hAnsi="Calibri" w:cs="Calibri"/>
          <w:sz w:val="21"/>
          <w:szCs w:val="21"/>
        </w:rPr>
        <w:t xml:space="preserve">skilled </w:t>
      </w:r>
      <w:r w:rsidR="00835942" w:rsidRPr="00FA288E">
        <w:rPr>
          <w:rFonts w:ascii="Calibri" w:hAnsi="Calibri" w:cs="Calibri"/>
          <w:sz w:val="21"/>
          <w:szCs w:val="21"/>
        </w:rPr>
        <w:t xml:space="preserve">and experienced </w:t>
      </w:r>
      <w:r w:rsidR="00A915FC" w:rsidRPr="00FA288E">
        <w:rPr>
          <w:rFonts w:ascii="Calibri" w:hAnsi="Calibri" w:cs="Calibri"/>
          <w:sz w:val="21"/>
          <w:szCs w:val="21"/>
        </w:rPr>
        <w:t xml:space="preserve">at field level implementation, </w:t>
      </w:r>
      <w:r w:rsidR="00835942" w:rsidRPr="00FA288E">
        <w:rPr>
          <w:rFonts w:ascii="Calibri" w:hAnsi="Calibri" w:cs="Calibri"/>
          <w:sz w:val="21"/>
          <w:szCs w:val="21"/>
        </w:rPr>
        <w:t>future engagement of</w:t>
      </w:r>
      <w:r w:rsidR="00A915FC" w:rsidRPr="00FA288E">
        <w:rPr>
          <w:rFonts w:ascii="Calibri" w:hAnsi="Calibri" w:cs="Calibri"/>
          <w:sz w:val="21"/>
          <w:szCs w:val="21"/>
        </w:rPr>
        <w:t xml:space="preserve"> consortia </w:t>
      </w:r>
      <w:r w:rsidR="00835942" w:rsidRPr="00FA288E">
        <w:rPr>
          <w:rFonts w:ascii="Calibri" w:hAnsi="Calibri" w:cs="Calibri"/>
          <w:sz w:val="21"/>
          <w:szCs w:val="21"/>
        </w:rPr>
        <w:t xml:space="preserve">should be coordinated </w:t>
      </w:r>
      <w:r w:rsidRPr="00FA288E">
        <w:rPr>
          <w:rFonts w:ascii="Calibri" w:hAnsi="Calibri" w:cs="Calibri"/>
          <w:sz w:val="21"/>
          <w:szCs w:val="21"/>
        </w:rPr>
        <w:t>by a single organisation to ensure consistent guidance.  It would be the responsibility of this organisation to engage in strategy and policy discussions</w:t>
      </w:r>
      <w:r w:rsidR="00A915FC" w:rsidRPr="00FA288E">
        <w:rPr>
          <w:rFonts w:ascii="Calibri" w:hAnsi="Calibri" w:cs="Calibri"/>
          <w:sz w:val="21"/>
          <w:szCs w:val="21"/>
        </w:rPr>
        <w:t xml:space="preserve"> at the senior levels of government – an </w:t>
      </w:r>
      <w:r w:rsidRPr="00FA288E">
        <w:rPr>
          <w:rFonts w:ascii="Calibri" w:hAnsi="Calibri" w:cs="Calibri"/>
          <w:sz w:val="21"/>
          <w:szCs w:val="21"/>
        </w:rPr>
        <w:t>aspect</w:t>
      </w:r>
      <w:r w:rsidR="00A915FC" w:rsidRPr="00FA288E">
        <w:rPr>
          <w:rFonts w:ascii="Calibri" w:hAnsi="Calibri" w:cs="Calibri"/>
          <w:sz w:val="21"/>
          <w:szCs w:val="21"/>
        </w:rPr>
        <w:t xml:space="preserve"> that will be </w:t>
      </w:r>
      <w:r w:rsidRPr="00FA288E">
        <w:rPr>
          <w:rFonts w:ascii="Calibri" w:hAnsi="Calibri" w:cs="Calibri"/>
          <w:sz w:val="21"/>
          <w:szCs w:val="21"/>
        </w:rPr>
        <w:t xml:space="preserve">increasingly </w:t>
      </w:r>
      <w:r w:rsidR="00A915FC" w:rsidRPr="00FA288E">
        <w:rPr>
          <w:rFonts w:ascii="Calibri" w:hAnsi="Calibri" w:cs="Calibri"/>
          <w:sz w:val="21"/>
          <w:szCs w:val="21"/>
        </w:rPr>
        <w:t>required in the future</w:t>
      </w:r>
      <w:r w:rsidRPr="00FA288E">
        <w:rPr>
          <w:rFonts w:ascii="Calibri" w:hAnsi="Calibri" w:cs="Calibri"/>
          <w:sz w:val="21"/>
          <w:szCs w:val="21"/>
        </w:rPr>
        <w:t>. This approach would help facilitate coordination and collaboration and reduce transactional costs for the Australian Government and GoPNG. NGOs could focus on augmenting service delivery while the broader investment can focus on influencing more systemic change and addressing longer-term sustainability issues</w:t>
      </w:r>
    </w:p>
    <w:p w14:paraId="20B39B77" w14:textId="77777777" w:rsidR="008E2685" w:rsidRPr="00FA288E" w:rsidRDefault="008E2685" w:rsidP="00FF62CC">
      <w:pPr>
        <w:pStyle w:val="Heading2"/>
        <w:numPr>
          <w:ilvl w:val="0"/>
          <w:numId w:val="60"/>
        </w:numPr>
        <w:spacing w:before="0" w:after="80" w:line="240" w:lineRule="auto"/>
        <w:ind w:left="360" w:hanging="360"/>
        <w:rPr>
          <w:b w:val="0"/>
          <w:bCs w:val="0"/>
          <w:sz w:val="32"/>
          <w:szCs w:val="32"/>
        </w:rPr>
      </w:pPr>
      <w:bookmarkStart w:id="93" w:name="_Summary_of_Lessons"/>
      <w:bookmarkStart w:id="94" w:name="_Toc31625594"/>
      <w:bookmarkStart w:id="95" w:name="_Toc42075974"/>
      <w:bookmarkEnd w:id="93"/>
      <w:r w:rsidRPr="00FA288E">
        <w:rPr>
          <w:b w:val="0"/>
          <w:bCs w:val="0"/>
          <w:sz w:val="32"/>
          <w:szCs w:val="32"/>
        </w:rPr>
        <w:lastRenderedPageBreak/>
        <w:t>Summary of Lessons Learnt</w:t>
      </w:r>
      <w:bookmarkEnd w:id="94"/>
      <w:bookmarkEnd w:id="95"/>
    </w:p>
    <w:p w14:paraId="255FEF76" w14:textId="77777777" w:rsidR="008E2685" w:rsidRPr="00FA288E" w:rsidRDefault="008E2685" w:rsidP="00B15723">
      <w:pPr>
        <w:spacing w:after="80" w:line="240" w:lineRule="auto"/>
        <w:jc w:val="both"/>
        <w:rPr>
          <w:rFonts w:eastAsiaTheme="minorHAnsi" w:cs="Calibri"/>
          <w:szCs w:val="21"/>
        </w:rPr>
      </w:pPr>
      <w:r w:rsidRPr="00FA288E">
        <w:rPr>
          <w:rFonts w:eastAsiaTheme="minorHAnsi" w:cs="Calibri"/>
          <w:szCs w:val="21"/>
        </w:rPr>
        <w:t xml:space="preserve">Based on the experience of the PPF Education Grants, it is evident that NGOs are able to mobilise quickly, particularly in areas in which they have worked previously.  The strength of NGO’s experience and commitment and the collaborative approach through working in consortia is making things happen at the </w:t>
      </w:r>
      <w:r w:rsidR="00B15723" w:rsidRPr="00FA288E">
        <w:rPr>
          <w:rFonts w:eastAsiaTheme="minorHAnsi" w:cs="Calibri"/>
          <w:szCs w:val="21"/>
        </w:rPr>
        <w:t xml:space="preserve">school and </w:t>
      </w:r>
      <w:r w:rsidRPr="00FA288E">
        <w:rPr>
          <w:rFonts w:eastAsiaTheme="minorHAnsi" w:cs="Calibri"/>
          <w:szCs w:val="21"/>
        </w:rPr>
        <w:t>community level</w:t>
      </w:r>
      <w:r w:rsidR="00B15723" w:rsidRPr="00FA288E">
        <w:rPr>
          <w:rFonts w:eastAsiaTheme="minorHAnsi" w:cs="Calibri"/>
          <w:szCs w:val="21"/>
        </w:rPr>
        <w:t xml:space="preserve"> achieving </w:t>
      </w:r>
      <w:r w:rsidRPr="00FA288E">
        <w:rPr>
          <w:rFonts w:eastAsiaTheme="minorHAnsi" w:cs="Calibri"/>
          <w:szCs w:val="21"/>
        </w:rPr>
        <w:t xml:space="preserve">the aim of the PPF mechanism to </w:t>
      </w:r>
      <w:r w:rsidR="00B15723" w:rsidRPr="00FA288E">
        <w:rPr>
          <w:rFonts w:eastAsiaTheme="minorHAnsi" w:cs="Calibri"/>
          <w:szCs w:val="21"/>
        </w:rPr>
        <w:t>realise</w:t>
      </w:r>
      <w:r w:rsidRPr="00FA288E">
        <w:rPr>
          <w:rFonts w:eastAsiaTheme="minorHAnsi" w:cs="Calibri"/>
          <w:szCs w:val="21"/>
        </w:rPr>
        <w:t xml:space="preserve"> significant reach.  This </w:t>
      </w:r>
      <w:r w:rsidR="00B15723" w:rsidRPr="00FA288E">
        <w:rPr>
          <w:rFonts w:eastAsiaTheme="minorHAnsi" w:cs="Calibri"/>
          <w:szCs w:val="21"/>
        </w:rPr>
        <w:t xml:space="preserve">approach </w:t>
      </w:r>
      <w:r w:rsidRPr="00FA288E">
        <w:rPr>
          <w:rFonts w:eastAsiaTheme="minorHAnsi" w:cs="Calibri"/>
          <w:szCs w:val="21"/>
        </w:rPr>
        <w:t>is effective for the delivery of services, however for these efforts to influence policy and practice, a parallel effort is needed to quality assure, consolidate</w:t>
      </w:r>
      <w:r w:rsidR="00B15723" w:rsidRPr="00FA288E">
        <w:rPr>
          <w:rFonts w:eastAsiaTheme="minorHAnsi" w:cs="Calibri"/>
          <w:szCs w:val="21"/>
        </w:rPr>
        <w:t xml:space="preserve">, </w:t>
      </w:r>
      <w:r w:rsidRPr="00FA288E">
        <w:rPr>
          <w:rFonts w:eastAsiaTheme="minorHAnsi" w:cs="Calibri"/>
          <w:szCs w:val="21"/>
        </w:rPr>
        <w:t xml:space="preserve">synthesise </w:t>
      </w:r>
      <w:r w:rsidR="00B15723" w:rsidRPr="00FA288E">
        <w:rPr>
          <w:rFonts w:eastAsiaTheme="minorHAnsi" w:cs="Calibri"/>
          <w:szCs w:val="21"/>
        </w:rPr>
        <w:t xml:space="preserve">and communicate </w:t>
      </w:r>
      <w:r w:rsidRPr="00FA288E">
        <w:rPr>
          <w:rFonts w:eastAsiaTheme="minorHAnsi" w:cs="Calibri"/>
          <w:szCs w:val="21"/>
        </w:rPr>
        <w:t xml:space="preserve">the evidence emerging from the implementation experience of the NGOs and to appropriately engage officials at </w:t>
      </w:r>
      <w:r w:rsidR="00B15723" w:rsidRPr="00FA288E">
        <w:rPr>
          <w:rFonts w:eastAsiaTheme="minorHAnsi" w:cs="Calibri"/>
          <w:szCs w:val="21"/>
        </w:rPr>
        <w:t>all levels of government</w:t>
      </w:r>
      <w:r w:rsidRPr="00FA288E">
        <w:rPr>
          <w:rFonts w:eastAsiaTheme="minorHAnsi" w:cs="Calibri"/>
          <w:szCs w:val="21"/>
        </w:rPr>
        <w:t>.</w:t>
      </w:r>
    </w:p>
    <w:p w14:paraId="6C72436D" w14:textId="77777777" w:rsidR="008E2685" w:rsidRPr="00FA288E" w:rsidRDefault="008E2685" w:rsidP="00B15723">
      <w:pPr>
        <w:spacing w:after="80" w:line="240" w:lineRule="auto"/>
        <w:jc w:val="both"/>
        <w:rPr>
          <w:rFonts w:eastAsiaTheme="minorHAnsi" w:cs="Calibri"/>
          <w:szCs w:val="21"/>
        </w:rPr>
      </w:pPr>
      <w:r w:rsidRPr="00FA288E">
        <w:rPr>
          <w:rFonts w:eastAsiaTheme="minorHAnsi" w:cs="Calibri"/>
          <w:szCs w:val="21"/>
        </w:rPr>
        <w:t xml:space="preserve">The relatively short, three-year timeframe </w:t>
      </w:r>
      <w:r w:rsidR="00675968" w:rsidRPr="00FA288E">
        <w:rPr>
          <w:rFonts w:eastAsiaTheme="minorHAnsi" w:cs="Calibri"/>
          <w:szCs w:val="21"/>
        </w:rPr>
        <w:t xml:space="preserve">is </w:t>
      </w:r>
      <w:r w:rsidR="00B15723" w:rsidRPr="00FA288E">
        <w:rPr>
          <w:rFonts w:eastAsiaTheme="minorHAnsi" w:cs="Calibri"/>
          <w:szCs w:val="21"/>
        </w:rPr>
        <w:t xml:space="preserve">considered to be </w:t>
      </w:r>
      <w:r w:rsidR="00675968" w:rsidRPr="00FA288E">
        <w:rPr>
          <w:rFonts w:eastAsiaTheme="minorHAnsi" w:cs="Calibri"/>
          <w:szCs w:val="21"/>
        </w:rPr>
        <w:t xml:space="preserve">insufficient to derive </w:t>
      </w:r>
      <w:r w:rsidR="00B15723" w:rsidRPr="00FA288E">
        <w:rPr>
          <w:rFonts w:eastAsiaTheme="minorHAnsi" w:cs="Calibri"/>
          <w:szCs w:val="21"/>
        </w:rPr>
        <w:t xml:space="preserve">the important </w:t>
      </w:r>
      <w:r w:rsidR="00675968" w:rsidRPr="00FA288E">
        <w:rPr>
          <w:rFonts w:eastAsiaTheme="minorHAnsi" w:cs="Calibri"/>
          <w:szCs w:val="21"/>
        </w:rPr>
        <w:t>l</w:t>
      </w:r>
      <w:r w:rsidRPr="00FA288E">
        <w:rPr>
          <w:rFonts w:eastAsiaTheme="minorHAnsi" w:cs="Calibri"/>
          <w:szCs w:val="21"/>
        </w:rPr>
        <w:t>essons learned</w:t>
      </w:r>
      <w:r w:rsidR="00675968" w:rsidRPr="00FA288E">
        <w:rPr>
          <w:rFonts w:eastAsiaTheme="minorHAnsi" w:cs="Calibri"/>
          <w:szCs w:val="21"/>
        </w:rPr>
        <w:t xml:space="preserve"> from implementation and to use </w:t>
      </w:r>
      <w:r w:rsidR="00B15723" w:rsidRPr="00FA288E">
        <w:rPr>
          <w:rFonts w:eastAsiaTheme="minorHAnsi" w:cs="Calibri"/>
          <w:szCs w:val="21"/>
        </w:rPr>
        <w:t>these lessons and evidence</w:t>
      </w:r>
      <w:r w:rsidR="00675968" w:rsidRPr="00FA288E">
        <w:rPr>
          <w:rFonts w:eastAsiaTheme="minorHAnsi" w:cs="Calibri"/>
          <w:szCs w:val="21"/>
        </w:rPr>
        <w:t xml:space="preserve"> to initiate </w:t>
      </w:r>
      <w:r w:rsidRPr="00FA288E">
        <w:rPr>
          <w:rFonts w:eastAsiaTheme="minorHAnsi" w:cs="Calibri"/>
          <w:szCs w:val="21"/>
        </w:rPr>
        <w:t>pro</w:t>
      </w:r>
      <w:r w:rsidR="00686098" w:rsidRPr="00FA288E">
        <w:rPr>
          <w:rFonts w:eastAsiaTheme="minorHAnsi" w:cs="Calibri"/>
          <w:szCs w:val="21"/>
        </w:rPr>
        <w:t>ject</w:t>
      </w:r>
      <w:r w:rsidRPr="00FA288E">
        <w:rPr>
          <w:rFonts w:eastAsiaTheme="minorHAnsi" w:cs="Calibri"/>
          <w:szCs w:val="21"/>
        </w:rPr>
        <w:t xml:space="preserve"> adjustments </w:t>
      </w:r>
      <w:r w:rsidR="00675968" w:rsidRPr="00FA288E">
        <w:rPr>
          <w:rFonts w:eastAsiaTheme="minorHAnsi" w:cs="Calibri"/>
          <w:szCs w:val="21"/>
        </w:rPr>
        <w:t>that will have</w:t>
      </w:r>
      <w:r w:rsidRPr="00FA288E">
        <w:rPr>
          <w:rFonts w:eastAsiaTheme="minorHAnsi" w:cs="Calibri"/>
          <w:szCs w:val="21"/>
        </w:rPr>
        <w:t xml:space="preserve"> </w:t>
      </w:r>
      <w:r w:rsidR="00B15723" w:rsidRPr="00FA288E">
        <w:rPr>
          <w:rFonts w:eastAsiaTheme="minorHAnsi" w:cs="Calibri"/>
          <w:szCs w:val="21"/>
        </w:rPr>
        <w:t>adequate</w:t>
      </w:r>
      <w:r w:rsidRPr="00FA288E">
        <w:rPr>
          <w:rFonts w:eastAsiaTheme="minorHAnsi" w:cs="Calibri"/>
          <w:szCs w:val="21"/>
        </w:rPr>
        <w:t xml:space="preserve"> time to take effect</w:t>
      </w:r>
      <w:r w:rsidR="00675968" w:rsidRPr="00FA288E">
        <w:rPr>
          <w:rFonts w:eastAsiaTheme="minorHAnsi" w:cs="Calibri"/>
          <w:szCs w:val="21"/>
        </w:rPr>
        <w:t xml:space="preserve"> and influence improvements in</w:t>
      </w:r>
      <w:r w:rsidR="009632FD" w:rsidRPr="00FA288E">
        <w:rPr>
          <w:rFonts w:eastAsiaTheme="minorHAnsi" w:cs="Calibri"/>
          <w:szCs w:val="21"/>
        </w:rPr>
        <w:t>:</w:t>
      </w:r>
      <w:r w:rsidR="00675968" w:rsidRPr="00FA288E">
        <w:rPr>
          <w:rFonts w:eastAsiaTheme="minorHAnsi" w:cs="Calibri"/>
          <w:szCs w:val="21"/>
        </w:rPr>
        <w:t xml:space="preserve"> </w:t>
      </w:r>
      <w:r w:rsidRPr="00FA288E">
        <w:rPr>
          <w:rFonts w:eastAsiaTheme="minorHAnsi" w:cs="Calibri"/>
          <w:szCs w:val="21"/>
        </w:rPr>
        <w:t>quality and sustainability</w:t>
      </w:r>
      <w:r w:rsidR="009632FD" w:rsidRPr="00FA288E">
        <w:rPr>
          <w:rFonts w:eastAsiaTheme="minorHAnsi" w:cs="Calibri"/>
          <w:szCs w:val="21"/>
        </w:rPr>
        <w:t>;</w:t>
      </w:r>
      <w:r w:rsidRPr="00FA288E">
        <w:rPr>
          <w:rFonts w:eastAsiaTheme="minorHAnsi" w:cs="Calibri"/>
          <w:szCs w:val="21"/>
        </w:rPr>
        <w:t xml:space="preserve"> </w:t>
      </w:r>
      <w:r w:rsidR="009632FD" w:rsidRPr="00FA288E">
        <w:rPr>
          <w:rFonts w:eastAsiaTheme="minorHAnsi" w:cs="Calibri"/>
          <w:szCs w:val="21"/>
        </w:rPr>
        <w:t xml:space="preserve">policies, systems and practices; </w:t>
      </w:r>
      <w:r w:rsidR="006024CE" w:rsidRPr="00FA288E">
        <w:rPr>
          <w:rFonts w:eastAsiaTheme="minorHAnsi" w:cs="Calibri"/>
          <w:szCs w:val="21"/>
        </w:rPr>
        <w:t xml:space="preserve">stakeholder </w:t>
      </w:r>
      <w:r w:rsidRPr="00FA288E">
        <w:rPr>
          <w:rFonts w:eastAsiaTheme="minorHAnsi" w:cs="Calibri"/>
          <w:szCs w:val="21"/>
        </w:rPr>
        <w:t xml:space="preserve">engagement, and </w:t>
      </w:r>
      <w:r w:rsidR="009632FD" w:rsidRPr="00FA288E">
        <w:rPr>
          <w:rFonts w:eastAsiaTheme="minorHAnsi" w:cs="Calibri"/>
          <w:szCs w:val="21"/>
        </w:rPr>
        <w:t xml:space="preserve">the </w:t>
      </w:r>
      <w:r w:rsidRPr="00FA288E">
        <w:rPr>
          <w:rFonts w:eastAsiaTheme="minorHAnsi" w:cs="Calibri"/>
          <w:szCs w:val="21"/>
        </w:rPr>
        <w:t xml:space="preserve">application of </w:t>
      </w:r>
      <w:r w:rsidR="009632FD" w:rsidRPr="00FA288E">
        <w:rPr>
          <w:rFonts w:eastAsiaTheme="minorHAnsi" w:cs="Calibri"/>
          <w:szCs w:val="21"/>
        </w:rPr>
        <w:t xml:space="preserve">newly acquired </w:t>
      </w:r>
      <w:r w:rsidRPr="00FA288E">
        <w:rPr>
          <w:rFonts w:eastAsiaTheme="minorHAnsi" w:cs="Calibri"/>
          <w:szCs w:val="21"/>
        </w:rPr>
        <w:t xml:space="preserve">knowledge and skills. </w:t>
      </w:r>
    </w:p>
    <w:p w14:paraId="7691AA53" w14:textId="77777777" w:rsidR="003524F9" w:rsidRPr="00FA288E" w:rsidRDefault="008E2685" w:rsidP="00B15723">
      <w:pPr>
        <w:spacing w:after="80" w:line="240" w:lineRule="auto"/>
        <w:jc w:val="both"/>
        <w:rPr>
          <w:rFonts w:eastAsiaTheme="minorHAnsi" w:cs="Calibri"/>
          <w:szCs w:val="21"/>
        </w:rPr>
      </w:pPr>
      <w:r w:rsidRPr="00FA288E">
        <w:rPr>
          <w:rFonts w:eastAsiaTheme="minorHAnsi" w:cs="Calibri"/>
          <w:szCs w:val="21"/>
        </w:rPr>
        <w:t xml:space="preserve">The </w:t>
      </w:r>
      <w:r w:rsidR="00B15723" w:rsidRPr="00FA288E">
        <w:rPr>
          <w:rFonts w:eastAsiaTheme="minorHAnsi" w:cs="Calibri"/>
          <w:szCs w:val="21"/>
        </w:rPr>
        <w:t>desire</w:t>
      </w:r>
      <w:r w:rsidRPr="00FA288E">
        <w:rPr>
          <w:rFonts w:eastAsiaTheme="minorHAnsi" w:cs="Calibri"/>
          <w:szCs w:val="21"/>
        </w:rPr>
        <w:t xml:space="preserve"> to reach significant target populations in a short timeframe </w:t>
      </w:r>
      <w:r w:rsidR="003524F9" w:rsidRPr="00FA288E">
        <w:rPr>
          <w:rFonts w:eastAsiaTheme="minorHAnsi" w:cs="Calibri"/>
          <w:szCs w:val="21"/>
        </w:rPr>
        <w:t xml:space="preserve">in the manner in which the PPF </w:t>
      </w:r>
      <w:r w:rsidR="008531C5" w:rsidRPr="00FA288E">
        <w:rPr>
          <w:rFonts w:eastAsiaTheme="minorHAnsi" w:cs="Calibri"/>
          <w:szCs w:val="21"/>
        </w:rPr>
        <w:t>E</w:t>
      </w:r>
      <w:r w:rsidR="003524F9" w:rsidRPr="00FA288E">
        <w:rPr>
          <w:rFonts w:eastAsiaTheme="minorHAnsi" w:cs="Calibri"/>
          <w:szCs w:val="21"/>
        </w:rPr>
        <w:t xml:space="preserve">ducation </w:t>
      </w:r>
      <w:r w:rsidR="008531C5" w:rsidRPr="00FA288E">
        <w:rPr>
          <w:rFonts w:eastAsiaTheme="minorHAnsi" w:cs="Calibri"/>
          <w:szCs w:val="21"/>
        </w:rPr>
        <w:t>G</w:t>
      </w:r>
      <w:r w:rsidR="003524F9" w:rsidRPr="00FA288E">
        <w:rPr>
          <w:rFonts w:eastAsiaTheme="minorHAnsi" w:cs="Calibri"/>
          <w:szCs w:val="21"/>
        </w:rPr>
        <w:t xml:space="preserve">rants were designed and implemented </w:t>
      </w:r>
      <w:r w:rsidRPr="00FA288E">
        <w:rPr>
          <w:rFonts w:eastAsiaTheme="minorHAnsi" w:cs="Calibri"/>
          <w:szCs w:val="21"/>
        </w:rPr>
        <w:t xml:space="preserve">may </w:t>
      </w:r>
      <w:r w:rsidR="003524F9" w:rsidRPr="00FA288E">
        <w:rPr>
          <w:rFonts w:eastAsiaTheme="minorHAnsi" w:cs="Calibri"/>
          <w:szCs w:val="21"/>
        </w:rPr>
        <w:t>be perceived to be counter to the guidance provided by</w:t>
      </w:r>
      <w:r w:rsidRPr="00FA288E">
        <w:rPr>
          <w:rFonts w:eastAsiaTheme="minorHAnsi" w:cs="Calibri"/>
          <w:szCs w:val="21"/>
        </w:rPr>
        <w:t xml:space="preserve"> Australia’s 2017 Foreign Policy White Paper</w:t>
      </w:r>
      <w:r w:rsidR="003524F9" w:rsidRPr="00FA288E">
        <w:rPr>
          <w:rFonts w:eastAsiaTheme="minorHAnsi" w:cs="Calibri"/>
          <w:szCs w:val="21"/>
        </w:rPr>
        <w:t xml:space="preserve">. </w:t>
      </w:r>
      <w:r w:rsidRPr="00FA288E">
        <w:rPr>
          <w:rFonts w:eastAsiaTheme="minorHAnsi" w:cs="Calibri"/>
          <w:szCs w:val="21"/>
        </w:rPr>
        <w:t xml:space="preserve"> </w:t>
      </w:r>
      <w:r w:rsidR="003524F9" w:rsidRPr="00FA288E">
        <w:rPr>
          <w:rFonts w:eastAsiaTheme="minorHAnsi" w:cs="Calibri"/>
          <w:szCs w:val="21"/>
        </w:rPr>
        <w:t>The White Paper calls</w:t>
      </w:r>
      <w:r w:rsidRPr="00FA288E">
        <w:rPr>
          <w:rFonts w:eastAsiaTheme="minorHAnsi" w:cs="Calibri"/>
          <w:szCs w:val="21"/>
        </w:rPr>
        <w:t xml:space="preserve"> for donor investments to work collaboratively with </w:t>
      </w:r>
      <w:r w:rsidR="003524F9" w:rsidRPr="00FA288E">
        <w:rPr>
          <w:rFonts w:eastAsiaTheme="minorHAnsi" w:cs="Calibri"/>
          <w:szCs w:val="21"/>
        </w:rPr>
        <w:t xml:space="preserve">partner </w:t>
      </w:r>
      <w:r w:rsidRPr="00FA288E">
        <w:rPr>
          <w:rFonts w:eastAsiaTheme="minorHAnsi" w:cs="Calibri"/>
          <w:szCs w:val="21"/>
        </w:rPr>
        <w:t>government</w:t>
      </w:r>
      <w:r w:rsidR="003524F9" w:rsidRPr="00FA288E">
        <w:rPr>
          <w:rFonts w:eastAsiaTheme="minorHAnsi" w:cs="Calibri"/>
          <w:szCs w:val="21"/>
        </w:rPr>
        <w:t>s</w:t>
      </w:r>
      <w:r w:rsidRPr="00FA288E">
        <w:rPr>
          <w:rFonts w:eastAsiaTheme="minorHAnsi" w:cs="Calibri"/>
          <w:szCs w:val="21"/>
        </w:rPr>
        <w:t xml:space="preserve"> from the outset and in accordance with </w:t>
      </w:r>
      <w:r w:rsidR="003524F9" w:rsidRPr="00FA288E">
        <w:rPr>
          <w:rFonts w:eastAsiaTheme="minorHAnsi" w:cs="Calibri"/>
          <w:szCs w:val="21"/>
        </w:rPr>
        <w:t>partner</w:t>
      </w:r>
      <w:r w:rsidRPr="00FA288E">
        <w:rPr>
          <w:rFonts w:eastAsiaTheme="minorHAnsi" w:cs="Calibri"/>
          <w:szCs w:val="21"/>
        </w:rPr>
        <w:t xml:space="preserve"> government policy</w:t>
      </w:r>
      <w:r w:rsidR="003524F9" w:rsidRPr="00FA288E">
        <w:rPr>
          <w:rFonts w:eastAsiaTheme="minorHAnsi" w:cs="Calibri"/>
          <w:szCs w:val="21"/>
        </w:rPr>
        <w:t xml:space="preserve">. </w:t>
      </w:r>
      <w:r w:rsidRPr="00FA288E">
        <w:rPr>
          <w:rFonts w:eastAsiaTheme="minorHAnsi" w:cs="Calibri"/>
          <w:szCs w:val="21"/>
        </w:rPr>
        <w:t xml:space="preserve"> </w:t>
      </w:r>
      <w:r w:rsidR="003524F9" w:rsidRPr="00FA288E">
        <w:rPr>
          <w:rFonts w:eastAsiaTheme="minorHAnsi" w:cs="Calibri"/>
          <w:szCs w:val="21"/>
        </w:rPr>
        <w:t xml:space="preserve">The argument is that when there is </w:t>
      </w:r>
      <w:r w:rsidRPr="00FA288E">
        <w:rPr>
          <w:rFonts w:eastAsiaTheme="minorHAnsi" w:cs="Calibri"/>
          <w:szCs w:val="21"/>
        </w:rPr>
        <w:t xml:space="preserve">sustained commitment and well-defined processes in place, significant headway can be made. </w:t>
      </w:r>
    </w:p>
    <w:p w14:paraId="4D402A90" w14:textId="77777777" w:rsidR="008E2685" w:rsidRPr="00FA288E" w:rsidRDefault="003524F9" w:rsidP="00B15723">
      <w:pPr>
        <w:spacing w:after="80" w:line="240" w:lineRule="auto"/>
        <w:jc w:val="both"/>
        <w:rPr>
          <w:rFonts w:eastAsiaTheme="minorHAnsi" w:cs="Calibri"/>
          <w:szCs w:val="21"/>
        </w:rPr>
      </w:pPr>
      <w:r w:rsidRPr="00FA288E">
        <w:rPr>
          <w:rFonts w:eastAsiaTheme="minorHAnsi" w:cs="Calibri"/>
          <w:szCs w:val="21"/>
        </w:rPr>
        <w:t xml:space="preserve">As suggested previously, </w:t>
      </w:r>
      <w:r w:rsidR="008E2685" w:rsidRPr="00FA288E">
        <w:rPr>
          <w:rFonts w:eastAsiaTheme="minorHAnsi" w:cs="Calibri"/>
          <w:szCs w:val="21"/>
        </w:rPr>
        <w:t>i</w:t>
      </w:r>
      <w:r w:rsidRPr="00FA288E">
        <w:rPr>
          <w:rFonts w:eastAsiaTheme="minorHAnsi" w:cs="Calibri"/>
          <w:szCs w:val="21"/>
        </w:rPr>
        <w:t xml:space="preserve">mprovements </w:t>
      </w:r>
      <w:r w:rsidR="00340801" w:rsidRPr="00FA288E">
        <w:rPr>
          <w:rFonts w:eastAsiaTheme="minorHAnsi" w:cs="Calibri"/>
          <w:szCs w:val="21"/>
        </w:rPr>
        <w:t xml:space="preserve">in abilities </w:t>
      </w:r>
      <w:r w:rsidRPr="00FA288E">
        <w:rPr>
          <w:rFonts w:eastAsiaTheme="minorHAnsi" w:cs="Calibri"/>
          <w:szCs w:val="21"/>
        </w:rPr>
        <w:t>due to project interventions</w:t>
      </w:r>
      <w:r w:rsidR="008E2685" w:rsidRPr="00FA288E">
        <w:rPr>
          <w:rFonts w:eastAsiaTheme="minorHAnsi" w:cs="Calibri"/>
          <w:szCs w:val="21"/>
        </w:rPr>
        <w:t xml:space="preserve"> are likely to be limited by the broader systemic constraints which prevent individuals </w:t>
      </w:r>
      <w:r w:rsidRPr="00FA288E">
        <w:rPr>
          <w:rFonts w:eastAsiaTheme="minorHAnsi" w:cs="Calibri"/>
          <w:szCs w:val="21"/>
        </w:rPr>
        <w:t>with newly acquired knowledge and skills</w:t>
      </w:r>
      <w:r w:rsidR="008E2685" w:rsidRPr="00FA288E">
        <w:rPr>
          <w:rFonts w:eastAsiaTheme="minorHAnsi" w:cs="Calibri"/>
          <w:szCs w:val="21"/>
        </w:rPr>
        <w:t xml:space="preserve"> from performing their roles. </w:t>
      </w:r>
      <w:r w:rsidRPr="00FA288E">
        <w:rPr>
          <w:rFonts w:eastAsiaTheme="minorHAnsi" w:cs="Calibri"/>
          <w:szCs w:val="21"/>
        </w:rPr>
        <w:t xml:space="preserve">To avoid a situation where </w:t>
      </w:r>
      <w:r w:rsidR="005E168E" w:rsidRPr="00FA288E">
        <w:rPr>
          <w:rFonts w:eastAsiaTheme="minorHAnsi" w:cs="Calibri"/>
          <w:szCs w:val="21"/>
        </w:rPr>
        <w:t xml:space="preserve">efforts </w:t>
      </w:r>
      <w:r w:rsidR="00340801" w:rsidRPr="00FA288E">
        <w:rPr>
          <w:rFonts w:eastAsiaTheme="minorHAnsi" w:cs="Calibri"/>
          <w:szCs w:val="21"/>
        </w:rPr>
        <w:t xml:space="preserve">to develop abilities </w:t>
      </w:r>
      <w:r w:rsidR="005E168E" w:rsidRPr="00FA288E">
        <w:rPr>
          <w:rFonts w:eastAsiaTheme="minorHAnsi" w:cs="Calibri"/>
          <w:szCs w:val="21"/>
        </w:rPr>
        <w:t>do</w:t>
      </w:r>
      <w:r w:rsidRPr="00FA288E">
        <w:rPr>
          <w:rFonts w:eastAsiaTheme="minorHAnsi" w:cs="Calibri"/>
          <w:szCs w:val="21"/>
        </w:rPr>
        <w:t xml:space="preserve"> not lead to actual changes in practice, i</w:t>
      </w:r>
      <w:r w:rsidR="008E2685" w:rsidRPr="00FA288E">
        <w:rPr>
          <w:rFonts w:eastAsiaTheme="minorHAnsi" w:cs="Calibri"/>
          <w:szCs w:val="21"/>
        </w:rPr>
        <w:t>t is suggested that prior to or as part of the design and inception period of any future investment a political economy analysis of education service delivery at the national</w:t>
      </w:r>
      <w:r w:rsidR="0022084E" w:rsidRPr="00FA288E">
        <w:rPr>
          <w:rFonts w:eastAsiaTheme="minorHAnsi" w:cs="Calibri"/>
          <w:szCs w:val="21"/>
        </w:rPr>
        <w:t xml:space="preserve"> and </w:t>
      </w:r>
      <w:r w:rsidR="008E2685" w:rsidRPr="00FA288E">
        <w:rPr>
          <w:rFonts w:eastAsiaTheme="minorHAnsi" w:cs="Calibri"/>
          <w:szCs w:val="21"/>
        </w:rPr>
        <w:t>provincial levels be conducted to identify both systemic constraints as well potential contributors to successful implementation</w:t>
      </w:r>
      <w:r w:rsidRPr="00FA288E">
        <w:rPr>
          <w:rFonts w:eastAsiaTheme="minorHAnsi" w:cs="Calibri"/>
          <w:szCs w:val="21"/>
        </w:rPr>
        <w:t xml:space="preserve"> and sustainability</w:t>
      </w:r>
      <w:r w:rsidR="008E2685" w:rsidRPr="00FA288E">
        <w:rPr>
          <w:rFonts w:eastAsiaTheme="minorHAnsi" w:cs="Calibri"/>
          <w:szCs w:val="21"/>
        </w:rPr>
        <w:t xml:space="preserve">. More focused analysis could be conducted during the early stages of implementation at the district and community/school level </w:t>
      </w:r>
      <w:r w:rsidR="005E168E" w:rsidRPr="00FA288E">
        <w:rPr>
          <w:rFonts w:eastAsiaTheme="minorHAnsi" w:cs="Calibri"/>
          <w:szCs w:val="21"/>
        </w:rPr>
        <w:t xml:space="preserve">once these locations are identified </w:t>
      </w:r>
      <w:r w:rsidR="008E2685" w:rsidRPr="00FA288E">
        <w:rPr>
          <w:rFonts w:eastAsiaTheme="minorHAnsi" w:cs="Calibri"/>
          <w:szCs w:val="21"/>
        </w:rPr>
        <w:t>to inform the design of specific interventions</w:t>
      </w:r>
      <w:r w:rsidR="005E168E" w:rsidRPr="00FA288E">
        <w:rPr>
          <w:rFonts w:eastAsiaTheme="minorHAnsi" w:cs="Calibri"/>
          <w:szCs w:val="21"/>
        </w:rPr>
        <w:t xml:space="preserve"> and efforts</w:t>
      </w:r>
      <w:r w:rsidR="00340801" w:rsidRPr="00FA288E">
        <w:rPr>
          <w:rFonts w:eastAsiaTheme="minorHAnsi" w:cs="Calibri"/>
          <w:szCs w:val="21"/>
        </w:rPr>
        <w:t xml:space="preserve"> to develop abilities</w:t>
      </w:r>
      <w:r w:rsidR="008E2685" w:rsidRPr="00FA288E">
        <w:rPr>
          <w:rFonts w:eastAsiaTheme="minorHAnsi" w:cs="Calibri"/>
          <w:szCs w:val="21"/>
        </w:rPr>
        <w:t>.</w:t>
      </w:r>
    </w:p>
    <w:p w14:paraId="31ADAC42" w14:textId="53E1CC03" w:rsidR="008E2685" w:rsidRPr="00FA288E" w:rsidRDefault="008E2685" w:rsidP="00B15723">
      <w:pPr>
        <w:spacing w:after="80" w:line="240" w:lineRule="auto"/>
        <w:jc w:val="both"/>
        <w:rPr>
          <w:rFonts w:eastAsiaTheme="minorHAnsi" w:cs="Calibri"/>
          <w:szCs w:val="21"/>
        </w:rPr>
      </w:pPr>
      <w:r w:rsidRPr="00FA288E">
        <w:rPr>
          <w:rFonts w:eastAsiaTheme="minorHAnsi" w:cs="Calibri"/>
          <w:szCs w:val="21"/>
        </w:rPr>
        <w:t xml:space="preserve">These broader systemic constraints place limitations on the extent to which </w:t>
      </w:r>
      <w:r w:rsidRPr="00FA288E">
        <w:rPr>
          <w:rFonts w:eastAsiaTheme="minorHAnsi" w:cs="Calibri"/>
          <w:i/>
          <w:szCs w:val="21"/>
        </w:rPr>
        <w:t>any</w:t>
      </w:r>
      <w:r w:rsidRPr="00FA288E">
        <w:rPr>
          <w:rFonts w:eastAsiaTheme="minorHAnsi" w:cs="Calibri"/>
          <w:szCs w:val="21"/>
        </w:rPr>
        <w:t xml:space="preserve"> additional resourcing to the sector (whether through NGOs or other mechanisms) can be expected to be made sustainable. </w:t>
      </w:r>
      <w:r w:rsidR="00900AEA" w:rsidRPr="00FA288E">
        <w:rPr>
          <w:rFonts w:eastAsiaTheme="minorHAnsi" w:cs="Calibri"/>
          <w:szCs w:val="21"/>
        </w:rPr>
        <w:t>T</w:t>
      </w:r>
      <w:r w:rsidRPr="00FA288E">
        <w:rPr>
          <w:rFonts w:eastAsiaTheme="minorHAnsi" w:cs="Calibri"/>
          <w:szCs w:val="21"/>
        </w:rPr>
        <w:t>he use of project-paid trainers</w:t>
      </w:r>
      <w:r w:rsidR="00900AEA" w:rsidRPr="00FA288E">
        <w:rPr>
          <w:rFonts w:eastAsiaTheme="minorHAnsi" w:cs="Calibri"/>
          <w:szCs w:val="21"/>
        </w:rPr>
        <w:t xml:space="preserve">; </w:t>
      </w:r>
      <w:r w:rsidRPr="00FA288E">
        <w:rPr>
          <w:rFonts w:eastAsiaTheme="minorHAnsi" w:cs="Calibri"/>
          <w:szCs w:val="21"/>
        </w:rPr>
        <w:t xml:space="preserve">covering the costs of </w:t>
      </w:r>
      <w:r w:rsidR="00900AEA" w:rsidRPr="00FA288E">
        <w:rPr>
          <w:rFonts w:eastAsiaTheme="minorHAnsi" w:cs="Calibri"/>
          <w:szCs w:val="21"/>
        </w:rPr>
        <w:t>provincial and district</w:t>
      </w:r>
      <w:r w:rsidRPr="00FA288E">
        <w:rPr>
          <w:rFonts w:eastAsiaTheme="minorHAnsi" w:cs="Calibri"/>
          <w:szCs w:val="21"/>
        </w:rPr>
        <w:t xml:space="preserve"> trainers</w:t>
      </w:r>
      <w:r w:rsidR="00900AEA" w:rsidRPr="00FA288E">
        <w:rPr>
          <w:rFonts w:eastAsiaTheme="minorHAnsi" w:cs="Calibri"/>
          <w:szCs w:val="21"/>
        </w:rPr>
        <w:t>’</w:t>
      </w:r>
      <w:r w:rsidRPr="00FA288E">
        <w:rPr>
          <w:rFonts w:eastAsiaTheme="minorHAnsi" w:cs="Calibri"/>
          <w:szCs w:val="21"/>
        </w:rPr>
        <w:t xml:space="preserve"> </w:t>
      </w:r>
      <w:r w:rsidR="00900AEA" w:rsidRPr="00FA288E">
        <w:rPr>
          <w:rFonts w:eastAsiaTheme="minorHAnsi" w:cs="Calibri"/>
          <w:szCs w:val="21"/>
        </w:rPr>
        <w:t>participation</w:t>
      </w:r>
      <w:r w:rsidRPr="00FA288E">
        <w:rPr>
          <w:rFonts w:eastAsiaTheme="minorHAnsi" w:cs="Calibri"/>
          <w:szCs w:val="21"/>
        </w:rPr>
        <w:t xml:space="preserve"> </w:t>
      </w:r>
      <w:r w:rsidR="00900AEA" w:rsidRPr="00FA288E">
        <w:rPr>
          <w:rFonts w:eastAsiaTheme="minorHAnsi" w:cs="Calibri"/>
          <w:szCs w:val="21"/>
        </w:rPr>
        <w:t xml:space="preserve">in activities; and provision of supplemental teaching and learning resources </w:t>
      </w:r>
      <w:r w:rsidRPr="00FA288E">
        <w:rPr>
          <w:rFonts w:eastAsiaTheme="minorHAnsi" w:cs="Calibri"/>
          <w:szCs w:val="21"/>
        </w:rPr>
        <w:t xml:space="preserve">may well </w:t>
      </w:r>
      <w:r w:rsidR="00900AEA" w:rsidRPr="00FA288E">
        <w:rPr>
          <w:rFonts w:eastAsiaTheme="minorHAnsi" w:cs="Calibri"/>
          <w:szCs w:val="21"/>
        </w:rPr>
        <w:t>demonstrate</w:t>
      </w:r>
      <w:r w:rsidRPr="00FA288E">
        <w:rPr>
          <w:rFonts w:eastAsiaTheme="minorHAnsi" w:cs="Calibri"/>
          <w:szCs w:val="21"/>
        </w:rPr>
        <w:t xml:space="preserve"> improvements </w:t>
      </w:r>
      <w:r w:rsidR="00900AEA" w:rsidRPr="00FA288E">
        <w:rPr>
          <w:rFonts w:eastAsiaTheme="minorHAnsi" w:cs="Calibri"/>
          <w:szCs w:val="21"/>
        </w:rPr>
        <w:t>in</w:t>
      </w:r>
      <w:r w:rsidRPr="00FA288E">
        <w:rPr>
          <w:rFonts w:eastAsiaTheme="minorHAnsi" w:cs="Calibri"/>
          <w:szCs w:val="21"/>
        </w:rPr>
        <w:t xml:space="preserve"> literacy and numeracy test scores, the </w:t>
      </w:r>
      <w:proofErr w:type="spellStart"/>
      <w:r w:rsidR="00BD491A" w:rsidRPr="00FA288E">
        <w:rPr>
          <w:rFonts w:eastAsiaTheme="minorHAnsi" w:cs="Calibri"/>
          <w:szCs w:val="21"/>
        </w:rPr>
        <w:t>GoPNG’s</w:t>
      </w:r>
      <w:proofErr w:type="spellEnd"/>
      <w:r w:rsidR="00BD491A" w:rsidRPr="00FA288E">
        <w:rPr>
          <w:rFonts w:eastAsiaTheme="minorHAnsi" w:cs="Calibri"/>
          <w:szCs w:val="21"/>
        </w:rPr>
        <w:t xml:space="preserve"> </w:t>
      </w:r>
      <w:r w:rsidR="00900AEA" w:rsidRPr="00FA288E">
        <w:rPr>
          <w:rFonts w:eastAsiaTheme="minorHAnsi" w:cs="Calibri"/>
          <w:szCs w:val="21"/>
        </w:rPr>
        <w:t>capacity to sustain these practices and investments</w:t>
      </w:r>
      <w:r w:rsidRPr="00FA288E">
        <w:rPr>
          <w:rFonts w:eastAsiaTheme="minorHAnsi" w:cs="Calibri"/>
          <w:szCs w:val="21"/>
        </w:rPr>
        <w:t xml:space="preserve"> in the near future</w:t>
      </w:r>
      <w:r w:rsidR="00900AEA" w:rsidRPr="00FA288E">
        <w:rPr>
          <w:rFonts w:eastAsiaTheme="minorHAnsi" w:cs="Calibri"/>
          <w:szCs w:val="21"/>
        </w:rPr>
        <w:t xml:space="preserve"> </w:t>
      </w:r>
      <w:r w:rsidRPr="00FA288E">
        <w:rPr>
          <w:rFonts w:eastAsiaTheme="minorHAnsi" w:cs="Calibri"/>
          <w:szCs w:val="21"/>
        </w:rPr>
        <w:t>is not apparent. Without s</w:t>
      </w:r>
      <w:r w:rsidR="00900AEA" w:rsidRPr="00FA288E">
        <w:rPr>
          <w:rFonts w:eastAsiaTheme="minorHAnsi" w:cs="Calibri"/>
          <w:szCs w:val="21"/>
        </w:rPr>
        <w:t>ecure</w:t>
      </w:r>
      <w:r w:rsidRPr="00FA288E">
        <w:rPr>
          <w:rFonts w:eastAsiaTheme="minorHAnsi" w:cs="Calibri"/>
          <w:szCs w:val="21"/>
        </w:rPr>
        <w:t xml:space="preserve"> funding commitments by government, future </w:t>
      </w:r>
      <w:r w:rsidR="00900AEA" w:rsidRPr="00FA288E">
        <w:rPr>
          <w:rFonts w:eastAsiaTheme="minorHAnsi" w:cs="Calibri"/>
          <w:szCs w:val="21"/>
        </w:rPr>
        <w:t xml:space="preserve">donor </w:t>
      </w:r>
      <w:r w:rsidRPr="00FA288E">
        <w:rPr>
          <w:rFonts w:eastAsiaTheme="minorHAnsi" w:cs="Calibri"/>
          <w:szCs w:val="21"/>
        </w:rPr>
        <w:t xml:space="preserve">funding </w:t>
      </w:r>
      <w:r w:rsidR="00900AEA" w:rsidRPr="00FA288E">
        <w:rPr>
          <w:rFonts w:eastAsiaTheme="minorHAnsi" w:cs="Calibri"/>
          <w:szCs w:val="21"/>
        </w:rPr>
        <w:t>to</w:t>
      </w:r>
      <w:r w:rsidRPr="00FA288E">
        <w:rPr>
          <w:rFonts w:eastAsiaTheme="minorHAnsi" w:cs="Calibri"/>
          <w:szCs w:val="21"/>
        </w:rPr>
        <w:t xml:space="preserve"> </w:t>
      </w:r>
      <w:r w:rsidR="001845DC" w:rsidRPr="00FA288E">
        <w:rPr>
          <w:rFonts w:eastAsiaTheme="minorHAnsi" w:cs="Calibri"/>
          <w:szCs w:val="21"/>
        </w:rPr>
        <w:t xml:space="preserve">the </w:t>
      </w:r>
      <w:r w:rsidR="00900AEA" w:rsidRPr="00FA288E">
        <w:rPr>
          <w:rFonts w:eastAsiaTheme="minorHAnsi" w:cs="Calibri"/>
          <w:szCs w:val="21"/>
        </w:rPr>
        <w:t>education</w:t>
      </w:r>
      <w:r w:rsidRPr="00FA288E">
        <w:rPr>
          <w:rFonts w:eastAsiaTheme="minorHAnsi" w:cs="Calibri"/>
          <w:szCs w:val="21"/>
        </w:rPr>
        <w:t xml:space="preserve"> </w:t>
      </w:r>
      <w:r w:rsidR="001845DC" w:rsidRPr="00FA288E">
        <w:rPr>
          <w:rFonts w:eastAsiaTheme="minorHAnsi" w:cs="Calibri"/>
          <w:szCs w:val="21"/>
        </w:rPr>
        <w:t xml:space="preserve">sector in PNG </w:t>
      </w:r>
      <w:r w:rsidRPr="00FA288E">
        <w:rPr>
          <w:rFonts w:eastAsiaTheme="minorHAnsi" w:cs="Calibri"/>
          <w:szCs w:val="21"/>
        </w:rPr>
        <w:t xml:space="preserve">will be caught in a cycle of developing </w:t>
      </w:r>
      <w:r w:rsidRPr="00FA288E">
        <w:rPr>
          <w:rFonts w:eastAsiaTheme="minorHAnsi" w:cs="Calibri"/>
          <w:b/>
          <w:bCs/>
          <w:i/>
          <w:iCs/>
          <w:szCs w:val="21"/>
        </w:rPr>
        <w:t>ability</w:t>
      </w:r>
      <w:r w:rsidR="00B336DB" w:rsidRPr="00FA288E">
        <w:rPr>
          <w:rFonts w:eastAsiaTheme="minorHAnsi" w:cs="Calibri"/>
          <w:b/>
          <w:bCs/>
          <w:i/>
          <w:iCs/>
          <w:szCs w:val="21"/>
        </w:rPr>
        <w:t>,</w:t>
      </w:r>
      <w:r w:rsidRPr="00FA288E">
        <w:rPr>
          <w:rFonts w:eastAsiaTheme="minorHAnsi" w:cs="Calibri"/>
          <w:szCs w:val="21"/>
        </w:rPr>
        <w:t xml:space="preserve"> while the </w:t>
      </w:r>
      <w:r w:rsidRPr="00FA288E">
        <w:rPr>
          <w:rFonts w:eastAsiaTheme="minorHAnsi" w:cs="Calibri"/>
          <w:b/>
          <w:bCs/>
          <w:i/>
          <w:iCs/>
          <w:szCs w:val="21"/>
        </w:rPr>
        <w:t>capacity</w:t>
      </w:r>
      <w:r w:rsidRPr="00FA288E">
        <w:rPr>
          <w:rFonts w:eastAsiaTheme="minorHAnsi" w:cs="Calibri"/>
          <w:szCs w:val="21"/>
        </w:rPr>
        <w:t xml:space="preserve"> to </w:t>
      </w:r>
      <w:r w:rsidR="001845DC" w:rsidRPr="00FA288E">
        <w:rPr>
          <w:rFonts w:eastAsiaTheme="minorHAnsi" w:cs="Calibri"/>
          <w:szCs w:val="21"/>
        </w:rPr>
        <w:t>use</w:t>
      </w:r>
      <w:r w:rsidRPr="00FA288E">
        <w:rPr>
          <w:rFonts w:eastAsiaTheme="minorHAnsi" w:cs="Calibri"/>
          <w:szCs w:val="21"/>
        </w:rPr>
        <w:t xml:space="preserve"> these </w:t>
      </w:r>
      <w:r w:rsidR="001845DC" w:rsidRPr="00FA288E">
        <w:rPr>
          <w:rFonts w:eastAsiaTheme="minorHAnsi" w:cs="Calibri"/>
          <w:szCs w:val="21"/>
        </w:rPr>
        <w:t xml:space="preserve">newly acquired </w:t>
      </w:r>
      <w:r w:rsidRPr="00FA288E">
        <w:rPr>
          <w:rFonts w:eastAsiaTheme="minorHAnsi" w:cs="Calibri"/>
          <w:szCs w:val="21"/>
        </w:rPr>
        <w:t xml:space="preserve">abilities </w:t>
      </w:r>
      <w:r w:rsidR="0047648E" w:rsidRPr="00FA288E">
        <w:rPr>
          <w:rFonts w:eastAsiaTheme="minorHAnsi" w:cs="Calibri"/>
          <w:szCs w:val="21"/>
        </w:rPr>
        <w:t>may be limited</w:t>
      </w:r>
      <w:r w:rsidR="001845DC" w:rsidRPr="00FA288E">
        <w:rPr>
          <w:rFonts w:eastAsiaTheme="minorHAnsi" w:cs="Calibri"/>
          <w:szCs w:val="21"/>
        </w:rPr>
        <w:t xml:space="preserve">. For continued </w:t>
      </w:r>
      <w:r w:rsidR="00E6355E" w:rsidRPr="00FA288E">
        <w:rPr>
          <w:rFonts w:eastAsiaTheme="minorHAnsi" w:cs="Calibri"/>
          <w:szCs w:val="21"/>
        </w:rPr>
        <w:t>gains to be made in early grade learning achievement</w:t>
      </w:r>
      <w:r w:rsidR="001845DC" w:rsidRPr="00FA288E">
        <w:rPr>
          <w:rFonts w:eastAsiaTheme="minorHAnsi" w:cs="Calibri"/>
          <w:szCs w:val="21"/>
        </w:rPr>
        <w:t xml:space="preserve"> in PNG</w:t>
      </w:r>
      <w:r w:rsidR="00E6355E" w:rsidRPr="00FA288E">
        <w:rPr>
          <w:rFonts w:eastAsiaTheme="minorHAnsi" w:cs="Calibri"/>
          <w:szCs w:val="21"/>
        </w:rPr>
        <w:t>, it is apparent that donor funding will be required for the short to medium-term</w:t>
      </w:r>
      <w:r w:rsidR="001845DC" w:rsidRPr="00FA288E">
        <w:rPr>
          <w:rFonts w:eastAsiaTheme="minorHAnsi" w:cs="Calibri"/>
          <w:szCs w:val="21"/>
        </w:rPr>
        <w:t>, until such time as the capacity of the GoPNG can address systemic and budgetary constraints.</w:t>
      </w:r>
    </w:p>
    <w:p w14:paraId="6EB62090" w14:textId="77777777" w:rsidR="008E2685" w:rsidRPr="00FA288E" w:rsidRDefault="008E2685" w:rsidP="00B15723">
      <w:pPr>
        <w:spacing w:after="80" w:line="240" w:lineRule="auto"/>
        <w:jc w:val="both"/>
        <w:rPr>
          <w:rFonts w:eastAsiaTheme="minorHAnsi" w:cs="Calibri"/>
          <w:szCs w:val="21"/>
        </w:rPr>
      </w:pPr>
      <w:r w:rsidRPr="00FA288E">
        <w:rPr>
          <w:rFonts w:eastAsiaTheme="minorHAnsi" w:cs="Calibri"/>
          <w:szCs w:val="21"/>
        </w:rPr>
        <w:t>Whilst the desire to combine shorter-term service delivery improvements while trialling longer</w:t>
      </w:r>
      <w:r w:rsidR="009632FD" w:rsidRPr="00FA288E">
        <w:rPr>
          <w:rFonts w:eastAsiaTheme="minorHAnsi" w:cs="Calibri"/>
          <w:szCs w:val="21"/>
        </w:rPr>
        <w:t>-</w:t>
      </w:r>
      <w:r w:rsidRPr="00FA288E">
        <w:rPr>
          <w:rFonts w:eastAsiaTheme="minorHAnsi" w:cs="Calibri"/>
          <w:szCs w:val="21"/>
        </w:rPr>
        <w:t xml:space="preserve">term solutions is commendable, the latter should not be allowed to detract from the former, especially in a resource constrained environment where replicability </w:t>
      </w:r>
      <w:r w:rsidR="000E6482" w:rsidRPr="00FA288E">
        <w:rPr>
          <w:rFonts w:eastAsiaTheme="minorHAnsi" w:cs="Calibri"/>
          <w:szCs w:val="21"/>
        </w:rPr>
        <w:t xml:space="preserve">and sustainability </w:t>
      </w:r>
      <w:r w:rsidRPr="00FA288E">
        <w:rPr>
          <w:rFonts w:eastAsiaTheme="minorHAnsi" w:cs="Calibri"/>
          <w:szCs w:val="21"/>
        </w:rPr>
        <w:t>of all but the most essential of services, such as teacher training, is questionable.</w:t>
      </w:r>
    </w:p>
    <w:p w14:paraId="5C0C242E" w14:textId="77777777" w:rsidR="008E2685" w:rsidRPr="00FA288E" w:rsidRDefault="000E6482" w:rsidP="00B15723">
      <w:pPr>
        <w:spacing w:after="80" w:line="240" w:lineRule="auto"/>
        <w:jc w:val="both"/>
        <w:rPr>
          <w:rFonts w:eastAsiaTheme="minorHAnsi" w:cs="Calibri"/>
          <w:szCs w:val="21"/>
        </w:rPr>
      </w:pPr>
      <w:r w:rsidRPr="00FA288E">
        <w:rPr>
          <w:rFonts w:eastAsiaTheme="minorHAnsi" w:cs="Calibri"/>
          <w:szCs w:val="21"/>
        </w:rPr>
        <w:t>Encouraging</w:t>
      </w:r>
      <w:r w:rsidR="008E2685" w:rsidRPr="00FA288E">
        <w:rPr>
          <w:rFonts w:eastAsiaTheme="minorHAnsi" w:cs="Calibri"/>
          <w:szCs w:val="21"/>
        </w:rPr>
        <w:t xml:space="preserve"> innovation of approaches by multiple entities addressing the same outcomes should not prevent the development of a common program logic framework </w:t>
      </w:r>
      <w:r w:rsidRPr="00FA288E">
        <w:rPr>
          <w:rFonts w:eastAsiaTheme="minorHAnsi" w:cs="Calibri"/>
          <w:szCs w:val="21"/>
        </w:rPr>
        <w:t>that provides</w:t>
      </w:r>
      <w:r w:rsidR="008E2685" w:rsidRPr="00FA288E">
        <w:rPr>
          <w:rFonts w:eastAsiaTheme="minorHAnsi" w:cs="Calibri"/>
          <w:szCs w:val="21"/>
        </w:rPr>
        <w:t xml:space="preserve"> adequate guidance to grantees on the objectives (the what) of the investment, and the </w:t>
      </w:r>
      <w:r w:rsidRPr="00FA288E">
        <w:rPr>
          <w:rFonts w:eastAsiaTheme="minorHAnsi" w:cs="Calibri"/>
          <w:szCs w:val="21"/>
        </w:rPr>
        <w:t xml:space="preserve">possible </w:t>
      </w:r>
      <w:r w:rsidR="008E2685" w:rsidRPr="00FA288E">
        <w:rPr>
          <w:rFonts w:eastAsiaTheme="minorHAnsi" w:cs="Calibri"/>
          <w:szCs w:val="21"/>
        </w:rPr>
        <w:t xml:space="preserve">pathways </w:t>
      </w:r>
      <w:r w:rsidRPr="00FA288E">
        <w:rPr>
          <w:rFonts w:eastAsiaTheme="minorHAnsi" w:cs="Calibri"/>
          <w:szCs w:val="21"/>
        </w:rPr>
        <w:t>for</w:t>
      </w:r>
      <w:r w:rsidR="008E2685" w:rsidRPr="00FA288E">
        <w:rPr>
          <w:rFonts w:eastAsiaTheme="minorHAnsi" w:cs="Calibri"/>
          <w:szCs w:val="21"/>
        </w:rPr>
        <w:t xml:space="preserve"> achieving them (the how). Grantees could then </w:t>
      </w:r>
      <w:r w:rsidRPr="00FA288E">
        <w:rPr>
          <w:rFonts w:eastAsiaTheme="minorHAnsi" w:cs="Calibri"/>
          <w:szCs w:val="21"/>
        </w:rPr>
        <w:t>s</w:t>
      </w:r>
      <w:r w:rsidR="008E2685" w:rsidRPr="00FA288E">
        <w:rPr>
          <w:rFonts w:eastAsiaTheme="minorHAnsi" w:cs="Calibri"/>
          <w:szCs w:val="21"/>
        </w:rPr>
        <w:t>elect which o</w:t>
      </w:r>
      <w:r w:rsidRPr="00FA288E">
        <w:rPr>
          <w:rFonts w:eastAsiaTheme="minorHAnsi" w:cs="Calibri"/>
          <w:szCs w:val="21"/>
        </w:rPr>
        <w:t>bjectives and pathways</w:t>
      </w:r>
      <w:r w:rsidR="008E2685" w:rsidRPr="00FA288E">
        <w:rPr>
          <w:rFonts w:eastAsiaTheme="minorHAnsi" w:cs="Calibri"/>
          <w:szCs w:val="21"/>
        </w:rPr>
        <w:t xml:space="preserve"> they </w:t>
      </w:r>
      <w:r w:rsidRPr="00FA288E">
        <w:rPr>
          <w:rFonts w:eastAsiaTheme="minorHAnsi" w:cs="Calibri"/>
          <w:szCs w:val="21"/>
        </w:rPr>
        <w:t>a</w:t>
      </w:r>
      <w:r w:rsidR="008E2685" w:rsidRPr="00FA288E">
        <w:rPr>
          <w:rFonts w:eastAsiaTheme="minorHAnsi" w:cs="Calibri"/>
          <w:szCs w:val="21"/>
        </w:rPr>
        <w:t xml:space="preserve">re better placed to focus on and develop their unique strategies and processes to achieve them. This </w:t>
      </w:r>
      <w:r w:rsidRPr="00FA288E">
        <w:rPr>
          <w:rFonts w:eastAsiaTheme="minorHAnsi" w:cs="Calibri"/>
          <w:szCs w:val="21"/>
        </w:rPr>
        <w:t xml:space="preserve">approach </w:t>
      </w:r>
      <w:r w:rsidR="008E2685" w:rsidRPr="00FA288E">
        <w:rPr>
          <w:rFonts w:eastAsiaTheme="minorHAnsi" w:cs="Calibri"/>
          <w:szCs w:val="21"/>
        </w:rPr>
        <w:t xml:space="preserve">would also enable development of a common </w:t>
      </w:r>
      <w:r w:rsidRPr="00FA288E">
        <w:rPr>
          <w:rFonts w:eastAsiaTheme="minorHAnsi" w:cs="Calibri"/>
          <w:szCs w:val="21"/>
        </w:rPr>
        <w:t xml:space="preserve">results </w:t>
      </w:r>
      <w:r w:rsidR="008E2685" w:rsidRPr="00FA288E">
        <w:rPr>
          <w:rFonts w:eastAsiaTheme="minorHAnsi" w:cs="Calibri"/>
          <w:szCs w:val="21"/>
        </w:rPr>
        <w:t>framework</w:t>
      </w:r>
      <w:r w:rsidRPr="00FA288E">
        <w:rPr>
          <w:rFonts w:eastAsiaTheme="minorHAnsi" w:cs="Calibri"/>
          <w:szCs w:val="21"/>
        </w:rPr>
        <w:t xml:space="preserve"> and provide</w:t>
      </w:r>
      <w:r w:rsidR="00C851DB" w:rsidRPr="00FA288E">
        <w:rPr>
          <w:rFonts w:eastAsiaTheme="minorHAnsi" w:cs="Calibri"/>
          <w:szCs w:val="21"/>
        </w:rPr>
        <w:t xml:space="preserve"> better </w:t>
      </w:r>
      <w:r w:rsidR="008E2685" w:rsidRPr="00FA288E">
        <w:rPr>
          <w:rFonts w:eastAsiaTheme="minorHAnsi" w:cs="Calibri"/>
          <w:szCs w:val="21"/>
        </w:rPr>
        <w:t>potential to compare relative successes.</w:t>
      </w:r>
    </w:p>
    <w:p w14:paraId="58D4D9E4" w14:textId="77777777" w:rsidR="008E2685" w:rsidRPr="00FA288E" w:rsidRDefault="008E2685" w:rsidP="00B15723">
      <w:pPr>
        <w:spacing w:after="80" w:line="240" w:lineRule="auto"/>
        <w:jc w:val="both"/>
        <w:rPr>
          <w:rFonts w:eastAsiaTheme="minorHAnsi" w:cs="Calibri"/>
          <w:szCs w:val="21"/>
        </w:rPr>
      </w:pPr>
      <w:r w:rsidRPr="00FA288E">
        <w:rPr>
          <w:rFonts w:eastAsiaTheme="minorHAnsi" w:cs="Calibri"/>
          <w:szCs w:val="21"/>
        </w:rPr>
        <w:t>The effort required to effectively introduc</w:t>
      </w:r>
      <w:r w:rsidR="00582643" w:rsidRPr="00FA288E">
        <w:rPr>
          <w:rFonts w:eastAsiaTheme="minorHAnsi" w:cs="Calibri"/>
          <w:szCs w:val="21"/>
        </w:rPr>
        <w:t>e</w:t>
      </w:r>
      <w:r w:rsidRPr="00FA288E">
        <w:rPr>
          <w:rFonts w:eastAsiaTheme="minorHAnsi" w:cs="Calibri"/>
          <w:szCs w:val="21"/>
        </w:rPr>
        <w:t xml:space="preserve"> electronic-based innovations </w:t>
      </w:r>
      <w:r w:rsidR="00582643" w:rsidRPr="00FA288E">
        <w:rPr>
          <w:rFonts w:eastAsiaTheme="minorHAnsi" w:cs="Calibri"/>
          <w:szCs w:val="21"/>
        </w:rPr>
        <w:t>is</w:t>
      </w:r>
      <w:r w:rsidRPr="00FA288E">
        <w:rPr>
          <w:rFonts w:eastAsiaTheme="minorHAnsi" w:cs="Calibri"/>
          <w:szCs w:val="21"/>
        </w:rPr>
        <w:t xml:space="preserve"> underestimated</w:t>
      </w:r>
      <w:r w:rsidR="00582643" w:rsidRPr="00FA288E">
        <w:rPr>
          <w:rFonts w:eastAsiaTheme="minorHAnsi" w:cs="Calibri"/>
          <w:szCs w:val="21"/>
        </w:rPr>
        <w:t>. There is</w:t>
      </w:r>
      <w:r w:rsidRPr="00FA288E">
        <w:rPr>
          <w:rFonts w:eastAsiaTheme="minorHAnsi" w:cs="Calibri"/>
          <w:szCs w:val="21"/>
        </w:rPr>
        <w:t xml:space="preserve"> a need to </w:t>
      </w:r>
      <w:r w:rsidR="00582643" w:rsidRPr="00FA288E">
        <w:rPr>
          <w:rFonts w:eastAsiaTheme="minorHAnsi" w:cs="Calibri"/>
          <w:szCs w:val="21"/>
        </w:rPr>
        <w:t>develop</w:t>
      </w:r>
      <w:r w:rsidRPr="00FA288E">
        <w:rPr>
          <w:rFonts w:eastAsiaTheme="minorHAnsi" w:cs="Calibri"/>
          <w:szCs w:val="21"/>
        </w:rPr>
        <w:t xml:space="preserve"> </w:t>
      </w:r>
      <w:r w:rsidR="00582643" w:rsidRPr="00FA288E">
        <w:rPr>
          <w:rFonts w:eastAsiaTheme="minorHAnsi" w:cs="Calibri"/>
          <w:szCs w:val="21"/>
        </w:rPr>
        <w:t xml:space="preserve">user’s </w:t>
      </w:r>
      <w:r w:rsidRPr="00FA288E">
        <w:rPr>
          <w:rFonts w:eastAsiaTheme="minorHAnsi" w:cs="Calibri"/>
          <w:szCs w:val="21"/>
        </w:rPr>
        <w:t>basic mastery of the related technolog</w:t>
      </w:r>
      <w:r w:rsidR="00582643" w:rsidRPr="00FA288E">
        <w:rPr>
          <w:rFonts w:eastAsiaTheme="minorHAnsi" w:cs="Calibri"/>
          <w:szCs w:val="21"/>
        </w:rPr>
        <w:t>ies</w:t>
      </w:r>
      <w:r w:rsidRPr="00FA288E">
        <w:rPr>
          <w:rFonts w:eastAsiaTheme="minorHAnsi" w:cs="Calibri"/>
          <w:szCs w:val="21"/>
        </w:rPr>
        <w:t xml:space="preserve"> as well as </w:t>
      </w:r>
      <w:r w:rsidR="00582643" w:rsidRPr="00FA288E">
        <w:rPr>
          <w:rFonts w:eastAsiaTheme="minorHAnsi" w:cs="Calibri"/>
          <w:szCs w:val="21"/>
        </w:rPr>
        <w:t>support users</w:t>
      </w:r>
      <w:r w:rsidRPr="00FA288E">
        <w:rPr>
          <w:rFonts w:eastAsiaTheme="minorHAnsi" w:cs="Calibri"/>
          <w:szCs w:val="21"/>
        </w:rPr>
        <w:t xml:space="preserve"> with well-designed (and resourced) strategies to </w:t>
      </w:r>
      <w:r w:rsidR="00582643" w:rsidRPr="00FA288E">
        <w:rPr>
          <w:rFonts w:eastAsiaTheme="minorHAnsi" w:cs="Calibri"/>
          <w:szCs w:val="21"/>
        </w:rPr>
        <w:t xml:space="preserve">improve the application of these technologies </w:t>
      </w:r>
      <w:r w:rsidRPr="00FA288E">
        <w:rPr>
          <w:rFonts w:eastAsiaTheme="minorHAnsi" w:cs="Calibri"/>
          <w:szCs w:val="21"/>
        </w:rPr>
        <w:t>as learning tools rather than just</w:t>
      </w:r>
      <w:r w:rsidR="00582643" w:rsidRPr="00FA288E">
        <w:rPr>
          <w:rFonts w:eastAsiaTheme="minorHAnsi" w:cs="Calibri"/>
          <w:szCs w:val="21"/>
        </w:rPr>
        <w:t xml:space="preserve"> serving as</w:t>
      </w:r>
      <w:r w:rsidRPr="00FA288E">
        <w:rPr>
          <w:rFonts w:eastAsiaTheme="minorHAnsi" w:cs="Calibri"/>
          <w:szCs w:val="21"/>
        </w:rPr>
        <w:t xml:space="preserve"> alternative </w:t>
      </w:r>
      <w:r w:rsidR="00582643" w:rsidRPr="00FA288E">
        <w:rPr>
          <w:rFonts w:eastAsiaTheme="minorHAnsi" w:cs="Calibri"/>
          <w:szCs w:val="21"/>
        </w:rPr>
        <w:t>mechanisms to</w:t>
      </w:r>
      <w:r w:rsidRPr="00FA288E">
        <w:rPr>
          <w:rFonts w:eastAsiaTheme="minorHAnsi" w:cs="Calibri"/>
          <w:szCs w:val="21"/>
        </w:rPr>
        <w:t xml:space="preserve"> access printed materials (click to view: </w:t>
      </w:r>
      <w:hyperlink w:anchor="_Box_8._Mobile" w:history="1">
        <w:r w:rsidRPr="00FA288E">
          <w:rPr>
            <w:rFonts w:eastAsiaTheme="minorHAnsi" w:cs="Calibri"/>
            <w:color w:val="595959" w:themeColor="text1" w:themeTint="A6"/>
            <w:szCs w:val="21"/>
            <w:u w:val="single"/>
          </w:rPr>
          <w:t xml:space="preserve">Box 8 Annex </w:t>
        </w:r>
        <w:r w:rsidR="008C2C8F" w:rsidRPr="00FA288E">
          <w:rPr>
            <w:rFonts w:eastAsiaTheme="minorHAnsi" w:cs="Calibri"/>
            <w:color w:val="595959" w:themeColor="text1" w:themeTint="A6"/>
            <w:szCs w:val="21"/>
            <w:u w:val="single"/>
          </w:rPr>
          <w:t>F</w:t>
        </w:r>
        <w:r w:rsidRPr="00FA288E">
          <w:rPr>
            <w:rFonts w:eastAsiaTheme="minorHAnsi" w:cs="Calibri"/>
            <w:color w:val="595959" w:themeColor="text1" w:themeTint="A6"/>
            <w:szCs w:val="21"/>
            <w:u w:val="single"/>
          </w:rPr>
          <w:t>.2</w:t>
        </w:r>
      </w:hyperlink>
      <w:r w:rsidRPr="00FA288E">
        <w:rPr>
          <w:rFonts w:eastAsiaTheme="minorHAnsi" w:cs="Calibri"/>
          <w:szCs w:val="21"/>
        </w:rPr>
        <w:t>).</w:t>
      </w:r>
    </w:p>
    <w:p w14:paraId="78B7F038" w14:textId="77777777" w:rsidR="00614C93" w:rsidRPr="00FA288E" w:rsidRDefault="008E2685" w:rsidP="00B15723">
      <w:pPr>
        <w:spacing w:after="80" w:line="240" w:lineRule="auto"/>
        <w:jc w:val="both"/>
        <w:rPr>
          <w:rFonts w:eastAsiaTheme="minorHAnsi" w:cs="Calibri"/>
          <w:szCs w:val="21"/>
        </w:rPr>
      </w:pPr>
      <w:r w:rsidRPr="00FA288E">
        <w:rPr>
          <w:rFonts w:eastAsiaTheme="minorHAnsi" w:cs="Calibri"/>
          <w:szCs w:val="21"/>
        </w:rPr>
        <w:lastRenderedPageBreak/>
        <w:t xml:space="preserve">The requirements </w:t>
      </w:r>
      <w:r w:rsidR="006B0B89" w:rsidRPr="00FA288E">
        <w:rPr>
          <w:rFonts w:eastAsiaTheme="minorHAnsi" w:cs="Calibri"/>
          <w:szCs w:val="21"/>
        </w:rPr>
        <w:t>for</w:t>
      </w:r>
      <w:r w:rsidRPr="00FA288E">
        <w:rPr>
          <w:rFonts w:eastAsiaTheme="minorHAnsi" w:cs="Calibri"/>
          <w:szCs w:val="21"/>
        </w:rPr>
        <w:t xml:space="preserve"> encouraging increased enrolment of </w:t>
      </w:r>
      <w:r w:rsidR="000118A2" w:rsidRPr="00FA288E">
        <w:rPr>
          <w:rFonts w:eastAsiaTheme="minorHAnsi" w:cs="Calibri"/>
          <w:szCs w:val="21"/>
        </w:rPr>
        <w:t>children with disabilities</w:t>
      </w:r>
      <w:r w:rsidRPr="00FA288E">
        <w:rPr>
          <w:rFonts w:eastAsiaTheme="minorHAnsi" w:cs="Calibri"/>
          <w:szCs w:val="21"/>
        </w:rPr>
        <w:t xml:space="preserve"> in mainstream schools are </w:t>
      </w:r>
      <w:r w:rsidR="006B0B89" w:rsidRPr="00FA288E">
        <w:rPr>
          <w:rFonts w:eastAsiaTheme="minorHAnsi" w:cs="Calibri"/>
          <w:szCs w:val="21"/>
        </w:rPr>
        <w:t>significant</w:t>
      </w:r>
      <w:r w:rsidRPr="00FA288E">
        <w:rPr>
          <w:rFonts w:eastAsiaTheme="minorHAnsi" w:cs="Calibri"/>
          <w:szCs w:val="21"/>
        </w:rPr>
        <w:t xml:space="preserve"> and require more substantial inputs than </w:t>
      </w:r>
      <w:r w:rsidR="00686098" w:rsidRPr="00FA288E">
        <w:rPr>
          <w:rFonts w:eastAsiaTheme="minorHAnsi" w:cs="Calibri"/>
          <w:szCs w:val="21"/>
        </w:rPr>
        <w:t>projects</w:t>
      </w:r>
      <w:r w:rsidRPr="00FA288E">
        <w:rPr>
          <w:rFonts w:eastAsiaTheme="minorHAnsi" w:cs="Calibri"/>
          <w:szCs w:val="21"/>
        </w:rPr>
        <w:t xml:space="preserve"> of this nature could reasonably </w:t>
      </w:r>
      <w:r w:rsidR="006B0B89" w:rsidRPr="00FA288E">
        <w:rPr>
          <w:rFonts w:eastAsiaTheme="minorHAnsi" w:cs="Calibri"/>
          <w:szCs w:val="21"/>
        </w:rPr>
        <w:t xml:space="preserve">be expected to </w:t>
      </w:r>
      <w:r w:rsidRPr="00FA288E">
        <w:rPr>
          <w:rFonts w:eastAsiaTheme="minorHAnsi" w:cs="Calibri"/>
          <w:szCs w:val="21"/>
        </w:rPr>
        <w:t>support. While effective in equipping I</w:t>
      </w:r>
      <w:r w:rsidR="006B0B89" w:rsidRPr="00FA288E">
        <w:rPr>
          <w:rFonts w:eastAsiaTheme="minorHAnsi" w:cs="Calibri"/>
          <w:szCs w:val="21"/>
        </w:rPr>
        <w:t>nclusive Education Resource Centre</w:t>
      </w:r>
      <w:r w:rsidRPr="00FA288E">
        <w:rPr>
          <w:rFonts w:eastAsiaTheme="minorHAnsi" w:cs="Calibri"/>
          <w:szCs w:val="21"/>
        </w:rPr>
        <w:t>s with additional and effective tools to work with children to improve their readiness for schools, the level of support the pro</w:t>
      </w:r>
      <w:r w:rsidR="00686098" w:rsidRPr="00FA288E">
        <w:rPr>
          <w:rFonts w:eastAsiaTheme="minorHAnsi" w:cs="Calibri"/>
          <w:szCs w:val="21"/>
        </w:rPr>
        <w:t>ject</w:t>
      </w:r>
      <w:r w:rsidRPr="00FA288E">
        <w:rPr>
          <w:rFonts w:eastAsiaTheme="minorHAnsi" w:cs="Calibri"/>
          <w:szCs w:val="21"/>
        </w:rPr>
        <w:t xml:space="preserve"> was able to provide to teachers to accommodate </w:t>
      </w:r>
      <w:r w:rsidR="006B0B89" w:rsidRPr="00FA288E">
        <w:rPr>
          <w:rFonts w:eastAsiaTheme="minorHAnsi" w:cs="Calibri"/>
          <w:szCs w:val="21"/>
        </w:rPr>
        <w:t>even</w:t>
      </w:r>
      <w:r w:rsidRPr="00FA288E">
        <w:rPr>
          <w:rFonts w:eastAsiaTheme="minorHAnsi" w:cs="Calibri"/>
          <w:szCs w:val="21"/>
        </w:rPr>
        <w:t xml:space="preserve"> those with the </w:t>
      </w:r>
      <w:r w:rsidR="00423E88" w:rsidRPr="00FA288E">
        <w:rPr>
          <w:rFonts w:eastAsiaTheme="minorHAnsi" w:cs="Calibri"/>
          <w:szCs w:val="21"/>
        </w:rPr>
        <w:t>least severe di</w:t>
      </w:r>
      <w:r w:rsidRPr="00FA288E">
        <w:rPr>
          <w:rFonts w:eastAsiaTheme="minorHAnsi" w:cs="Calibri"/>
          <w:szCs w:val="21"/>
        </w:rPr>
        <w:t xml:space="preserve">sability into their already overcrowded classrooms needs attention </w:t>
      </w:r>
      <w:r w:rsidR="00423E88" w:rsidRPr="00FA288E">
        <w:rPr>
          <w:rFonts w:eastAsiaTheme="minorHAnsi" w:cs="Calibri"/>
          <w:szCs w:val="21"/>
        </w:rPr>
        <w:t>through a</w:t>
      </w:r>
      <w:r w:rsidRPr="00FA288E">
        <w:rPr>
          <w:rFonts w:eastAsiaTheme="minorHAnsi" w:cs="Calibri"/>
          <w:szCs w:val="21"/>
        </w:rPr>
        <w:t xml:space="preserve"> more focused intervention. </w:t>
      </w:r>
    </w:p>
    <w:p w14:paraId="43877FDE" w14:textId="77777777" w:rsidR="008E2685" w:rsidRPr="00FA288E" w:rsidRDefault="003B2009" w:rsidP="00FF62CC">
      <w:pPr>
        <w:pStyle w:val="Heading2"/>
        <w:numPr>
          <w:ilvl w:val="0"/>
          <w:numId w:val="60"/>
        </w:numPr>
        <w:spacing w:before="0" w:after="80" w:line="240" w:lineRule="auto"/>
        <w:ind w:left="360"/>
        <w:rPr>
          <w:b w:val="0"/>
          <w:bCs w:val="0"/>
          <w:sz w:val="32"/>
          <w:szCs w:val="32"/>
        </w:rPr>
      </w:pPr>
      <w:bookmarkStart w:id="96" w:name="_Moving_Forward"/>
      <w:bookmarkStart w:id="97" w:name="_Toc31625595"/>
      <w:bookmarkStart w:id="98" w:name="_Toc42075975"/>
      <w:bookmarkEnd w:id="96"/>
      <w:r w:rsidRPr="00FA288E">
        <w:rPr>
          <w:b w:val="0"/>
          <w:bCs w:val="0"/>
          <w:sz w:val="32"/>
          <w:szCs w:val="32"/>
        </w:rPr>
        <w:t>Mov</w:t>
      </w:r>
      <w:r w:rsidR="008E2685" w:rsidRPr="00FA288E">
        <w:rPr>
          <w:b w:val="0"/>
          <w:bCs w:val="0"/>
          <w:sz w:val="32"/>
          <w:szCs w:val="32"/>
        </w:rPr>
        <w:t>ing Forward</w:t>
      </w:r>
      <w:bookmarkEnd w:id="97"/>
      <w:bookmarkEnd w:id="98"/>
    </w:p>
    <w:p w14:paraId="4041344D" w14:textId="185C700D" w:rsidR="008E2685" w:rsidRPr="00FA288E" w:rsidRDefault="008E2685" w:rsidP="00B15723">
      <w:pPr>
        <w:pStyle w:val="BodyText"/>
        <w:spacing w:after="80" w:line="240" w:lineRule="auto"/>
        <w:rPr>
          <w:rFonts w:ascii="Calibri" w:hAnsi="Calibri" w:cs="Calibri"/>
          <w:sz w:val="21"/>
          <w:szCs w:val="21"/>
        </w:rPr>
      </w:pPr>
      <w:r w:rsidRPr="00FA288E">
        <w:rPr>
          <w:rFonts w:ascii="Calibri" w:hAnsi="Calibri" w:cs="Calibri"/>
          <w:sz w:val="21"/>
          <w:szCs w:val="21"/>
        </w:rPr>
        <w:t xml:space="preserve">As noted above, the ability of the review team to provide definitive assessments as to what worked </w:t>
      </w:r>
      <w:r w:rsidR="0079052E" w:rsidRPr="00FA288E">
        <w:rPr>
          <w:rFonts w:ascii="Calibri" w:hAnsi="Calibri" w:cs="Calibri"/>
          <w:sz w:val="21"/>
          <w:szCs w:val="21"/>
        </w:rPr>
        <w:t>i</w:t>
      </w:r>
      <w:r w:rsidRPr="00FA288E">
        <w:rPr>
          <w:rFonts w:ascii="Calibri" w:hAnsi="Calibri" w:cs="Calibri"/>
          <w:sz w:val="21"/>
          <w:szCs w:val="21"/>
        </w:rPr>
        <w:t xml:space="preserve">s limited due to the early stage of implementation by the three consortia.  </w:t>
      </w:r>
      <w:r w:rsidR="00E6355E" w:rsidRPr="00FA288E">
        <w:rPr>
          <w:rFonts w:ascii="Calibri" w:hAnsi="Calibri" w:cs="Calibri"/>
          <w:sz w:val="21"/>
          <w:szCs w:val="21"/>
        </w:rPr>
        <w:t xml:space="preserve">Two </w:t>
      </w:r>
      <w:r w:rsidR="0079052E" w:rsidRPr="00FA288E">
        <w:rPr>
          <w:rFonts w:ascii="Calibri" w:hAnsi="Calibri" w:cs="Calibri"/>
          <w:sz w:val="21"/>
          <w:szCs w:val="21"/>
        </w:rPr>
        <w:t>projects</w:t>
      </w:r>
      <w:r w:rsidR="00E6355E" w:rsidRPr="00FA288E">
        <w:rPr>
          <w:rFonts w:ascii="Calibri" w:hAnsi="Calibri" w:cs="Calibri"/>
          <w:sz w:val="21"/>
          <w:szCs w:val="21"/>
        </w:rPr>
        <w:t xml:space="preserve"> (RISE and T4E) had been </w:t>
      </w:r>
      <w:r w:rsidR="00A97D3C" w:rsidRPr="00FA288E">
        <w:rPr>
          <w:rFonts w:ascii="Calibri" w:hAnsi="Calibri" w:cs="Calibri"/>
          <w:sz w:val="21"/>
          <w:szCs w:val="21"/>
        </w:rPr>
        <w:t>implementing for less than two years at the time of the review. PKS had an even shorter implementation period</w:t>
      </w:r>
      <w:r w:rsidR="004C52C3" w:rsidRPr="00FA288E">
        <w:rPr>
          <w:rFonts w:ascii="Calibri" w:hAnsi="Calibri" w:cs="Calibri"/>
          <w:sz w:val="21"/>
          <w:szCs w:val="21"/>
        </w:rPr>
        <w:t xml:space="preserve"> of less than 1</w:t>
      </w:r>
      <w:r w:rsidR="004A4407" w:rsidRPr="00FA288E">
        <w:rPr>
          <w:rFonts w:ascii="Calibri" w:hAnsi="Calibri" w:cs="Calibri"/>
          <w:sz w:val="21"/>
          <w:szCs w:val="21"/>
        </w:rPr>
        <w:t>5</w:t>
      </w:r>
      <w:r w:rsidR="004C52C3" w:rsidRPr="00FA288E">
        <w:rPr>
          <w:rFonts w:ascii="Calibri" w:hAnsi="Calibri" w:cs="Calibri"/>
          <w:sz w:val="21"/>
          <w:szCs w:val="21"/>
        </w:rPr>
        <w:t xml:space="preserve"> months</w:t>
      </w:r>
      <w:r w:rsidR="00A97D3C" w:rsidRPr="00FA288E">
        <w:rPr>
          <w:rFonts w:ascii="Calibri" w:hAnsi="Calibri" w:cs="Calibri"/>
          <w:sz w:val="21"/>
          <w:szCs w:val="21"/>
        </w:rPr>
        <w:t xml:space="preserve">. </w:t>
      </w:r>
      <w:r w:rsidR="0079052E" w:rsidRPr="00FA288E">
        <w:rPr>
          <w:rFonts w:ascii="Calibri" w:hAnsi="Calibri" w:cs="Calibri"/>
          <w:sz w:val="21"/>
          <w:szCs w:val="21"/>
        </w:rPr>
        <w:t>However, s</w:t>
      </w:r>
      <w:r w:rsidRPr="00FA288E">
        <w:rPr>
          <w:rFonts w:ascii="Calibri" w:hAnsi="Calibri" w:cs="Calibri"/>
          <w:sz w:val="21"/>
          <w:szCs w:val="21"/>
        </w:rPr>
        <w:t>ome preliminary judgements on the effectiveness of teacher development and reading interventions were possible</w:t>
      </w:r>
      <w:r w:rsidR="0079052E" w:rsidRPr="00FA288E">
        <w:rPr>
          <w:rFonts w:ascii="Calibri" w:hAnsi="Calibri" w:cs="Calibri"/>
          <w:sz w:val="21"/>
          <w:szCs w:val="21"/>
        </w:rPr>
        <w:t xml:space="preserve"> and, based on the findings of the midline evaluation (RISE and T4E), Six-Monthly Progress Reports, PPF Secretariat monitoring reports and the observations made during the mid-term review, good progress is being made to achieve many of the project targets and there is a positive impression that progress is being made to attain the end of project outcomes</w:t>
      </w:r>
      <w:r w:rsidRPr="00FA288E">
        <w:rPr>
          <w:rFonts w:ascii="Calibri" w:hAnsi="Calibri" w:cs="Calibri"/>
          <w:sz w:val="21"/>
          <w:szCs w:val="21"/>
        </w:rPr>
        <w:t>. The narrative which follows offers proposals</w:t>
      </w:r>
      <w:r w:rsidR="0079052E" w:rsidRPr="00FA288E">
        <w:rPr>
          <w:rFonts w:ascii="Calibri" w:hAnsi="Calibri" w:cs="Calibri"/>
          <w:sz w:val="21"/>
          <w:szCs w:val="21"/>
        </w:rPr>
        <w:t xml:space="preserve"> and recommend</w:t>
      </w:r>
      <w:r w:rsidR="00196B3F" w:rsidRPr="00FA288E">
        <w:rPr>
          <w:rFonts w:ascii="Calibri" w:hAnsi="Calibri" w:cs="Calibri"/>
          <w:sz w:val="21"/>
          <w:szCs w:val="21"/>
        </w:rPr>
        <w:t>a</w:t>
      </w:r>
      <w:r w:rsidR="0079052E" w:rsidRPr="00FA288E">
        <w:rPr>
          <w:rFonts w:ascii="Calibri" w:hAnsi="Calibri" w:cs="Calibri"/>
          <w:sz w:val="21"/>
          <w:szCs w:val="21"/>
        </w:rPr>
        <w:t>tions to</w:t>
      </w:r>
      <w:r w:rsidRPr="00FA288E">
        <w:rPr>
          <w:rFonts w:ascii="Calibri" w:hAnsi="Calibri" w:cs="Calibri"/>
          <w:sz w:val="21"/>
          <w:szCs w:val="21"/>
        </w:rPr>
        <w:t xml:space="preserve">: </w:t>
      </w:r>
      <w:proofErr w:type="spellStart"/>
      <w:r w:rsidRPr="00FA288E">
        <w:rPr>
          <w:rFonts w:ascii="Calibri" w:hAnsi="Calibri" w:cs="Calibri"/>
          <w:sz w:val="21"/>
          <w:szCs w:val="21"/>
        </w:rPr>
        <w:t>i</w:t>
      </w:r>
      <w:proofErr w:type="spellEnd"/>
      <w:r w:rsidRPr="00FA288E">
        <w:rPr>
          <w:rFonts w:ascii="Calibri" w:hAnsi="Calibri" w:cs="Calibri"/>
          <w:sz w:val="21"/>
          <w:szCs w:val="21"/>
        </w:rPr>
        <w:t xml:space="preserve">) </w:t>
      </w:r>
      <w:r w:rsidR="0079052E" w:rsidRPr="00FA288E">
        <w:rPr>
          <w:rFonts w:ascii="Calibri" w:hAnsi="Calibri" w:cs="Calibri"/>
          <w:sz w:val="21"/>
          <w:szCs w:val="21"/>
        </w:rPr>
        <w:t xml:space="preserve">guide decisions on the immediate next steps to be taken by the Australian Government in relation to the PPF </w:t>
      </w:r>
      <w:r w:rsidR="008531C5" w:rsidRPr="00FA288E">
        <w:rPr>
          <w:rFonts w:ascii="Calibri" w:hAnsi="Calibri" w:cs="Calibri"/>
          <w:sz w:val="21"/>
          <w:szCs w:val="21"/>
        </w:rPr>
        <w:t>E</w:t>
      </w:r>
      <w:r w:rsidR="0079052E" w:rsidRPr="00FA288E">
        <w:rPr>
          <w:rFonts w:ascii="Calibri" w:hAnsi="Calibri" w:cs="Calibri"/>
          <w:sz w:val="21"/>
          <w:szCs w:val="21"/>
        </w:rPr>
        <w:t xml:space="preserve">ducation </w:t>
      </w:r>
      <w:r w:rsidR="008531C5" w:rsidRPr="00FA288E">
        <w:rPr>
          <w:rFonts w:ascii="Calibri" w:hAnsi="Calibri" w:cs="Calibri"/>
          <w:sz w:val="21"/>
          <w:szCs w:val="21"/>
        </w:rPr>
        <w:t>G</w:t>
      </w:r>
      <w:r w:rsidR="0079052E" w:rsidRPr="00FA288E">
        <w:rPr>
          <w:rFonts w:ascii="Calibri" w:hAnsi="Calibri" w:cs="Calibri"/>
          <w:sz w:val="21"/>
          <w:szCs w:val="21"/>
        </w:rPr>
        <w:t xml:space="preserve">rants; ii) </w:t>
      </w:r>
      <w:r w:rsidRPr="00FA288E">
        <w:rPr>
          <w:rFonts w:ascii="Calibri" w:hAnsi="Calibri" w:cs="Calibri"/>
          <w:sz w:val="21"/>
          <w:szCs w:val="21"/>
        </w:rPr>
        <w:t xml:space="preserve">improve the implementation effectiveness of the grants during the extension </w:t>
      </w:r>
      <w:r w:rsidR="0079052E" w:rsidRPr="00FA288E">
        <w:rPr>
          <w:rFonts w:ascii="Calibri" w:hAnsi="Calibri" w:cs="Calibri"/>
          <w:sz w:val="21"/>
          <w:szCs w:val="21"/>
        </w:rPr>
        <w:t xml:space="preserve">to </w:t>
      </w:r>
      <w:r w:rsidR="006166CC" w:rsidRPr="00FA288E">
        <w:rPr>
          <w:rFonts w:ascii="Calibri" w:hAnsi="Calibri" w:cs="Calibri"/>
          <w:sz w:val="21"/>
          <w:szCs w:val="21"/>
        </w:rPr>
        <w:t>February</w:t>
      </w:r>
      <w:r w:rsidR="00E90BF2" w:rsidRPr="00FA288E">
        <w:rPr>
          <w:rFonts w:ascii="Calibri" w:hAnsi="Calibri" w:cs="Calibri"/>
          <w:sz w:val="21"/>
          <w:szCs w:val="21"/>
        </w:rPr>
        <w:t xml:space="preserve"> 2022</w:t>
      </w:r>
      <w:r w:rsidRPr="00FA288E">
        <w:rPr>
          <w:rFonts w:ascii="Calibri" w:hAnsi="Calibri" w:cs="Calibri"/>
          <w:sz w:val="21"/>
          <w:szCs w:val="21"/>
        </w:rPr>
        <w:t>; and,</w:t>
      </w:r>
      <w:r w:rsidR="0079052E" w:rsidRPr="00FA288E">
        <w:rPr>
          <w:rFonts w:ascii="Calibri" w:hAnsi="Calibri" w:cs="Calibri"/>
          <w:sz w:val="21"/>
          <w:szCs w:val="21"/>
        </w:rPr>
        <w:t xml:space="preserve"> i</w:t>
      </w:r>
      <w:r w:rsidRPr="00FA288E">
        <w:rPr>
          <w:rFonts w:ascii="Calibri" w:hAnsi="Calibri" w:cs="Calibri"/>
          <w:sz w:val="21"/>
          <w:szCs w:val="21"/>
        </w:rPr>
        <w:t xml:space="preserve">ii) inform the design of a possible future investment in </w:t>
      </w:r>
      <w:r w:rsidR="00A97D3C" w:rsidRPr="00FA288E">
        <w:rPr>
          <w:rFonts w:ascii="Calibri" w:hAnsi="Calibri" w:cs="Calibri"/>
          <w:sz w:val="21"/>
          <w:szCs w:val="21"/>
        </w:rPr>
        <w:t xml:space="preserve">early grades </w:t>
      </w:r>
      <w:r w:rsidRPr="00FA288E">
        <w:rPr>
          <w:rFonts w:ascii="Calibri" w:hAnsi="Calibri" w:cs="Calibri"/>
          <w:sz w:val="21"/>
          <w:szCs w:val="21"/>
        </w:rPr>
        <w:t>education in Papua New Guinea.</w:t>
      </w:r>
    </w:p>
    <w:p w14:paraId="208040D8" w14:textId="77777777" w:rsidR="008E2685" w:rsidRPr="00FA288E" w:rsidRDefault="008E2685" w:rsidP="00FF62CC">
      <w:pPr>
        <w:pStyle w:val="Heading1"/>
        <w:numPr>
          <w:ilvl w:val="1"/>
          <w:numId w:val="61"/>
        </w:numPr>
        <w:spacing w:before="0" w:after="80" w:line="240" w:lineRule="auto"/>
        <w:ind w:left="450" w:hanging="436"/>
      </w:pPr>
      <w:bookmarkStart w:id="99" w:name="_Toc26914378"/>
      <w:bookmarkStart w:id="100" w:name="_Toc31625596"/>
      <w:bookmarkStart w:id="101" w:name="_Toc42075976"/>
      <w:r w:rsidRPr="00FA288E">
        <w:t>Proposed Immediate Next Steps</w:t>
      </w:r>
      <w:bookmarkEnd w:id="99"/>
      <w:bookmarkEnd w:id="100"/>
      <w:bookmarkEnd w:id="101"/>
    </w:p>
    <w:p w14:paraId="73447442" w14:textId="1FDCAC3C" w:rsidR="008E2685" w:rsidRPr="00FA288E" w:rsidRDefault="00FD5FE7" w:rsidP="002767D9">
      <w:pPr>
        <w:tabs>
          <w:tab w:val="left" w:pos="1260"/>
        </w:tabs>
        <w:spacing w:after="80" w:line="240" w:lineRule="auto"/>
        <w:jc w:val="both"/>
        <w:rPr>
          <w:rFonts w:cs="Calibri"/>
          <w:szCs w:val="21"/>
        </w:rPr>
      </w:pPr>
      <w:r w:rsidRPr="00FA288E">
        <w:rPr>
          <w:rFonts w:cs="Calibri"/>
          <w:szCs w:val="21"/>
        </w:rPr>
        <w:t>Finalisation of the</w:t>
      </w:r>
      <w:r w:rsidR="008E2685" w:rsidRPr="00FA288E">
        <w:rPr>
          <w:rFonts w:cs="Calibri"/>
          <w:szCs w:val="21"/>
        </w:rPr>
        <w:t xml:space="preserve"> mid-term review report is scheduled for mid</w:t>
      </w:r>
      <w:r w:rsidR="0079052E" w:rsidRPr="00FA288E">
        <w:rPr>
          <w:rFonts w:cs="Calibri"/>
          <w:szCs w:val="21"/>
        </w:rPr>
        <w:t xml:space="preserve"> to </w:t>
      </w:r>
      <w:r w:rsidR="00E31715" w:rsidRPr="00FA288E">
        <w:rPr>
          <w:rFonts w:cs="Calibri"/>
          <w:szCs w:val="21"/>
        </w:rPr>
        <w:t>late 2020</w:t>
      </w:r>
      <w:r w:rsidR="008E2685" w:rsidRPr="00FA288E">
        <w:rPr>
          <w:rFonts w:cs="Calibri"/>
          <w:szCs w:val="21"/>
        </w:rPr>
        <w:t xml:space="preserve"> in time to inform adjustments to the implementation strategies and plans of the three consortia and the PPF Secretariat.</w:t>
      </w:r>
      <w:r w:rsidR="00A00560" w:rsidRPr="00FA288E">
        <w:rPr>
          <w:rStyle w:val="FootnoteReference"/>
          <w:rFonts w:cs="Calibri"/>
          <w:szCs w:val="21"/>
        </w:rPr>
        <w:footnoteReference w:id="75"/>
      </w:r>
      <w:r w:rsidR="008E2685" w:rsidRPr="00FA288E">
        <w:rPr>
          <w:rFonts w:cs="Calibri"/>
          <w:szCs w:val="21"/>
        </w:rPr>
        <w:t xml:space="preserve">  The process by which adjustments will be made is considered critical by the review team, considering the </w:t>
      </w:r>
      <w:r w:rsidR="0079052E" w:rsidRPr="00FA288E">
        <w:rPr>
          <w:rFonts w:cs="Calibri"/>
          <w:szCs w:val="21"/>
        </w:rPr>
        <w:t xml:space="preserve">perception of GoPNG of </w:t>
      </w:r>
      <w:r w:rsidR="008E2685" w:rsidRPr="00FA288E">
        <w:rPr>
          <w:rFonts w:cs="Calibri"/>
          <w:szCs w:val="21"/>
        </w:rPr>
        <w:t xml:space="preserve">limited </w:t>
      </w:r>
      <w:r w:rsidR="008A0DFD" w:rsidRPr="00FA288E">
        <w:rPr>
          <w:rFonts w:cs="Calibri"/>
          <w:szCs w:val="21"/>
        </w:rPr>
        <w:t xml:space="preserve">previous </w:t>
      </w:r>
      <w:r w:rsidR="008E2685" w:rsidRPr="00FA288E">
        <w:rPr>
          <w:rFonts w:cs="Calibri"/>
          <w:szCs w:val="21"/>
        </w:rPr>
        <w:t xml:space="preserve">engagement of government </w:t>
      </w:r>
      <w:r w:rsidR="008A0DFD" w:rsidRPr="00FA288E">
        <w:rPr>
          <w:rFonts w:cs="Calibri"/>
          <w:szCs w:val="21"/>
        </w:rPr>
        <w:t>officials</w:t>
      </w:r>
      <w:r w:rsidR="008E2685" w:rsidRPr="00FA288E">
        <w:rPr>
          <w:rFonts w:cs="Calibri"/>
          <w:szCs w:val="21"/>
        </w:rPr>
        <w:t xml:space="preserve"> in the design, governance and oversight monitoring of the education grants. Accordingly, the review </w:t>
      </w:r>
      <w:r w:rsidR="008A0DFD" w:rsidRPr="00FA288E">
        <w:rPr>
          <w:rFonts w:cs="Calibri"/>
          <w:szCs w:val="21"/>
        </w:rPr>
        <w:t xml:space="preserve">offers </w:t>
      </w:r>
      <w:r w:rsidR="008E2685" w:rsidRPr="00FA288E">
        <w:rPr>
          <w:rFonts w:cs="Calibri"/>
          <w:szCs w:val="21"/>
        </w:rPr>
        <w:t xml:space="preserve">three </w:t>
      </w:r>
      <w:r w:rsidR="008A0DFD" w:rsidRPr="00FA288E">
        <w:rPr>
          <w:rFonts w:cs="Calibri"/>
          <w:szCs w:val="21"/>
        </w:rPr>
        <w:t>recommendations</w:t>
      </w:r>
      <w:r w:rsidR="008E2685" w:rsidRPr="00FA288E">
        <w:rPr>
          <w:rFonts w:cs="Calibri"/>
          <w:szCs w:val="21"/>
        </w:rPr>
        <w:t xml:space="preserve"> to be </w:t>
      </w:r>
      <w:r w:rsidR="008A0DFD" w:rsidRPr="00FA288E">
        <w:rPr>
          <w:rFonts w:cs="Calibri"/>
          <w:szCs w:val="21"/>
        </w:rPr>
        <w:t>acted upon</w:t>
      </w:r>
      <w:r w:rsidR="008E2685" w:rsidRPr="00FA288E">
        <w:rPr>
          <w:rFonts w:cs="Calibri"/>
          <w:szCs w:val="21"/>
        </w:rPr>
        <w:t xml:space="preserve"> </w:t>
      </w:r>
      <w:r w:rsidR="008A0DFD" w:rsidRPr="00FA288E">
        <w:rPr>
          <w:rFonts w:cs="Calibri"/>
          <w:szCs w:val="21"/>
        </w:rPr>
        <w:t>immediately following</w:t>
      </w:r>
      <w:r w:rsidR="008E2685" w:rsidRPr="00FA288E">
        <w:rPr>
          <w:rFonts w:cs="Calibri"/>
          <w:szCs w:val="21"/>
        </w:rPr>
        <w:t xml:space="preserve"> release of the mid-term review report.  </w:t>
      </w:r>
    </w:p>
    <w:tbl>
      <w:tblPr>
        <w:tblStyle w:val="TableGrid"/>
        <w:tblW w:w="0" w:type="auto"/>
        <w:tblInd w:w="0" w:type="dxa"/>
        <w:shd w:val="clear" w:color="auto" w:fill="F2F2F2" w:themeFill="background1" w:themeFillShade="F2"/>
        <w:tblLook w:val="04A0" w:firstRow="1" w:lastRow="0" w:firstColumn="1" w:lastColumn="0" w:noHBand="0" w:noVBand="1"/>
        <w:tblCaption w:val="Recommendation 1"/>
        <w:tblDescription w:val="The Australian Government should engage the PPF Secretariat to design and facilitate a collaborative process to engage key stakeholders in a review of project progress, including but not limited to, the mid-term review findings. "/>
      </w:tblPr>
      <w:tblGrid>
        <w:gridCol w:w="1975"/>
        <w:gridCol w:w="7761"/>
      </w:tblGrid>
      <w:tr w:rsidR="00201DB9" w:rsidRPr="00FA288E" w14:paraId="3F856232" w14:textId="77777777" w:rsidTr="00AE259C">
        <w:trPr>
          <w:tblHeader/>
        </w:trPr>
        <w:tc>
          <w:tcPr>
            <w:tcW w:w="1975" w:type="dxa"/>
            <w:shd w:val="clear" w:color="auto" w:fill="F2F2F2" w:themeFill="background1" w:themeFillShade="F2"/>
          </w:tcPr>
          <w:p w14:paraId="242D075B" w14:textId="77777777" w:rsidR="00201DB9" w:rsidRPr="00FA288E" w:rsidRDefault="00201DB9" w:rsidP="00201DB9">
            <w:pPr>
              <w:tabs>
                <w:tab w:val="left" w:pos="1260"/>
              </w:tabs>
              <w:spacing w:after="80"/>
              <w:rPr>
                <w:rFonts w:cs="Calibri"/>
                <w:szCs w:val="21"/>
                <w:lang w:val="en-AU"/>
              </w:rPr>
            </w:pPr>
            <w:r w:rsidRPr="00FA288E">
              <w:rPr>
                <w:rFonts w:cs="Calibri"/>
                <w:szCs w:val="21"/>
                <w:lang w:val="en-AU"/>
              </w:rPr>
              <w:t>Recommendation 1:</w:t>
            </w:r>
          </w:p>
        </w:tc>
        <w:tc>
          <w:tcPr>
            <w:tcW w:w="7761" w:type="dxa"/>
            <w:shd w:val="clear" w:color="auto" w:fill="F2F2F2" w:themeFill="background1" w:themeFillShade="F2"/>
          </w:tcPr>
          <w:p w14:paraId="6E7FFFCE" w14:textId="0FE8D8FA" w:rsidR="00201DB9" w:rsidRPr="00FA288E" w:rsidRDefault="00201DB9" w:rsidP="00F42E5A">
            <w:pPr>
              <w:tabs>
                <w:tab w:val="left" w:pos="1260"/>
              </w:tabs>
              <w:spacing w:after="80"/>
              <w:rPr>
                <w:rFonts w:cs="Calibri"/>
                <w:szCs w:val="21"/>
                <w:lang w:val="en-AU"/>
              </w:rPr>
            </w:pPr>
            <w:r w:rsidRPr="00FA288E">
              <w:rPr>
                <w:rFonts w:cs="Calibri"/>
                <w:szCs w:val="21"/>
                <w:lang w:val="en-AU"/>
              </w:rPr>
              <w:t xml:space="preserve">The Australian Government should </w:t>
            </w:r>
            <w:r w:rsidR="00F42E5A" w:rsidRPr="00FA288E">
              <w:rPr>
                <w:rFonts w:cs="Calibri"/>
                <w:szCs w:val="21"/>
                <w:lang w:val="en-AU"/>
              </w:rPr>
              <w:t xml:space="preserve">engage </w:t>
            </w:r>
            <w:r w:rsidRPr="00FA288E">
              <w:rPr>
                <w:rFonts w:cs="Calibri"/>
                <w:szCs w:val="21"/>
                <w:lang w:val="en-AU"/>
              </w:rPr>
              <w:t xml:space="preserve">the PPF Secretariat to design and facilitate a collaborative process to engage key stakeholders in a review of project progress, including but not limited to, the mid-term review findings. </w:t>
            </w:r>
          </w:p>
        </w:tc>
      </w:tr>
    </w:tbl>
    <w:p w14:paraId="7B14E26A" w14:textId="6BEE7459" w:rsidR="00196B3F" w:rsidRPr="00FA288E" w:rsidRDefault="008A0DFD" w:rsidP="00196B3F">
      <w:pPr>
        <w:tabs>
          <w:tab w:val="left" w:pos="1260"/>
        </w:tabs>
        <w:spacing w:before="80" w:after="80" w:line="240" w:lineRule="auto"/>
        <w:jc w:val="both"/>
      </w:pPr>
      <w:r w:rsidRPr="00FA288E">
        <w:rPr>
          <w:rFonts w:cs="Calibri"/>
          <w:szCs w:val="21"/>
        </w:rPr>
        <w:t xml:space="preserve">The PPF Secretariat should design and facilitate a process that will engage the GoPNG partners, the </w:t>
      </w:r>
      <w:r w:rsidR="008531C5" w:rsidRPr="00FA288E">
        <w:rPr>
          <w:rFonts w:cs="Calibri"/>
          <w:szCs w:val="21"/>
        </w:rPr>
        <w:t>three NGO consortia and the Australian Government to review the findings of the mid-term-review together with the most recently available information on the current progress of the PPF Education Grants</w:t>
      </w:r>
      <w:r w:rsidR="008E2685" w:rsidRPr="00FA288E">
        <w:t>.</w:t>
      </w:r>
      <w:r w:rsidR="008E2685" w:rsidRPr="00FA288E">
        <w:rPr>
          <w:rStyle w:val="FootnoteReference"/>
          <w:rFonts w:cs="Calibri"/>
          <w:szCs w:val="21"/>
        </w:rPr>
        <w:footnoteReference w:id="76"/>
      </w:r>
      <w:r w:rsidR="008E2685" w:rsidRPr="00FA288E">
        <w:t xml:space="preserve">  </w:t>
      </w:r>
      <w:r w:rsidR="008531C5" w:rsidRPr="00FA288E">
        <w:t xml:space="preserve">Additional information on progress should be available from the most recent Six-Monthly Progress Reports/Annual Plans (December 2019), the </w:t>
      </w:r>
      <w:r w:rsidR="008E2685" w:rsidRPr="00FA288E">
        <w:t xml:space="preserve">preliminary findings from the current </w:t>
      </w:r>
      <w:r w:rsidR="00FA288E">
        <w:t>end line</w:t>
      </w:r>
      <w:r w:rsidR="008E2685" w:rsidRPr="00FA288E">
        <w:t xml:space="preserve"> studies for two of the grants </w:t>
      </w:r>
      <w:r w:rsidR="004C52C3" w:rsidRPr="00FA288E">
        <w:t xml:space="preserve">(RISE and T4E) </w:t>
      </w:r>
      <w:r w:rsidR="008E2685" w:rsidRPr="00FA288E">
        <w:t>should be available by early 2020</w:t>
      </w:r>
      <w:r w:rsidR="008531C5" w:rsidRPr="00FA288E">
        <w:t xml:space="preserve"> and the 2020 Aid Quality Check for the PPF Education Grants. This process may be linked to, but should precede the workshop to review the PPF Education Grants Theory of Change.</w:t>
      </w:r>
    </w:p>
    <w:tbl>
      <w:tblPr>
        <w:tblStyle w:val="TableGrid"/>
        <w:tblW w:w="0" w:type="auto"/>
        <w:tblInd w:w="0" w:type="dxa"/>
        <w:shd w:val="clear" w:color="auto" w:fill="F2F2F2" w:themeFill="background1" w:themeFillShade="F2"/>
        <w:tblLook w:val="04A0" w:firstRow="1" w:lastRow="0" w:firstColumn="1" w:lastColumn="0" w:noHBand="0" w:noVBand="1"/>
        <w:tblCaption w:val="Recommendation 2"/>
        <w:tblDescription w:val="The Australian Government should engage the PPF Secretariat to design and facilitate the conduct of a PPF Education Grants Theory of Change workshop to develop a more integrated program logic and associated results framework to guide all projects during the extension phase to February 2022."/>
      </w:tblPr>
      <w:tblGrid>
        <w:gridCol w:w="1975"/>
        <w:gridCol w:w="7761"/>
      </w:tblGrid>
      <w:tr w:rsidR="00196B3F" w:rsidRPr="00FA288E" w14:paraId="6F7E5342" w14:textId="77777777" w:rsidTr="00AE259C">
        <w:trPr>
          <w:tblHeader/>
        </w:trPr>
        <w:tc>
          <w:tcPr>
            <w:tcW w:w="1975" w:type="dxa"/>
            <w:shd w:val="clear" w:color="auto" w:fill="F2F2F2" w:themeFill="background1" w:themeFillShade="F2"/>
          </w:tcPr>
          <w:p w14:paraId="6B3EFCEF" w14:textId="77777777" w:rsidR="00196B3F" w:rsidRPr="00FA288E" w:rsidRDefault="00196B3F" w:rsidP="00BC3E53">
            <w:pPr>
              <w:tabs>
                <w:tab w:val="left" w:pos="1260"/>
              </w:tabs>
              <w:spacing w:after="80"/>
              <w:rPr>
                <w:rFonts w:cs="Calibri"/>
                <w:szCs w:val="21"/>
                <w:lang w:val="en-AU"/>
              </w:rPr>
            </w:pPr>
            <w:r w:rsidRPr="00FA288E">
              <w:rPr>
                <w:rFonts w:cs="Calibri"/>
                <w:szCs w:val="21"/>
                <w:lang w:val="en-AU"/>
              </w:rPr>
              <w:t>Recommendation 2:</w:t>
            </w:r>
          </w:p>
        </w:tc>
        <w:tc>
          <w:tcPr>
            <w:tcW w:w="7761" w:type="dxa"/>
            <w:shd w:val="clear" w:color="auto" w:fill="F2F2F2" w:themeFill="background1" w:themeFillShade="F2"/>
          </w:tcPr>
          <w:p w14:paraId="6A7A438C" w14:textId="7BC8AFED" w:rsidR="00196B3F" w:rsidRPr="00FA288E" w:rsidRDefault="00196B3F" w:rsidP="00F42E5A">
            <w:pPr>
              <w:tabs>
                <w:tab w:val="left" w:pos="1260"/>
              </w:tabs>
              <w:spacing w:after="80"/>
              <w:rPr>
                <w:rFonts w:cs="Calibri"/>
                <w:szCs w:val="21"/>
                <w:lang w:val="en-AU"/>
              </w:rPr>
            </w:pPr>
            <w:r w:rsidRPr="00FA288E">
              <w:rPr>
                <w:rFonts w:cs="Calibri"/>
                <w:szCs w:val="21"/>
                <w:lang w:val="en-AU"/>
              </w:rPr>
              <w:t xml:space="preserve">The Australian Government should </w:t>
            </w:r>
            <w:r w:rsidR="00F42E5A" w:rsidRPr="00FA288E">
              <w:rPr>
                <w:rFonts w:cs="Calibri"/>
                <w:szCs w:val="21"/>
                <w:lang w:val="en-AU"/>
              </w:rPr>
              <w:t xml:space="preserve">engage </w:t>
            </w:r>
            <w:r w:rsidRPr="00FA288E">
              <w:rPr>
                <w:rFonts w:cs="Calibri"/>
                <w:szCs w:val="21"/>
                <w:lang w:val="en-AU"/>
              </w:rPr>
              <w:t xml:space="preserve">the PPF Secretariat to design and facilitate the conduct of a PPF Education Grants Theory of Change workshop to develop a more integrated program logic and associated results framework to guide all projects during the extension phase to </w:t>
            </w:r>
            <w:r w:rsidR="006166CC" w:rsidRPr="00FA288E">
              <w:rPr>
                <w:rFonts w:cs="Calibri"/>
                <w:szCs w:val="21"/>
                <w:lang w:val="en-AU"/>
              </w:rPr>
              <w:t xml:space="preserve">February </w:t>
            </w:r>
            <w:r w:rsidRPr="00FA288E">
              <w:rPr>
                <w:rFonts w:cs="Calibri"/>
                <w:szCs w:val="21"/>
                <w:lang w:val="en-AU"/>
              </w:rPr>
              <w:t>202</w:t>
            </w:r>
            <w:r w:rsidR="006166CC" w:rsidRPr="00FA288E">
              <w:rPr>
                <w:rFonts w:cs="Calibri"/>
                <w:szCs w:val="21"/>
                <w:lang w:val="en-AU"/>
              </w:rPr>
              <w:t>2</w:t>
            </w:r>
            <w:r w:rsidRPr="00FA288E">
              <w:rPr>
                <w:rFonts w:cs="Calibri"/>
                <w:szCs w:val="21"/>
                <w:lang w:val="en-AU"/>
              </w:rPr>
              <w:t>.</w:t>
            </w:r>
          </w:p>
        </w:tc>
      </w:tr>
    </w:tbl>
    <w:p w14:paraId="5C4CFF6A" w14:textId="32A427E5" w:rsidR="00F8338A" w:rsidRPr="00FA288E" w:rsidRDefault="008E2685" w:rsidP="00F8338A">
      <w:pPr>
        <w:tabs>
          <w:tab w:val="left" w:pos="1260"/>
        </w:tabs>
        <w:spacing w:before="80" w:after="80" w:line="240" w:lineRule="auto"/>
        <w:jc w:val="both"/>
        <w:rPr>
          <w:rFonts w:cs="Calibri"/>
          <w:szCs w:val="21"/>
        </w:rPr>
      </w:pPr>
      <w:r w:rsidRPr="00FA288E">
        <w:rPr>
          <w:rFonts w:cs="Calibri"/>
          <w:szCs w:val="21"/>
        </w:rPr>
        <w:t xml:space="preserve">The PPF Secretariat should schedule in early 2020 a </w:t>
      </w:r>
      <w:r w:rsidR="00051730" w:rsidRPr="00FA288E">
        <w:rPr>
          <w:rFonts w:cs="Calibri"/>
          <w:szCs w:val="21"/>
        </w:rPr>
        <w:t xml:space="preserve">workshop </w:t>
      </w:r>
      <w:r w:rsidRPr="00FA288E">
        <w:rPr>
          <w:rFonts w:cs="Calibri"/>
          <w:szCs w:val="21"/>
        </w:rPr>
        <w:t xml:space="preserve">to </w:t>
      </w:r>
      <w:r w:rsidR="00051730" w:rsidRPr="00FA288E">
        <w:rPr>
          <w:rFonts w:cs="Calibri"/>
          <w:szCs w:val="21"/>
        </w:rPr>
        <w:t>en</w:t>
      </w:r>
      <w:r w:rsidR="00196B3F" w:rsidRPr="00FA288E">
        <w:rPr>
          <w:rFonts w:cs="Calibri"/>
          <w:szCs w:val="21"/>
        </w:rPr>
        <w:t>gage</w:t>
      </w:r>
      <w:r w:rsidRPr="00FA288E">
        <w:rPr>
          <w:rFonts w:cs="Calibri"/>
          <w:szCs w:val="21"/>
        </w:rPr>
        <w:t xml:space="preserve"> stakeholders to collaborate on the design of the extension of the grants to </w:t>
      </w:r>
      <w:r w:rsidR="006166CC" w:rsidRPr="00FA288E">
        <w:rPr>
          <w:rFonts w:cs="Calibri"/>
          <w:szCs w:val="21"/>
        </w:rPr>
        <w:t>February</w:t>
      </w:r>
      <w:r w:rsidR="00E90BF2" w:rsidRPr="00FA288E">
        <w:rPr>
          <w:rFonts w:cs="Calibri"/>
          <w:szCs w:val="21"/>
        </w:rPr>
        <w:t xml:space="preserve"> 2022</w:t>
      </w:r>
      <w:r w:rsidRPr="00FA288E">
        <w:rPr>
          <w:rFonts w:cs="Calibri"/>
          <w:szCs w:val="21"/>
        </w:rPr>
        <w:t xml:space="preserve">. Key </w:t>
      </w:r>
      <w:r w:rsidR="00196B3F" w:rsidRPr="00FA288E">
        <w:rPr>
          <w:rFonts w:cs="Calibri"/>
          <w:szCs w:val="21"/>
        </w:rPr>
        <w:t>activities</w:t>
      </w:r>
      <w:r w:rsidRPr="00FA288E">
        <w:rPr>
          <w:rFonts w:cs="Calibri"/>
          <w:szCs w:val="21"/>
        </w:rPr>
        <w:t xml:space="preserve"> would include: </w:t>
      </w:r>
      <w:proofErr w:type="spellStart"/>
      <w:r w:rsidR="00F8338A" w:rsidRPr="00FA288E">
        <w:rPr>
          <w:rFonts w:cs="Calibri"/>
          <w:szCs w:val="21"/>
        </w:rPr>
        <w:t>i</w:t>
      </w:r>
      <w:proofErr w:type="spellEnd"/>
      <w:r w:rsidR="00F8338A" w:rsidRPr="00FA288E">
        <w:rPr>
          <w:rFonts w:cs="Calibri"/>
          <w:szCs w:val="21"/>
        </w:rPr>
        <w:t xml:space="preserve">) </w:t>
      </w:r>
      <w:r w:rsidR="00AF3A6B" w:rsidRPr="00FA288E">
        <w:rPr>
          <w:rFonts w:cs="Calibri"/>
          <w:szCs w:val="21"/>
        </w:rPr>
        <w:t>identifying</w:t>
      </w:r>
      <w:r w:rsidRPr="00FA288E">
        <w:rPr>
          <w:rFonts w:cs="Calibri"/>
          <w:szCs w:val="21"/>
        </w:rPr>
        <w:t xml:space="preserve"> recommended implementation activities</w:t>
      </w:r>
      <w:r w:rsidR="00AF3A6B" w:rsidRPr="00FA288E">
        <w:rPr>
          <w:rFonts w:cs="Calibri"/>
          <w:szCs w:val="21"/>
        </w:rPr>
        <w:t xml:space="preserve"> based on </w:t>
      </w:r>
      <w:r w:rsidR="00F8338A" w:rsidRPr="00FA288E">
        <w:rPr>
          <w:rFonts w:cs="Calibri"/>
          <w:szCs w:val="21"/>
        </w:rPr>
        <w:t xml:space="preserve">the </w:t>
      </w:r>
      <w:r w:rsidR="00AF3A6B" w:rsidRPr="00FA288E">
        <w:rPr>
          <w:rFonts w:cs="Calibri"/>
          <w:szCs w:val="21"/>
        </w:rPr>
        <w:t xml:space="preserve">findings from the </w:t>
      </w:r>
      <w:r w:rsidR="004C52C3" w:rsidRPr="00FA288E">
        <w:rPr>
          <w:rFonts w:cs="Calibri"/>
          <w:szCs w:val="21"/>
        </w:rPr>
        <w:t>m</w:t>
      </w:r>
      <w:r w:rsidR="00AF3A6B" w:rsidRPr="00FA288E">
        <w:rPr>
          <w:rFonts w:cs="Calibri"/>
          <w:szCs w:val="21"/>
        </w:rPr>
        <w:t>id</w:t>
      </w:r>
      <w:r w:rsidR="00196B3F" w:rsidRPr="00FA288E">
        <w:rPr>
          <w:rFonts w:cs="Calibri"/>
          <w:szCs w:val="21"/>
        </w:rPr>
        <w:t>-</w:t>
      </w:r>
      <w:r w:rsidR="00AF3A6B" w:rsidRPr="00FA288E">
        <w:rPr>
          <w:rFonts w:cs="Calibri"/>
          <w:szCs w:val="21"/>
        </w:rPr>
        <w:t>term review</w:t>
      </w:r>
      <w:r w:rsidR="004C52C3" w:rsidRPr="00FA288E">
        <w:rPr>
          <w:rFonts w:cs="Calibri"/>
          <w:szCs w:val="21"/>
        </w:rPr>
        <w:t xml:space="preserve">, </w:t>
      </w:r>
      <w:r w:rsidR="00AF3A6B" w:rsidRPr="00FA288E">
        <w:rPr>
          <w:rFonts w:cs="Calibri"/>
          <w:szCs w:val="21"/>
        </w:rPr>
        <w:t xml:space="preserve">midline </w:t>
      </w:r>
      <w:r w:rsidR="00F8338A" w:rsidRPr="00FA288E">
        <w:rPr>
          <w:rFonts w:cs="Calibri"/>
          <w:szCs w:val="21"/>
        </w:rPr>
        <w:t xml:space="preserve">and </w:t>
      </w:r>
      <w:r w:rsidR="00FA288E">
        <w:rPr>
          <w:rFonts w:cs="Calibri"/>
          <w:szCs w:val="21"/>
        </w:rPr>
        <w:t>end line</w:t>
      </w:r>
      <w:r w:rsidR="00F8338A" w:rsidRPr="00FA288E">
        <w:rPr>
          <w:rFonts w:cs="Calibri"/>
          <w:szCs w:val="21"/>
        </w:rPr>
        <w:t xml:space="preserve"> evaluations </w:t>
      </w:r>
      <w:r w:rsidR="004C52C3" w:rsidRPr="00FA288E">
        <w:rPr>
          <w:rFonts w:cs="Calibri"/>
          <w:szCs w:val="21"/>
        </w:rPr>
        <w:t xml:space="preserve">and </w:t>
      </w:r>
      <w:r w:rsidR="00F8338A" w:rsidRPr="00FA288E">
        <w:rPr>
          <w:rFonts w:cs="Calibri"/>
          <w:szCs w:val="21"/>
        </w:rPr>
        <w:t xml:space="preserve">the </w:t>
      </w:r>
      <w:r w:rsidR="004C52C3" w:rsidRPr="00FA288E">
        <w:rPr>
          <w:rFonts w:cs="Calibri"/>
          <w:szCs w:val="21"/>
        </w:rPr>
        <w:t xml:space="preserve">most recent </w:t>
      </w:r>
      <w:r w:rsidR="00F8338A" w:rsidRPr="00FA288E">
        <w:rPr>
          <w:rFonts w:cs="Calibri"/>
          <w:szCs w:val="21"/>
        </w:rPr>
        <w:t xml:space="preserve">project </w:t>
      </w:r>
      <w:r w:rsidR="004C52C3" w:rsidRPr="00FA288E">
        <w:rPr>
          <w:rFonts w:cs="Calibri"/>
          <w:szCs w:val="21"/>
        </w:rPr>
        <w:t>progress reports</w:t>
      </w:r>
      <w:r w:rsidR="00AF3A6B" w:rsidRPr="00FA288E">
        <w:rPr>
          <w:rFonts w:cs="Calibri"/>
          <w:szCs w:val="21"/>
        </w:rPr>
        <w:t>;</w:t>
      </w:r>
      <w:r w:rsidRPr="00FA288E">
        <w:rPr>
          <w:rFonts w:cs="Calibri"/>
          <w:szCs w:val="21"/>
        </w:rPr>
        <w:t xml:space="preserve"> </w:t>
      </w:r>
      <w:r w:rsidR="00F8338A" w:rsidRPr="00FA288E">
        <w:rPr>
          <w:rFonts w:cs="Calibri"/>
          <w:szCs w:val="21"/>
        </w:rPr>
        <w:t xml:space="preserve">ii) reaching </w:t>
      </w:r>
      <w:r w:rsidRPr="00FA288E">
        <w:rPr>
          <w:rFonts w:cs="Calibri"/>
          <w:szCs w:val="21"/>
        </w:rPr>
        <w:t>agreement on</w:t>
      </w:r>
      <w:r w:rsidR="00F8338A" w:rsidRPr="00FA288E">
        <w:rPr>
          <w:rFonts w:cs="Calibri"/>
          <w:szCs w:val="21"/>
        </w:rPr>
        <w:t xml:space="preserve"> the elements of</w:t>
      </w:r>
      <w:r w:rsidRPr="00FA288E">
        <w:rPr>
          <w:rFonts w:cs="Calibri"/>
          <w:szCs w:val="21"/>
        </w:rPr>
        <w:t xml:space="preserve"> a more integrated program logic and associated results framework</w:t>
      </w:r>
      <w:r w:rsidR="00AF3A6B" w:rsidRPr="00FA288E">
        <w:rPr>
          <w:rFonts w:cs="Calibri"/>
          <w:szCs w:val="21"/>
        </w:rPr>
        <w:t xml:space="preserve">; </w:t>
      </w:r>
      <w:r w:rsidR="00F8338A" w:rsidRPr="00FA288E">
        <w:rPr>
          <w:rFonts w:cs="Calibri"/>
          <w:szCs w:val="21"/>
        </w:rPr>
        <w:t>iii) agreeing on</w:t>
      </w:r>
      <w:r w:rsidRPr="00FA288E">
        <w:rPr>
          <w:rFonts w:cs="Calibri"/>
          <w:szCs w:val="21"/>
        </w:rPr>
        <w:t xml:space="preserve"> information-sharing protocols and processes and governance and decision-making processes. The </w:t>
      </w:r>
      <w:r w:rsidR="00AF3A6B" w:rsidRPr="00FA288E">
        <w:rPr>
          <w:rFonts w:cs="Calibri"/>
          <w:szCs w:val="21"/>
        </w:rPr>
        <w:t xml:space="preserve">workshop </w:t>
      </w:r>
      <w:r w:rsidRPr="00FA288E">
        <w:rPr>
          <w:rFonts w:cs="Calibri"/>
          <w:szCs w:val="21"/>
        </w:rPr>
        <w:t xml:space="preserve">would include officials from the NDOE, the DNPM (other </w:t>
      </w:r>
      <w:r w:rsidRPr="00FA288E">
        <w:rPr>
          <w:rFonts w:cs="Calibri"/>
          <w:szCs w:val="21"/>
        </w:rPr>
        <w:lastRenderedPageBreak/>
        <w:t xml:space="preserve">GoPNG officials as </w:t>
      </w:r>
      <w:r w:rsidR="004C52C3" w:rsidRPr="00FA288E">
        <w:rPr>
          <w:rFonts w:cs="Calibri"/>
          <w:szCs w:val="21"/>
        </w:rPr>
        <w:t xml:space="preserve">possible </w:t>
      </w:r>
      <w:r w:rsidRPr="00FA288E">
        <w:rPr>
          <w:rFonts w:cs="Calibri"/>
          <w:szCs w:val="21"/>
        </w:rPr>
        <w:t xml:space="preserve">observers), representatives from the </w:t>
      </w:r>
      <w:r w:rsidR="004C52C3" w:rsidRPr="00FA288E">
        <w:rPr>
          <w:rFonts w:cs="Calibri"/>
          <w:szCs w:val="21"/>
        </w:rPr>
        <w:t xml:space="preserve">Australian </w:t>
      </w:r>
      <w:r w:rsidR="001444CE" w:rsidRPr="00FA288E">
        <w:rPr>
          <w:rFonts w:cs="Calibri"/>
          <w:szCs w:val="21"/>
        </w:rPr>
        <w:t>G</w:t>
      </w:r>
      <w:r w:rsidR="004C52C3" w:rsidRPr="00FA288E">
        <w:rPr>
          <w:rFonts w:cs="Calibri"/>
          <w:szCs w:val="21"/>
        </w:rPr>
        <w:t>overnment</w:t>
      </w:r>
      <w:r w:rsidRPr="00FA288E">
        <w:rPr>
          <w:rFonts w:cs="Calibri"/>
          <w:szCs w:val="21"/>
        </w:rPr>
        <w:t>, the PPF Secretariat and NGO consortia members</w:t>
      </w:r>
      <w:r w:rsidR="0013407D" w:rsidRPr="00FA288E">
        <w:rPr>
          <w:rFonts w:cs="Calibri"/>
          <w:szCs w:val="21"/>
        </w:rPr>
        <w:t>.</w:t>
      </w:r>
      <w:r w:rsidRPr="00FA288E">
        <w:rPr>
          <w:rStyle w:val="FootnoteReference"/>
          <w:rFonts w:cs="Calibri"/>
          <w:szCs w:val="21"/>
        </w:rPr>
        <w:footnoteReference w:id="77"/>
      </w:r>
      <w:r w:rsidRPr="00FA288E">
        <w:rPr>
          <w:rFonts w:cs="Calibri"/>
          <w:szCs w:val="21"/>
        </w:rPr>
        <w:t xml:space="preserve"> </w:t>
      </w:r>
    </w:p>
    <w:p w14:paraId="10EF69D7" w14:textId="77777777" w:rsidR="003B20E9" w:rsidRPr="00FA288E" w:rsidRDefault="003B20E9" w:rsidP="00F8338A">
      <w:pPr>
        <w:tabs>
          <w:tab w:val="left" w:pos="1260"/>
        </w:tabs>
        <w:spacing w:before="80" w:after="80" w:line="240" w:lineRule="auto"/>
        <w:jc w:val="both"/>
        <w:rPr>
          <w:rFonts w:cs="Calibri"/>
          <w:szCs w:val="21"/>
        </w:rPr>
      </w:pPr>
      <w:r w:rsidRPr="00FA288E">
        <w:rPr>
          <w:rFonts w:cs="Calibri"/>
          <w:szCs w:val="21"/>
        </w:rPr>
        <w:t>The proposed extension provides a timely opportunity to reflect on what has been achieved to date by consortia partners, revisit assumptions made at the concept stage, take into account progress made and together with NDOE partners, develop a consolidated program logic. The program logic should be sufficiently focused to reflect the realities of implementation lessons and ensure alignment with the new NEP</w:t>
      </w:r>
      <w:r w:rsidR="00F23E3A" w:rsidRPr="00FA288E">
        <w:rPr>
          <w:rFonts w:cs="Calibri"/>
          <w:szCs w:val="21"/>
        </w:rPr>
        <w:t xml:space="preserve"> 2020-2029</w:t>
      </w:r>
      <w:r w:rsidRPr="00FA288E">
        <w:rPr>
          <w:rFonts w:cs="Calibri"/>
          <w:szCs w:val="21"/>
        </w:rPr>
        <w:t>, while being sufficiently ‘global’ to accommodate innovations within the particular pathways being explored by individual grantees according to their particular strengths and interests.</w:t>
      </w:r>
    </w:p>
    <w:p w14:paraId="4BBC18E6" w14:textId="77777777" w:rsidR="003B20E9" w:rsidRPr="00FA288E" w:rsidRDefault="003B20E9" w:rsidP="00E50689">
      <w:pPr>
        <w:spacing w:before="80" w:after="80" w:line="240" w:lineRule="auto"/>
        <w:jc w:val="both"/>
        <w:rPr>
          <w:rFonts w:eastAsia="Calibri" w:cs="Calibri"/>
          <w:iCs/>
          <w:szCs w:val="21"/>
        </w:rPr>
      </w:pPr>
      <w:r w:rsidRPr="00FA288E">
        <w:rPr>
          <w:rFonts w:cs="Calibri"/>
          <w:szCs w:val="21"/>
        </w:rPr>
        <w:t>To develop a useful M&amp;E results framework, rather than modifying all the M&amp;E indicators/outcomes, consideration be given to standardising only the core indicators for which all of the projects are contributing. These core indicators would be for literacy and numeracy attainment, teacher training and reading practice as suggested previously.</w:t>
      </w:r>
      <w:r w:rsidRPr="00FA288E">
        <w:rPr>
          <w:rFonts w:eastAsia="Calibri" w:cs="Calibri"/>
          <w:iCs/>
          <w:szCs w:val="21"/>
        </w:rPr>
        <w:t xml:space="preserve"> One approach might be to develop two sections of the results framework – one for the core indicators and a separate section for the more unique indicators that </w:t>
      </w:r>
      <w:r w:rsidR="00E50689" w:rsidRPr="00FA288E">
        <w:rPr>
          <w:rFonts w:eastAsia="Calibri" w:cs="Calibri"/>
          <w:iCs/>
          <w:szCs w:val="21"/>
        </w:rPr>
        <w:t xml:space="preserve">would measure the results </w:t>
      </w:r>
      <w:r w:rsidRPr="00FA288E">
        <w:rPr>
          <w:rFonts w:eastAsia="Calibri" w:cs="Calibri"/>
          <w:iCs/>
          <w:szCs w:val="21"/>
        </w:rPr>
        <w:t>‘demonstration’</w:t>
      </w:r>
      <w:r w:rsidR="00E50689" w:rsidRPr="00FA288E">
        <w:rPr>
          <w:rFonts w:eastAsia="Calibri" w:cs="Calibri"/>
          <w:iCs/>
          <w:szCs w:val="21"/>
        </w:rPr>
        <w:t xml:space="preserve"> activities</w:t>
      </w:r>
      <w:r w:rsidRPr="00FA288E">
        <w:rPr>
          <w:rFonts w:eastAsia="Calibri" w:cs="Calibri"/>
          <w:iCs/>
          <w:szCs w:val="21"/>
        </w:rPr>
        <w:t>.</w:t>
      </w:r>
    </w:p>
    <w:tbl>
      <w:tblPr>
        <w:tblStyle w:val="TableGrid"/>
        <w:tblW w:w="0" w:type="auto"/>
        <w:tblInd w:w="0" w:type="dxa"/>
        <w:shd w:val="clear" w:color="auto" w:fill="F2F2F2" w:themeFill="background1" w:themeFillShade="F2"/>
        <w:tblLook w:val="04A0" w:firstRow="1" w:lastRow="0" w:firstColumn="1" w:lastColumn="0" w:noHBand="0" w:noVBand="1"/>
        <w:tblCaption w:val="Recommendation 3"/>
        <w:tblDescription w:val="The Australian Government should request for a special meeting of the PPF NOC to endorse the agreements and direction resulting from the PPF Education Grants Theory of Change workshop."/>
      </w:tblPr>
      <w:tblGrid>
        <w:gridCol w:w="1975"/>
        <w:gridCol w:w="7761"/>
      </w:tblGrid>
      <w:tr w:rsidR="00F8338A" w:rsidRPr="00FA288E" w14:paraId="52B3BD04" w14:textId="77777777" w:rsidTr="00AE259C">
        <w:trPr>
          <w:tblHeader/>
        </w:trPr>
        <w:tc>
          <w:tcPr>
            <w:tcW w:w="1975" w:type="dxa"/>
            <w:shd w:val="clear" w:color="auto" w:fill="F2F2F2" w:themeFill="background1" w:themeFillShade="F2"/>
          </w:tcPr>
          <w:p w14:paraId="0A140773" w14:textId="77777777" w:rsidR="00F8338A" w:rsidRPr="00FA288E" w:rsidRDefault="00F8338A" w:rsidP="00BC3E53">
            <w:pPr>
              <w:tabs>
                <w:tab w:val="left" w:pos="1260"/>
              </w:tabs>
              <w:spacing w:after="80"/>
              <w:rPr>
                <w:rFonts w:cs="Calibri"/>
                <w:szCs w:val="21"/>
                <w:lang w:val="en-AU"/>
              </w:rPr>
            </w:pPr>
            <w:r w:rsidRPr="00FA288E">
              <w:rPr>
                <w:rFonts w:cs="Calibri"/>
                <w:szCs w:val="21"/>
                <w:lang w:val="en-AU"/>
              </w:rPr>
              <w:t>Recommendation 3:</w:t>
            </w:r>
          </w:p>
        </w:tc>
        <w:tc>
          <w:tcPr>
            <w:tcW w:w="7761" w:type="dxa"/>
            <w:shd w:val="clear" w:color="auto" w:fill="F2F2F2" w:themeFill="background1" w:themeFillShade="F2"/>
          </w:tcPr>
          <w:p w14:paraId="3D6E7CBA" w14:textId="77777777" w:rsidR="00F8338A" w:rsidRPr="00FA288E" w:rsidRDefault="00F8338A" w:rsidP="00BC3E53">
            <w:pPr>
              <w:tabs>
                <w:tab w:val="left" w:pos="1260"/>
              </w:tabs>
              <w:spacing w:after="80"/>
              <w:rPr>
                <w:rFonts w:cs="Calibri"/>
                <w:szCs w:val="21"/>
                <w:lang w:val="en-AU"/>
              </w:rPr>
            </w:pPr>
            <w:r w:rsidRPr="00FA288E">
              <w:rPr>
                <w:rFonts w:cs="Calibri"/>
                <w:szCs w:val="21"/>
                <w:lang w:val="en-AU"/>
              </w:rPr>
              <w:t>The Australian Government should request for a special meeting of the PPF NOC to endorse the agreements and direction resulting from the PPF Education Grants Theory of Change workshop.</w:t>
            </w:r>
          </w:p>
        </w:tc>
      </w:tr>
    </w:tbl>
    <w:p w14:paraId="54672D4D" w14:textId="692277A9" w:rsidR="00F8338A" w:rsidRPr="00FA288E" w:rsidRDefault="00F8338A" w:rsidP="00F8338A">
      <w:pPr>
        <w:tabs>
          <w:tab w:val="left" w:pos="1260"/>
        </w:tabs>
        <w:spacing w:before="80" w:after="80" w:line="240" w:lineRule="auto"/>
        <w:jc w:val="both"/>
      </w:pPr>
      <w:r w:rsidRPr="00FA288E">
        <w:rPr>
          <w:rFonts w:cs="Calibri"/>
          <w:szCs w:val="21"/>
        </w:rPr>
        <w:t xml:space="preserve">It is important to obtain senior level endorsement of the agreements reached during the workshop to build ownership and commitment to work of the education grants.  </w:t>
      </w:r>
      <w:r w:rsidRPr="00FA288E">
        <w:rPr>
          <w:rFonts w:asciiTheme="majorHAnsi" w:hAnsiTheme="majorHAnsi" w:cstheme="majorHAnsi"/>
        </w:rPr>
        <w:t xml:space="preserve">Since many of the members of the PPF NOC may be in attendance at </w:t>
      </w:r>
      <w:r w:rsidRPr="00FA288E">
        <w:rPr>
          <w:rFonts w:cs="Calibri"/>
          <w:szCs w:val="21"/>
        </w:rPr>
        <w:t xml:space="preserve">the </w:t>
      </w:r>
      <w:r w:rsidR="00A00560" w:rsidRPr="00FA288E">
        <w:rPr>
          <w:rFonts w:cs="Calibri"/>
          <w:szCs w:val="21"/>
        </w:rPr>
        <w:t>workshop</w:t>
      </w:r>
      <w:r w:rsidR="00A00560" w:rsidRPr="00FA288E">
        <w:rPr>
          <w:rFonts w:asciiTheme="majorHAnsi" w:hAnsiTheme="majorHAnsi" w:cstheme="majorHAnsi"/>
        </w:rPr>
        <w:t>,</w:t>
      </w:r>
      <w:r w:rsidRPr="00FA288E">
        <w:rPr>
          <w:rFonts w:asciiTheme="majorHAnsi" w:hAnsiTheme="majorHAnsi" w:cstheme="majorHAnsi"/>
        </w:rPr>
        <w:t xml:space="preserve"> it may be possible to convene a meeting of the PPF NOC as the final</w:t>
      </w:r>
      <w:r w:rsidR="00CB23E8" w:rsidRPr="00FA288E">
        <w:rPr>
          <w:rFonts w:asciiTheme="majorHAnsi" w:hAnsiTheme="majorHAnsi" w:cstheme="majorHAnsi"/>
        </w:rPr>
        <w:t xml:space="preserve"> session.</w:t>
      </w:r>
    </w:p>
    <w:p w14:paraId="1541BD90" w14:textId="77777777" w:rsidR="008E2685" w:rsidRPr="00FA288E" w:rsidRDefault="008E2685" w:rsidP="00FF62CC">
      <w:pPr>
        <w:pStyle w:val="Heading1"/>
        <w:numPr>
          <w:ilvl w:val="1"/>
          <w:numId w:val="61"/>
        </w:numPr>
        <w:spacing w:before="0" w:after="80" w:line="240" w:lineRule="auto"/>
        <w:ind w:left="450" w:hanging="436"/>
      </w:pPr>
      <w:bookmarkStart w:id="102" w:name="_Toc26914379"/>
      <w:bookmarkStart w:id="103" w:name="_Toc31625597"/>
      <w:bookmarkStart w:id="104" w:name="_Toc42075977"/>
      <w:r w:rsidRPr="00FA288E">
        <w:t xml:space="preserve">Proposed Actions for the Short-Term (implementation to </w:t>
      </w:r>
      <w:r w:rsidR="00E90BF2" w:rsidRPr="00FA288E">
        <w:t>2022</w:t>
      </w:r>
      <w:r w:rsidRPr="00FA288E">
        <w:t>)</w:t>
      </w:r>
      <w:bookmarkEnd w:id="102"/>
      <w:bookmarkEnd w:id="103"/>
      <w:bookmarkEnd w:id="104"/>
    </w:p>
    <w:p w14:paraId="161207F2" w14:textId="77777777" w:rsidR="008E2685" w:rsidRPr="00FA288E" w:rsidRDefault="008E2685" w:rsidP="00D40D5B">
      <w:pPr>
        <w:pStyle w:val="BodyText"/>
        <w:spacing w:after="80" w:line="240" w:lineRule="auto"/>
      </w:pPr>
      <w:r w:rsidRPr="00FA288E">
        <w:rPr>
          <w:rFonts w:cs="Calibri"/>
          <w:szCs w:val="21"/>
        </w:rPr>
        <w:t xml:space="preserve">Findings of the two project midline studies and review interviews and observations indicate improvement in the knowledge and skills of teachers as a result of grant-supported interventions. Other than this </w:t>
      </w:r>
      <w:r w:rsidR="005711C5" w:rsidRPr="00FA288E">
        <w:rPr>
          <w:rFonts w:cs="Calibri"/>
          <w:szCs w:val="21"/>
        </w:rPr>
        <w:t>finding</w:t>
      </w:r>
      <w:r w:rsidRPr="00FA288E">
        <w:rPr>
          <w:rFonts w:cs="Calibri"/>
          <w:szCs w:val="21"/>
        </w:rPr>
        <w:t>, there is little else that provide</w:t>
      </w:r>
      <w:r w:rsidR="001531E6" w:rsidRPr="00FA288E">
        <w:rPr>
          <w:rFonts w:cs="Calibri"/>
          <w:szCs w:val="21"/>
        </w:rPr>
        <w:t>s</w:t>
      </w:r>
      <w:r w:rsidRPr="00FA288E">
        <w:rPr>
          <w:rFonts w:cs="Calibri"/>
          <w:szCs w:val="21"/>
        </w:rPr>
        <w:t xml:space="preserve"> sufficient evidence to warrant recommendations</w:t>
      </w:r>
      <w:r w:rsidR="005711C5" w:rsidRPr="00FA288E">
        <w:rPr>
          <w:rFonts w:cs="Calibri"/>
          <w:szCs w:val="21"/>
        </w:rPr>
        <w:t xml:space="preserve"> on specific project approaches or activities</w:t>
      </w:r>
      <w:r w:rsidRPr="00FA288E">
        <w:rPr>
          <w:rFonts w:cs="Calibri"/>
          <w:szCs w:val="21"/>
        </w:rPr>
        <w:t xml:space="preserve">. </w:t>
      </w:r>
      <w:r w:rsidR="005711C5" w:rsidRPr="00FA288E">
        <w:rPr>
          <w:rFonts w:cs="Calibri"/>
          <w:szCs w:val="21"/>
        </w:rPr>
        <w:t>Accordingly, t</w:t>
      </w:r>
      <w:r w:rsidRPr="00FA288E">
        <w:rPr>
          <w:rFonts w:cs="Calibri"/>
          <w:szCs w:val="21"/>
        </w:rPr>
        <w:t xml:space="preserve">he </w:t>
      </w:r>
      <w:r w:rsidR="005711C5" w:rsidRPr="00FA288E">
        <w:rPr>
          <w:rFonts w:cs="Calibri"/>
          <w:szCs w:val="21"/>
        </w:rPr>
        <w:t xml:space="preserve">mid-term </w:t>
      </w:r>
      <w:r w:rsidRPr="00FA288E">
        <w:rPr>
          <w:rFonts w:cs="Calibri"/>
          <w:szCs w:val="21"/>
        </w:rPr>
        <w:t xml:space="preserve">review team has focused proposed actions </w:t>
      </w:r>
      <w:r w:rsidR="005711C5" w:rsidRPr="00FA288E">
        <w:rPr>
          <w:rFonts w:cs="Calibri"/>
          <w:szCs w:val="21"/>
        </w:rPr>
        <w:t xml:space="preserve">and recommendations </w:t>
      </w:r>
      <w:r w:rsidRPr="00FA288E">
        <w:rPr>
          <w:rFonts w:cs="Calibri"/>
          <w:szCs w:val="21"/>
        </w:rPr>
        <w:t xml:space="preserve">predominantly on processes to guide PPF </w:t>
      </w:r>
      <w:r w:rsidR="00285142" w:rsidRPr="00FA288E">
        <w:rPr>
          <w:rFonts w:cs="Calibri"/>
          <w:szCs w:val="21"/>
        </w:rPr>
        <w:t>E</w:t>
      </w:r>
      <w:r w:rsidRPr="00FA288E">
        <w:rPr>
          <w:rFonts w:cs="Calibri"/>
          <w:szCs w:val="21"/>
        </w:rPr>
        <w:t xml:space="preserve">ducation </w:t>
      </w:r>
      <w:r w:rsidR="00285142" w:rsidRPr="00FA288E">
        <w:rPr>
          <w:rFonts w:cs="Calibri"/>
          <w:szCs w:val="21"/>
        </w:rPr>
        <w:t>G</w:t>
      </w:r>
      <w:r w:rsidRPr="00FA288E">
        <w:rPr>
          <w:rFonts w:cs="Calibri"/>
          <w:szCs w:val="21"/>
        </w:rPr>
        <w:t xml:space="preserve">rant implementation </w:t>
      </w:r>
      <w:r w:rsidR="005711C5" w:rsidRPr="00FA288E">
        <w:rPr>
          <w:rFonts w:cs="Calibri"/>
          <w:szCs w:val="21"/>
        </w:rPr>
        <w:t xml:space="preserve">during the extension phase to </w:t>
      </w:r>
      <w:r w:rsidR="006166CC" w:rsidRPr="00FA288E">
        <w:rPr>
          <w:rFonts w:cs="Calibri"/>
          <w:szCs w:val="21"/>
        </w:rPr>
        <w:t>February</w:t>
      </w:r>
      <w:r w:rsidR="005711C5" w:rsidRPr="00FA288E">
        <w:rPr>
          <w:rFonts w:cs="Calibri"/>
          <w:szCs w:val="21"/>
        </w:rPr>
        <w:t xml:space="preserve"> 2022</w:t>
      </w:r>
      <w:r w:rsidRPr="00FA288E">
        <w:rPr>
          <w:rFonts w:cs="Calibri"/>
          <w:szCs w:val="21"/>
        </w:rPr>
        <w:t>.</w:t>
      </w:r>
      <w:r w:rsidRPr="00FA288E">
        <w:rPr>
          <w:rStyle w:val="FootnoteReference"/>
          <w:rFonts w:eastAsiaTheme="majorEastAsia" w:cs="Calibri"/>
          <w:szCs w:val="21"/>
        </w:rPr>
        <w:footnoteReference w:id="78"/>
      </w:r>
      <w:r w:rsidRPr="00FA288E">
        <w:rPr>
          <w:rFonts w:cs="Calibri"/>
          <w:szCs w:val="21"/>
        </w:rPr>
        <w:t xml:space="preserve">  The review team explore</w:t>
      </w:r>
      <w:r w:rsidR="003D6A09" w:rsidRPr="00FA288E">
        <w:rPr>
          <w:rFonts w:cs="Calibri"/>
          <w:szCs w:val="21"/>
        </w:rPr>
        <w:t>d</w:t>
      </w:r>
      <w:r w:rsidRPr="00FA288E">
        <w:rPr>
          <w:rFonts w:cs="Calibri"/>
          <w:szCs w:val="21"/>
        </w:rPr>
        <w:t xml:space="preserve"> </w:t>
      </w:r>
      <w:r w:rsidR="001531E6" w:rsidRPr="00FA288E">
        <w:rPr>
          <w:rFonts w:cs="Calibri"/>
          <w:szCs w:val="21"/>
        </w:rPr>
        <w:t xml:space="preserve">with </w:t>
      </w:r>
      <w:r w:rsidR="003D6A09" w:rsidRPr="00FA288E">
        <w:rPr>
          <w:rFonts w:cs="Calibri"/>
          <w:szCs w:val="21"/>
        </w:rPr>
        <w:t xml:space="preserve">different </w:t>
      </w:r>
      <w:r w:rsidR="001531E6" w:rsidRPr="00FA288E">
        <w:rPr>
          <w:rFonts w:cs="Calibri"/>
          <w:szCs w:val="21"/>
        </w:rPr>
        <w:t xml:space="preserve">stakeholders </w:t>
      </w:r>
      <w:r w:rsidRPr="00FA288E">
        <w:rPr>
          <w:rFonts w:cs="Calibri"/>
          <w:szCs w:val="21"/>
        </w:rPr>
        <w:t>a number of ideas for what could happen during an extension</w:t>
      </w:r>
      <w:r w:rsidR="001531E6" w:rsidRPr="00FA288E">
        <w:rPr>
          <w:rFonts w:cs="Calibri"/>
          <w:szCs w:val="21"/>
        </w:rPr>
        <w:t xml:space="preserve"> period. </w:t>
      </w:r>
      <w:r w:rsidR="001531E6" w:rsidRPr="00FA288E">
        <w:rPr>
          <w:rFonts w:ascii="Calibri" w:hAnsi="Calibri" w:cs="Calibri"/>
          <w:sz w:val="21"/>
          <w:szCs w:val="21"/>
        </w:rPr>
        <w:t xml:space="preserve">During the validation workshop with the NGO consortia and representatives of the Australian </w:t>
      </w:r>
      <w:r w:rsidR="001444CE" w:rsidRPr="00FA288E">
        <w:rPr>
          <w:rFonts w:ascii="Calibri" w:hAnsi="Calibri" w:cs="Calibri"/>
          <w:sz w:val="21"/>
          <w:szCs w:val="21"/>
        </w:rPr>
        <w:t>G</w:t>
      </w:r>
      <w:r w:rsidR="001531E6" w:rsidRPr="00FA288E">
        <w:rPr>
          <w:rFonts w:ascii="Calibri" w:hAnsi="Calibri" w:cs="Calibri"/>
          <w:sz w:val="21"/>
          <w:szCs w:val="21"/>
        </w:rPr>
        <w:t xml:space="preserve">overnment, an exercise seeking feedback from the participants on </w:t>
      </w:r>
      <w:r w:rsidR="00D40D5B" w:rsidRPr="00FA288E">
        <w:rPr>
          <w:rFonts w:ascii="Calibri" w:hAnsi="Calibri" w:cs="Calibri"/>
          <w:sz w:val="21"/>
          <w:szCs w:val="21"/>
        </w:rPr>
        <w:t>possible</w:t>
      </w:r>
      <w:r w:rsidR="001531E6" w:rsidRPr="00FA288E">
        <w:rPr>
          <w:rFonts w:ascii="Calibri" w:hAnsi="Calibri" w:cs="Calibri"/>
          <w:sz w:val="21"/>
          <w:szCs w:val="21"/>
        </w:rPr>
        <w:t xml:space="preserve"> actions for the extension phase revealed general suppor</w:t>
      </w:r>
      <w:r w:rsidR="00D40D5B" w:rsidRPr="00FA288E">
        <w:rPr>
          <w:rFonts w:ascii="Calibri" w:hAnsi="Calibri" w:cs="Calibri"/>
          <w:sz w:val="21"/>
          <w:szCs w:val="21"/>
        </w:rPr>
        <w:t>t</w:t>
      </w:r>
      <w:r w:rsidR="001531E6" w:rsidRPr="00FA288E">
        <w:rPr>
          <w:rFonts w:ascii="Calibri" w:hAnsi="Calibri" w:cs="Calibri"/>
          <w:sz w:val="21"/>
          <w:szCs w:val="21"/>
        </w:rPr>
        <w:t>.</w:t>
      </w:r>
      <w:r w:rsidR="00D40D5B" w:rsidRPr="00FA288E">
        <w:rPr>
          <w:rFonts w:ascii="Calibri" w:hAnsi="Calibri" w:cs="Calibri"/>
          <w:sz w:val="21"/>
          <w:szCs w:val="21"/>
        </w:rPr>
        <w:t xml:space="preserve"> </w:t>
      </w:r>
      <w:r w:rsidRPr="00FA288E">
        <w:t>These ideas for proposed actions were also presented during the delivery of the draft</w:t>
      </w:r>
      <w:r w:rsidR="00D40D5B" w:rsidRPr="00FA288E">
        <w:t xml:space="preserve"> </w:t>
      </w:r>
      <w:r w:rsidRPr="00FA288E">
        <w:t>Aide-Memoire</w:t>
      </w:r>
      <w:r w:rsidR="00D40D5B" w:rsidRPr="00FA288E">
        <w:t xml:space="preserve">. </w:t>
      </w:r>
    </w:p>
    <w:tbl>
      <w:tblPr>
        <w:tblStyle w:val="TableGrid"/>
        <w:tblW w:w="0" w:type="auto"/>
        <w:tblInd w:w="0" w:type="dxa"/>
        <w:shd w:val="clear" w:color="auto" w:fill="F2F2F2" w:themeFill="background1" w:themeFillShade="F2"/>
        <w:tblLook w:val="04A0" w:firstRow="1" w:lastRow="0" w:firstColumn="1" w:lastColumn="0" w:noHBand="0" w:noVBand="1"/>
        <w:tblCaption w:val="Recommendation 4"/>
        <w:tblDescription w:val="The Australian Government should task the PPF Secretariat to develop clear institutional engagement and communication protocols for the PPF Education Grants that meet Australian Government needs and provide for appropriate and timely engagement and communication between the PPF Secretariat and grantees with GoPNG at different levels."/>
      </w:tblPr>
      <w:tblGrid>
        <w:gridCol w:w="1975"/>
        <w:gridCol w:w="7761"/>
      </w:tblGrid>
      <w:tr w:rsidR="00D40D5B" w:rsidRPr="00FA288E" w14:paraId="323F8E34" w14:textId="77777777" w:rsidTr="00AE259C">
        <w:trPr>
          <w:tblHeader/>
        </w:trPr>
        <w:tc>
          <w:tcPr>
            <w:tcW w:w="1975" w:type="dxa"/>
            <w:shd w:val="clear" w:color="auto" w:fill="F2F2F2" w:themeFill="background1" w:themeFillShade="F2"/>
          </w:tcPr>
          <w:p w14:paraId="4CC77F18" w14:textId="77777777" w:rsidR="00D40D5B" w:rsidRPr="00FA288E" w:rsidRDefault="00D40D5B" w:rsidP="00BC3E53">
            <w:pPr>
              <w:tabs>
                <w:tab w:val="left" w:pos="1260"/>
              </w:tabs>
              <w:spacing w:after="80"/>
              <w:rPr>
                <w:rFonts w:cs="Calibri"/>
                <w:szCs w:val="21"/>
                <w:lang w:val="en-AU"/>
              </w:rPr>
            </w:pPr>
            <w:r w:rsidRPr="00FA288E">
              <w:rPr>
                <w:rFonts w:cs="Calibri"/>
                <w:szCs w:val="21"/>
                <w:lang w:val="en-AU"/>
              </w:rPr>
              <w:t>Recommendation 4:</w:t>
            </w:r>
          </w:p>
        </w:tc>
        <w:tc>
          <w:tcPr>
            <w:tcW w:w="7761" w:type="dxa"/>
            <w:shd w:val="clear" w:color="auto" w:fill="F2F2F2" w:themeFill="background1" w:themeFillShade="F2"/>
          </w:tcPr>
          <w:p w14:paraId="1C638DB1" w14:textId="77777777" w:rsidR="00D40D5B" w:rsidRPr="00FA288E" w:rsidRDefault="00D40D5B" w:rsidP="00BC3E53">
            <w:pPr>
              <w:tabs>
                <w:tab w:val="left" w:pos="1260"/>
              </w:tabs>
              <w:spacing w:after="80"/>
              <w:rPr>
                <w:rFonts w:cs="Calibri"/>
                <w:szCs w:val="21"/>
                <w:lang w:val="en-AU"/>
              </w:rPr>
            </w:pPr>
            <w:r w:rsidRPr="00FA288E">
              <w:rPr>
                <w:rFonts w:cs="Calibri"/>
                <w:szCs w:val="21"/>
                <w:lang w:val="en-AU"/>
              </w:rPr>
              <w:t>The Australian Government should task the PPF Secretariat to develop clear institutional engagement and communication protocols</w:t>
            </w:r>
            <w:r w:rsidR="00C263BC" w:rsidRPr="00FA288E">
              <w:rPr>
                <w:rFonts w:cs="Calibri"/>
                <w:szCs w:val="21"/>
                <w:lang w:val="en-AU"/>
              </w:rPr>
              <w:t xml:space="preserve"> for the PPF Education Grants</w:t>
            </w:r>
            <w:r w:rsidRPr="00FA288E">
              <w:rPr>
                <w:rFonts w:cs="Calibri"/>
                <w:szCs w:val="21"/>
                <w:lang w:val="en-AU"/>
              </w:rPr>
              <w:t xml:space="preserve"> that meet Australian Government needs and provide for appropriate </w:t>
            </w:r>
            <w:r w:rsidR="00C263BC" w:rsidRPr="00FA288E">
              <w:rPr>
                <w:rFonts w:cs="Calibri"/>
                <w:szCs w:val="21"/>
                <w:lang w:val="en-AU"/>
              </w:rPr>
              <w:t xml:space="preserve">and timely </w:t>
            </w:r>
            <w:r w:rsidRPr="00FA288E">
              <w:rPr>
                <w:rFonts w:cs="Calibri"/>
                <w:szCs w:val="21"/>
                <w:lang w:val="en-AU"/>
              </w:rPr>
              <w:t xml:space="preserve">engagement and communication </w:t>
            </w:r>
            <w:r w:rsidR="00C263BC" w:rsidRPr="00FA288E">
              <w:rPr>
                <w:rFonts w:cs="Calibri"/>
                <w:szCs w:val="21"/>
                <w:lang w:val="en-AU"/>
              </w:rPr>
              <w:t>between</w:t>
            </w:r>
            <w:r w:rsidRPr="00FA288E">
              <w:rPr>
                <w:rFonts w:cs="Calibri"/>
                <w:szCs w:val="21"/>
                <w:lang w:val="en-AU"/>
              </w:rPr>
              <w:t xml:space="preserve"> the PPF Secretariat and grantees with Go</w:t>
            </w:r>
            <w:r w:rsidR="00C263BC" w:rsidRPr="00FA288E">
              <w:rPr>
                <w:rFonts w:cs="Calibri"/>
                <w:szCs w:val="21"/>
                <w:lang w:val="en-AU"/>
              </w:rPr>
              <w:t>P</w:t>
            </w:r>
            <w:r w:rsidRPr="00FA288E">
              <w:rPr>
                <w:rFonts w:cs="Calibri"/>
                <w:szCs w:val="21"/>
                <w:lang w:val="en-AU"/>
              </w:rPr>
              <w:t>NG</w:t>
            </w:r>
            <w:r w:rsidR="00C263BC" w:rsidRPr="00FA288E">
              <w:rPr>
                <w:rFonts w:cs="Calibri"/>
                <w:szCs w:val="21"/>
                <w:lang w:val="en-AU"/>
              </w:rPr>
              <w:t xml:space="preserve"> at different levels</w:t>
            </w:r>
            <w:r w:rsidRPr="00FA288E">
              <w:rPr>
                <w:rFonts w:cs="Calibri"/>
                <w:szCs w:val="21"/>
                <w:lang w:val="en-AU"/>
              </w:rPr>
              <w:t>.</w:t>
            </w:r>
          </w:p>
        </w:tc>
      </w:tr>
    </w:tbl>
    <w:p w14:paraId="4B3F1EA2" w14:textId="77777777" w:rsidR="00B64315" w:rsidRPr="00FA288E" w:rsidRDefault="008E2685" w:rsidP="00C263BC">
      <w:pPr>
        <w:spacing w:before="80" w:after="80" w:line="240" w:lineRule="auto"/>
        <w:rPr>
          <w:rFonts w:cs="Calibri"/>
          <w:szCs w:val="21"/>
        </w:rPr>
      </w:pPr>
      <w:r w:rsidRPr="00FA288E">
        <w:rPr>
          <w:rFonts w:cs="Calibri"/>
          <w:szCs w:val="21"/>
        </w:rPr>
        <w:t xml:space="preserve">As noted </w:t>
      </w:r>
      <w:r w:rsidR="00C263BC" w:rsidRPr="00FA288E">
        <w:rPr>
          <w:rFonts w:cs="Calibri"/>
          <w:szCs w:val="21"/>
        </w:rPr>
        <w:t>by the mid-term review</w:t>
      </w:r>
      <w:r w:rsidRPr="00FA288E">
        <w:rPr>
          <w:rFonts w:cs="Calibri"/>
          <w:szCs w:val="21"/>
        </w:rPr>
        <w:t>, the</w:t>
      </w:r>
      <w:r w:rsidR="00C263BC" w:rsidRPr="00FA288E">
        <w:rPr>
          <w:rFonts w:cs="Calibri"/>
          <w:szCs w:val="21"/>
        </w:rPr>
        <w:t xml:space="preserve"> perceived</w:t>
      </w:r>
      <w:r w:rsidRPr="00FA288E">
        <w:rPr>
          <w:rFonts w:cs="Calibri"/>
          <w:szCs w:val="21"/>
        </w:rPr>
        <w:t xml:space="preserve"> limited engagement of the NDOE and DNPM in previous and current decisions and </w:t>
      </w:r>
      <w:r w:rsidR="00C263BC" w:rsidRPr="00FA288E">
        <w:rPr>
          <w:rFonts w:cs="Calibri"/>
          <w:szCs w:val="21"/>
        </w:rPr>
        <w:t xml:space="preserve">the delays in </w:t>
      </w:r>
      <w:r w:rsidRPr="00FA288E">
        <w:rPr>
          <w:rFonts w:cs="Calibri"/>
          <w:szCs w:val="21"/>
        </w:rPr>
        <w:t>information-sharing regarding the PPF Education Grants poses potential significant risk to the effectiveness and sustainability of the investment. Improving the na</w:t>
      </w:r>
      <w:r w:rsidR="00C263BC" w:rsidRPr="00FA288E">
        <w:rPr>
          <w:rFonts w:cs="Calibri"/>
          <w:szCs w:val="21"/>
        </w:rPr>
        <w:t xml:space="preserve">ture, </w:t>
      </w:r>
      <w:r w:rsidRPr="00FA288E">
        <w:rPr>
          <w:rFonts w:cs="Calibri"/>
          <w:szCs w:val="21"/>
        </w:rPr>
        <w:t xml:space="preserve">type </w:t>
      </w:r>
      <w:r w:rsidR="00C263BC" w:rsidRPr="00FA288E">
        <w:rPr>
          <w:rFonts w:cs="Calibri"/>
          <w:szCs w:val="21"/>
        </w:rPr>
        <w:t>and frequency</w:t>
      </w:r>
      <w:r w:rsidR="00B64315" w:rsidRPr="00FA288E">
        <w:rPr>
          <w:rFonts w:cs="Calibri"/>
          <w:szCs w:val="21"/>
        </w:rPr>
        <w:t xml:space="preserve"> </w:t>
      </w:r>
      <w:r w:rsidRPr="00FA288E">
        <w:rPr>
          <w:rFonts w:cs="Calibri"/>
          <w:szCs w:val="21"/>
        </w:rPr>
        <w:t xml:space="preserve">of engagement, collaboration and communication between and among the various stakeholders should be a high priority moving forward. </w:t>
      </w:r>
    </w:p>
    <w:p w14:paraId="4F86FA1A" w14:textId="77777777" w:rsidR="00715F47" w:rsidRPr="00FA288E" w:rsidRDefault="008E2685" w:rsidP="00B64315">
      <w:pPr>
        <w:spacing w:before="80" w:after="80" w:line="240" w:lineRule="auto"/>
        <w:rPr>
          <w:rFonts w:cs="Calibri"/>
          <w:szCs w:val="21"/>
        </w:rPr>
      </w:pPr>
      <w:r w:rsidRPr="00FA288E">
        <w:rPr>
          <w:rFonts w:cs="Calibri"/>
          <w:szCs w:val="21"/>
        </w:rPr>
        <w:lastRenderedPageBreak/>
        <w:t xml:space="preserve">It is </w:t>
      </w:r>
      <w:r w:rsidR="00B64315" w:rsidRPr="00FA288E">
        <w:rPr>
          <w:rFonts w:cs="Calibri"/>
          <w:szCs w:val="21"/>
        </w:rPr>
        <w:t xml:space="preserve">expected that this </w:t>
      </w:r>
      <w:r w:rsidRPr="00FA288E">
        <w:rPr>
          <w:rFonts w:cs="Calibri"/>
          <w:szCs w:val="21"/>
        </w:rPr>
        <w:t xml:space="preserve">will be facilitated </w:t>
      </w:r>
      <w:r w:rsidR="00B64315" w:rsidRPr="00FA288E">
        <w:rPr>
          <w:rFonts w:cs="Calibri"/>
          <w:szCs w:val="21"/>
        </w:rPr>
        <w:t>through</w:t>
      </w:r>
      <w:r w:rsidRPr="00FA288E">
        <w:rPr>
          <w:rFonts w:cs="Calibri"/>
          <w:szCs w:val="21"/>
        </w:rPr>
        <w:t xml:space="preserve"> the </w:t>
      </w:r>
      <w:r w:rsidR="00B64315" w:rsidRPr="00FA288E">
        <w:rPr>
          <w:rFonts w:cs="Calibri"/>
          <w:szCs w:val="21"/>
        </w:rPr>
        <w:t xml:space="preserve">signing at the end of October 2019 of the </w:t>
      </w:r>
      <w:r w:rsidRPr="00FA288E">
        <w:rPr>
          <w:rFonts w:cs="Calibri"/>
          <w:szCs w:val="21"/>
        </w:rPr>
        <w:t xml:space="preserve">MOU </w:t>
      </w:r>
      <w:r w:rsidR="00B64315" w:rsidRPr="00FA288E">
        <w:rPr>
          <w:rFonts w:cs="Calibri"/>
          <w:szCs w:val="21"/>
        </w:rPr>
        <w:t>b</w:t>
      </w:r>
      <w:r w:rsidRPr="00FA288E">
        <w:rPr>
          <w:rFonts w:cs="Calibri"/>
          <w:szCs w:val="21"/>
        </w:rPr>
        <w:t>etween the NDOE, the PPF Secretariat and the three NGO consortia.</w:t>
      </w:r>
      <w:r w:rsidRPr="00FA288E">
        <w:rPr>
          <w:rStyle w:val="FootnoteReference"/>
          <w:rFonts w:eastAsiaTheme="majorEastAsia" w:cs="Calibri"/>
          <w:szCs w:val="21"/>
        </w:rPr>
        <w:footnoteReference w:id="79"/>
      </w:r>
      <w:r w:rsidRPr="00FA288E">
        <w:rPr>
          <w:rFonts w:cs="Calibri"/>
          <w:szCs w:val="21"/>
        </w:rPr>
        <w:t xml:space="preserve"> Given that the grants were awarded over two years ago, concerted efforts will need to be undertaken by the PPF Secretariat and NDOE to realise the respective responsibilities of each party outlined in the MOU and increase the </w:t>
      </w:r>
      <w:r w:rsidR="00715F47" w:rsidRPr="00FA288E">
        <w:rPr>
          <w:rFonts w:cs="Calibri"/>
          <w:szCs w:val="21"/>
        </w:rPr>
        <w:t>nature and frequency</w:t>
      </w:r>
      <w:r w:rsidRPr="00FA288E">
        <w:rPr>
          <w:rFonts w:cs="Calibri"/>
          <w:szCs w:val="21"/>
        </w:rPr>
        <w:t xml:space="preserve"> of engagement. The current MOU expires on 3 April 2020</w:t>
      </w:r>
      <w:r w:rsidR="00715F47" w:rsidRPr="00FA288E">
        <w:rPr>
          <w:rFonts w:cs="Calibri"/>
          <w:szCs w:val="21"/>
        </w:rPr>
        <w:t>, thus requiring an extension to match the extension of the PPF Education Grants</w:t>
      </w:r>
      <w:r w:rsidRPr="00FA288E">
        <w:rPr>
          <w:rFonts w:cs="Calibri"/>
          <w:szCs w:val="21"/>
        </w:rPr>
        <w:t>.</w:t>
      </w:r>
      <w:r w:rsidR="00715F47" w:rsidRPr="00FA288E">
        <w:rPr>
          <w:rFonts w:cs="Calibri"/>
          <w:szCs w:val="21"/>
        </w:rPr>
        <w:t xml:space="preserve"> This could provide an opportunity to strengthen the institutional and communication arrangements contained in the current MOU.</w:t>
      </w:r>
    </w:p>
    <w:p w14:paraId="08359BB4" w14:textId="5B4F7C5E" w:rsidR="00715F47" w:rsidRPr="00FA288E" w:rsidRDefault="00554092" w:rsidP="00715F47">
      <w:pPr>
        <w:spacing w:before="80" w:after="80" w:line="240" w:lineRule="auto"/>
        <w:rPr>
          <w:rFonts w:cs="Calibri"/>
          <w:szCs w:val="21"/>
        </w:rPr>
      </w:pPr>
      <w:r w:rsidRPr="00FA288E">
        <w:rPr>
          <w:rFonts w:cs="Calibri"/>
          <w:szCs w:val="21"/>
        </w:rPr>
        <w:t>Establishing the</w:t>
      </w:r>
      <w:r w:rsidR="008E2685" w:rsidRPr="00FA288E">
        <w:rPr>
          <w:rFonts w:cs="Calibri"/>
          <w:szCs w:val="21"/>
        </w:rPr>
        <w:t xml:space="preserve"> PPF NOC,</w:t>
      </w:r>
      <w:r w:rsidR="008E2685" w:rsidRPr="00FA288E">
        <w:rPr>
          <w:rStyle w:val="FootnoteReference"/>
          <w:rFonts w:eastAsiaTheme="majorEastAsia" w:cs="Calibri"/>
          <w:szCs w:val="21"/>
        </w:rPr>
        <w:footnoteReference w:id="80"/>
      </w:r>
      <w:r w:rsidR="008E2685" w:rsidRPr="00FA288E">
        <w:rPr>
          <w:rFonts w:cs="Calibri"/>
          <w:szCs w:val="21"/>
        </w:rPr>
        <w:t xml:space="preserve"> could provide for more effectiv</w:t>
      </w:r>
      <w:r w:rsidR="00BD0B1E" w:rsidRPr="00FA288E">
        <w:rPr>
          <w:rFonts w:cs="Calibri"/>
          <w:szCs w:val="21"/>
        </w:rPr>
        <w:t>e</w:t>
      </w:r>
      <w:r w:rsidR="008331C9" w:rsidRPr="00FA288E">
        <w:rPr>
          <w:rFonts w:cs="Calibri"/>
          <w:szCs w:val="21"/>
        </w:rPr>
        <w:t xml:space="preserve"> </w:t>
      </w:r>
      <w:r w:rsidR="008E2685" w:rsidRPr="00FA288E">
        <w:rPr>
          <w:rFonts w:cs="Calibri"/>
          <w:szCs w:val="21"/>
        </w:rPr>
        <w:t>oversight</w:t>
      </w:r>
      <w:r w:rsidR="00715F47" w:rsidRPr="00FA288E">
        <w:rPr>
          <w:rFonts w:cs="Calibri"/>
          <w:szCs w:val="21"/>
        </w:rPr>
        <w:t>, agree on changes in institutional and communication arrangements</w:t>
      </w:r>
      <w:r w:rsidR="008E2685" w:rsidRPr="00FA288E">
        <w:rPr>
          <w:rFonts w:cs="Calibri"/>
          <w:szCs w:val="21"/>
        </w:rPr>
        <w:t xml:space="preserve"> and facilitate collaborative decision-making during the extension phase. </w:t>
      </w:r>
      <w:r w:rsidR="00D05B41" w:rsidRPr="00FA288E">
        <w:rPr>
          <w:rFonts w:cs="Calibri"/>
          <w:szCs w:val="21"/>
        </w:rPr>
        <w:t xml:space="preserve">The PPF NOC </w:t>
      </w:r>
      <w:r w:rsidR="00715F47" w:rsidRPr="00FA288E">
        <w:rPr>
          <w:rFonts w:cs="Calibri"/>
          <w:szCs w:val="21"/>
        </w:rPr>
        <w:t xml:space="preserve">also </w:t>
      </w:r>
      <w:r w:rsidR="008E2685" w:rsidRPr="00FA288E">
        <w:rPr>
          <w:rFonts w:cs="Calibri"/>
          <w:szCs w:val="21"/>
        </w:rPr>
        <w:t xml:space="preserve">has </w:t>
      </w:r>
      <w:r w:rsidR="00715F47" w:rsidRPr="00FA288E">
        <w:rPr>
          <w:rFonts w:cs="Calibri"/>
          <w:szCs w:val="21"/>
        </w:rPr>
        <w:t xml:space="preserve">the </w:t>
      </w:r>
      <w:r w:rsidR="008E2685" w:rsidRPr="00FA288E">
        <w:rPr>
          <w:rFonts w:cs="Calibri"/>
          <w:szCs w:val="21"/>
        </w:rPr>
        <w:t>potential to serve as a</w:t>
      </w:r>
      <w:r w:rsidR="00D05B41" w:rsidRPr="00FA288E">
        <w:rPr>
          <w:rFonts w:cs="Calibri"/>
          <w:szCs w:val="21"/>
        </w:rPr>
        <w:t>n a</w:t>
      </w:r>
      <w:r w:rsidR="008E2685" w:rsidRPr="00FA288E">
        <w:rPr>
          <w:rFonts w:cs="Calibri"/>
          <w:szCs w:val="21"/>
        </w:rPr>
        <w:t xml:space="preserve">venue to </w:t>
      </w:r>
      <w:r w:rsidR="00715F47" w:rsidRPr="00FA288E">
        <w:rPr>
          <w:rFonts w:cs="Calibri"/>
          <w:szCs w:val="21"/>
        </w:rPr>
        <w:t xml:space="preserve">engage GoPNG in discussions regarding </w:t>
      </w:r>
      <w:r w:rsidR="008E2685" w:rsidRPr="00FA288E">
        <w:rPr>
          <w:rFonts w:cs="Calibri"/>
          <w:szCs w:val="21"/>
        </w:rPr>
        <w:t xml:space="preserve">possible future investment by Australia in early years education in PNG. </w:t>
      </w:r>
    </w:p>
    <w:p w14:paraId="0BA2FD38" w14:textId="77777777" w:rsidR="00BC3E53" w:rsidRPr="00FA288E" w:rsidRDefault="008E2685" w:rsidP="00BC3E53">
      <w:pPr>
        <w:spacing w:before="80" w:after="80" w:line="240" w:lineRule="auto"/>
      </w:pPr>
      <w:r w:rsidRPr="00FA288E">
        <w:rPr>
          <w:rFonts w:cs="Calibri"/>
          <w:szCs w:val="21"/>
        </w:rPr>
        <w:t xml:space="preserve">At the sub-national level, it is suggested that engagement between the consortia and provincial and district officials be strengthened to ensure that there is adequate information sharing at a minimum, and ideally, identify </w:t>
      </w:r>
      <w:r w:rsidR="004F02DB" w:rsidRPr="00FA288E">
        <w:rPr>
          <w:rFonts w:cs="Calibri"/>
          <w:szCs w:val="21"/>
        </w:rPr>
        <w:t xml:space="preserve">and address </w:t>
      </w:r>
      <w:r w:rsidRPr="00FA288E">
        <w:rPr>
          <w:rFonts w:cs="Calibri"/>
          <w:szCs w:val="21"/>
        </w:rPr>
        <w:t xml:space="preserve">blockages </w:t>
      </w:r>
      <w:r w:rsidR="004F02DB" w:rsidRPr="00FA288E">
        <w:rPr>
          <w:rFonts w:cs="Calibri"/>
          <w:szCs w:val="21"/>
        </w:rPr>
        <w:t>to</w:t>
      </w:r>
      <w:r w:rsidRPr="00FA288E">
        <w:rPr>
          <w:rFonts w:cs="Calibri"/>
          <w:szCs w:val="21"/>
        </w:rPr>
        <w:t xml:space="preserve"> increase collaboration in implementation and monitoring to strengthen the abilities of provincial and district officials</w:t>
      </w:r>
      <w:r w:rsidR="004F02DB" w:rsidRPr="00FA288E">
        <w:rPr>
          <w:rFonts w:cs="Calibri"/>
          <w:szCs w:val="21"/>
        </w:rPr>
        <w:t>.</w:t>
      </w:r>
    </w:p>
    <w:tbl>
      <w:tblPr>
        <w:tblStyle w:val="TableGrid"/>
        <w:tblW w:w="0" w:type="auto"/>
        <w:tblInd w:w="0" w:type="dxa"/>
        <w:shd w:val="clear" w:color="auto" w:fill="F2F2F2" w:themeFill="background1" w:themeFillShade="F2"/>
        <w:tblLook w:val="04A0" w:firstRow="1" w:lastRow="0" w:firstColumn="1" w:lastColumn="0" w:noHBand="0" w:noVBand="1"/>
        <w:tblCaption w:val="Recommendation 5"/>
        <w:tblDescription w:val="The Australian Government should task the PPF Secretariat to develop appropriate and cost-effective strategies and processes to strengthen data analysis and knowledge acquisition and sharing, particularly for the end line evaluation study."/>
      </w:tblPr>
      <w:tblGrid>
        <w:gridCol w:w="1975"/>
        <w:gridCol w:w="7761"/>
      </w:tblGrid>
      <w:tr w:rsidR="00BC3E53" w:rsidRPr="00FA288E" w14:paraId="20793A97" w14:textId="77777777" w:rsidTr="00AE259C">
        <w:trPr>
          <w:tblHeader/>
        </w:trPr>
        <w:tc>
          <w:tcPr>
            <w:tcW w:w="1975" w:type="dxa"/>
            <w:shd w:val="clear" w:color="auto" w:fill="F2F2F2" w:themeFill="background1" w:themeFillShade="F2"/>
          </w:tcPr>
          <w:p w14:paraId="06D902FF" w14:textId="77777777" w:rsidR="00BC3E53" w:rsidRPr="00FA288E" w:rsidRDefault="00BC3E53" w:rsidP="00BC3E53">
            <w:pPr>
              <w:tabs>
                <w:tab w:val="left" w:pos="1260"/>
              </w:tabs>
              <w:spacing w:after="80"/>
              <w:rPr>
                <w:rFonts w:cs="Calibri"/>
                <w:szCs w:val="21"/>
                <w:lang w:val="en-AU"/>
              </w:rPr>
            </w:pPr>
            <w:r w:rsidRPr="00FA288E">
              <w:rPr>
                <w:rFonts w:cs="Calibri"/>
                <w:szCs w:val="21"/>
                <w:lang w:val="en-AU"/>
              </w:rPr>
              <w:t>Recommendation 5:</w:t>
            </w:r>
          </w:p>
        </w:tc>
        <w:tc>
          <w:tcPr>
            <w:tcW w:w="7761" w:type="dxa"/>
            <w:shd w:val="clear" w:color="auto" w:fill="F2F2F2" w:themeFill="background1" w:themeFillShade="F2"/>
          </w:tcPr>
          <w:p w14:paraId="4E54A636" w14:textId="092ED7D9" w:rsidR="00BC3E53" w:rsidRPr="00FA288E" w:rsidRDefault="00BC3E53" w:rsidP="00BC3E53">
            <w:pPr>
              <w:tabs>
                <w:tab w:val="left" w:pos="1260"/>
              </w:tabs>
              <w:spacing w:after="80"/>
              <w:rPr>
                <w:rFonts w:cs="Calibri"/>
                <w:szCs w:val="21"/>
                <w:lang w:val="en-AU"/>
              </w:rPr>
            </w:pPr>
            <w:r w:rsidRPr="00FA288E">
              <w:rPr>
                <w:rFonts w:cs="Calibri"/>
                <w:szCs w:val="21"/>
                <w:lang w:val="en-AU"/>
              </w:rPr>
              <w:t xml:space="preserve">The Australian Government should task the PPF Secretariat to develop </w:t>
            </w:r>
            <w:r w:rsidR="000335E3" w:rsidRPr="00FA288E">
              <w:rPr>
                <w:rFonts w:cs="Calibri"/>
                <w:szCs w:val="21"/>
                <w:lang w:val="en-AU"/>
              </w:rPr>
              <w:t xml:space="preserve">appropriate and cost-effective </w:t>
            </w:r>
            <w:r w:rsidRPr="00FA288E">
              <w:rPr>
                <w:rFonts w:cs="Calibri"/>
                <w:szCs w:val="21"/>
                <w:lang w:val="en-AU"/>
              </w:rPr>
              <w:t>strategies and processes to strengthen data analysis and knowledge acquisition and sharing</w:t>
            </w:r>
            <w:r w:rsidR="003B20E9" w:rsidRPr="00FA288E">
              <w:rPr>
                <w:rFonts w:cs="Calibri"/>
                <w:szCs w:val="21"/>
                <w:lang w:val="en-AU"/>
              </w:rPr>
              <w:t xml:space="preserve">, particularly for the </w:t>
            </w:r>
            <w:r w:rsidR="00FA288E">
              <w:rPr>
                <w:rFonts w:cs="Calibri"/>
                <w:szCs w:val="21"/>
                <w:lang w:val="en-AU"/>
              </w:rPr>
              <w:t>end line</w:t>
            </w:r>
            <w:r w:rsidR="003B20E9" w:rsidRPr="00FA288E">
              <w:rPr>
                <w:rFonts w:cs="Calibri"/>
                <w:szCs w:val="21"/>
                <w:lang w:val="en-AU"/>
              </w:rPr>
              <w:t xml:space="preserve"> evaluation study.</w:t>
            </w:r>
          </w:p>
        </w:tc>
      </w:tr>
    </w:tbl>
    <w:p w14:paraId="65C96594" w14:textId="2E4FC4AF" w:rsidR="004A0B4F" w:rsidRPr="00FA288E" w:rsidRDefault="008E2685" w:rsidP="00BC3E53">
      <w:pPr>
        <w:spacing w:before="80" w:after="80" w:line="240" w:lineRule="auto"/>
        <w:jc w:val="both"/>
        <w:rPr>
          <w:rFonts w:cs="Calibri"/>
          <w:szCs w:val="21"/>
        </w:rPr>
      </w:pPr>
      <w:r w:rsidRPr="00FA288E">
        <w:rPr>
          <w:rFonts w:cs="Calibri"/>
          <w:szCs w:val="21"/>
        </w:rPr>
        <w:t xml:space="preserve">The review team was surprised by the scope and </w:t>
      </w:r>
      <w:r w:rsidR="002C36C3" w:rsidRPr="00FA288E">
        <w:rPr>
          <w:rFonts w:cs="Calibri"/>
          <w:szCs w:val="21"/>
        </w:rPr>
        <w:t xml:space="preserve">estimated </w:t>
      </w:r>
      <w:r w:rsidRPr="00FA288E">
        <w:rPr>
          <w:rFonts w:cs="Calibri"/>
          <w:szCs w:val="21"/>
        </w:rPr>
        <w:t>cost</w:t>
      </w:r>
      <w:r w:rsidR="002C36C3" w:rsidRPr="00FA288E">
        <w:rPr>
          <w:rFonts w:cs="Calibri"/>
          <w:szCs w:val="21"/>
        </w:rPr>
        <w:t>s</w:t>
      </w:r>
      <w:r w:rsidRPr="00FA288E">
        <w:rPr>
          <w:rFonts w:cs="Calibri"/>
          <w:szCs w:val="21"/>
        </w:rPr>
        <w:t xml:space="preserve"> of the baseline, midline and </w:t>
      </w:r>
      <w:r w:rsidR="00FA288E">
        <w:rPr>
          <w:rFonts w:cs="Calibri"/>
          <w:szCs w:val="21"/>
        </w:rPr>
        <w:t>end line</w:t>
      </w:r>
      <w:r w:rsidRPr="00FA288E">
        <w:rPr>
          <w:rFonts w:cs="Calibri"/>
          <w:szCs w:val="21"/>
        </w:rPr>
        <w:t xml:space="preserve"> studies.</w:t>
      </w:r>
      <w:r w:rsidR="002C36C3" w:rsidRPr="00FA288E">
        <w:rPr>
          <w:rFonts w:cs="Calibri"/>
          <w:szCs w:val="21"/>
        </w:rPr>
        <w:t xml:space="preserve"> A</w:t>
      </w:r>
      <w:r w:rsidRPr="00FA288E">
        <w:rPr>
          <w:rFonts w:cs="Calibri"/>
          <w:szCs w:val="21"/>
        </w:rPr>
        <w:t xml:space="preserve"> significant amount of data and information has been collected </w:t>
      </w:r>
      <w:r w:rsidR="002C36C3" w:rsidRPr="00FA288E">
        <w:rPr>
          <w:rFonts w:cs="Calibri"/>
          <w:szCs w:val="21"/>
        </w:rPr>
        <w:t>through the</w:t>
      </w:r>
      <w:r w:rsidRPr="00FA288E">
        <w:rPr>
          <w:rFonts w:cs="Calibri"/>
          <w:szCs w:val="21"/>
        </w:rPr>
        <w:t xml:space="preserve"> baselines and from the midline studies of the RISE and T4E pro</w:t>
      </w:r>
      <w:r w:rsidR="00686098" w:rsidRPr="00FA288E">
        <w:rPr>
          <w:rFonts w:cs="Calibri"/>
          <w:szCs w:val="21"/>
        </w:rPr>
        <w:t>ject</w:t>
      </w:r>
      <w:r w:rsidRPr="00FA288E">
        <w:rPr>
          <w:rFonts w:cs="Calibri"/>
          <w:szCs w:val="21"/>
        </w:rPr>
        <w:t>s</w:t>
      </w:r>
      <w:r w:rsidR="002C36C3" w:rsidRPr="00FA288E">
        <w:rPr>
          <w:rFonts w:cs="Calibri"/>
          <w:szCs w:val="21"/>
        </w:rPr>
        <w:t>.</w:t>
      </w:r>
      <w:r w:rsidRPr="00FA288E">
        <w:rPr>
          <w:rFonts w:cs="Calibri"/>
          <w:szCs w:val="21"/>
        </w:rPr>
        <w:t xml:space="preserve"> </w:t>
      </w:r>
      <w:r w:rsidR="002C36C3" w:rsidRPr="00FA288E">
        <w:rPr>
          <w:rFonts w:cs="Calibri"/>
          <w:szCs w:val="21"/>
        </w:rPr>
        <w:t>A</w:t>
      </w:r>
      <w:r w:rsidRPr="00FA288E">
        <w:rPr>
          <w:rFonts w:cs="Calibri"/>
          <w:szCs w:val="21"/>
        </w:rPr>
        <w:t xml:space="preserve">s well </w:t>
      </w:r>
      <w:r w:rsidR="00FA288E">
        <w:rPr>
          <w:rFonts w:cs="Calibri"/>
          <w:szCs w:val="21"/>
        </w:rPr>
        <w:t>end line</w:t>
      </w:r>
      <w:r w:rsidRPr="00FA288E">
        <w:rPr>
          <w:rFonts w:cs="Calibri"/>
          <w:szCs w:val="21"/>
        </w:rPr>
        <w:t xml:space="preserve"> studies</w:t>
      </w:r>
      <w:r w:rsidR="002C36C3" w:rsidRPr="00FA288E">
        <w:rPr>
          <w:rFonts w:cs="Calibri"/>
          <w:szCs w:val="21"/>
        </w:rPr>
        <w:t xml:space="preserve"> for RISE and T4E</w:t>
      </w:r>
      <w:r w:rsidRPr="00FA288E">
        <w:rPr>
          <w:rFonts w:cs="Calibri"/>
          <w:szCs w:val="21"/>
        </w:rPr>
        <w:t xml:space="preserve"> </w:t>
      </w:r>
      <w:r w:rsidR="002C36C3" w:rsidRPr="00FA288E">
        <w:rPr>
          <w:rFonts w:cs="Calibri"/>
          <w:szCs w:val="21"/>
        </w:rPr>
        <w:t xml:space="preserve">were </w:t>
      </w:r>
      <w:r w:rsidRPr="00FA288E">
        <w:rPr>
          <w:rFonts w:cs="Calibri"/>
          <w:szCs w:val="21"/>
        </w:rPr>
        <w:t>underway</w:t>
      </w:r>
      <w:r w:rsidR="002C36C3" w:rsidRPr="00FA288E">
        <w:rPr>
          <w:rFonts w:cs="Calibri"/>
          <w:szCs w:val="21"/>
        </w:rPr>
        <w:t xml:space="preserve"> during the conduct of the mid-term review</w:t>
      </w:r>
      <w:r w:rsidRPr="00FA288E">
        <w:rPr>
          <w:rFonts w:cs="Calibri"/>
          <w:szCs w:val="21"/>
        </w:rPr>
        <w:t xml:space="preserve">. It is the opinion of the review team that given the short timeframe for the implementation of the projects, a substantial midline data exercise was likely not necessary, and improvements in literacy and numeracy could have been ascertained through more cost-effective methods. </w:t>
      </w:r>
      <w:r w:rsidR="000335E3" w:rsidRPr="00FA288E">
        <w:rPr>
          <w:rFonts w:cs="Calibri"/>
          <w:szCs w:val="21"/>
        </w:rPr>
        <w:t>In addition to the cost consideration is the ability of the projects to even use the information from the midline. B</w:t>
      </w:r>
      <w:r w:rsidRPr="00FA288E">
        <w:rPr>
          <w:rFonts w:cs="Calibri"/>
          <w:szCs w:val="21"/>
        </w:rPr>
        <w:t xml:space="preserve">oth </w:t>
      </w:r>
      <w:proofErr w:type="spellStart"/>
      <w:r w:rsidRPr="00FA288E">
        <w:rPr>
          <w:rFonts w:cs="Calibri"/>
          <w:szCs w:val="21"/>
        </w:rPr>
        <w:t>StC</w:t>
      </w:r>
      <w:proofErr w:type="spellEnd"/>
      <w:r w:rsidRPr="00FA288E">
        <w:rPr>
          <w:rFonts w:cs="Calibri"/>
          <w:szCs w:val="21"/>
        </w:rPr>
        <w:t xml:space="preserve"> and WV indicated that they did not have sufficient time to adjust their pro</w:t>
      </w:r>
      <w:r w:rsidR="00686098" w:rsidRPr="00FA288E">
        <w:rPr>
          <w:rFonts w:cs="Calibri"/>
          <w:szCs w:val="21"/>
        </w:rPr>
        <w:t>ject</w:t>
      </w:r>
      <w:r w:rsidRPr="00FA288E">
        <w:rPr>
          <w:rFonts w:cs="Calibri"/>
          <w:szCs w:val="21"/>
        </w:rPr>
        <w:t xml:space="preserve">s based on the </w:t>
      </w:r>
      <w:r w:rsidR="000335E3" w:rsidRPr="00FA288E">
        <w:rPr>
          <w:rFonts w:cs="Calibri"/>
          <w:szCs w:val="21"/>
        </w:rPr>
        <w:t xml:space="preserve">findings of the </w:t>
      </w:r>
      <w:r w:rsidRPr="00FA288E">
        <w:rPr>
          <w:rFonts w:cs="Calibri"/>
          <w:szCs w:val="21"/>
        </w:rPr>
        <w:t xml:space="preserve">midline evaluation report before they were </w:t>
      </w:r>
      <w:r w:rsidR="000335E3" w:rsidRPr="00FA288E">
        <w:rPr>
          <w:rFonts w:cs="Calibri"/>
          <w:szCs w:val="21"/>
        </w:rPr>
        <w:t>administering</w:t>
      </w:r>
      <w:r w:rsidRPr="00FA288E">
        <w:rPr>
          <w:rFonts w:cs="Calibri"/>
          <w:szCs w:val="21"/>
        </w:rPr>
        <w:t xml:space="preserve"> the current </w:t>
      </w:r>
      <w:r w:rsidR="00FA288E">
        <w:rPr>
          <w:rFonts w:cs="Calibri"/>
          <w:szCs w:val="21"/>
        </w:rPr>
        <w:t>end line</w:t>
      </w:r>
      <w:r w:rsidRPr="00FA288E">
        <w:rPr>
          <w:rFonts w:cs="Calibri"/>
          <w:szCs w:val="21"/>
        </w:rPr>
        <w:t xml:space="preserve">. </w:t>
      </w:r>
    </w:p>
    <w:p w14:paraId="7A4ADDD7" w14:textId="6C5311BF" w:rsidR="004F02DB" w:rsidRPr="00FA288E" w:rsidRDefault="008E2685" w:rsidP="004F02DB">
      <w:pPr>
        <w:spacing w:before="80" w:after="80" w:line="240" w:lineRule="auto"/>
      </w:pPr>
      <w:r w:rsidRPr="00FA288E">
        <w:rPr>
          <w:rFonts w:cs="Calibri"/>
          <w:szCs w:val="21"/>
        </w:rPr>
        <w:t xml:space="preserve">Acknowledging the richness of the data sets already collected, the review team suggests that these be subjected to additional analysis (most likely at </w:t>
      </w:r>
      <w:r w:rsidR="00FA288E">
        <w:rPr>
          <w:rFonts w:cs="Calibri"/>
          <w:szCs w:val="21"/>
        </w:rPr>
        <w:t>end line</w:t>
      </w:r>
      <w:r w:rsidRPr="00FA288E">
        <w:rPr>
          <w:rFonts w:cs="Calibri"/>
          <w:szCs w:val="21"/>
        </w:rPr>
        <w:t xml:space="preserve">), including cross-correlation of key data elements to help determine </w:t>
      </w:r>
      <w:r w:rsidR="00A434EF" w:rsidRPr="00FA288E">
        <w:rPr>
          <w:rFonts w:cs="Calibri"/>
          <w:szCs w:val="21"/>
        </w:rPr>
        <w:t xml:space="preserve">the </w:t>
      </w:r>
      <w:r w:rsidRPr="00FA288E">
        <w:rPr>
          <w:rFonts w:cs="Calibri"/>
          <w:szCs w:val="21"/>
        </w:rPr>
        <w:t>relative contributions of different interventions. This could be complemented by the design and implement</w:t>
      </w:r>
      <w:r w:rsidR="00A434EF" w:rsidRPr="00FA288E">
        <w:rPr>
          <w:rFonts w:cs="Calibri"/>
          <w:szCs w:val="21"/>
        </w:rPr>
        <w:t>ation</w:t>
      </w:r>
      <w:r w:rsidRPr="00FA288E">
        <w:rPr>
          <w:rFonts w:cs="Calibri"/>
          <w:szCs w:val="21"/>
        </w:rPr>
        <w:t xml:space="preserve"> of a suite of targeted qualitative research activities to understand better </w:t>
      </w:r>
      <w:r w:rsidRPr="00FA288E">
        <w:rPr>
          <w:rFonts w:cs="Calibri"/>
          <w:b/>
          <w:bCs/>
          <w:i/>
          <w:iCs/>
          <w:szCs w:val="21"/>
        </w:rPr>
        <w:t>why</w:t>
      </w:r>
      <w:r w:rsidRPr="00FA288E">
        <w:rPr>
          <w:rFonts w:cs="Calibri"/>
          <w:szCs w:val="21"/>
        </w:rPr>
        <w:t xml:space="preserve"> and </w:t>
      </w:r>
      <w:r w:rsidRPr="00FA288E">
        <w:rPr>
          <w:rFonts w:cs="Calibri"/>
          <w:b/>
          <w:bCs/>
          <w:i/>
          <w:iCs/>
          <w:szCs w:val="21"/>
        </w:rPr>
        <w:t>how</w:t>
      </w:r>
      <w:r w:rsidRPr="00FA288E">
        <w:rPr>
          <w:rFonts w:cs="Calibri"/>
          <w:szCs w:val="21"/>
        </w:rPr>
        <w:t xml:space="preserve"> change happened. A positive/negative deviance model, based on the findings of the cross-correlation of the quantitative data, may be useful to target this additional </w:t>
      </w:r>
      <w:r w:rsidR="00A434EF" w:rsidRPr="00FA288E">
        <w:rPr>
          <w:rFonts w:cs="Calibri"/>
          <w:szCs w:val="21"/>
        </w:rPr>
        <w:t xml:space="preserve">qualitative </w:t>
      </w:r>
      <w:r w:rsidRPr="00FA288E">
        <w:rPr>
          <w:rFonts w:cs="Calibri"/>
          <w:szCs w:val="21"/>
        </w:rPr>
        <w:t xml:space="preserve">research.  </w:t>
      </w:r>
      <w:r w:rsidR="001531E6" w:rsidRPr="00FA288E">
        <w:rPr>
          <w:rFonts w:cs="Calibri"/>
          <w:szCs w:val="21"/>
        </w:rPr>
        <w:t xml:space="preserve">The Australian </w:t>
      </w:r>
      <w:r w:rsidR="001444CE" w:rsidRPr="00FA288E">
        <w:rPr>
          <w:rFonts w:cs="Calibri"/>
          <w:szCs w:val="21"/>
        </w:rPr>
        <w:t>G</w:t>
      </w:r>
      <w:r w:rsidR="001531E6" w:rsidRPr="00FA288E">
        <w:rPr>
          <w:rFonts w:cs="Calibri"/>
          <w:szCs w:val="21"/>
        </w:rPr>
        <w:t>overnment</w:t>
      </w:r>
      <w:r w:rsidRPr="00FA288E">
        <w:rPr>
          <w:rFonts w:cs="Calibri"/>
          <w:szCs w:val="21"/>
        </w:rPr>
        <w:t xml:space="preserve"> and the PPF Secretariat will need to ensure there are adequate funds set aside for the </w:t>
      </w:r>
      <w:r w:rsidR="00FA288E">
        <w:rPr>
          <w:rFonts w:cs="Calibri"/>
          <w:szCs w:val="21"/>
        </w:rPr>
        <w:t>end line</w:t>
      </w:r>
      <w:r w:rsidRPr="00FA288E">
        <w:rPr>
          <w:rFonts w:cs="Calibri"/>
          <w:szCs w:val="21"/>
        </w:rPr>
        <w:t xml:space="preserve"> evaluation study, as well as the effective communication of findings. Collaboration with the NDOE Research and Planning Unit in the design and analysis of the </w:t>
      </w:r>
      <w:r w:rsidR="00FA288E">
        <w:rPr>
          <w:rFonts w:cs="Calibri"/>
          <w:szCs w:val="21"/>
        </w:rPr>
        <w:t>end line</w:t>
      </w:r>
      <w:r w:rsidRPr="00FA288E">
        <w:rPr>
          <w:rFonts w:cs="Calibri"/>
          <w:szCs w:val="21"/>
        </w:rPr>
        <w:t xml:space="preserve"> studies would be appropriate.  For the dissemination of findings</w:t>
      </w:r>
      <w:r w:rsidR="00A434EF" w:rsidRPr="00FA288E">
        <w:rPr>
          <w:rFonts w:cs="Calibri"/>
          <w:szCs w:val="21"/>
        </w:rPr>
        <w:t>,</w:t>
      </w:r>
      <w:r w:rsidRPr="00FA288E">
        <w:rPr>
          <w:rFonts w:cs="Calibri"/>
          <w:szCs w:val="21"/>
        </w:rPr>
        <w:t xml:space="preserve"> CIMC could be engaged.</w:t>
      </w:r>
    </w:p>
    <w:tbl>
      <w:tblPr>
        <w:tblStyle w:val="TableGrid"/>
        <w:tblW w:w="0" w:type="auto"/>
        <w:tblInd w:w="0" w:type="dxa"/>
        <w:shd w:val="clear" w:color="auto" w:fill="F2F2F2" w:themeFill="background1" w:themeFillShade="F2"/>
        <w:tblLook w:val="04A0" w:firstRow="1" w:lastRow="0" w:firstColumn="1" w:lastColumn="0" w:noHBand="0" w:noVBand="1"/>
        <w:tblCaption w:val="Recommendation 6"/>
        <w:tblDescription w:val="The Australian Government should review and potentially expand and/or adjust the role, functions and level of effort of the PPF Secretariat."/>
      </w:tblPr>
      <w:tblGrid>
        <w:gridCol w:w="1975"/>
        <w:gridCol w:w="7761"/>
      </w:tblGrid>
      <w:tr w:rsidR="004F02DB" w:rsidRPr="00FA288E" w14:paraId="6CC78345" w14:textId="77777777" w:rsidTr="00AE259C">
        <w:trPr>
          <w:tblHeader/>
        </w:trPr>
        <w:tc>
          <w:tcPr>
            <w:tcW w:w="1975" w:type="dxa"/>
            <w:shd w:val="clear" w:color="auto" w:fill="F2F2F2" w:themeFill="background1" w:themeFillShade="F2"/>
          </w:tcPr>
          <w:p w14:paraId="252D83B5" w14:textId="77777777" w:rsidR="004F02DB" w:rsidRPr="00FA288E" w:rsidRDefault="004F02DB" w:rsidP="00CF1E27">
            <w:pPr>
              <w:tabs>
                <w:tab w:val="left" w:pos="1260"/>
              </w:tabs>
              <w:spacing w:after="80"/>
              <w:rPr>
                <w:rFonts w:cs="Calibri"/>
                <w:szCs w:val="21"/>
                <w:lang w:val="en-AU"/>
              </w:rPr>
            </w:pPr>
            <w:r w:rsidRPr="00FA288E">
              <w:rPr>
                <w:rFonts w:cs="Calibri"/>
                <w:szCs w:val="21"/>
                <w:lang w:val="en-AU"/>
              </w:rPr>
              <w:t>Recommendation 6:</w:t>
            </w:r>
          </w:p>
        </w:tc>
        <w:tc>
          <w:tcPr>
            <w:tcW w:w="7761" w:type="dxa"/>
            <w:shd w:val="clear" w:color="auto" w:fill="F2F2F2" w:themeFill="background1" w:themeFillShade="F2"/>
          </w:tcPr>
          <w:p w14:paraId="5E22814E" w14:textId="77777777" w:rsidR="004F02DB" w:rsidRPr="00FA288E" w:rsidRDefault="004F02DB" w:rsidP="00CF1E27">
            <w:pPr>
              <w:tabs>
                <w:tab w:val="left" w:pos="1260"/>
              </w:tabs>
              <w:spacing w:after="80"/>
              <w:rPr>
                <w:rFonts w:cs="Calibri"/>
                <w:szCs w:val="21"/>
                <w:lang w:val="en-AU"/>
              </w:rPr>
            </w:pPr>
            <w:r w:rsidRPr="00FA288E">
              <w:rPr>
                <w:rFonts w:cs="Calibri"/>
                <w:szCs w:val="21"/>
                <w:lang w:val="en-AU"/>
              </w:rPr>
              <w:t xml:space="preserve">The Australian Government should </w:t>
            </w:r>
            <w:r w:rsidR="001226D0" w:rsidRPr="00FA288E">
              <w:rPr>
                <w:rFonts w:cs="Calibri"/>
                <w:szCs w:val="21"/>
                <w:lang w:val="en-AU"/>
              </w:rPr>
              <w:t>review and potentially expand and/or adjust the role, functions and level of effort of the PPF Secretariat</w:t>
            </w:r>
            <w:r w:rsidRPr="00FA288E">
              <w:rPr>
                <w:rFonts w:cs="Calibri"/>
                <w:szCs w:val="21"/>
                <w:lang w:val="en-AU"/>
              </w:rPr>
              <w:t>.</w:t>
            </w:r>
          </w:p>
        </w:tc>
      </w:tr>
    </w:tbl>
    <w:p w14:paraId="3D03EA86" w14:textId="77777777" w:rsidR="008E2685" w:rsidRPr="00FA288E" w:rsidRDefault="008E2685" w:rsidP="001226D0">
      <w:pPr>
        <w:spacing w:before="80" w:after="80" w:line="240" w:lineRule="auto"/>
        <w:jc w:val="both"/>
        <w:rPr>
          <w:rFonts w:cs="Calibri"/>
          <w:szCs w:val="21"/>
        </w:rPr>
      </w:pPr>
      <w:r w:rsidRPr="00FA288E">
        <w:rPr>
          <w:rFonts w:cs="Calibri"/>
          <w:szCs w:val="21"/>
        </w:rPr>
        <w:t>With the opportunities and challenges presented with</w:t>
      </w:r>
      <w:r w:rsidR="001226D0" w:rsidRPr="00FA288E">
        <w:rPr>
          <w:rFonts w:cs="Calibri"/>
          <w:szCs w:val="21"/>
        </w:rPr>
        <w:t>:</w:t>
      </w:r>
      <w:r w:rsidRPr="00FA288E">
        <w:rPr>
          <w:rFonts w:cs="Calibri"/>
          <w:szCs w:val="21"/>
        </w:rPr>
        <w:t xml:space="preserve"> </w:t>
      </w:r>
      <w:proofErr w:type="spellStart"/>
      <w:r w:rsidR="001226D0" w:rsidRPr="00FA288E">
        <w:rPr>
          <w:rFonts w:cs="Calibri"/>
          <w:szCs w:val="21"/>
        </w:rPr>
        <w:t>i</w:t>
      </w:r>
      <w:proofErr w:type="spellEnd"/>
      <w:r w:rsidR="001226D0" w:rsidRPr="00FA288E">
        <w:rPr>
          <w:rFonts w:cs="Calibri"/>
          <w:szCs w:val="21"/>
        </w:rPr>
        <w:t>) operationalising</w:t>
      </w:r>
      <w:r w:rsidRPr="00FA288E">
        <w:rPr>
          <w:rFonts w:cs="Calibri"/>
          <w:szCs w:val="21"/>
        </w:rPr>
        <w:t xml:space="preserve"> the recently signed MOU</w:t>
      </w:r>
      <w:r w:rsidR="001226D0" w:rsidRPr="00FA288E">
        <w:rPr>
          <w:rFonts w:cs="Calibri"/>
          <w:szCs w:val="21"/>
        </w:rPr>
        <w:t>; ii)</w:t>
      </w:r>
      <w:r w:rsidRPr="00FA288E">
        <w:rPr>
          <w:rFonts w:cs="Calibri"/>
          <w:szCs w:val="21"/>
        </w:rPr>
        <w:t xml:space="preserve"> </w:t>
      </w:r>
      <w:r w:rsidR="001226D0" w:rsidRPr="00FA288E">
        <w:rPr>
          <w:rFonts w:cs="Calibri"/>
          <w:szCs w:val="21"/>
        </w:rPr>
        <w:t>supporting</w:t>
      </w:r>
      <w:r w:rsidRPr="00FA288E">
        <w:rPr>
          <w:rFonts w:cs="Calibri"/>
          <w:szCs w:val="21"/>
        </w:rPr>
        <w:t xml:space="preserve"> the PPF NOC to undertake and perform its functions</w:t>
      </w:r>
      <w:r w:rsidR="001226D0" w:rsidRPr="00FA288E">
        <w:rPr>
          <w:rFonts w:cs="Calibri"/>
          <w:szCs w:val="21"/>
        </w:rPr>
        <w:t>;</w:t>
      </w:r>
      <w:r w:rsidRPr="00FA288E">
        <w:rPr>
          <w:rFonts w:cs="Calibri"/>
          <w:szCs w:val="21"/>
        </w:rPr>
        <w:t xml:space="preserve"> </w:t>
      </w:r>
      <w:r w:rsidR="001226D0" w:rsidRPr="00FA288E">
        <w:rPr>
          <w:rFonts w:cs="Calibri"/>
          <w:szCs w:val="21"/>
        </w:rPr>
        <w:t xml:space="preserve">iii) </w:t>
      </w:r>
      <w:r w:rsidRPr="00FA288E">
        <w:rPr>
          <w:rFonts w:cs="Calibri"/>
          <w:szCs w:val="21"/>
        </w:rPr>
        <w:t>strengthening institutional engagement</w:t>
      </w:r>
      <w:r w:rsidR="001226D0" w:rsidRPr="00FA288E">
        <w:rPr>
          <w:rFonts w:cs="Calibri"/>
          <w:szCs w:val="21"/>
        </w:rPr>
        <w:t>,</w:t>
      </w:r>
      <w:r w:rsidRPr="00FA288E">
        <w:rPr>
          <w:rFonts w:cs="Calibri"/>
          <w:szCs w:val="21"/>
        </w:rPr>
        <w:t xml:space="preserve"> collaboration</w:t>
      </w:r>
      <w:r w:rsidR="001226D0" w:rsidRPr="00FA288E">
        <w:rPr>
          <w:rFonts w:cs="Calibri"/>
          <w:szCs w:val="21"/>
        </w:rPr>
        <w:t xml:space="preserve"> and communication; iii) </w:t>
      </w:r>
      <w:r w:rsidRPr="00FA288E">
        <w:rPr>
          <w:rFonts w:cs="Calibri"/>
          <w:szCs w:val="21"/>
        </w:rPr>
        <w:t>ensuring better data analysis and knowledge sharing</w:t>
      </w:r>
      <w:r w:rsidR="001226D0" w:rsidRPr="00FA288E">
        <w:rPr>
          <w:rFonts w:cs="Calibri"/>
          <w:szCs w:val="21"/>
        </w:rPr>
        <w:t>; and performing management oversight and quality assurance of the education grants,</w:t>
      </w:r>
      <w:r w:rsidRPr="00FA288E">
        <w:rPr>
          <w:rFonts w:cs="Calibri"/>
          <w:szCs w:val="21"/>
        </w:rPr>
        <w:t xml:space="preserve"> the roles, functions and level of effort of the PPF Secretariat should be reviewed and revised.</w:t>
      </w:r>
      <w:r w:rsidRPr="00FA288E">
        <w:rPr>
          <w:rStyle w:val="FootnoteReference"/>
          <w:rFonts w:cs="Calibri"/>
          <w:szCs w:val="21"/>
        </w:rPr>
        <w:footnoteReference w:id="81"/>
      </w:r>
      <w:r w:rsidRPr="00FA288E">
        <w:rPr>
          <w:rFonts w:cs="Calibri"/>
          <w:szCs w:val="21"/>
        </w:rPr>
        <w:t xml:space="preserve">  At the time of the mid-term review, it was evident that the PPF Secretariat could be </w:t>
      </w:r>
      <w:r w:rsidRPr="00FA288E">
        <w:rPr>
          <w:rFonts w:cs="Calibri"/>
          <w:szCs w:val="21"/>
        </w:rPr>
        <w:lastRenderedPageBreak/>
        <w:t xml:space="preserve">providing more frequent monitoring and guidance to the consortia on the wide range of interventions being implemented. In addition, the role of PPF </w:t>
      </w:r>
      <w:r w:rsidR="001226D0" w:rsidRPr="00FA288E">
        <w:rPr>
          <w:rFonts w:cs="Calibri"/>
          <w:szCs w:val="21"/>
        </w:rPr>
        <w:t xml:space="preserve">Secretariat </w:t>
      </w:r>
      <w:r w:rsidRPr="00FA288E">
        <w:rPr>
          <w:rFonts w:cs="Calibri"/>
          <w:szCs w:val="21"/>
        </w:rPr>
        <w:t xml:space="preserve">in consolidating/adding value to grantee reporting </w:t>
      </w:r>
      <w:r w:rsidR="001226D0" w:rsidRPr="00FA288E">
        <w:rPr>
          <w:rFonts w:cs="Calibri"/>
          <w:szCs w:val="21"/>
        </w:rPr>
        <w:t>to meet</w:t>
      </w:r>
      <w:r w:rsidRPr="00FA288E">
        <w:rPr>
          <w:rFonts w:cs="Calibri"/>
          <w:szCs w:val="21"/>
        </w:rPr>
        <w:t xml:space="preserve"> </w:t>
      </w:r>
      <w:r w:rsidR="001226D0" w:rsidRPr="00FA288E">
        <w:rPr>
          <w:rFonts w:cs="Calibri"/>
          <w:szCs w:val="21"/>
        </w:rPr>
        <w:t xml:space="preserve">the </w:t>
      </w:r>
      <w:r w:rsidRPr="00FA288E">
        <w:rPr>
          <w:rFonts w:cs="Calibri"/>
          <w:szCs w:val="21"/>
        </w:rPr>
        <w:t xml:space="preserve">requirements of </w:t>
      </w:r>
      <w:r w:rsidR="000F311A" w:rsidRPr="00FA288E">
        <w:rPr>
          <w:rFonts w:cs="Calibri"/>
          <w:szCs w:val="21"/>
        </w:rPr>
        <w:t xml:space="preserve">the Australian </w:t>
      </w:r>
      <w:r w:rsidR="001444CE" w:rsidRPr="00FA288E">
        <w:rPr>
          <w:rFonts w:cs="Calibri"/>
          <w:szCs w:val="21"/>
        </w:rPr>
        <w:t>G</w:t>
      </w:r>
      <w:r w:rsidR="000F311A" w:rsidRPr="00FA288E">
        <w:rPr>
          <w:rFonts w:cs="Calibri"/>
          <w:szCs w:val="21"/>
        </w:rPr>
        <w:t>overnment</w:t>
      </w:r>
      <w:r w:rsidRPr="00FA288E">
        <w:rPr>
          <w:rFonts w:cs="Calibri"/>
          <w:szCs w:val="21"/>
        </w:rPr>
        <w:t xml:space="preserve"> need to be </w:t>
      </w:r>
      <w:r w:rsidR="001226D0" w:rsidRPr="00FA288E">
        <w:rPr>
          <w:rFonts w:cs="Calibri"/>
          <w:szCs w:val="21"/>
        </w:rPr>
        <w:t>considered</w:t>
      </w:r>
      <w:r w:rsidR="0013407D" w:rsidRPr="00FA288E">
        <w:rPr>
          <w:rFonts w:cs="Calibri"/>
          <w:szCs w:val="21"/>
        </w:rPr>
        <w:t>.</w:t>
      </w:r>
      <w:r w:rsidRPr="00FA288E">
        <w:rPr>
          <w:rFonts w:cs="Calibri"/>
          <w:szCs w:val="21"/>
        </w:rPr>
        <w:t xml:space="preserve"> </w:t>
      </w:r>
    </w:p>
    <w:tbl>
      <w:tblPr>
        <w:tblStyle w:val="TableGrid"/>
        <w:tblW w:w="0" w:type="auto"/>
        <w:tblInd w:w="0" w:type="dxa"/>
        <w:shd w:val="clear" w:color="auto" w:fill="F2F2F2" w:themeFill="background1" w:themeFillShade="F2"/>
        <w:tblLook w:val="04A0" w:firstRow="1" w:lastRow="0" w:firstColumn="1" w:lastColumn="0" w:noHBand="0" w:noVBand="1"/>
        <w:tblCaption w:val="Recommendation 7"/>
        <w:tblDescription w:val="The Australian Government should direct the PPF Secretariat and the three grantees to work towards consolidation of the interventions rather than expand to include additional targets during the extension phase."/>
      </w:tblPr>
      <w:tblGrid>
        <w:gridCol w:w="1975"/>
        <w:gridCol w:w="7761"/>
      </w:tblGrid>
      <w:tr w:rsidR="000C2811" w:rsidRPr="00FA288E" w14:paraId="01A48AB4" w14:textId="77777777" w:rsidTr="00AE259C">
        <w:trPr>
          <w:tblHeader/>
        </w:trPr>
        <w:tc>
          <w:tcPr>
            <w:tcW w:w="1975" w:type="dxa"/>
            <w:shd w:val="clear" w:color="auto" w:fill="F2F2F2" w:themeFill="background1" w:themeFillShade="F2"/>
          </w:tcPr>
          <w:p w14:paraId="5A48E547" w14:textId="77777777" w:rsidR="000C2811" w:rsidRPr="00FA288E" w:rsidRDefault="000C2811" w:rsidP="000C2811">
            <w:pPr>
              <w:tabs>
                <w:tab w:val="left" w:pos="1260"/>
              </w:tabs>
              <w:spacing w:after="80"/>
              <w:rPr>
                <w:rFonts w:cs="Calibri"/>
                <w:szCs w:val="21"/>
                <w:lang w:val="en-AU"/>
              </w:rPr>
            </w:pPr>
            <w:r w:rsidRPr="00FA288E">
              <w:rPr>
                <w:rFonts w:cs="Calibri"/>
                <w:szCs w:val="21"/>
                <w:lang w:val="en-AU"/>
              </w:rPr>
              <w:t>Recommendation 7:</w:t>
            </w:r>
          </w:p>
        </w:tc>
        <w:tc>
          <w:tcPr>
            <w:tcW w:w="7761" w:type="dxa"/>
            <w:shd w:val="clear" w:color="auto" w:fill="F2F2F2" w:themeFill="background1" w:themeFillShade="F2"/>
          </w:tcPr>
          <w:p w14:paraId="3990C363" w14:textId="77777777" w:rsidR="000C2811" w:rsidRPr="00FA288E" w:rsidRDefault="000C2811" w:rsidP="000C2811">
            <w:pPr>
              <w:tabs>
                <w:tab w:val="left" w:pos="1260"/>
              </w:tabs>
              <w:spacing w:after="80"/>
              <w:rPr>
                <w:rFonts w:cs="Calibri"/>
                <w:szCs w:val="21"/>
                <w:lang w:val="en-AU"/>
              </w:rPr>
            </w:pPr>
            <w:r w:rsidRPr="00FA288E">
              <w:rPr>
                <w:rFonts w:cs="Calibri"/>
                <w:szCs w:val="21"/>
                <w:lang w:val="en-AU"/>
              </w:rPr>
              <w:t>The Australian Government should direct the PPF Secretariat and the three grantees to work towards consolidation of the interventions rather than expand to include additional targets during the extension phase.</w:t>
            </w:r>
          </w:p>
        </w:tc>
      </w:tr>
    </w:tbl>
    <w:p w14:paraId="2069D7C9" w14:textId="77777777" w:rsidR="008E2685" w:rsidRPr="00FA288E" w:rsidRDefault="008E2685" w:rsidP="00633298">
      <w:pPr>
        <w:spacing w:after="80" w:line="240" w:lineRule="auto"/>
        <w:rPr>
          <w:rFonts w:cs="Calibri"/>
          <w:szCs w:val="21"/>
        </w:rPr>
      </w:pPr>
      <w:r w:rsidRPr="00FA288E">
        <w:rPr>
          <w:rFonts w:cs="Calibri"/>
          <w:szCs w:val="21"/>
        </w:rPr>
        <w:t xml:space="preserve">The review team does not recommend </w:t>
      </w:r>
      <w:r w:rsidR="00633298" w:rsidRPr="00FA288E">
        <w:rPr>
          <w:rFonts w:cs="Calibri"/>
          <w:szCs w:val="21"/>
        </w:rPr>
        <w:t>that project activities be expanded to include</w:t>
      </w:r>
      <w:r w:rsidRPr="00FA288E">
        <w:rPr>
          <w:rFonts w:cs="Calibri"/>
          <w:szCs w:val="21"/>
        </w:rPr>
        <w:t xml:space="preserve"> additional schools, districts or provinces at this time</w:t>
      </w:r>
      <w:r w:rsidR="00633298" w:rsidRPr="00FA288E">
        <w:rPr>
          <w:rFonts w:cs="Calibri"/>
          <w:szCs w:val="21"/>
        </w:rPr>
        <w:t>.</w:t>
      </w:r>
      <w:r w:rsidRPr="00FA288E">
        <w:rPr>
          <w:rFonts w:cs="Calibri"/>
          <w:szCs w:val="21"/>
        </w:rPr>
        <w:t xml:space="preserve"> </w:t>
      </w:r>
      <w:r w:rsidR="00633298" w:rsidRPr="00FA288E">
        <w:rPr>
          <w:rFonts w:cs="Calibri"/>
          <w:szCs w:val="21"/>
        </w:rPr>
        <w:t>The priority is</w:t>
      </w:r>
      <w:r w:rsidRPr="00FA288E">
        <w:rPr>
          <w:rFonts w:cs="Calibri"/>
          <w:szCs w:val="21"/>
        </w:rPr>
        <w:t xml:space="preserve"> to learn from what has been done</w:t>
      </w:r>
      <w:r w:rsidR="00633298" w:rsidRPr="00FA288E">
        <w:rPr>
          <w:rFonts w:cs="Calibri"/>
          <w:szCs w:val="21"/>
        </w:rPr>
        <w:t xml:space="preserve"> and</w:t>
      </w:r>
      <w:r w:rsidRPr="00FA288E">
        <w:rPr>
          <w:rFonts w:cs="Calibri"/>
          <w:szCs w:val="21"/>
        </w:rPr>
        <w:t xml:space="preserve"> investigate how things could be improved. There is a</w:t>
      </w:r>
      <w:r w:rsidR="00633298" w:rsidRPr="00FA288E">
        <w:rPr>
          <w:rFonts w:cs="Calibri"/>
          <w:szCs w:val="21"/>
        </w:rPr>
        <w:t xml:space="preserve"> pressing need</w:t>
      </w:r>
      <w:r w:rsidRPr="00FA288E">
        <w:rPr>
          <w:rFonts w:cs="Calibri"/>
          <w:szCs w:val="21"/>
        </w:rPr>
        <w:t xml:space="preserve"> to ensure that coaching and monitoring of selected interventions is conducted, analysed and </w:t>
      </w:r>
      <w:r w:rsidR="00633298" w:rsidRPr="00FA288E">
        <w:rPr>
          <w:rFonts w:cs="Calibri"/>
          <w:szCs w:val="21"/>
        </w:rPr>
        <w:t xml:space="preserve">results </w:t>
      </w:r>
      <w:r w:rsidRPr="00FA288E">
        <w:rPr>
          <w:rFonts w:cs="Calibri"/>
          <w:szCs w:val="21"/>
        </w:rPr>
        <w:t xml:space="preserve">communicated. </w:t>
      </w:r>
      <w:r w:rsidR="008331C9" w:rsidRPr="00FA288E">
        <w:rPr>
          <w:rFonts w:cs="Calibri"/>
          <w:szCs w:val="21"/>
        </w:rPr>
        <w:t>C</w:t>
      </w:r>
      <w:r w:rsidRPr="00FA288E">
        <w:rPr>
          <w:rFonts w:cs="Calibri"/>
          <w:szCs w:val="21"/>
        </w:rPr>
        <w:t xml:space="preserve">oaching and monitoring </w:t>
      </w:r>
      <w:r w:rsidR="00633298" w:rsidRPr="00FA288E">
        <w:rPr>
          <w:rFonts w:cs="Calibri"/>
          <w:szCs w:val="21"/>
        </w:rPr>
        <w:t xml:space="preserve">activity </w:t>
      </w:r>
      <w:r w:rsidRPr="00FA288E">
        <w:rPr>
          <w:rFonts w:cs="Calibri"/>
          <w:szCs w:val="21"/>
        </w:rPr>
        <w:t xml:space="preserve">will provide additional effects and insights as to what works and what does not – and why. Decisions will need to be made in the next few months on what interventions </w:t>
      </w:r>
      <w:r w:rsidR="00633298" w:rsidRPr="00FA288E">
        <w:rPr>
          <w:rFonts w:cs="Calibri"/>
          <w:szCs w:val="21"/>
        </w:rPr>
        <w:t>will be</w:t>
      </w:r>
      <w:r w:rsidRPr="00FA288E">
        <w:rPr>
          <w:rFonts w:cs="Calibri"/>
          <w:szCs w:val="21"/>
        </w:rPr>
        <w:t xml:space="preserve"> continue</w:t>
      </w:r>
      <w:r w:rsidR="00633298" w:rsidRPr="00FA288E">
        <w:rPr>
          <w:rFonts w:cs="Calibri"/>
          <w:szCs w:val="21"/>
        </w:rPr>
        <w:t>d</w:t>
      </w:r>
      <w:r w:rsidRPr="00FA288E">
        <w:rPr>
          <w:rFonts w:cs="Calibri"/>
          <w:szCs w:val="21"/>
        </w:rPr>
        <w:t xml:space="preserve"> during the proposed extension period.  Based on the</w:t>
      </w:r>
      <w:r w:rsidR="008331C9" w:rsidRPr="00FA288E">
        <w:rPr>
          <w:rFonts w:cs="Calibri"/>
          <w:szCs w:val="21"/>
        </w:rPr>
        <w:t xml:space="preserve"> mid</w:t>
      </w:r>
      <w:r w:rsidR="00196B3F" w:rsidRPr="00FA288E">
        <w:rPr>
          <w:rFonts w:cs="Calibri"/>
          <w:szCs w:val="21"/>
        </w:rPr>
        <w:t>-</w:t>
      </w:r>
      <w:r w:rsidR="008331C9" w:rsidRPr="00FA288E">
        <w:rPr>
          <w:rFonts w:cs="Calibri"/>
          <w:szCs w:val="21"/>
        </w:rPr>
        <w:t>term review</w:t>
      </w:r>
      <w:r w:rsidRPr="00FA288E">
        <w:rPr>
          <w:rFonts w:cs="Calibri"/>
          <w:szCs w:val="21"/>
        </w:rPr>
        <w:t xml:space="preserve"> findings, three categories </w:t>
      </w:r>
      <w:r w:rsidR="00633298" w:rsidRPr="00FA288E">
        <w:rPr>
          <w:rFonts w:cs="Calibri"/>
          <w:szCs w:val="21"/>
        </w:rPr>
        <w:t xml:space="preserve">of interventions may be </w:t>
      </w:r>
      <w:r w:rsidRPr="00FA288E">
        <w:rPr>
          <w:rFonts w:cs="Calibri"/>
          <w:szCs w:val="21"/>
        </w:rPr>
        <w:t>consider</w:t>
      </w:r>
      <w:r w:rsidR="00633298" w:rsidRPr="00FA288E">
        <w:rPr>
          <w:rFonts w:cs="Calibri"/>
          <w:szCs w:val="21"/>
        </w:rPr>
        <w:t>ed</w:t>
      </w:r>
      <w:r w:rsidRPr="00FA288E">
        <w:rPr>
          <w:rFonts w:cs="Calibri"/>
          <w:szCs w:val="21"/>
        </w:rPr>
        <w:t xml:space="preserve">: 1) interventions for which there is some evidence of </w:t>
      </w:r>
      <w:r w:rsidR="00457E86" w:rsidRPr="00FA288E">
        <w:rPr>
          <w:rFonts w:cs="Calibri"/>
          <w:szCs w:val="21"/>
        </w:rPr>
        <w:t xml:space="preserve">progress </w:t>
      </w:r>
      <w:r w:rsidRPr="00FA288E">
        <w:rPr>
          <w:rFonts w:cs="Calibri"/>
          <w:szCs w:val="21"/>
        </w:rPr>
        <w:t xml:space="preserve">and potential sustainability; 2) interventions for which there is limited evidence of </w:t>
      </w:r>
      <w:r w:rsidR="00457E86" w:rsidRPr="00FA288E">
        <w:rPr>
          <w:rFonts w:cs="Calibri"/>
          <w:szCs w:val="21"/>
        </w:rPr>
        <w:t xml:space="preserve">progress </w:t>
      </w:r>
      <w:r w:rsidRPr="00FA288E">
        <w:rPr>
          <w:rFonts w:cs="Calibri"/>
          <w:szCs w:val="21"/>
        </w:rPr>
        <w:t xml:space="preserve">and potential for sustainability yet hold some promise for future investment; 3) interventions for which there is limited evidence of </w:t>
      </w:r>
      <w:r w:rsidR="00457E86" w:rsidRPr="00FA288E">
        <w:rPr>
          <w:rFonts w:cs="Calibri"/>
          <w:szCs w:val="21"/>
        </w:rPr>
        <w:t xml:space="preserve">progress </w:t>
      </w:r>
      <w:r w:rsidRPr="00FA288E">
        <w:rPr>
          <w:rFonts w:cs="Calibri"/>
          <w:szCs w:val="21"/>
        </w:rPr>
        <w:t>and potential for sustainability and limited prospects for developing adequately in the timeframe of the extension</w:t>
      </w:r>
      <w:r w:rsidR="0013407D" w:rsidRPr="00FA288E">
        <w:rPr>
          <w:rFonts w:cs="Calibri"/>
          <w:szCs w:val="21"/>
        </w:rPr>
        <w:t>.</w:t>
      </w:r>
      <w:r w:rsidR="00633298" w:rsidRPr="00FA288E">
        <w:rPr>
          <w:rFonts w:cs="Calibri"/>
          <w:szCs w:val="21"/>
        </w:rPr>
        <w:t xml:space="preserve"> The review team proposes the following:</w:t>
      </w:r>
    </w:p>
    <w:p w14:paraId="1787FCEF" w14:textId="77777777" w:rsidR="008E2685" w:rsidRPr="00FA288E" w:rsidRDefault="008E2685" w:rsidP="00633298">
      <w:pPr>
        <w:pStyle w:val="ListParagraph"/>
        <w:numPr>
          <w:ilvl w:val="0"/>
          <w:numId w:val="11"/>
        </w:numPr>
        <w:spacing w:after="80" w:line="240" w:lineRule="auto"/>
        <w:ind w:left="630" w:hanging="357"/>
        <w:rPr>
          <w:rFonts w:ascii="Calibri" w:hAnsi="Calibri" w:cs="Calibri"/>
          <w:sz w:val="21"/>
          <w:szCs w:val="21"/>
          <w:lang w:val="en-AU"/>
        </w:rPr>
      </w:pPr>
      <w:r w:rsidRPr="00FA288E">
        <w:rPr>
          <w:rFonts w:ascii="Calibri" w:hAnsi="Calibri" w:cs="Calibri"/>
          <w:sz w:val="21"/>
          <w:szCs w:val="21"/>
          <w:lang w:val="en-AU"/>
        </w:rPr>
        <w:t xml:space="preserve">Some evidence of </w:t>
      </w:r>
      <w:r w:rsidR="00457E86" w:rsidRPr="00FA288E">
        <w:rPr>
          <w:rFonts w:ascii="Calibri" w:hAnsi="Calibri" w:cs="Calibri"/>
          <w:sz w:val="21"/>
          <w:szCs w:val="21"/>
          <w:lang w:val="en-AU"/>
        </w:rPr>
        <w:t>progress</w:t>
      </w:r>
      <w:r w:rsidRPr="00FA288E">
        <w:rPr>
          <w:rFonts w:ascii="Calibri" w:hAnsi="Calibri" w:cs="Calibri"/>
          <w:sz w:val="21"/>
          <w:szCs w:val="21"/>
          <w:lang w:val="en-AU"/>
        </w:rPr>
        <w:t xml:space="preserve"> and potential sustainability;</w:t>
      </w:r>
    </w:p>
    <w:p w14:paraId="56FF23AB" w14:textId="77777777" w:rsidR="008E2685" w:rsidRPr="00FA288E" w:rsidRDefault="008E2685" w:rsidP="005C700B">
      <w:pPr>
        <w:pStyle w:val="Bullets"/>
        <w:numPr>
          <w:ilvl w:val="0"/>
          <w:numId w:val="35"/>
        </w:numPr>
        <w:spacing w:after="0" w:line="240" w:lineRule="auto"/>
        <w:rPr>
          <w:rFonts w:ascii="Calibri" w:hAnsi="Calibri" w:cs="Calibri"/>
          <w:sz w:val="21"/>
          <w:szCs w:val="21"/>
        </w:rPr>
      </w:pPr>
      <w:r w:rsidRPr="00FA288E">
        <w:rPr>
          <w:rFonts w:ascii="Calibri" w:hAnsi="Calibri" w:cs="Calibri"/>
          <w:sz w:val="21"/>
          <w:szCs w:val="21"/>
        </w:rPr>
        <w:t>Teacher in-service programs</w:t>
      </w:r>
    </w:p>
    <w:p w14:paraId="15083A37" w14:textId="77777777" w:rsidR="008E2685" w:rsidRPr="00FA288E" w:rsidRDefault="00FE75AA" w:rsidP="005C700B">
      <w:pPr>
        <w:pStyle w:val="Bullets"/>
        <w:numPr>
          <w:ilvl w:val="0"/>
          <w:numId w:val="35"/>
        </w:numPr>
        <w:spacing w:after="0" w:line="240" w:lineRule="auto"/>
        <w:rPr>
          <w:rFonts w:ascii="Calibri" w:hAnsi="Calibri" w:cs="Calibri"/>
          <w:sz w:val="21"/>
          <w:szCs w:val="21"/>
        </w:rPr>
      </w:pPr>
      <w:r w:rsidRPr="00FA288E">
        <w:rPr>
          <w:rFonts w:ascii="Calibri" w:hAnsi="Calibri" w:cs="Calibri"/>
          <w:sz w:val="21"/>
          <w:szCs w:val="21"/>
        </w:rPr>
        <w:t>Low-cost local s</w:t>
      </w:r>
      <w:r w:rsidR="008E2685" w:rsidRPr="00FA288E">
        <w:rPr>
          <w:rFonts w:ascii="Calibri" w:hAnsi="Calibri" w:cs="Calibri"/>
          <w:sz w:val="21"/>
          <w:szCs w:val="21"/>
        </w:rPr>
        <w:t>upplemental teaching and learning materials</w:t>
      </w:r>
    </w:p>
    <w:p w14:paraId="77AE1F1A" w14:textId="77777777" w:rsidR="008E2685" w:rsidRPr="00FA288E" w:rsidRDefault="008E2685" w:rsidP="005C700B">
      <w:pPr>
        <w:pStyle w:val="Bullets"/>
        <w:numPr>
          <w:ilvl w:val="0"/>
          <w:numId w:val="35"/>
        </w:numPr>
        <w:spacing w:after="80" w:line="240" w:lineRule="auto"/>
        <w:rPr>
          <w:rFonts w:ascii="Calibri" w:hAnsi="Calibri" w:cs="Calibri"/>
          <w:sz w:val="21"/>
          <w:szCs w:val="21"/>
        </w:rPr>
      </w:pPr>
      <w:r w:rsidRPr="00FA288E">
        <w:rPr>
          <w:rFonts w:ascii="Calibri" w:hAnsi="Calibri" w:cs="Calibri"/>
          <w:sz w:val="21"/>
          <w:szCs w:val="21"/>
        </w:rPr>
        <w:t>Provision of reading resources through free apps, including for the hearing/visually impaired</w:t>
      </w:r>
    </w:p>
    <w:p w14:paraId="6DEC2174" w14:textId="77777777" w:rsidR="008E2685" w:rsidRPr="00FA288E" w:rsidRDefault="008E2685" w:rsidP="00633298">
      <w:pPr>
        <w:pStyle w:val="ListParagraph"/>
        <w:numPr>
          <w:ilvl w:val="0"/>
          <w:numId w:val="11"/>
        </w:numPr>
        <w:spacing w:after="80" w:line="240" w:lineRule="auto"/>
        <w:ind w:left="630" w:hanging="357"/>
        <w:rPr>
          <w:rFonts w:ascii="Calibri" w:hAnsi="Calibri" w:cs="Calibri"/>
          <w:sz w:val="21"/>
          <w:szCs w:val="21"/>
          <w:lang w:val="en-AU"/>
        </w:rPr>
      </w:pPr>
      <w:r w:rsidRPr="00FA288E">
        <w:rPr>
          <w:rFonts w:ascii="Calibri" w:hAnsi="Calibri" w:cs="Calibri"/>
          <w:sz w:val="21"/>
          <w:szCs w:val="21"/>
          <w:lang w:val="en-AU"/>
        </w:rPr>
        <w:t xml:space="preserve">Limited evidence of </w:t>
      </w:r>
      <w:r w:rsidR="00457E86" w:rsidRPr="00FA288E">
        <w:rPr>
          <w:rFonts w:ascii="Calibri" w:hAnsi="Calibri" w:cs="Calibri"/>
          <w:sz w:val="21"/>
          <w:szCs w:val="21"/>
          <w:lang w:val="en-AU"/>
        </w:rPr>
        <w:t>progress</w:t>
      </w:r>
      <w:r w:rsidRPr="00FA288E">
        <w:rPr>
          <w:rFonts w:ascii="Calibri" w:hAnsi="Calibri" w:cs="Calibri"/>
          <w:sz w:val="21"/>
          <w:szCs w:val="21"/>
          <w:lang w:val="en-AU"/>
        </w:rPr>
        <w:t xml:space="preserve"> and potential for sustainability yet hold some promise for future investments;</w:t>
      </w:r>
    </w:p>
    <w:p w14:paraId="16CC4678" w14:textId="77777777" w:rsidR="008E2685" w:rsidRPr="00FA288E" w:rsidRDefault="008E2685" w:rsidP="005C700B">
      <w:pPr>
        <w:pStyle w:val="Bullets"/>
        <w:numPr>
          <w:ilvl w:val="0"/>
          <w:numId w:val="36"/>
        </w:numPr>
        <w:spacing w:after="0" w:line="240" w:lineRule="auto"/>
        <w:rPr>
          <w:rFonts w:ascii="Calibri" w:hAnsi="Calibri" w:cs="Calibri"/>
          <w:sz w:val="21"/>
          <w:szCs w:val="21"/>
        </w:rPr>
      </w:pPr>
      <w:r w:rsidRPr="00FA288E">
        <w:rPr>
          <w:rFonts w:ascii="Calibri" w:hAnsi="Calibri" w:cs="Calibri"/>
          <w:sz w:val="21"/>
          <w:szCs w:val="21"/>
        </w:rPr>
        <w:t>Resource Teachers and Peer Learning Circles</w:t>
      </w:r>
    </w:p>
    <w:p w14:paraId="35B82FA7" w14:textId="77777777" w:rsidR="008E2685" w:rsidRPr="00FA288E" w:rsidRDefault="0064493A" w:rsidP="005C700B">
      <w:pPr>
        <w:pStyle w:val="Bullets"/>
        <w:numPr>
          <w:ilvl w:val="0"/>
          <w:numId w:val="36"/>
        </w:numPr>
        <w:spacing w:after="0" w:line="240" w:lineRule="auto"/>
        <w:rPr>
          <w:rFonts w:ascii="Calibri" w:hAnsi="Calibri" w:cs="Calibri"/>
          <w:sz w:val="21"/>
          <w:szCs w:val="21"/>
        </w:rPr>
      </w:pPr>
      <w:r w:rsidRPr="00FA288E">
        <w:rPr>
          <w:rFonts w:ascii="Calibri" w:hAnsi="Calibri" w:cs="Calibri"/>
          <w:sz w:val="21"/>
          <w:szCs w:val="21"/>
        </w:rPr>
        <w:t>Strengthening</w:t>
      </w:r>
      <w:r w:rsidR="008E2685" w:rsidRPr="00FA288E">
        <w:rPr>
          <w:rFonts w:ascii="Calibri" w:hAnsi="Calibri" w:cs="Calibri"/>
          <w:sz w:val="21"/>
          <w:szCs w:val="21"/>
        </w:rPr>
        <w:t xml:space="preserve"> of provincial and district officials</w:t>
      </w:r>
      <w:r w:rsidR="00633298" w:rsidRPr="00FA288E">
        <w:rPr>
          <w:rFonts w:ascii="Calibri" w:hAnsi="Calibri" w:cs="Calibri"/>
          <w:sz w:val="21"/>
          <w:szCs w:val="21"/>
        </w:rPr>
        <w:t>’</w:t>
      </w:r>
      <w:r w:rsidRPr="00FA288E">
        <w:rPr>
          <w:rFonts w:ascii="Calibri" w:hAnsi="Calibri" w:cs="Calibri"/>
          <w:sz w:val="21"/>
          <w:szCs w:val="21"/>
        </w:rPr>
        <w:t xml:space="preserve"> abilities</w:t>
      </w:r>
    </w:p>
    <w:p w14:paraId="7608ED23" w14:textId="77777777" w:rsidR="008E2685" w:rsidRPr="00FA288E" w:rsidRDefault="008E2685" w:rsidP="005C700B">
      <w:pPr>
        <w:pStyle w:val="Bullets"/>
        <w:numPr>
          <w:ilvl w:val="0"/>
          <w:numId w:val="36"/>
        </w:numPr>
        <w:spacing w:after="0" w:line="240" w:lineRule="auto"/>
        <w:rPr>
          <w:rFonts w:ascii="Calibri" w:hAnsi="Calibri" w:cs="Calibri"/>
          <w:sz w:val="21"/>
          <w:szCs w:val="21"/>
        </w:rPr>
      </w:pPr>
      <w:r w:rsidRPr="00FA288E">
        <w:rPr>
          <w:rFonts w:ascii="Calibri" w:hAnsi="Calibri" w:cs="Calibri"/>
          <w:sz w:val="21"/>
          <w:szCs w:val="21"/>
        </w:rPr>
        <w:t>E-learning interventions at the school level (</w:t>
      </w:r>
      <w:proofErr w:type="spellStart"/>
      <w:r w:rsidRPr="00FA288E">
        <w:rPr>
          <w:rFonts w:ascii="Calibri" w:hAnsi="Calibri" w:cs="Calibri"/>
          <w:sz w:val="21"/>
          <w:szCs w:val="21"/>
        </w:rPr>
        <w:t>LfA</w:t>
      </w:r>
      <w:proofErr w:type="spellEnd"/>
      <w:r w:rsidRPr="00FA288E">
        <w:rPr>
          <w:rFonts w:ascii="Calibri" w:hAnsi="Calibri" w:cs="Calibri"/>
          <w:sz w:val="21"/>
          <w:szCs w:val="21"/>
        </w:rPr>
        <w:t xml:space="preserve"> tablets, Ed</w:t>
      </w:r>
      <w:r w:rsidR="00A60A26" w:rsidRPr="00FA288E">
        <w:rPr>
          <w:rFonts w:ascii="Calibri" w:hAnsi="Calibri" w:cs="Calibri"/>
          <w:sz w:val="21"/>
          <w:szCs w:val="21"/>
        </w:rPr>
        <w:t>ucation</w:t>
      </w:r>
      <w:r w:rsidRPr="00FA288E">
        <w:rPr>
          <w:rFonts w:ascii="Calibri" w:hAnsi="Calibri" w:cs="Calibri"/>
          <w:sz w:val="21"/>
          <w:szCs w:val="21"/>
        </w:rPr>
        <w:t xml:space="preserve"> for All kits)</w:t>
      </w:r>
    </w:p>
    <w:p w14:paraId="4F7E3EE4" w14:textId="77777777" w:rsidR="008E2685" w:rsidRPr="00FA288E" w:rsidRDefault="00FE75AA" w:rsidP="005C700B">
      <w:pPr>
        <w:pStyle w:val="Bullets"/>
        <w:numPr>
          <w:ilvl w:val="0"/>
          <w:numId w:val="36"/>
        </w:numPr>
        <w:spacing w:after="0" w:line="240" w:lineRule="auto"/>
        <w:rPr>
          <w:rFonts w:ascii="Calibri" w:hAnsi="Calibri" w:cs="Calibri"/>
          <w:sz w:val="21"/>
          <w:szCs w:val="21"/>
        </w:rPr>
      </w:pPr>
      <w:r w:rsidRPr="00FA288E">
        <w:rPr>
          <w:rFonts w:ascii="Calibri" w:hAnsi="Calibri" w:cs="Calibri"/>
          <w:sz w:val="21"/>
          <w:szCs w:val="21"/>
        </w:rPr>
        <w:t>T</w:t>
      </w:r>
      <w:r w:rsidR="008E2685" w:rsidRPr="00FA288E">
        <w:rPr>
          <w:rFonts w:ascii="Calibri" w:hAnsi="Calibri" w:cs="Calibri"/>
          <w:sz w:val="21"/>
          <w:szCs w:val="21"/>
        </w:rPr>
        <w:t xml:space="preserve">raining materials on SLIP development (click to view: </w:t>
      </w:r>
      <w:hyperlink w:anchor="_Box_11._A" w:history="1">
        <w:r w:rsidR="008E2685" w:rsidRPr="00FA288E">
          <w:rPr>
            <w:rStyle w:val="Hyperlink"/>
            <w:rFonts w:ascii="Calibri" w:hAnsi="Calibri" w:cs="Calibri"/>
            <w:sz w:val="21"/>
            <w:szCs w:val="21"/>
          </w:rPr>
          <w:t>Box 11</w:t>
        </w:r>
      </w:hyperlink>
      <w:r w:rsidR="008E2685" w:rsidRPr="00FA288E">
        <w:rPr>
          <w:rFonts w:ascii="Calibri" w:hAnsi="Calibri" w:cs="Calibri"/>
          <w:sz w:val="21"/>
          <w:szCs w:val="21"/>
        </w:rPr>
        <w:t xml:space="preserve"> and </w:t>
      </w:r>
      <w:hyperlink w:anchor="_Box_13._A" w:history="1">
        <w:r w:rsidR="008E2685" w:rsidRPr="00FA288E">
          <w:rPr>
            <w:rStyle w:val="Hyperlink"/>
            <w:rFonts w:ascii="Calibri" w:hAnsi="Calibri" w:cs="Calibri"/>
            <w:sz w:val="21"/>
            <w:szCs w:val="21"/>
          </w:rPr>
          <w:t xml:space="preserve">Box 13, Annex </w:t>
        </w:r>
        <w:r w:rsidR="008C2C8F" w:rsidRPr="00FA288E">
          <w:rPr>
            <w:rStyle w:val="Hyperlink"/>
            <w:rFonts w:ascii="Calibri" w:hAnsi="Calibri" w:cs="Calibri"/>
            <w:sz w:val="21"/>
            <w:szCs w:val="21"/>
          </w:rPr>
          <w:t>F</w:t>
        </w:r>
        <w:r w:rsidR="008E2685" w:rsidRPr="00FA288E">
          <w:rPr>
            <w:rStyle w:val="Hyperlink"/>
            <w:rFonts w:ascii="Calibri" w:hAnsi="Calibri" w:cs="Calibri"/>
            <w:sz w:val="21"/>
            <w:szCs w:val="21"/>
          </w:rPr>
          <w:t>.3</w:t>
        </w:r>
      </w:hyperlink>
      <w:r w:rsidR="008E2685" w:rsidRPr="00FA288E">
        <w:rPr>
          <w:rFonts w:ascii="Calibri" w:hAnsi="Calibri" w:cs="Calibri"/>
          <w:sz w:val="21"/>
          <w:szCs w:val="21"/>
        </w:rPr>
        <w:t>)</w:t>
      </w:r>
    </w:p>
    <w:p w14:paraId="393F8F50" w14:textId="77777777" w:rsidR="008E2685" w:rsidRPr="00FA288E" w:rsidRDefault="008E2685" w:rsidP="005C700B">
      <w:pPr>
        <w:pStyle w:val="Bullets"/>
        <w:numPr>
          <w:ilvl w:val="0"/>
          <w:numId w:val="36"/>
        </w:numPr>
        <w:spacing w:after="80" w:line="240" w:lineRule="auto"/>
        <w:rPr>
          <w:rFonts w:ascii="Calibri" w:hAnsi="Calibri" w:cs="Calibri"/>
          <w:sz w:val="21"/>
          <w:szCs w:val="21"/>
        </w:rPr>
      </w:pPr>
      <w:r w:rsidRPr="00FA288E">
        <w:rPr>
          <w:rFonts w:ascii="Calibri" w:hAnsi="Calibri" w:cs="Calibri"/>
          <w:sz w:val="21"/>
          <w:szCs w:val="21"/>
        </w:rPr>
        <w:t>E</w:t>
      </w:r>
      <w:r w:rsidR="00CA1CCF" w:rsidRPr="00FA288E">
        <w:rPr>
          <w:rFonts w:ascii="Calibri" w:hAnsi="Calibri" w:cs="Calibri"/>
          <w:sz w:val="21"/>
          <w:szCs w:val="21"/>
        </w:rPr>
        <w:t>CCE</w:t>
      </w:r>
      <w:r w:rsidRPr="00FA288E">
        <w:rPr>
          <w:rFonts w:ascii="Calibri" w:hAnsi="Calibri" w:cs="Calibri"/>
          <w:sz w:val="21"/>
          <w:szCs w:val="21"/>
        </w:rPr>
        <w:t xml:space="preserve"> </w:t>
      </w:r>
      <w:r w:rsidR="00FE75AA" w:rsidRPr="00FA288E">
        <w:rPr>
          <w:rFonts w:ascii="Calibri" w:hAnsi="Calibri" w:cs="Calibri"/>
          <w:sz w:val="21"/>
          <w:szCs w:val="21"/>
        </w:rPr>
        <w:t xml:space="preserve">facilitator </w:t>
      </w:r>
      <w:r w:rsidRPr="00FA288E">
        <w:rPr>
          <w:rFonts w:ascii="Calibri" w:hAnsi="Calibri" w:cs="Calibri"/>
          <w:sz w:val="21"/>
          <w:szCs w:val="21"/>
        </w:rPr>
        <w:t>training materials</w:t>
      </w:r>
    </w:p>
    <w:p w14:paraId="5669CBC6" w14:textId="77777777" w:rsidR="008E2685" w:rsidRPr="00FA288E" w:rsidRDefault="008E2685" w:rsidP="00633298">
      <w:pPr>
        <w:pStyle w:val="ListParagraph"/>
        <w:numPr>
          <w:ilvl w:val="0"/>
          <w:numId w:val="11"/>
        </w:numPr>
        <w:spacing w:after="80" w:line="240" w:lineRule="auto"/>
        <w:ind w:left="630" w:hanging="357"/>
        <w:rPr>
          <w:rFonts w:ascii="Calibri" w:hAnsi="Calibri" w:cs="Calibri"/>
          <w:sz w:val="21"/>
          <w:szCs w:val="21"/>
          <w:lang w:val="en-AU"/>
        </w:rPr>
      </w:pPr>
      <w:r w:rsidRPr="00FA288E">
        <w:rPr>
          <w:rFonts w:ascii="Calibri" w:hAnsi="Calibri" w:cs="Calibri"/>
          <w:sz w:val="21"/>
          <w:szCs w:val="21"/>
          <w:lang w:val="en-AU"/>
        </w:rPr>
        <w:t xml:space="preserve">Limited evidence of </w:t>
      </w:r>
      <w:r w:rsidR="00457E86" w:rsidRPr="00FA288E">
        <w:rPr>
          <w:rFonts w:ascii="Calibri" w:hAnsi="Calibri" w:cs="Calibri"/>
          <w:sz w:val="21"/>
          <w:szCs w:val="21"/>
          <w:lang w:val="en-AU"/>
        </w:rPr>
        <w:t>progress</w:t>
      </w:r>
      <w:r w:rsidRPr="00FA288E">
        <w:rPr>
          <w:rFonts w:ascii="Calibri" w:hAnsi="Calibri" w:cs="Calibri"/>
          <w:sz w:val="21"/>
          <w:szCs w:val="21"/>
          <w:lang w:val="en-AU"/>
        </w:rPr>
        <w:t xml:space="preserve"> and potential for sustainability and limited prospects for developing adequately in the timeframe of the extension</w:t>
      </w:r>
      <w:r w:rsidR="0013407D" w:rsidRPr="00FA288E">
        <w:rPr>
          <w:rFonts w:ascii="Calibri" w:hAnsi="Calibri" w:cs="Calibri"/>
          <w:sz w:val="21"/>
          <w:szCs w:val="21"/>
          <w:lang w:val="en-AU"/>
        </w:rPr>
        <w:t>;</w:t>
      </w:r>
    </w:p>
    <w:p w14:paraId="33BB515C" w14:textId="77777777" w:rsidR="008E2685" w:rsidRPr="00FA288E" w:rsidRDefault="00FE75AA" w:rsidP="005C700B">
      <w:pPr>
        <w:pStyle w:val="Bullets"/>
        <w:numPr>
          <w:ilvl w:val="0"/>
          <w:numId w:val="37"/>
        </w:numPr>
        <w:spacing w:after="0" w:line="240" w:lineRule="auto"/>
        <w:rPr>
          <w:rFonts w:ascii="Calibri" w:hAnsi="Calibri" w:cs="Calibri"/>
          <w:sz w:val="21"/>
          <w:szCs w:val="21"/>
        </w:rPr>
      </w:pPr>
      <w:r w:rsidRPr="00FA288E">
        <w:rPr>
          <w:rFonts w:ascii="Calibri" w:hAnsi="Calibri" w:cs="Calibri"/>
          <w:sz w:val="21"/>
          <w:szCs w:val="21"/>
        </w:rPr>
        <w:t>P</w:t>
      </w:r>
      <w:r w:rsidR="008E2685" w:rsidRPr="00FA288E">
        <w:rPr>
          <w:rFonts w:ascii="Calibri" w:hAnsi="Calibri" w:cs="Calibri"/>
          <w:sz w:val="21"/>
          <w:szCs w:val="21"/>
        </w:rPr>
        <w:t>arent/caregiver involvement in reading activities</w:t>
      </w:r>
    </w:p>
    <w:p w14:paraId="342CF583" w14:textId="77777777" w:rsidR="008E2685" w:rsidRPr="00FA288E" w:rsidRDefault="008E2685" w:rsidP="005C700B">
      <w:pPr>
        <w:pStyle w:val="Bullets"/>
        <w:numPr>
          <w:ilvl w:val="0"/>
          <w:numId w:val="37"/>
        </w:numPr>
        <w:spacing w:after="0" w:line="240" w:lineRule="auto"/>
        <w:rPr>
          <w:rFonts w:ascii="Calibri" w:hAnsi="Calibri" w:cs="Calibri"/>
          <w:sz w:val="21"/>
          <w:szCs w:val="21"/>
        </w:rPr>
      </w:pPr>
      <w:r w:rsidRPr="00FA288E">
        <w:rPr>
          <w:rFonts w:ascii="Calibri" w:hAnsi="Calibri" w:cs="Calibri"/>
          <w:sz w:val="21"/>
          <w:szCs w:val="21"/>
        </w:rPr>
        <w:t>Increasing girls’ enrolment in school</w:t>
      </w:r>
    </w:p>
    <w:p w14:paraId="3BD37A2E" w14:textId="77777777" w:rsidR="008E2685" w:rsidRPr="00FA288E" w:rsidRDefault="008E2685" w:rsidP="005C700B">
      <w:pPr>
        <w:pStyle w:val="Bullets"/>
        <w:numPr>
          <w:ilvl w:val="0"/>
          <w:numId w:val="37"/>
        </w:numPr>
        <w:spacing w:after="0" w:line="240" w:lineRule="auto"/>
        <w:rPr>
          <w:rFonts w:ascii="Calibri" w:hAnsi="Calibri" w:cs="Calibri"/>
          <w:sz w:val="21"/>
          <w:szCs w:val="21"/>
        </w:rPr>
      </w:pPr>
      <w:r w:rsidRPr="00FA288E">
        <w:rPr>
          <w:rFonts w:ascii="Calibri" w:hAnsi="Calibri" w:cs="Calibri"/>
          <w:sz w:val="21"/>
          <w:szCs w:val="21"/>
        </w:rPr>
        <w:t>Community Literacy Volunteers (unless linked with the school)</w:t>
      </w:r>
    </w:p>
    <w:p w14:paraId="3B031D83" w14:textId="77777777" w:rsidR="008E2685" w:rsidRPr="00FA288E" w:rsidRDefault="00FE75AA" w:rsidP="005C700B">
      <w:pPr>
        <w:pStyle w:val="Bullets"/>
        <w:numPr>
          <w:ilvl w:val="0"/>
          <w:numId w:val="37"/>
        </w:numPr>
        <w:spacing w:after="0" w:line="240" w:lineRule="auto"/>
        <w:rPr>
          <w:rFonts w:ascii="Calibri" w:hAnsi="Calibri" w:cs="Calibri"/>
          <w:sz w:val="21"/>
          <w:szCs w:val="21"/>
        </w:rPr>
      </w:pPr>
      <w:r w:rsidRPr="00FA288E">
        <w:rPr>
          <w:rFonts w:ascii="Calibri" w:hAnsi="Calibri" w:cs="Calibri"/>
          <w:sz w:val="21"/>
          <w:szCs w:val="21"/>
        </w:rPr>
        <w:t>E</w:t>
      </w:r>
      <w:r w:rsidR="008E2685" w:rsidRPr="00FA288E">
        <w:rPr>
          <w:rFonts w:ascii="Calibri" w:hAnsi="Calibri" w:cs="Calibri"/>
          <w:sz w:val="21"/>
          <w:szCs w:val="21"/>
        </w:rPr>
        <w:t xml:space="preserve">nrolment of </w:t>
      </w:r>
      <w:r w:rsidR="000118A2" w:rsidRPr="00FA288E">
        <w:rPr>
          <w:rFonts w:ascii="Calibri" w:hAnsi="Calibri" w:cs="Calibri"/>
          <w:sz w:val="21"/>
          <w:szCs w:val="21"/>
        </w:rPr>
        <w:t>children with disabilities</w:t>
      </w:r>
      <w:r w:rsidR="008E2685" w:rsidRPr="00FA288E">
        <w:rPr>
          <w:rFonts w:ascii="Calibri" w:hAnsi="Calibri" w:cs="Calibri"/>
          <w:sz w:val="21"/>
          <w:szCs w:val="21"/>
        </w:rPr>
        <w:t xml:space="preserve"> in mainstream schools</w:t>
      </w:r>
    </w:p>
    <w:p w14:paraId="01900C86" w14:textId="77777777" w:rsidR="008E2685" w:rsidRPr="00FA288E" w:rsidRDefault="008E2685" w:rsidP="005C700B">
      <w:pPr>
        <w:pStyle w:val="Bullets"/>
        <w:numPr>
          <w:ilvl w:val="0"/>
          <w:numId w:val="37"/>
        </w:numPr>
        <w:spacing w:after="80" w:line="240" w:lineRule="auto"/>
        <w:rPr>
          <w:rFonts w:ascii="Calibri" w:hAnsi="Calibri" w:cs="Calibri"/>
          <w:sz w:val="21"/>
          <w:szCs w:val="21"/>
        </w:rPr>
      </w:pPr>
      <w:r w:rsidRPr="00FA288E">
        <w:rPr>
          <w:rFonts w:ascii="Calibri" w:hAnsi="Calibri" w:cs="Calibri"/>
          <w:sz w:val="21"/>
          <w:szCs w:val="21"/>
        </w:rPr>
        <w:t>The Knowledge Hub</w:t>
      </w:r>
    </w:p>
    <w:p w14:paraId="0E3D33AB" w14:textId="77777777" w:rsidR="00436FDA" w:rsidRPr="00FA288E" w:rsidRDefault="008E2685" w:rsidP="00FF62CC">
      <w:pPr>
        <w:pStyle w:val="Heading1"/>
        <w:numPr>
          <w:ilvl w:val="1"/>
          <w:numId w:val="62"/>
        </w:numPr>
        <w:spacing w:before="0" w:after="80" w:line="240" w:lineRule="auto"/>
        <w:ind w:left="540" w:hanging="540"/>
      </w:pPr>
      <w:bookmarkStart w:id="105" w:name="_Toc26914380"/>
      <w:bookmarkStart w:id="106" w:name="_Toc31625598"/>
      <w:bookmarkStart w:id="107" w:name="_Toc42075978"/>
      <w:r w:rsidRPr="00FA288E">
        <w:t>Considerations for the</w:t>
      </w:r>
      <w:r w:rsidR="00A440BE" w:rsidRPr="00FA288E">
        <w:t xml:space="preserve"> l</w:t>
      </w:r>
      <w:r w:rsidRPr="00FA288E">
        <w:t>onger</w:t>
      </w:r>
      <w:r w:rsidR="009632FD" w:rsidRPr="00FA288E">
        <w:t>-</w:t>
      </w:r>
      <w:r w:rsidR="00A440BE" w:rsidRPr="00FA288E">
        <w:t>t</w:t>
      </w:r>
      <w:r w:rsidRPr="00FA288E">
        <w:t>erm (future investments in foundational education)</w:t>
      </w:r>
      <w:bookmarkEnd w:id="105"/>
      <w:bookmarkEnd w:id="106"/>
      <w:bookmarkEnd w:id="107"/>
    </w:p>
    <w:p w14:paraId="5CF3E96F" w14:textId="77777777" w:rsidR="008E2685" w:rsidRPr="00FA288E" w:rsidRDefault="00682CA8" w:rsidP="002767D9">
      <w:pPr>
        <w:spacing w:after="80" w:line="240" w:lineRule="auto"/>
        <w:jc w:val="both"/>
        <w:rPr>
          <w:rFonts w:cs="Calibri"/>
          <w:szCs w:val="21"/>
        </w:rPr>
      </w:pPr>
      <w:r w:rsidRPr="00FA288E">
        <w:rPr>
          <w:rFonts w:cs="Calibri"/>
          <w:szCs w:val="21"/>
        </w:rPr>
        <w:t>O</w:t>
      </w:r>
      <w:r w:rsidR="008E2685" w:rsidRPr="00FA288E">
        <w:rPr>
          <w:rFonts w:cs="Calibri"/>
          <w:szCs w:val="21"/>
        </w:rPr>
        <w:t xml:space="preserve">ne of the objectives of the review was to provide recommendations on approaches and delivery modalities to “inform the design of a future investment in foundational education”. As explained previously, the limited evidence </w:t>
      </w:r>
      <w:r w:rsidRPr="00FA288E">
        <w:rPr>
          <w:rFonts w:cs="Calibri"/>
          <w:szCs w:val="21"/>
        </w:rPr>
        <w:t xml:space="preserve">available </w:t>
      </w:r>
      <w:r w:rsidR="008E2685" w:rsidRPr="00FA288E">
        <w:rPr>
          <w:rFonts w:cs="Calibri"/>
          <w:szCs w:val="21"/>
        </w:rPr>
        <w:t xml:space="preserve">for some of the interventions being implemented through the three projects prevents offering an exhaustive list of specific recommendations to guide a future investment. Additionally, there is an imperative to work collaboratively with the GoPNG going forward, and the recommendations below offer a place from which to start this collaboration to improve the </w:t>
      </w:r>
      <w:r w:rsidRPr="00FA288E">
        <w:rPr>
          <w:rFonts w:cs="Calibri"/>
          <w:szCs w:val="21"/>
        </w:rPr>
        <w:t xml:space="preserve">GoPNG </w:t>
      </w:r>
      <w:r w:rsidR="008E2685" w:rsidRPr="00FA288E">
        <w:rPr>
          <w:rFonts w:cs="Calibri"/>
          <w:szCs w:val="21"/>
        </w:rPr>
        <w:t>ownership and</w:t>
      </w:r>
      <w:r w:rsidRPr="00FA288E">
        <w:rPr>
          <w:rFonts w:cs="Calibri"/>
          <w:szCs w:val="21"/>
        </w:rPr>
        <w:t xml:space="preserve"> commitment to</w:t>
      </w:r>
      <w:r w:rsidR="008E2685" w:rsidRPr="00FA288E">
        <w:rPr>
          <w:rFonts w:cs="Calibri"/>
          <w:szCs w:val="21"/>
        </w:rPr>
        <w:t xml:space="preserve"> future interventions.  Accordingly, the review team</w:t>
      </w:r>
      <w:r w:rsidRPr="00FA288E">
        <w:rPr>
          <w:rFonts w:cs="Calibri"/>
          <w:szCs w:val="21"/>
        </w:rPr>
        <w:t xml:space="preserve">’s </w:t>
      </w:r>
      <w:r w:rsidR="008E2685" w:rsidRPr="00FA288E">
        <w:rPr>
          <w:rFonts w:cs="Calibri"/>
          <w:szCs w:val="21"/>
        </w:rPr>
        <w:t xml:space="preserve">focus </w:t>
      </w:r>
      <w:r w:rsidRPr="00FA288E">
        <w:rPr>
          <w:rFonts w:cs="Calibri"/>
          <w:szCs w:val="21"/>
        </w:rPr>
        <w:t>is on</w:t>
      </w:r>
      <w:r w:rsidR="008E2685" w:rsidRPr="00FA288E">
        <w:rPr>
          <w:rFonts w:cs="Calibri"/>
          <w:szCs w:val="21"/>
        </w:rPr>
        <w:t xml:space="preserve"> </w:t>
      </w:r>
      <w:r w:rsidRPr="00FA288E">
        <w:rPr>
          <w:rFonts w:cs="Calibri"/>
          <w:szCs w:val="21"/>
        </w:rPr>
        <w:t>processes that need to be</w:t>
      </w:r>
      <w:r w:rsidR="008E2685" w:rsidRPr="00FA288E">
        <w:rPr>
          <w:rFonts w:cs="Calibri"/>
          <w:szCs w:val="21"/>
        </w:rPr>
        <w:t xml:space="preserve"> in place to enable effective collaboration going forward.</w:t>
      </w:r>
    </w:p>
    <w:tbl>
      <w:tblPr>
        <w:tblStyle w:val="TableGrid"/>
        <w:tblW w:w="0" w:type="auto"/>
        <w:tblInd w:w="0" w:type="dxa"/>
        <w:shd w:val="clear" w:color="auto" w:fill="F2F2F2" w:themeFill="background1" w:themeFillShade="F2"/>
        <w:tblLook w:val="04A0" w:firstRow="1" w:lastRow="0" w:firstColumn="1" w:lastColumn="0" w:noHBand="0" w:noVBand="1"/>
        <w:tblCaption w:val="Recommendation 8"/>
        <w:tblDescription w:val="The Australian Government should continue support to improving the quality of basic education, specifically early grades literacy and numeracy, in PNG for the medium to long-term and communicate this intention to the GoPNG."/>
      </w:tblPr>
      <w:tblGrid>
        <w:gridCol w:w="1975"/>
        <w:gridCol w:w="7761"/>
      </w:tblGrid>
      <w:tr w:rsidR="00617DBB" w:rsidRPr="00FA288E" w14:paraId="2E101F05" w14:textId="77777777" w:rsidTr="00AE259C">
        <w:trPr>
          <w:tblHeader/>
        </w:trPr>
        <w:tc>
          <w:tcPr>
            <w:tcW w:w="1975" w:type="dxa"/>
            <w:shd w:val="clear" w:color="auto" w:fill="F2F2F2" w:themeFill="background1" w:themeFillShade="F2"/>
          </w:tcPr>
          <w:p w14:paraId="144F2327" w14:textId="77777777" w:rsidR="00617DBB" w:rsidRPr="00FA288E" w:rsidRDefault="00617DBB" w:rsidP="00CF1E27">
            <w:pPr>
              <w:tabs>
                <w:tab w:val="left" w:pos="1260"/>
              </w:tabs>
              <w:spacing w:after="80"/>
              <w:rPr>
                <w:rFonts w:cs="Calibri"/>
                <w:szCs w:val="21"/>
                <w:lang w:val="en-AU"/>
              </w:rPr>
            </w:pPr>
            <w:r w:rsidRPr="00FA288E">
              <w:rPr>
                <w:rFonts w:cs="Calibri"/>
                <w:szCs w:val="21"/>
                <w:lang w:val="en-AU"/>
              </w:rPr>
              <w:lastRenderedPageBreak/>
              <w:t>Recommendation 8:</w:t>
            </w:r>
          </w:p>
        </w:tc>
        <w:tc>
          <w:tcPr>
            <w:tcW w:w="7761" w:type="dxa"/>
            <w:shd w:val="clear" w:color="auto" w:fill="F2F2F2" w:themeFill="background1" w:themeFillShade="F2"/>
          </w:tcPr>
          <w:p w14:paraId="3B044677" w14:textId="77777777" w:rsidR="00617DBB" w:rsidRPr="00FA288E" w:rsidRDefault="00617DBB" w:rsidP="00CF1E27">
            <w:pPr>
              <w:tabs>
                <w:tab w:val="left" w:pos="1260"/>
              </w:tabs>
              <w:spacing w:after="80"/>
              <w:rPr>
                <w:rFonts w:cs="Calibri"/>
                <w:szCs w:val="21"/>
                <w:lang w:val="en-AU"/>
              </w:rPr>
            </w:pPr>
            <w:r w:rsidRPr="00FA288E">
              <w:rPr>
                <w:rFonts w:cs="Calibri"/>
                <w:szCs w:val="21"/>
                <w:lang w:val="en-AU"/>
              </w:rPr>
              <w:t xml:space="preserve">The Australian Government should </w:t>
            </w:r>
            <w:r w:rsidR="00023AE3" w:rsidRPr="00FA288E">
              <w:rPr>
                <w:rFonts w:cs="Calibri"/>
                <w:szCs w:val="21"/>
                <w:lang w:val="en-AU"/>
              </w:rPr>
              <w:t>continue support to improving the quality of basic education</w:t>
            </w:r>
            <w:r w:rsidR="007B60ED" w:rsidRPr="00FA288E">
              <w:rPr>
                <w:rFonts w:cs="Calibri"/>
                <w:szCs w:val="21"/>
                <w:lang w:val="en-AU"/>
              </w:rPr>
              <w:t>, specifically early grades literacy and numeracy,</w:t>
            </w:r>
            <w:r w:rsidR="00023AE3" w:rsidRPr="00FA288E">
              <w:rPr>
                <w:rFonts w:cs="Calibri"/>
                <w:szCs w:val="21"/>
                <w:lang w:val="en-AU"/>
              </w:rPr>
              <w:t xml:space="preserve"> in PNG for the medium to long-term and communicate this intention to the GoPNG.</w:t>
            </w:r>
          </w:p>
        </w:tc>
      </w:tr>
    </w:tbl>
    <w:p w14:paraId="3B82C9D9" w14:textId="77777777" w:rsidR="008E2685" w:rsidRPr="00FA288E" w:rsidRDefault="008E2685" w:rsidP="007B60ED">
      <w:pPr>
        <w:spacing w:after="80" w:line="240" w:lineRule="auto"/>
        <w:jc w:val="both"/>
        <w:rPr>
          <w:rFonts w:cs="Calibri"/>
          <w:szCs w:val="21"/>
        </w:rPr>
      </w:pPr>
      <w:r w:rsidRPr="00FA288E">
        <w:rPr>
          <w:rFonts w:cs="Calibri"/>
          <w:szCs w:val="21"/>
        </w:rPr>
        <w:t xml:space="preserve">The considerations that will need to be taken into account </w:t>
      </w:r>
      <w:r w:rsidR="007B60ED" w:rsidRPr="00FA288E">
        <w:rPr>
          <w:rFonts w:cs="Calibri"/>
          <w:szCs w:val="21"/>
        </w:rPr>
        <w:t xml:space="preserve">for planning </w:t>
      </w:r>
      <w:r w:rsidRPr="00FA288E">
        <w:rPr>
          <w:rFonts w:cs="Calibri"/>
          <w:szCs w:val="21"/>
        </w:rPr>
        <w:t xml:space="preserve">future </w:t>
      </w:r>
      <w:r w:rsidR="007B60ED" w:rsidRPr="00FA288E">
        <w:rPr>
          <w:rFonts w:cs="Calibri"/>
          <w:szCs w:val="21"/>
        </w:rPr>
        <w:t>investments in early grades education will include</w:t>
      </w:r>
      <w:r w:rsidRPr="00FA288E">
        <w:rPr>
          <w:rFonts w:cs="Calibri"/>
          <w:szCs w:val="21"/>
        </w:rPr>
        <w:t>:</w:t>
      </w:r>
    </w:p>
    <w:p w14:paraId="23866B2A" w14:textId="77777777" w:rsidR="008E2685" w:rsidRPr="00FA288E" w:rsidRDefault="008E2685" w:rsidP="005C700B">
      <w:pPr>
        <w:pStyle w:val="Bullets"/>
        <w:numPr>
          <w:ilvl w:val="0"/>
          <w:numId w:val="38"/>
        </w:numPr>
        <w:spacing w:after="0" w:line="240" w:lineRule="auto"/>
        <w:ind w:left="907"/>
        <w:jc w:val="both"/>
        <w:rPr>
          <w:rFonts w:ascii="Calibri" w:hAnsi="Calibri" w:cs="Calibri"/>
          <w:sz w:val="21"/>
          <w:szCs w:val="21"/>
        </w:rPr>
      </w:pPr>
      <w:r w:rsidRPr="00FA288E">
        <w:rPr>
          <w:rFonts w:ascii="Calibri" w:hAnsi="Calibri" w:cs="Calibri"/>
          <w:sz w:val="21"/>
          <w:szCs w:val="21"/>
        </w:rPr>
        <w:t xml:space="preserve">Alignment with </w:t>
      </w:r>
      <w:r w:rsidR="007B60ED" w:rsidRPr="00FA288E">
        <w:rPr>
          <w:rFonts w:ascii="Calibri" w:hAnsi="Calibri" w:cs="Calibri"/>
          <w:sz w:val="21"/>
          <w:szCs w:val="21"/>
        </w:rPr>
        <w:t xml:space="preserve">current and future </w:t>
      </w:r>
      <w:r w:rsidRPr="00FA288E">
        <w:rPr>
          <w:rFonts w:ascii="Calibri" w:hAnsi="Calibri" w:cs="Calibri"/>
          <w:sz w:val="21"/>
          <w:szCs w:val="21"/>
        </w:rPr>
        <w:t>GoPNG Medium-Term Development Plan – in particular balancing investments to ensure that those geographic areas identified by GoPNG as ‘hot spots’ and ‘under-performing’ are also served</w:t>
      </w:r>
      <w:r w:rsidRPr="00FA288E">
        <w:rPr>
          <w:rStyle w:val="FootnoteReference"/>
          <w:rFonts w:ascii="Calibri" w:hAnsi="Calibri" w:cs="Calibri"/>
          <w:sz w:val="21"/>
          <w:szCs w:val="21"/>
        </w:rPr>
        <w:footnoteReference w:id="82"/>
      </w:r>
    </w:p>
    <w:p w14:paraId="76CA0238" w14:textId="77777777" w:rsidR="008E2685" w:rsidRPr="00FA288E" w:rsidRDefault="008E2685" w:rsidP="005C700B">
      <w:pPr>
        <w:pStyle w:val="Bullets"/>
        <w:numPr>
          <w:ilvl w:val="0"/>
          <w:numId w:val="38"/>
        </w:numPr>
        <w:spacing w:after="0" w:line="240" w:lineRule="auto"/>
        <w:ind w:left="907"/>
        <w:jc w:val="both"/>
        <w:rPr>
          <w:rFonts w:ascii="Calibri" w:hAnsi="Calibri" w:cs="Calibri"/>
          <w:sz w:val="21"/>
          <w:szCs w:val="21"/>
        </w:rPr>
      </w:pPr>
      <w:r w:rsidRPr="00FA288E">
        <w:rPr>
          <w:rFonts w:ascii="Calibri" w:hAnsi="Calibri" w:cs="Calibri"/>
          <w:sz w:val="21"/>
          <w:szCs w:val="21"/>
        </w:rPr>
        <w:t>Alignment with the priorities in the new NEP</w:t>
      </w:r>
      <w:r w:rsidR="00F23E3A" w:rsidRPr="00FA288E">
        <w:rPr>
          <w:rFonts w:ascii="Calibri" w:hAnsi="Calibri" w:cs="Calibri"/>
          <w:sz w:val="21"/>
          <w:szCs w:val="21"/>
        </w:rPr>
        <w:t xml:space="preserve"> 2020-2029</w:t>
      </w:r>
      <w:r w:rsidRPr="00FA288E">
        <w:rPr>
          <w:rFonts w:ascii="Calibri" w:hAnsi="Calibri" w:cs="Calibri"/>
          <w:sz w:val="21"/>
          <w:szCs w:val="21"/>
        </w:rPr>
        <w:t xml:space="preserve">, including positioning support with the implementation of the 1-6-6 grade structure  </w:t>
      </w:r>
    </w:p>
    <w:p w14:paraId="3EC427FD" w14:textId="77777777" w:rsidR="008E2685" w:rsidRPr="00FA288E" w:rsidRDefault="008E2685" w:rsidP="005C700B">
      <w:pPr>
        <w:pStyle w:val="Bullets"/>
        <w:numPr>
          <w:ilvl w:val="0"/>
          <w:numId w:val="38"/>
        </w:numPr>
        <w:spacing w:after="0" w:line="240" w:lineRule="auto"/>
        <w:ind w:left="907"/>
        <w:jc w:val="both"/>
        <w:rPr>
          <w:rFonts w:ascii="Calibri" w:hAnsi="Calibri" w:cs="Calibri"/>
          <w:sz w:val="21"/>
          <w:szCs w:val="21"/>
        </w:rPr>
      </w:pPr>
      <w:r w:rsidRPr="00FA288E">
        <w:rPr>
          <w:rFonts w:ascii="Calibri" w:hAnsi="Calibri" w:cs="Calibri"/>
          <w:sz w:val="21"/>
          <w:szCs w:val="21"/>
        </w:rPr>
        <w:t>Coherence and alignment with the A</w:t>
      </w:r>
      <w:r w:rsidR="000F311A" w:rsidRPr="00FA288E">
        <w:rPr>
          <w:rFonts w:ascii="Calibri" w:hAnsi="Calibri" w:cs="Calibri"/>
          <w:sz w:val="21"/>
          <w:szCs w:val="21"/>
        </w:rPr>
        <w:t xml:space="preserve">ustralian </w:t>
      </w:r>
      <w:r w:rsidR="001444CE" w:rsidRPr="00FA288E">
        <w:rPr>
          <w:rFonts w:ascii="Calibri" w:hAnsi="Calibri" w:cs="Calibri"/>
          <w:sz w:val="21"/>
          <w:szCs w:val="21"/>
        </w:rPr>
        <w:t>G</w:t>
      </w:r>
      <w:r w:rsidR="000F311A" w:rsidRPr="00FA288E">
        <w:rPr>
          <w:rFonts w:ascii="Calibri" w:hAnsi="Calibri" w:cs="Calibri"/>
          <w:sz w:val="21"/>
          <w:szCs w:val="21"/>
        </w:rPr>
        <w:t>overnment</w:t>
      </w:r>
      <w:r w:rsidRPr="00FA288E">
        <w:rPr>
          <w:rFonts w:ascii="Calibri" w:hAnsi="Calibri" w:cs="Calibri"/>
          <w:sz w:val="21"/>
          <w:szCs w:val="21"/>
        </w:rPr>
        <w:t xml:space="preserve"> strategy related to sub-national support (under development).</w:t>
      </w:r>
    </w:p>
    <w:p w14:paraId="063EE251" w14:textId="77777777" w:rsidR="008E2685" w:rsidRPr="00FA288E" w:rsidRDefault="008E2685" w:rsidP="005C700B">
      <w:pPr>
        <w:pStyle w:val="Bullets"/>
        <w:numPr>
          <w:ilvl w:val="0"/>
          <w:numId w:val="38"/>
        </w:numPr>
        <w:spacing w:after="0" w:line="240" w:lineRule="auto"/>
        <w:ind w:left="907"/>
        <w:jc w:val="both"/>
        <w:rPr>
          <w:rFonts w:ascii="Calibri" w:hAnsi="Calibri" w:cs="Calibri"/>
          <w:sz w:val="21"/>
          <w:szCs w:val="21"/>
        </w:rPr>
      </w:pPr>
      <w:r w:rsidRPr="00FA288E">
        <w:rPr>
          <w:rFonts w:ascii="Calibri" w:hAnsi="Calibri" w:cs="Calibri"/>
          <w:sz w:val="21"/>
          <w:szCs w:val="21"/>
        </w:rPr>
        <w:t>Early establishment of governance and ‘ways of working’ arrangements between the A</w:t>
      </w:r>
      <w:r w:rsidR="000F311A" w:rsidRPr="00FA288E">
        <w:rPr>
          <w:rFonts w:ascii="Calibri" w:hAnsi="Calibri" w:cs="Calibri"/>
          <w:sz w:val="21"/>
          <w:szCs w:val="21"/>
        </w:rPr>
        <w:t xml:space="preserve">ustralian </w:t>
      </w:r>
      <w:r w:rsidR="001444CE" w:rsidRPr="00FA288E">
        <w:rPr>
          <w:rFonts w:ascii="Calibri" w:hAnsi="Calibri" w:cs="Calibri"/>
          <w:sz w:val="21"/>
          <w:szCs w:val="21"/>
        </w:rPr>
        <w:t>G</w:t>
      </w:r>
      <w:r w:rsidR="000F311A" w:rsidRPr="00FA288E">
        <w:rPr>
          <w:rFonts w:ascii="Calibri" w:hAnsi="Calibri" w:cs="Calibri"/>
          <w:sz w:val="21"/>
          <w:szCs w:val="21"/>
        </w:rPr>
        <w:t>overnment</w:t>
      </w:r>
      <w:r w:rsidRPr="00FA288E">
        <w:rPr>
          <w:rFonts w:ascii="Calibri" w:hAnsi="Calibri" w:cs="Calibri"/>
          <w:sz w:val="21"/>
          <w:szCs w:val="21"/>
        </w:rPr>
        <w:t xml:space="preserve"> and GoPNG to guide the design, implementation and oversight of the </w:t>
      </w:r>
      <w:r w:rsidR="007B60ED" w:rsidRPr="00FA288E">
        <w:rPr>
          <w:rFonts w:ascii="Calibri" w:hAnsi="Calibri" w:cs="Calibri"/>
          <w:sz w:val="21"/>
          <w:szCs w:val="21"/>
        </w:rPr>
        <w:t>investments</w:t>
      </w:r>
    </w:p>
    <w:p w14:paraId="357CE2E4" w14:textId="77777777" w:rsidR="008E2685" w:rsidRPr="00FA288E" w:rsidRDefault="009C5E16" w:rsidP="005C700B">
      <w:pPr>
        <w:pStyle w:val="Bullets"/>
        <w:numPr>
          <w:ilvl w:val="0"/>
          <w:numId w:val="38"/>
        </w:numPr>
        <w:spacing w:after="80" w:line="240" w:lineRule="auto"/>
        <w:ind w:left="900"/>
        <w:jc w:val="both"/>
        <w:rPr>
          <w:rFonts w:ascii="Calibri" w:hAnsi="Calibri" w:cs="Calibri"/>
          <w:sz w:val="21"/>
          <w:szCs w:val="21"/>
        </w:rPr>
      </w:pPr>
      <w:r w:rsidRPr="00FA288E">
        <w:rPr>
          <w:rFonts w:ascii="Calibri" w:hAnsi="Calibri" w:cs="Calibri"/>
          <w:sz w:val="21"/>
          <w:szCs w:val="21"/>
        </w:rPr>
        <w:t>As</w:t>
      </w:r>
      <w:r w:rsidR="008E2685" w:rsidRPr="00FA288E">
        <w:rPr>
          <w:rFonts w:ascii="Calibri" w:hAnsi="Calibri" w:cs="Calibri"/>
          <w:sz w:val="21"/>
          <w:szCs w:val="21"/>
        </w:rPr>
        <w:t xml:space="preserve"> part of the design process, conduct and apply the findings of targeted political economy analysis in areas proposed for support</w:t>
      </w:r>
      <w:r w:rsidRPr="00FA288E">
        <w:rPr>
          <w:rFonts w:ascii="Calibri" w:hAnsi="Calibri" w:cs="Calibri"/>
          <w:sz w:val="21"/>
          <w:szCs w:val="21"/>
        </w:rPr>
        <w:t xml:space="preserve"> to determine contributors and barriers for success</w:t>
      </w:r>
    </w:p>
    <w:tbl>
      <w:tblPr>
        <w:tblStyle w:val="TableGrid"/>
        <w:tblW w:w="0" w:type="auto"/>
        <w:tblInd w:w="0" w:type="dxa"/>
        <w:shd w:val="clear" w:color="auto" w:fill="F2F2F2" w:themeFill="background1" w:themeFillShade="F2"/>
        <w:tblLook w:val="04A0" w:firstRow="1" w:lastRow="0" w:firstColumn="1" w:lastColumn="0" w:noHBand="0" w:noVBand="1"/>
        <w:tblCaption w:val="Recommendation 9"/>
        <w:tblDescription w:val="The Australian Government should require the design of future investments in education to deliver technical assistance and delivery support through government institutions, which could be facilitated through a managing contractor."/>
      </w:tblPr>
      <w:tblGrid>
        <w:gridCol w:w="1975"/>
        <w:gridCol w:w="7761"/>
      </w:tblGrid>
      <w:tr w:rsidR="00077231" w:rsidRPr="00FA288E" w14:paraId="7778D231" w14:textId="77777777" w:rsidTr="00AE259C">
        <w:trPr>
          <w:tblHeader/>
        </w:trPr>
        <w:tc>
          <w:tcPr>
            <w:tcW w:w="1975" w:type="dxa"/>
            <w:shd w:val="clear" w:color="auto" w:fill="F2F2F2" w:themeFill="background1" w:themeFillShade="F2"/>
          </w:tcPr>
          <w:p w14:paraId="131917C7" w14:textId="77777777" w:rsidR="00077231" w:rsidRPr="00FA288E" w:rsidRDefault="00077231" w:rsidP="00077231">
            <w:pPr>
              <w:tabs>
                <w:tab w:val="left" w:pos="1260"/>
              </w:tabs>
              <w:spacing w:after="80"/>
              <w:rPr>
                <w:rFonts w:cs="Calibri"/>
                <w:szCs w:val="21"/>
                <w:lang w:val="en-AU"/>
              </w:rPr>
            </w:pPr>
            <w:r w:rsidRPr="00FA288E">
              <w:rPr>
                <w:rFonts w:cs="Calibri"/>
                <w:szCs w:val="21"/>
                <w:lang w:val="en-AU"/>
              </w:rPr>
              <w:t>Recommendation 9:</w:t>
            </w:r>
          </w:p>
        </w:tc>
        <w:tc>
          <w:tcPr>
            <w:tcW w:w="7761" w:type="dxa"/>
            <w:shd w:val="clear" w:color="auto" w:fill="F2F2F2" w:themeFill="background1" w:themeFillShade="F2"/>
          </w:tcPr>
          <w:p w14:paraId="44B1E3B1" w14:textId="6C86569F" w:rsidR="00077231" w:rsidRPr="00FA288E" w:rsidRDefault="00077231" w:rsidP="00077231">
            <w:pPr>
              <w:tabs>
                <w:tab w:val="left" w:pos="1260"/>
              </w:tabs>
              <w:spacing w:after="80"/>
              <w:rPr>
                <w:rFonts w:cs="Calibri"/>
                <w:szCs w:val="21"/>
                <w:lang w:val="en-AU"/>
              </w:rPr>
            </w:pPr>
            <w:r w:rsidRPr="00FA288E">
              <w:rPr>
                <w:rFonts w:cs="Calibri"/>
                <w:sz w:val="20"/>
                <w:szCs w:val="20"/>
                <w:lang w:val="en-AU"/>
              </w:rPr>
              <w:t xml:space="preserve">The Australian Government should require the design of future investments in education to deliver technical assistance and delivery support through government institutions, which </w:t>
            </w:r>
            <w:r w:rsidR="00CB58F5" w:rsidRPr="00FA288E">
              <w:rPr>
                <w:rFonts w:cs="Calibri"/>
                <w:sz w:val="20"/>
                <w:szCs w:val="20"/>
                <w:lang w:val="en-AU"/>
              </w:rPr>
              <w:t>could</w:t>
            </w:r>
            <w:r w:rsidRPr="00FA288E">
              <w:rPr>
                <w:rFonts w:cs="Calibri"/>
                <w:sz w:val="20"/>
                <w:szCs w:val="20"/>
                <w:lang w:val="en-AU"/>
              </w:rPr>
              <w:t xml:space="preserve"> be facilitated through a managing contractor.</w:t>
            </w:r>
          </w:p>
        </w:tc>
      </w:tr>
    </w:tbl>
    <w:p w14:paraId="71249A48" w14:textId="77777777" w:rsidR="008E2685" w:rsidRPr="00FA288E" w:rsidRDefault="00FB24F0" w:rsidP="00343EDB">
      <w:pPr>
        <w:spacing w:before="80" w:after="80"/>
        <w:rPr>
          <w:rFonts w:cs="Calibri"/>
          <w:szCs w:val="21"/>
        </w:rPr>
      </w:pPr>
      <w:r w:rsidRPr="00FA288E">
        <w:rPr>
          <w:rFonts w:cs="Calibri"/>
          <w:szCs w:val="21"/>
        </w:rPr>
        <w:t>G</w:t>
      </w:r>
      <w:r w:rsidR="008E2685" w:rsidRPr="00FA288E">
        <w:rPr>
          <w:rFonts w:cs="Calibri"/>
          <w:szCs w:val="21"/>
        </w:rPr>
        <w:t>overnment institutions</w:t>
      </w:r>
      <w:r w:rsidR="00617CAE" w:rsidRPr="00FA288E">
        <w:rPr>
          <w:rFonts w:cs="Calibri"/>
          <w:szCs w:val="21"/>
        </w:rPr>
        <w:t xml:space="preserve">, specifically the NDOE and provincial and district education offices </w:t>
      </w:r>
      <w:r w:rsidR="008E2685" w:rsidRPr="00FA288E">
        <w:rPr>
          <w:rFonts w:cs="Calibri"/>
          <w:szCs w:val="21"/>
        </w:rPr>
        <w:t xml:space="preserve">have the responsibility and accountability for supporting the delivery of </w:t>
      </w:r>
      <w:r w:rsidR="00617CAE" w:rsidRPr="00FA288E">
        <w:rPr>
          <w:rFonts w:cs="Calibri"/>
          <w:szCs w:val="21"/>
        </w:rPr>
        <w:t xml:space="preserve">quality </w:t>
      </w:r>
      <w:r w:rsidR="008E2685" w:rsidRPr="00FA288E">
        <w:rPr>
          <w:rFonts w:cs="Calibri"/>
          <w:szCs w:val="21"/>
        </w:rPr>
        <w:t>basic education</w:t>
      </w:r>
      <w:r w:rsidR="00617CAE" w:rsidRPr="00FA288E">
        <w:rPr>
          <w:rFonts w:cs="Calibri"/>
          <w:szCs w:val="21"/>
        </w:rPr>
        <w:t xml:space="preserve">. Rather than invest in and operate parallel implementation mechanisms, efforts need to be made to strengthen the abilities of officials and the capacity of the government offices to perform their functions.  </w:t>
      </w:r>
      <w:r w:rsidR="00CB58F5" w:rsidRPr="00FA288E">
        <w:rPr>
          <w:rFonts w:cs="Calibri"/>
          <w:szCs w:val="21"/>
        </w:rPr>
        <w:t>A</w:t>
      </w:r>
      <w:r w:rsidR="00077231" w:rsidRPr="00FA288E">
        <w:rPr>
          <w:rFonts w:cs="Calibri"/>
          <w:szCs w:val="21"/>
        </w:rPr>
        <w:t xml:space="preserve"> single managing contractor (see Recommendation 11 below) </w:t>
      </w:r>
      <w:r w:rsidR="00CB58F5" w:rsidRPr="00FA288E">
        <w:rPr>
          <w:rFonts w:cs="Calibri"/>
          <w:szCs w:val="21"/>
        </w:rPr>
        <w:t>could</w:t>
      </w:r>
      <w:r w:rsidR="00077231" w:rsidRPr="00FA288E">
        <w:rPr>
          <w:rFonts w:cs="Calibri"/>
          <w:szCs w:val="21"/>
        </w:rPr>
        <w:t xml:space="preserve"> be tasked with facilitating and ensuring that technical assistance and delivery support are provided through government institutions. </w:t>
      </w:r>
      <w:r w:rsidR="009A52E5" w:rsidRPr="00FA288E">
        <w:rPr>
          <w:rFonts w:cs="Calibri"/>
          <w:szCs w:val="21"/>
        </w:rPr>
        <w:t>Two examples are provided below:</w:t>
      </w:r>
    </w:p>
    <w:p w14:paraId="243FBF5C" w14:textId="77777777" w:rsidR="008E2685" w:rsidRPr="00FA288E" w:rsidRDefault="00617CAE" w:rsidP="005C700B">
      <w:pPr>
        <w:pStyle w:val="Bullets"/>
        <w:numPr>
          <w:ilvl w:val="0"/>
          <w:numId w:val="39"/>
        </w:numPr>
        <w:spacing w:after="0" w:line="240" w:lineRule="auto"/>
        <w:ind w:left="907"/>
        <w:jc w:val="both"/>
        <w:rPr>
          <w:rFonts w:ascii="Calibri" w:hAnsi="Calibri" w:cs="Calibri"/>
          <w:sz w:val="21"/>
          <w:szCs w:val="21"/>
        </w:rPr>
      </w:pPr>
      <w:r w:rsidRPr="00FA288E">
        <w:rPr>
          <w:rFonts w:ascii="Calibri" w:hAnsi="Calibri" w:cs="Calibri"/>
          <w:sz w:val="21"/>
          <w:szCs w:val="21"/>
        </w:rPr>
        <w:t>The ‘cluster’ concept is already being used by some districts to deliver in-service training and coaching.</w:t>
      </w:r>
      <w:r w:rsidR="00077231" w:rsidRPr="00FA288E">
        <w:rPr>
          <w:rStyle w:val="FootnoteReference"/>
          <w:rFonts w:ascii="Calibri" w:hAnsi="Calibri" w:cs="Calibri"/>
          <w:sz w:val="21"/>
          <w:szCs w:val="21"/>
        </w:rPr>
        <w:footnoteReference w:id="83"/>
      </w:r>
      <w:r w:rsidRPr="00FA288E">
        <w:rPr>
          <w:rFonts w:ascii="Calibri" w:hAnsi="Calibri" w:cs="Calibri"/>
          <w:sz w:val="21"/>
          <w:szCs w:val="21"/>
        </w:rPr>
        <w:t xml:space="preserve"> Additional s</w:t>
      </w:r>
      <w:r w:rsidR="008E2685" w:rsidRPr="00FA288E">
        <w:rPr>
          <w:rFonts w:ascii="Calibri" w:hAnsi="Calibri" w:cs="Calibri"/>
          <w:sz w:val="21"/>
          <w:szCs w:val="21"/>
        </w:rPr>
        <w:t xml:space="preserve">upport </w:t>
      </w:r>
      <w:r w:rsidRPr="00FA288E">
        <w:rPr>
          <w:rFonts w:ascii="Calibri" w:hAnsi="Calibri" w:cs="Calibri"/>
          <w:sz w:val="21"/>
          <w:szCs w:val="21"/>
        </w:rPr>
        <w:t>could be provided to improve the</w:t>
      </w:r>
      <w:r w:rsidR="008E2685" w:rsidRPr="00FA288E">
        <w:rPr>
          <w:rFonts w:ascii="Calibri" w:hAnsi="Calibri" w:cs="Calibri"/>
          <w:sz w:val="21"/>
          <w:szCs w:val="21"/>
        </w:rPr>
        <w:t xml:space="preserve"> application of the ‘cluster’ concept as a low-cost mechanism to support improved teaching practice. Modifying and strengthening the Resource Teacher concept</w:t>
      </w:r>
      <w:r w:rsidRPr="00FA288E">
        <w:rPr>
          <w:rFonts w:ascii="Calibri" w:hAnsi="Calibri" w:cs="Calibri"/>
          <w:sz w:val="21"/>
          <w:szCs w:val="21"/>
        </w:rPr>
        <w:t xml:space="preserve"> and</w:t>
      </w:r>
      <w:r w:rsidR="008E2685" w:rsidRPr="00FA288E">
        <w:rPr>
          <w:rFonts w:ascii="Calibri" w:hAnsi="Calibri" w:cs="Calibri"/>
          <w:sz w:val="21"/>
          <w:szCs w:val="21"/>
        </w:rPr>
        <w:t xml:space="preserve"> linking these teachers to support a cluster-based </w:t>
      </w:r>
      <w:r w:rsidRPr="00FA288E">
        <w:rPr>
          <w:rFonts w:ascii="Calibri" w:hAnsi="Calibri" w:cs="Calibri"/>
          <w:sz w:val="21"/>
          <w:szCs w:val="21"/>
        </w:rPr>
        <w:t xml:space="preserve">approach (perhaps through </w:t>
      </w:r>
      <w:r w:rsidR="008E2685" w:rsidRPr="00FA288E">
        <w:rPr>
          <w:rFonts w:ascii="Calibri" w:hAnsi="Calibri" w:cs="Calibri"/>
          <w:sz w:val="21"/>
          <w:szCs w:val="21"/>
        </w:rPr>
        <w:t>Peer Learning Circle</w:t>
      </w:r>
      <w:r w:rsidRPr="00FA288E">
        <w:rPr>
          <w:rFonts w:ascii="Calibri" w:hAnsi="Calibri" w:cs="Calibri"/>
          <w:sz w:val="21"/>
          <w:szCs w:val="21"/>
        </w:rPr>
        <w:t>s)</w:t>
      </w:r>
      <w:r w:rsidR="008E2685" w:rsidRPr="00FA288E">
        <w:rPr>
          <w:rFonts w:ascii="Calibri" w:hAnsi="Calibri" w:cs="Calibri"/>
          <w:sz w:val="21"/>
          <w:szCs w:val="21"/>
        </w:rPr>
        <w:t xml:space="preserve"> </w:t>
      </w:r>
      <w:r w:rsidR="00F17270" w:rsidRPr="00FA288E">
        <w:rPr>
          <w:rFonts w:ascii="Calibri" w:hAnsi="Calibri" w:cs="Calibri"/>
          <w:sz w:val="21"/>
          <w:szCs w:val="21"/>
        </w:rPr>
        <w:t>could be a useful</w:t>
      </w:r>
      <w:r w:rsidR="008E2685" w:rsidRPr="00FA288E">
        <w:rPr>
          <w:rFonts w:ascii="Calibri" w:hAnsi="Calibri" w:cs="Calibri"/>
          <w:sz w:val="21"/>
          <w:szCs w:val="21"/>
        </w:rPr>
        <w:t xml:space="preserve"> strategy to </w:t>
      </w:r>
      <w:r w:rsidR="00F17270" w:rsidRPr="00FA288E">
        <w:rPr>
          <w:rFonts w:ascii="Calibri" w:hAnsi="Calibri" w:cs="Calibri"/>
          <w:sz w:val="21"/>
          <w:szCs w:val="21"/>
        </w:rPr>
        <w:t xml:space="preserve">support the government to </w:t>
      </w:r>
      <w:r w:rsidR="008E2685" w:rsidRPr="00FA288E">
        <w:rPr>
          <w:rFonts w:ascii="Calibri" w:hAnsi="Calibri" w:cs="Calibri"/>
          <w:sz w:val="21"/>
          <w:szCs w:val="21"/>
        </w:rPr>
        <w:t>deliver training programs and provide</w:t>
      </w:r>
      <w:r w:rsidR="00F17270" w:rsidRPr="00FA288E">
        <w:rPr>
          <w:rFonts w:ascii="Calibri" w:hAnsi="Calibri" w:cs="Calibri"/>
          <w:sz w:val="21"/>
          <w:szCs w:val="21"/>
        </w:rPr>
        <w:t xml:space="preserve"> </w:t>
      </w:r>
      <w:r w:rsidR="008E2685" w:rsidRPr="00FA288E">
        <w:rPr>
          <w:rFonts w:ascii="Calibri" w:hAnsi="Calibri" w:cs="Calibri"/>
          <w:sz w:val="21"/>
          <w:szCs w:val="21"/>
        </w:rPr>
        <w:t>peer supervision and support</w:t>
      </w:r>
    </w:p>
    <w:p w14:paraId="3C9CE1FF" w14:textId="77777777" w:rsidR="008E2685" w:rsidRPr="00FA288E" w:rsidRDefault="008E2685" w:rsidP="005C700B">
      <w:pPr>
        <w:pStyle w:val="Bullets"/>
        <w:numPr>
          <w:ilvl w:val="0"/>
          <w:numId w:val="39"/>
        </w:numPr>
        <w:spacing w:after="80" w:line="240" w:lineRule="auto"/>
        <w:ind w:left="900"/>
        <w:jc w:val="both"/>
        <w:rPr>
          <w:rFonts w:ascii="Calibri" w:hAnsi="Calibri" w:cs="Calibri"/>
          <w:sz w:val="21"/>
          <w:szCs w:val="21"/>
        </w:rPr>
      </w:pPr>
      <w:r w:rsidRPr="00FA288E">
        <w:rPr>
          <w:rFonts w:ascii="Calibri" w:hAnsi="Calibri" w:cs="Calibri"/>
          <w:sz w:val="21"/>
          <w:szCs w:val="21"/>
        </w:rPr>
        <w:t xml:space="preserve">‘In-line’ funding of technical positions to </w:t>
      </w:r>
      <w:r w:rsidR="003349F6" w:rsidRPr="00FA288E">
        <w:rPr>
          <w:rFonts w:ascii="Calibri" w:hAnsi="Calibri" w:cs="Calibri"/>
          <w:sz w:val="21"/>
          <w:szCs w:val="21"/>
        </w:rPr>
        <w:t xml:space="preserve">strengthen </w:t>
      </w:r>
      <w:r w:rsidR="003B7F77" w:rsidRPr="00FA288E">
        <w:rPr>
          <w:rFonts w:ascii="Calibri" w:hAnsi="Calibri" w:cs="Calibri"/>
          <w:sz w:val="21"/>
          <w:szCs w:val="21"/>
        </w:rPr>
        <w:t xml:space="preserve">the </w:t>
      </w:r>
      <w:r w:rsidR="003349F6" w:rsidRPr="00FA288E">
        <w:rPr>
          <w:rFonts w:ascii="Calibri" w:hAnsi="Calibri" w:cs="Calibri"/>
          <w:sz w:val="21"/>
          <w:szCs w:val="21"/>
        </w:rPr>
        <w:t xml:space="preserve">abilities </w:t>
      </w:r>
      <w:r w:rsidR="003B7F77" w:rsidRPr="00FA288E">
        <w:rPr>
          <w:rFonts w:ascii="Calibri" w:hAnsi="Calibri" w:cs="Calibri"/>
          <w:sz w:val="21"/>
          <w:szCs w:val="21"/>
        </w:rPr>
        <w:t xml:space="preserve">of provincial and district officials </w:t>
      </w:r>
      <w:r w:rsidR="003349F6" w:rsidRPr="00FA288E">
        <w:rPr>
          <w:rFonts w:ascii="Calibri" w:hAnsi="Calibri" w:cs="Calibri"/>
          <w:sz w:val="21"/>
          <w:szCs w:val="21"/>
        </w:rPr>
        <w:t>and</w:t>
      </w:r>
      <w:r w:rsidRPr="00FA288E">
        <w:rPr>
          <w:rFonts w:ascii="Calibri" w:hAnsi="Calibri" w:cs="Calibri"/>
          <w:sz w:val="21"/>
          <w:szCs w:val="21"/>
        </w:rPr>
        <w:t xml:space="preserve"> facilitate</w:t>
      </w:r>
      <w:r w:rsidR="009A52E5" w:rsidRPr="00FA288E">
        <w:rPr>
          <w:rFonts w:ascii="Calibri" w:hAnsi="Calibri" w:cs="Calibri"/>
          <w:sz w:val="21"/>
          <w:szCs w:val="21"/>
        </w:rPr>
        <w:t xml:space="preserve"> capacity</w:t>
      </w:r>
      <w:r w:rsidRPr="00FA288E">
        <w:rPr>
          <w:rFonts w:ascii="Calibri" w:hAnsi="Calibri" w:cs="Calibri"/>
          <w:sz w:val="21"/>
          <w:szCs w:val="21"/>
        </w:rPr>
        <w:t xml:space="preserve"> change </w:t>
      </w:r>
      <w:r w:rsidR="003349F6" w:rsidRPr="00FA288E">
        <w:rPr>
          <w:rFonts w:ascii="Calibri" w:hAnsi="Calibri" w:cs="Calibri"/>
          <w:sz w:val="21"/>
          <w:szCs w:val="21"/>
        </w:rPr>
        <w:t>within</w:t>
      </w:r>
      <w:r w:rsidRPr="00FA288E">
        <w:rPr>
          <w:rFonts w:ascii="Calibri" w:hAnsi="Calibri" w:cs="Calibri"/>
          <w:sz w:val="21"/>
          <w:szCs w:val="21"/>
        </w:rPr>
        <w:t xml:space="preserve"> PDOE and District Education Office</w:t>
      </w:r>
      <w:r w:rsidR="003349F6" w:rsidRPr="00FA288E">
        <w:rPr>
          <w:rFonts w:ascii="Calibri" w:hAnsi="Calibri" w:cs="Calibri"/>
          <w:sz w:val="21"/>
          <w:szCs w:val="21"/>
        </w:rPr>
        <w:t>s</w:t>
      </w:r>
      <w:r w:rsidRPr="00FA288E">
        <w:rPr>
          <w:rFonts w:ascii="Calibri" w:hAnsi="Calibri" w:cs="Calibri"/>
          <w:sz w:val="21"/>
          <w:szCs w:val="21"/>
        </w:rPr>
        <w:t xml:space="preserve">. </w:t>
      </w:r>
      <w:r w:rsidR="009A52E5" w:rsidRPr="00FA288E">
        <w:rPr>
          <w:rFonts w:ascii="Calibri" w:hAnsi="Calibri" w:cs="Calibri"/>
          <w:sz w:val="21"/>
          <w:szCs w:val="21"/>
        </w:rPr>
        <w:t xml:space="preserve">This could include </w:t>
      </w:r>
      <w:r w:rsidRPr="00FA288E">
        <w:rPr>
          <w:rFonts w:ascii="Calibri" w:hAnsi="Calibri" w:cs="Calibri"/>
          <w:sz w:val="21"/>
          <w:szCs w:val="21"/>
        </w:rPr>
        <w:t xml:space="preserve">support for strategic planning and management </w:t>
      </w:r>
      <w:r w:rsidR="009A52E5" w:rsidRPr="00FA288E">
        <w:rPr>
          <w:rFonts w:ascii="Calibri" w:hAnsi="Calibri" w:cs="Calibri"/>
          <w:sz w:val="21"/>
          <w:szCs w:val="21"/>
        </w:rPr>
        <w:t xml:space="preserve">at the district and provincial levels </w:t>
      </w:r>
      <w:r w:rsidRPr="00FA288E">
        <w:rPr>
          <w:rFonts w:ascii="Calibri" w:hAnsi="Calibri" w:cs="Calibri"/>
          <w:sz w:val="21"/>
          <w:szCs w:val="21"/>
        </w:rPr>
        <w:t xml:space="preserve">to facilitate the equitable distribution of limited resources. At the national level, </w:t>
      </w:r>
      <w:r w:rsidR="009A52E5" w:rsidRPr="00FA288E">
        <w:rPr>
          <w:rFonts w:ascii="Calibri" w:hAnsi="Calibri" w:cs="Calibri"/>
          <w:sz w:val="21"/>
          <w:szCs w:val="21"/>
        </w:rPr>
        <w:t xml:space="preserve">an ‘in-line’ technical position (or positions) could help </w:t>
      </w:r>
      <w:r w:rsidRPr="00FA288E">
        <w:rPr>
          <w:rFonts w:ascii="Calibri" w:hAnsi="Calibri" w:cs="Calibri"/>
          <w:sz w:val="21"/>
          <w:szCs w:val="21"/>
        </w:rPr>
        <w:t xml:space="preserve">ensure </w:t>
      </w:r>
      <w:r w:rsidR="009A52E5" w:rsidRPr="00FA288E">
        <w:rPr>
          <w:rFonts w:ascii="Calibri" w:hAnsi="Calibri" w:cs="Calibri"/>
          <w:sz w:val="21"/>
          <w:szCs w:val="21"/>
        </w:rPr>
        <w:t xml:space="preserve">the ongoing </w:t>
      </w:r>
      <w:r w:rsidRPr="00FA288E">
        <w:rPr>
          <w:rFonts w:ascii="Calibri" w:hAnsi="Calibri" w:cs="Calibri"/>
          <w:sz w:val="21"/>
          <w:szCs w:val="21"/>
        </w:rPr>
        <w:t xml:space="preserve">engagement of senior </w:t>
      </w:r>
      <w:r w:rsidR="009A52E5" w:rsidRPr="00FA288E">
        <w:rPr>
          <w:rFonts w:ascii="Calibri" w:hAnsi="Calibri" w:cs="Calibri"/>
          <w:sz w:val="21"/>
          <w:szCs w:val="21"/>
        </w:rPr>
        <w:t xml:space="preserve">and mid-level </w:t>
      </w:r>
      <w:r w:rsidRPr="00FA288E">
        <w:rPr>
          <w:rFonts w:ascii="Calibri" w:hAnsi="Calibri" w:cs="Calibri"/>
          <w:sz w:val="21"/>
          <w:szCs w:val="21"/>
        </w:rPr>
        <w:t>government officials</w:t>
      </w:r>
      <w:r w:rsidR="009A52E5" w:rsidRPr="00FA288E">
        <w:rPr>
          <w:rFonts w:ascii="Calibri" w:hAnsi="Calibri" w:cs="Calibri"/>
          <w:sz w:val="21"/>
          <w:szCs w:val="21"/>
        </w:rPr>
        <w:t>. One possibility that might be explored is the co-location of the PPF Secretariat education adviser in NDOE.</w:t>
      </w:r>
    </w:p>
    <w:tbl>
      <w:tblPr>
        <w:tblStyle w:val="TableGrid"/>
        <w:tblW w:w="0" w:type="auto"/>
        <w:tblInd w:w="0" w:type="dxa"/>
        <w:shd w:val="clear" w:color="auto" w:fill="F2F2F2" w:themeFill="background1" w:themeFillShade="F2"/>
        <w:tblLook w:val="04A0" w:firstRow="1" w:lastRow="0" w:firstColumn="1" w:lastColumn="0" w:noHBand="0" w:noVBand="1"/>
        <w:tblCaption w:val="Recommendation 10"/>
        <w:tblDescription w:val="The Australian Government should conduct a ‘value-for-money’ assessment of project interventions and use this information to inform future investments in early grades literacy and numeracy focus in four areas: i) teacher development; ii) teacher supervision, coaching and support; iii) development/provision of low-cost quality supplementary learning resources; and, iv) whole school development."/>
      </w:tblPr>
      <w:tblGrid>
        <w:gridCol w:w="2065"/>
        <w:gridCol w:w="7671"/>
      </w:tblGrid>
      <w:tr w:rsidR="00617DBB" w:rsidRPr="00FA288E" w14:paraId="431410C5" w14:textId="77777777" w:rsidTr="00AE259C">
        <w:trPr>
          <w:tblHeader/>
        </w:trPr>
        <w:tc>
          <w:tcPr>
            <w:tcW w:w="2065" w:type="dxa"/>
            <w:shd w:val="clear" w:color="auto" w:fill="F2F2F2" w:themeFill="background1" w:themeFillShade="F2"/>
          </w:tcPr>
          <w:p w14:paraId="6996C89A" w14:textId="77777777" w:rsidR="00617DBB" w:rsidRPr="00FA288E" w:rsidRDefault="00617DBB" w:rsidP="00617DBB">
            <w:pPr>
              <w:tabs>
                <w:tab w:val="left" w:pos="1260"/>
              </w:tabs>
              <w:spacing w:after="80"/>
              <w:rPr>
                <w:rFonts w:cs="Calibri"/>
                <w:szCs w:val="21"/>
                <w:lang w:val="en-AU"/>
              </w:rPr>
            </w:pPr>
            <w:r w:rsidRPr="00FA288E">
              <w:rPr>
                <w:rFonts w:cs="Calibri"/>
                <w:szCs w:val="21"/>
                <w:lang w:val="en-AU"/>
              </w:rPr>
              <w:t>Recommendation 10:</w:t>
            </w:r>
          </w:p>
        </w:tc>
        <w:tc>
          <w:tcPr>
            <w:tcW w:w="7671" w:type="dxa"/>
            <w:shd w:val="clear" w:color="auto" w:fill="F2F2F2" w:themeFill="background1" w:themeFillShade="F2"/>
          </w:tcPr>
          <w:p w14:paraId="589ABB66" w14:textId="77777777" w:rsidR="00617DBB" w:rsidRPr="00FA288E" w:rsidRDefault="00617DBB" w:rsidP="00CF1E27">
            <w:pPr>
              <w:tabs>
                <w:tab w:val="left" w:pos="1260"/>
              </w:tabs>
              <w:spacing w:after="80"/>
              <w:rPr>
                <w:rFonts w:cs="Calibri"/>
                <w:szCs w:val="21"/>
                <w:lang w:val="en-AU"/>
              </w:rPr>
            </w:pPr>
            <w:r w:rsidRPr="00FA288E">
              <w:rPr>
                <w:rFonts w:cs="Calibri"/>
                <w:szCs w:val="21"/>
                <w:lang w:val="en-AU"/>
              </w:rPr>
              <w:t xml:space="preserve">The Australian Government should </w:t>
            </w:r>
            <w:r w:rsidR="001A2602" w:rsidRPr="00FA288E">
              <w:rPr>
                <w:rFonts w:cs="Calibri"/>
                <w:szCs w:val="21"/>
                <w:lang w:val="en-AU"/>
              </w:rPr>
              <w:t>conduct a ‘value-for-money’ assessment of project interventions and use this information to inform</w:t>
            </w:r>
            <w:r w:rsidR="009A52E5" w:rsidRPr="00FA288E">
              <w:rPr>
                <w:rFonts w:cs="Calibri"/>
                <w:szCs w:val="21"/>
                <w:lang w:val="en-AU"/>
              </w:rPr>
              <w:t xml:space="preserve"> future investments in early grades literacy and numeracy focus </w:t>
            </w:r>
            <w:r w:rsidR="001A2602" w:rsidRPr="00FA288E">
              <w:rPr>
                <w:rFonts w:cs="Calibri"/>
                <w:szCs w:val="21"/>
                <w:lang w:val="en-AU"/>
              </w:rPr>
              <w:t>in</w:t>
            </w:r>
            <w:r w:rsidR="009A52E5" w:rsidRPr="00FA288E">
              <w:rPr>
                <w:rFonts w:cs="Calibri"/>
                <w:szCs w:val="21"/>
                <w:lang w:val="en-AU"/>
              </w:rPr>
              <w:t xml:space="preserve"> four areas: </w:t>
            </w:r>
            <w:proofErr w:type="spellStart"/>
            <w:r w:rsidR="009A52E5" w:rsidRPr="00FA288E">
              <w:rPr>
                <w:rFonts w:cs="Calibri"/>
                <w:szCs w:val="21"/>
                <w:lang w:val="en-AU"/>
              </w:rPr>
              <w:t>i</w:t>
            </w:r>
            <w:proofErr w:type="spellEnd"/>
            <w:r w:rsidR="009A52E5" w:rsidRPr="00FA288E">
              <w:rPr>
                <w:rFonts w:cs="Calibri"/>
                <w:szCs w:val="21"/>
                <w:lang w:val="en-AU"/>
              </w:rPr>
              <w:t>) teacher development; ii) teacher supervision, coaching and support; iii) development/provision of low-cost quality supplementary learning resources; and, iv) whole school development.</w:t>
            </w:r>
          </w:p>
        </w:tc>
      </w:tr>
    </w:tbl>
    <w:p w14:paraId="73D431CD" w14:textId="77777777" w:rsidR="008E2685" w:rsidRPr="00FA288E" w:rsidRDefault="001A2602" w:rsidP="009A52E5">
      <w:pPr>
        <w:spacing w:before="80" w:after="80" w:line="240" w:lineRule="auto"/>
        <w:rPr>
          <w:rFonts w:cs="Calibri"/>
          <w:szCs w:val="21"/>
        </w:rPr>
      </w:pPr>
      <w:r w:rsidRPr="00FA288E">
        <w:rPr>
          <w:rFonts w:cs="Calibri"/>
          <w:szCs w:val="21"/>
        </w:rPr>
        <w:lastRenderedPageBreak/>
        <w:t xml:space="preserve">As suggested in sub-section 3.4 in relation to assessing the cost-efficiency of various interventions, </w:t>
      </w:r>
      <w:r w:rsidR="008E2685" w:rsidRPr="00FA288E">
        <w:rPr>
          <w:rFonts w:cs="Calibri"/>
          <w:szCs w:val="21"/>
        </w:rPr>
        <w:t xml:space="preserve">it is suggested </w:t>
      </w:r>
      <w:r w:rsidR="005C700B" w:rsidRPr="00FA288E">
        <w:rPr>
          <w:rFonts w:cs="Calibri"/>
          <w:szCs w:val="21"/>
        </w:rPr>
        <w:t xml:space="preserve">that </w:t>
      </w:r>
      <w:r w:rsidR="008E2685" w:rsidRPr="00FA288E">
        <w:rPr>
          <w:rFonts w:cs="Calibri"/>
          <w:szCs w:val="21"/>
        </w:rPr>
        <w:t xml:space="preserve">a </w:t>
      </w:r>
      <w:r w:rsidR="005C700B" w:rsidRPr="00FA288E">
        <w:rPr>
          <w:rFonts w:cs="Calibri"/>
          <w:szCs w:val="21"/>
        </w:rPr>
        <w:t>value-for-money assessment</w:t>
      </w:r>
      <w:r w:rsidR="008E2685" w:rsidRPr="00FA288E">
        <w:rPr>
          <w:rFonts w:cs="Calibri"/>
          <w:szCs w:val="21"/>
        </w:rPr>
        <w:t xml:space="preserve"> </w:t>
      </w:r>
      <w:r w:rsidR="005C700B" w:rsidRPr="00FA288E">
        <w:rPr>
          <w:rFonts w:cs="Calibri"/>
          <w:szCs w:val="21"/>
        </w:rPr>
        <w:t>be conducted for the</w:t>
      </w:r>
      <w:r w:rsidR="008E2685" w:rsidRPr="00FA288E">
        <w:rPr>
          <w:rFonts w:cs="Calibri"/>
          <w:szCs w:val="21"/>
        </w:rPr>
        <w:t xml:space="preserve"> interventions implemented by the RISE, PKS and T4E projects.  </w:t>
      </w:r>
      <w:r w:rsidR="005C700B" w:rsidRPr="00FA288E">
        <w:rPr>
          <w:rFonts w:cs="Calibri"/>
          <w:szCs w:val="21"/>
        </w:rPr>
        <w:t>This assessment would focus on and inform the design of intervention support in four critical areas</w:t>
      </w:r>
    </w:p>
    <w:p w14:paraId="2E877651" w14:textId="77777777" w:rsidR="008E2685" w:rsidRPr="00FA288E" w:rsidRDefault="008E2685" w:rsidP="001B6F5E">
      <w:pPr>
        <w:pStyle w:val="Bullets"/>
        <w:numPr>
          <w:ilvl w:val="0"/>
          <w:numId w:val="40"/>
        </w:numPr>
        <w:spacing w:after="0" w:line="240" w:lineRule="auto"/>
        <w:ind w:left="907"/>
        <w:jc w:val="both"/>
        <w:rPr>
          <w:rFonts w:ascii="Calibri" w:hAnsi="Calibri" w:cs="Calibri"/>
          <w:sz w:val="21"/>
          <w:szCs w:val="21"/>
        </w:rPr>
      </w:pPr>
      <w:r w:rsidRPr="00FA288E">
        <w:rPr>
          <w:rFonts w:ascii="Calibri" w:hAnsi="Calibri" w:cs="Calibri"/>
          <w:sz w:val="21"/>
          <w:szCs w:val="21"/>
          <w:u w:val="single"/>
        </w:rPr>
        <w:t>Teacher development</w:t>
      </w:r>
      <w:r w:rsidRPr="00FA288E">
        <w:rPr>
          <w:rFonts w:ascii="Calibri" w:hAnsi="Calibri" w:cs="Calibri"/>
          <w:sz w:val="21"/>
          <w:szCs w:val="21"/>
        </w:rPr>
        <w:t xml:space="preserve"> –</w:t>
      </w:r>
      <w:r w:rsidR="005C700B" w:rsidRPr="00FA288E">
        <w:rPr>
          <w:rFonts w:ascii="Calibri" w:hAnsi="Calibri" w:cs="Calibri"/>
          <w:sz w:val="21"/>
          <w:szCs w:val="21"/>
        </w:rPr>
        <w:t xml:space="preserve"> in</w:t>
      </w:r>
      <w:r w:rsidRPr="00FA288E">
        <w:rPr>
          <w:rFonts w:ascii="Calibri" w:hAnsi="Calibri" w:cs="Calibri"/>
          <w:sz w:val="21"/>
          <w:szCs w:val="21"/>
        </w:rPr>
        <w:t xml:space="preserve"> content knowledge as well as teaching strategies.</w:t>
      </w:r>
      <w:r w:rsidRPr="00FA288E">
        <w:rPr>
          <w:rStyle w:val="FootnoteReference"/>
          <w:rFonts w:ascii="Calibri" w:hAnsi="Calibri" w:cs="Calibri"/>
          <w:sz w:val="21"/>
          <w:szCs w:val="21"/>
        </w:rPr>
        <w:footnoteReference w:id="84"/>
      </w:r>
      <w:r w:rsidRPr="00FA288E">
        <w:rPr>
          <w:rFonts w:ascii="Calibri" w:hAnsi="Calibri" w:cs="Calibri"/>
          <w:sz w:val="21"/>
          <w:szCs w:val="21"/>
        </w:rPr>
        <w:t xml:space="preserve">  Given the likelihood that a future investment may be of longer duration,</w:t>
      </w:r>
      <w:r w:rsidRPr="00FA288E">
        <w:rPr>
          <w:rStyle w:val="FootnoteReference"/>
          <w:rFonts w:ascii="Calibri" w:hAnsi="Calibri" w:cs="Calibri"/>
          <w:sz w:val="21"/>
          <w:szCs w:val="21"/>
        </w:rPr>
        <w:footnoteReference w:id="85"/>
      </w:r>
      <w:r w:rsidRPr="00FA288E">
        <w:rPr>
          <w:rFonts w:ascii="Calibri" w:hAnsi="Calibri" w:cs="Calibri"/>
          <w:sz w:val="21"/>
          <w:szCs w:val="21"/>
        </w:rPr>
        <w:t xml:space="preserve"> it is appropriate to consider including the provision of support to improve the quality and reach of pre-service programs in addition to in-service training programs.</w:t>
      </w:r>
      <w:r w:rsidRPr="00FA288E">
        <w:rPr>
          <w:rStyle w:val="FootnoteReference"/>
          <w:rFonts w:ascii="Calibri" w:hAnsi="Calibri" w:cs="Calibri"/>
          <w:sz w:val="21"/>
          <w:szCs w:val="21"/>
        </w:rPr>
        <w:footnoteReference w:id="86"/>
      </w:r>
      <w:r w:rsidRPr="00FA288E">
        <w:rPr>
          <w:rFonts w:ascii="Calibri" w:hAnsi="Calibri" w:cs="Calibri"/>
          <w:sz w:val="21"/>
          <w:szCs w:val="21"/>
        </w:rPr>
        <w:t xml:space="preserve">  With the proposed shift of all teacher training to the D</w:t>
      </w:r>
      <w:r w:rsidR="002626C7" w:rsidRPr="00FA288E">
        <w:rPr>
          <w:rFonts w:ascii="Calibri" w:hAnsi="Calibri" w:cs="Calibri"/>
          <w:sz w:val="21"/>
          <w:szCs w:val="21"/>
        </w:rPr>
        <w:t>epartment of Higher Education, Research, Science and Technology</w:t>
      </w:r>
      <w:r w:rsidRPr="00FA288E">
        <w:rPr>
          <w:rFonts w:ascii="Calibri" w:hAnsi="Calibri" w:cs="Calibri"/>
          <w:sz w:val="21"/>
          <w:szCs w:val="21"/>
        </w:rPr>
        <w:t xml:space="preserve">, this may provide an opportunity for donor investment. </w:t>
      </w:r>
      <w:r w:rsidR="000660C8" w:rsidRPr="00FA288E">
        <w:rPr>
          <w:rFonts w:ascii="Calibri" w:hAnsi="Calibri" w:cs="Calibri"/>
          <w:sz w:val="21"/>
          <w:szCs w:val="21"/>
        </w:rPr>
        <w:t>T</w:t>
      </w:r>
      <w:r w:rsidRPr="00FA288E">
        <w:rPr>
          <w:rFonts w:ascii="Calibri" w:hAnsi="Calibri" w:cs="Calibri"/>
          <w:sz w:val="21"/>
          <w:szCs w:val="21"/>
        </w:rPr>
        <w:t xml:space="preserve">eacher development support initiatives </w:t>
      </w:r>
      <w:r w:rsidR="000660C8" w:rsidRPr="00FA288E">
        <w:rPr>
          <w:rFonts w:ascii="Calibri" w:hAnsi="Calibri" w:cs="Calibri"/>
          <w:sz w:val="21"/>
          <w:szCs w:val="21"/>
        </w:rPr>
        <w:t>need to align with</w:t>
      </w:r>
      <w:r w:rsidRPr="00FA288E">
        <w:rPr>
          <w:rFonts w:ascii="Calibri" w:hAnsi="Calibri" w:cs="Calibri"/>
          <w:sz w:val="21"/>
          <w:szCs w:val="21"/>
        </w:rPr>
        <w:t xml:space="preserve"> the core requirements </w:t>
      </w:r>
      <w:r w:rsidR="000660C8" w:rsidRPr="00FA288E">
        <w:rPr>
          <w:rFonts w:ascii="Calibri" w:hAnsi="Calibri" w:cs="Calibri"/>
          <w:sz w:val="21"/>
          <w:szCs w:val="21"/>
        </w:rPr>
        <w:t>for</w:t>
      </w:r>
      <w:r w:rsidRPr="00FA288E">
        <w:rPr>
          <w:rFonts w:ascii="Calibri" w:hAnsi="Calibri" w:cs="Calibri"/>
          <w:sz w:val="21"/>
          <w:szCs w:val="21"/>
        </w:rPr>
        <w:t xml:space="preserve"> delivering the SBC. Cross-cutting issues in teacher development initiatives (i.e. child protection obligations, gender and disability inclusion)</w:t>
      </w:r>
      <w:r w:rsidR="001B6F5E" w:rsidRPr="00FA288E">
        <w:rPr>
          <w:rFonts w:ascii="Calibri" w:hAnsi="Calibri" w:cs="Calibri"/>
          <w:sz w:val="21"/>
          <w:szCs w:val="21"/>
        </w:rPr>
        <w:t xml:space="preserve"> should continue</w:t>
      </w:r>
      <w:r w:rsidRPr="00FA288E">
        <w:rPr>
          <w:rFonts w:ascii="Calibri" w:hAnsi="Calibri" w:cs="Calibri"/>
          <w:sz w:val="21"/>
          <w:szCs w:val="21"/>
        </w:rPr>
        <w:t xml:space="preserve">. </w:t>
      </w:r>
      <w:r w:rsidR="001B6F5E" w:rsidRPr="00FA288E">
        <w:rPr>
          <w:rFonts w:ascii="Calibri" w:hAnsi="Calibri" w:cs="Calibri"/>
          <w:sz w:val="21"/>
          <w:szCs w:val="21"/>
        </w:rPr>
        <w:t>T</w:t>
      </w:r>
      <w:r w:rsidRPr="00FA288E">
        <w:rPr>
          <w:rFonts w:ascii="Calibri" w:hAnsi="Calibri" w:cs="Calibri"/>
          <w:sz w:val="21"/>
          <w:szCs w:val="21"/>
        </w:rPr>
        <w:t xml:space="preserve">he innovative application of technology (e.g. videos on SD cards, social media platforms e.g. Facebook) to provide information and demonstration lessons to teachers </w:t>
      </w:r>
      <w:r w:rsidR="001B6F5E" w:rsidRPr="00FA288E">
        <w:rPr>
          <w:rFonts w:ascii="Calibri" w:hAnsi="Calibri" w:cs="Calibri"/>
          <w:sz w:val="21"/>
          <w:szCs w:val="21"/>
        </w:rPr>
        <w:t>should</w:t>
      </w:r>
      <w:r w:rsidRPr="00FA288E">
        <w:rPr>
          <w:rFonts w:ascii="Calibri" w:hAnsi="Calibri" w:cs="Calibri"/>
          <w:sz w:val="21"/>
          <w:szCs w:val="21"/>
        </w:rPr>
        <w:t xml:space="preserve"> augment, but not replace, face-to-face </w:t>
      </w:r>
      <w:r w:rsidR="001B6F5E" w:rsidRPr="00FA288E">
        <w:rPr>
          <w:rFonts w:ascii="Calibri" w:hAnsi="Calibri" w:cs="Calibri"/>
          <w:sz w:val="21"/>
          <w:szCs w:val="21"/>
        </w:rPr>
        <w:t xml:space="preserve">training and </w:t>
      </w:r>
      <w:r w:rsidRPr="00FA288E">
        <w:rPr>
          <w:rFonts w:ascii="Calibri" w:hAnsi="Calibri" w:cs="Calibri"/>
          <w:sz w:val="21"/>
          <w:szCs w:val="21"/>
        </w:rPr>
        <w:t>coaching</w:t>
      </w:r>
    </w:p>
    <w:p w14:paraId="1DD2CA2F" w14:textId="77777777" w:rsidR="008E2685" w:rsidRPr="00FA288E" w:rsidRDefault="008E2685" w:rsidP="001B6F5E">
      <w:pPr>
        <w:pStyle w:val="Bullets"/>
        <w:numPr>
          <w:ilvl w:val="0"/>
          <w:numId w:val="40"/>
        </w:numPr>
        <w:spacing w:after="0" w:line="240" w:lineRule="auto"/>
        <w:ind w:left="907"/>
        <w:jc w:val="both"/>
        <w:rPr>
          <w:rFonts w:ascii="Calibri" w:hAnsi="Calibri" w:cs="Calibri"/>
          <w:sz w:val="21"/>
          <w:szCs w:val="21"/>
        </w:rPr>
      </w:pPr>
      <w:r w:rsidRPr="00FA288E">
        <w:rPr>
          <w:rFonts w:ascii="Calibri" w:hAnsi="Calibri" w:cs="Calibri"/>
          <w:sz w:val="21"/>
          <w:szCs w:val="21"/>
          <w:u w:val="single"/>
        </w:rPr>
        <w:t>Teacher supervision, coaching and support</w:t>
      </w:r>
      <w:r w:rsidRPr="00FA288E">
        <w:rPr>
          <w:rFonts w:ascii="Calibri" w:hAnsi="Calibri" w:cs="Calibri"/>
          <w:sz w:val="21"/>
          <w:szCs w:val="21"/>
        </w:rPr>
        <w:t xml:space="preserve"> – to ensure teacher development initiatives result in </w:t>
      </w:r>
      <w:r w:rsidRPr="00FA288E">
        <w:rPr>
          <w:rFonts w:ascii="Calibri" w:hAnsi="Calibri" w:cs="Calibri"/>
          <w:sz w:val="21"/>
          <w:szCs w:val="21"/>
          <w:u w:val="single"/>
        </w:rPr>
        <w:t>application</w:t>
      </w:r>
      <w:r w:rsidRPr="00FA288E">
        <w:rPr>
          <w:rFonts w:ascii="Calibri" w:hAnsi="Calibri" w:cs="Calibri"/>
          <w:sz w:val="21"/>
          <w:szCs w:val="21"/>
        </w:rPr>
        <w:t xml:space="preserve"> in the classroom. The provision of effective supervision, coaching and support requires the development of abilities of the individuals responsible for these functions.  With the recent delegation of classroom observation and teacher supervision to school heads and </w:t>
      </w:r>
      <w:proofErr w:type="spellStart"/>
      <w:r w:rsidR="00826A52" w:rsidRPr="00FA288E">
        <w:rPr>
          <w:rFonts w:ascii="Calibri" w:hAnsi="Calibri" w:cs="Calibri"/>
          <w:sz w:val="21"/>
          <w:szCs w:val="21"/>
        </w:rPr>
        <w:t>TiCs</w:t>
      </w:r>
      <w:proofErr w:type="spellEnd"/>
      <w:r w:rsidRPr="00FA288E">
        <w:rPr>
          <w:rFonts w:ascii="Calibri" w:hAnsi="Calibri" w:cs="Calibri"/>
          <w:sz w:val="21"/>
          <w:szCs w:val="21"/>
        </w:rPr>
        <w:t xml:space="preserve">, attention needs to be given to improving their </w:t>
      </w:r>
      <w:r w:rsidR="00A07B4A" w:rsidRPr="00FA288E">
        <w:rPr>
          <w:rFonts w:ascii="Calibri" w:hAnsi="Calibri" w:cs="Calibri"/>
          <w:sz w:val="21"/>
          <w:szCs w:val="21"/>
        </w:rPr>
        <w:t>ability</w:t>
      </w:r>
      <w:r w:rsidRPr="00FA288E">
        <w:rPr>
          <w:rFonts w:ascii="Calibri" w:hAnsi="Calibri" w:cs="Calibri"/>
          <w:sz w:val="21"/>
          <w:szCs w:val="21"/>
        </w:rPr>
        <w:t xml:space="preserve"> to perform these functions.  As noted above</w:t>
      </w:r>
      <w:r w:rsidR="001B6F5E" w:rsidRPr="00FA288E">
        <w:rPr>
          <w:rFonts w:ascii="Calibri" w:hAnsi="Calibri" w:cs="Calibri"/>
          <w:sz w:val="21"/>
          <w:szCs w:val="21"/>
        </w:rPr>
        <w:t xml:space="preserve">, </w:t>
      </w:r>
      <w:r w:rsidRPr="00FA288E">
        <w:rPr>
          <w:rFonts w:ascii="Calibri" w:hAnsi="Calibri" w:cs="Calibri"/>
          <w:sz w:val="21"/>
          <w:szCs w:val="21"/>
        </w:rPr>
        <w:t xml:space="preserve">continue to </w:t>
      </w:r>
      <w:r w:rsidR="001B6F5E" w:rsidRPr="00FA288E">
        <w:rPr>
          <w:rFonts w:ascii="Calibri" w:hAnsi="Calibri" w:cs="Calibri"/>
          <w:sz w:val="21"/>
          <w:szCs w:val="21"/>
        </w:rPr>
        <w:t xml:space="preserve">support the </w:t>
      </w:r>
      <w:r w:rsidRPr="00FA288E">
        <w:rPr>
          <w:rFonts w:ascii="Calibri" w:hAnsi="Calibri" w:cs="Calibri"/>
          <w:sz w:val="21"/>
          <w:szCs w:val="21"/>
        </w:rPr>
        <w:t>enhance</w:t>
      </w:r>
      <w:r w:rsidR="001B6F5E" w:rsidRPr="00FA288E">
        <w:rPr>
          <w:rFonts w:ascii="Calibri" w:hAnsi="Calibri" w:cs="Calibri"/>
          <w:sz w:val="21"/>
          <w:szCs w:val="21"/>
        </w:rPr>
        <w:t>ment and application of</w:t>
      </w:r>
      <w:r w:rsidRPr="00FA288E">
        <w:rPr>
          <w:rFonts w:ascii="Calibri" w:hAnsi="Calibri" w:cs="Calibri"/>
          <w:sz w:val="21"/>
          <w:szCs w:val="21"/>
        </w:rPr>
        <w:t xml:space="preserve"> the concept</w:t>
      </w:r>
      <w:r w:rsidR="001B6F5E" w:rsidRPr="00FA288E">
        <w:rPr>
          <w:rFonts w:ascii="Calibri" w:hAnsi="Calibri" w:cs="Calibri"/>
          <w:sz w:val="21"/>
          <w:szCs w:val="21"/>
        </w:rPr>
        <w:t>s</w:t>
      </w:r>
      <w:r w:rsidRPr="00FA288E">
        <w:rPr>
          <w:rFonts w:ascii="Calibri" w:hAnsi="Calibri" w:cs="Calibri"/>
          <w:sz w:val="21"/>
          <w:szCs w:val="21"/>
        </w:rPr>
        <w:t xml:space="preserve"> of a ‘cluster’ </w:t>
      </w:r>
      <w:r w:rsidR="001B6F5E" w:rsidRPr="00FA288E">
        <w:rPr>
          <w:rFonts w:ascii="Calibri" w:hAnsi="Calibri" w:cs="Calibri"/>
          <w:sz w:val="21"/>
          <w:szCs w:val="21"/>
        </w:rPr>
        <w:t>and</w:t>
      </w:r>
      <w:r w:rsidRPr="00FA288E">
        <w:rPr>
          <w:rFonts w:ascii="Calibri" w:hAnsi="Calibri" w:cs="Calibri"/>
          <w:sz w:val="21"/>
          <w:szCs w:val="21"/>
        </w:rPr>
        <w:t xml:space="preserve"> school</w:t>
      </w:r>
      <w:r w:rsidR="001B6F5E" w:rsidRPr="00FA288E">
        <w:rPr>
          <w:rFonts w:ascii="Calibri" w:hAnsi="Calibri" w:cs="Calibri"/>
          <w:sz w:val="21"/>
          <w:szCs w:val="21"/>
        </w:rPr>
        <w:t>/cluster</w:t>
      </w:r>
      <w:r w:rsidRPr="00FA288E">
        <w:rPr>
          <w:rFonts w:ascii="Calibri" w:hAnsi="Calibri" w:cs="Calibri"/>
          <w:sz w:val="21"/>
          <w:szCs w:val="21"/>
        </w:rPr>
        <w:t>-based resource teacher</w:t>
      </w:r>
      <w:r w:rsidR="001B6F5E" w:rsidRPr="00FA288E">
        <w:rPr>
          <w:rFonts w:ascii="Calibri" w:hAnsi="Calibri" w:cs="Calibri"/>
          <w:sz w:val="21"/>
          <w:szCs w:val="21"/>
        </w:rPr>
        <w:t xml:space="preserve">. Perhaps the resource teacher could be ‘paired’ </w:t>
      </w:r>
      <w:r w:rsidRPr="00FA288E">
        <w:rPr>
          <w:rFonts w:ascii="Calibri" w:hAnsi="Calibri" w:cs="Calibri"/>
          <w:sz w:val="21"/>
          <w:szCs w:val="21"/>
        </w:rPr>
        <w:t>with a school head</w:t>
      </w:r>
      <w:r w:rsidR="001B6F5E" w:rsidRPr="00FA288E">
        <w:rPr>
          <w:rFonts w:ascii="Calibri" w:hAnsi="Calibri" w:cs="Calibri"/>
          <w:sz w:val="21"/>
          <w:szCs w:val="21"/>
        </w:rPr>
        <w:t>/</w:t>
      </w:r>
      <w:proofErr w:type="spellStart"/>
      <w:r w:rsidR="001B6F5E" w:rsidRPr="00FA288E">
        <w:rPr>
          <w:rFonts w:ascii="Calibri" w:hAnsi="Calibri" w:cs="Calibri"/>
          <w:sz w:val="21"/>
          <w:szCs w:val="21"/>
        </w:rPr>
        <w:t>TiC</w:t>
      </w:r>
      <w:proofErr w:type="spellEnd"/>
      <w:r w:rsidRPr="00FA288E">
        <w:rPr>
          <w:rFonts w:ascii="Calibri" w:hAnsi="Calibri" w:cs="Calibri"/>
          <w:sz w:val="21"/>
          <w:szCs w:val="21"/>
        </w:rPr>
        <w:t xml:space="preserve"> or a senior teacher</w:t>
      </w:r>
      <w:r w:rsidR="001B6F5E" w:rsidRPr="00FA288E">
        <w:rPr>
          <w:rFonts w:ascii="Calibri" w:hAnsi="Calibri" w:cs="Calibri"/>
          <w:sz w:val="21"/>
          <w:szCs w:val="21"/>
        </w:rPr>
        <w:t xml:space="preserve"> and act as a team.</w:t>
      </w:r>
    </w:p>
    <w:p w14:paraId="3AA32EDD" w14:textId="77777777" w:rsidR="008E2685" w:rsidRPr="00FA288E" w:rsidRDefault="008E2685" w:rsidP="001B6F5E">
      <w:pPr>
        <w:pStyle w:val="Bullets"/>
        <w:numPr>
          <w:ilvl w:val="0"/>
          <w:numId w:val="40"/>
        </w:numPr>
        <w:spacing w:after="0" w:line="240" w:lineRule="auto"/>
        <w:ind w:left="907"/>
        <w:jc w:val="both"/>
        <w:rPr>
          <w:rFonts w:ascii="Calibri" w:hAnsi="Calibri" w:cs="Calibri"/>
          <w:sz w:val="21"/>
          <w:szCs w:val="21"/>
        </w:rPr>
      </w:pPr>
      <w:r w:rsidRPr="00FA288E">
        <w:rPr>
          <w:rFonts w:ascii="Calibri" w:hAnsi="Calibri" w:cs="Calibri"/>
          <w:sz w:val="21"/>
          <w:szCs w:val="21"/>
          <w:u w:val="single"/>
        </w:rPr>
        <w:t xml:space="preserve">Development/provision of </w:t>
      </w:r>
      <w:r w:rsidR="009A52E5" w:rsidRPr="00FA288E">
        <w:rPr>
          <w:rFonts w:ascii="Calibri" w:hAnsi="Calibri" w:cs="Calibri"/>
          <w:sz w:val="21"/>
          <w:szCs w:val="21"/>
          <w:u w:val="single"/>
        </w:rPr>
        <w:t xml:space="preserve">low-cost </w:t>
      </w:r>
      <w:r w:rsidR="00B6461C" w:rsidRPr="00FA288E">
        <w:rPr>
          <w:rFonts w:ascii="Calibri" w:hAnsi="Calibri" w:cs="Calibri"/>
          <w:sz w:val="21"/>
          <w:szCs w:val="21"/>
          <w:u w:val="single"/>
        </w:rPr>
        <w:t xml:space="preserve">local </w:t>
      </w:r>
      <w:r w:rsidR="009A52E5" w:rsidRPr="00FA288E">
        <w:rPr>
          <w:rFonts w:ascii="Calibri" w:hAnsi="Calibri" w:cs="Calibri"/>
          <w:sz w:val="21"/>
          <w:szCs w:val="21"/>
          <w:u w:val="single"/>
        </w:rPr>
        <w:t xml:space="preserve">quality </w:t>
      </w:r>
      <w:r w:rsidRPr="00FA288E">
        <w:rPr>
          <w:rFonts w:ascii="Calibri" w:hAnsi="Calibri" w:cs="Calibri"/>
          <w:sz w:val="21"/>
          <w:szCs w:val="21"/>
          <w:u w:val="single"/>
        </w:rPr>
        <w:t>supplementary learning resources</w:t>
      </w:r>
      <w:r w:rsidRPr="00FA288E">
        <w:rPr>
          <w:rFonts w:ascii="Calibri" w:hAnsi="Calibri" w:cs="Calibri"/>
          <w:sz w:val="21"/>
          <w:szCs w:val="21"/>
        </w:rPr>
        <w:t xml:space="preserve"> – should be aligned with the SBC </w:t>
      </w:r>
      <w:r w:rsidRPr="00FA288E">
        <w:rPr>
          <w:rFonts w:ascii="Calibri" w:hAnsi="Calibri" w:cs="Calibri"/>
          <w:sz w:val="21"/>
          <w:szCs w:val="21"/>
          <w:u w:val="single"/>
        </w:rPr>
        <w:t>and</w:t>
      </w:r>
      <w:r w:rsidRPr="00FA288E">
        <w:rPr>
          <w:rFonts w:ascii="Calibri" w:hAnsi="Calibri" w:cs="Calibri"/>
          <w:sz w:val="21"/>
          <w:szCs w:val="21"/>
        </w:rPr>
        <w:t xml:space="preserve"> be approved by the Board of Studies for Curriculum. Continue to explore the innovative delivery of learning resources through technology, in particular the approaches being taken by Library for All, Bloom Reader/Education for Life. For targeted areas where the application of technology may be delayed or not feasible, printed resources will remain a priority. Consider </w:t>
      </w:r>
      <w:r w:rsidR="00B6461C" w:rsidRPr="00FA288E">
        <w:rPr>
          <w:rFonts w:ascii="Calibri" w:hAnsi="Calibri" w:cs="Calibri"/>
          <w:sz w:val="21"/>
          <w:szCs w:val="21"/>
        </w:rPr>
        <w:t xml:space="preserve">support to develop </w:t>
      </w:r>
      <w:r w:rsidRPr="00FA288E">
        <w:rPr>
          <w:rFonts w:ascii="Calibri" w:hAnsi="Calibri" w:cs="Calibri"/>
          <w:sz w:val="21"/>
          <w:szCs w:val="21"/>
        </w:rPr>
        <w:t xml:space="preserve">low-cost </w:t>
      </w:r>
      <w:r w:rsidR="00B6461C" w:rsidRPr="00FA288E">
        <w:rPr>
          <w:rFonts w:ascii="Calibri" w:hAnsi="Calibri" w:cs="Calibri"/>
          <w:sz w:val="21"/>
          <w:szCs w:val="21"/>
        </w:rPr>
        <w:t xml:space="preserve">teaching and </w:t>
      </w:r>
      <w:r w:rsidRPr="00FA288E">
        <w:rPr>
          <w:rFonts w:ascii="Calibri" w:hAnsi="Calibri" w:cs="Calibri"/>
          <w:sz w:val="21"/>
          <w:szCs w:val="21"/>
        </w:rPr>
        <w:t>learning resources such as newsprint readers or ‘Big Books’</w:t>
      </w:r>
    </w:p>
    <w:p w14:paraId="21499A32" w14:textId="5EF1B555" w:rsidR="008E2685" w:rsidRPr="00FA288E" w:rsidRDefault="008E2685" w:rsidP="005C700B">
      <w:pPr>
        <w:pStyle w:val="Bullets"/>
        <w:numPr>
          <w:ilvl w:val="0"/>
          <w:numId w:val="40"/>
        </w:numPr>
        <w:spacing w:after="80" w:line="240" w:lineRule="auto"/>
        <w:ind w:left="900"/>
        <w:jc w:val="both"/>
        <w:rPr>
          <w:rFonts w:ascii="Calibri" w:hAnsi="Calibri" w:cs="Calibri"/>
          <w:sz w:val="21"/>
          <w:szCs w:val="21"/>
        </w:rPr>
      </w:pPr>
      <w:r w:rsidRPr="00FA288E">
        <w:rPr>
          <w:rFonts w:ascii="Calibri" w:hAnsi="Calibri" w:cs="Calibri"/>
          <w:sz w:val="21"/>
          <w:szCs w:val="21"/>
          <w:u w:val="single"/>
        </w:rPr>
        <w:t>Whole school development that places learning at the core</w:t>
      </w:r>
      <w:r w:rsidRPr="00FA288E">
        <w:rPr>
          <w:rFonts w:ascii="Calibri" w:hAnsi="Calibri" w:cs="Calibri"/>
          <w:sz w:val="21"/>
          <w:szCs w:val="21"/>
        </w:rPr>
        <w:t xml:space="preserve"> – as the </w:t>
      </w:r>
      <w:r w:rsidR="00CF1E27" w:rsidRPr="00FA288E">
        <w:rPr>
          <w:rFonts w:ascii="Calibri" w:hAnsi="Calibri" w:cs="Calibri"/>
          <w:sz w:val="21"/>
          <w:szCs w:val="21"/>
        </w:rPr>
        <w:t xml:space="preserve">school is the </w:t>
      </w:r>
      <w:r w:rsidRPr="00FA288E">
        <w:rPr>
          <w:rFonts w:ascii="Calibri" w:hAnsi="Calibri" w:cs="Calibri"/>
          <w:sz w:val="21"/>
          <w:szCs w:val="21"/>
        </w:rPr>
        <w:t>unit responsible for the direct delivery and management of education, additional effort should be dedicated to ensuring schools are more effectively and efficiently managed and led.</w:t>
      </w:r>
      <w:r w:rsidR="00CF1E27" w:rsidRPr="00FA288E">
        <w:rPr>
          <w:rStyle w:val="FootnoteReference"/>
          <w:rFonts w:ascii="Calibri" w:hAnsi="Calibri" w:cs="Calibri"/>
          <w:sz w:val="21"/>
          <w:szCs w:val="21"/>
        </w:rPr>
        <w:footnoteReference w:id="87"/>
      </w:r>
      <w:r w:rsidRPr="00FA288E">
        <w:rPr>
          <w:rFonts w:ascii="Calibri" w:hAnsi="Calibri" w:cs="Calibri"/>
          <w:sz w:val="21"/>
          <w:szCs w:val="21"/>
        </w:rPr>
        <w:t xml:space="preserve"> Enhancing the knowledge and skills of school heads/</w:t>
      </w:r>
      <w:proofErr w:type="spellStart"/>
      <w:r w:rsidR="00826A52" w:rsidRPr="00FA288E">
        <w:rPr>
          <w:rFonts w:ascii="Calibri" w:hAnsi="Calibri" w:cs="Calibri"/>
          <w:sz w:val="21"/>
          <w:szCs w:val="21"/>
        </w:rPr>
        <w:t>TiCs</w:t>
      </w:r>
      <w:proofErr w:type="spellEnd"/>
      <w:r w:rsidRPr="00FA288E">
        <w:rPr>
          <w:rFonts w:ascii="Calibri" w:hAnsi="Calibri" w:cs="Calibri"/>
          <w:sz w:val="21"/>
          <w:szCs w:val="21"/>
        </w:rPr>
        <w:t xml:space="preserve"> and </w:t>
      </w:r>
      <w:proofErr w:type="spellStart"/>
      <w:r w:rsidRPr="00FA288E">
        <w:rPr>
          <w:rFonts w:ascii="Calibri" w:hAnsi="Calibri" w:cs="Calibri"/>
          <w:sz w:val="21"/>
          <w:szCs w:val="21"/>
        </w:rPr>
        <w:t>SBoMs</w:t>
      </w:r>
      <w:proofErr w:type="spellEnd"/>
      <w:r w:rsidRPr="00FA288E">
        <w:rPr>
          <w:rFonts w:ascii="Calibri" w:hAnsi="Calibri" w:cs="Calibri"/>
          <w:sz w:val="21"/>
          <w:szCs w:val="21"/>
        </w:rPr>
        <w:t xml:space="preserve"> is required to assist them to perform appropriate functions related to their mandate, including functions promoted in the new NEP</w:t>
      </w:r>
      <w:r w:rsidR="00F23E3A" w:rsidRPr="00FA288E">
        <w:rPr>
          <w:rFonts w:ascii="Calibri" w:hAnsi="Calibri" w:cs="Calibri"/>
          <w:sz w:val="21"/>
          <w:szCs w:val="21"/>
        </w:rPr>
        <w:t xml:space="preserve"> 2020-2029</w:t>
      </w:r>
      <w:r w:rsidRPr="00FA288E">
        <w:rPr>
          <w:rFonts w:ascii="Calibri" w:hAnsi="Calibri" w:cs="Calibri"/>
          <w:sz w:val="21"/>
          <w:szCs w:val="21"/>
        </w:rPr>
        <w:t xml:space="preserve">.  Using the development and implementation of the SLIP as the officially-endorsed process for school planning, conduct research, test (through action-research) and facilitate the adoption of </w:t>
      </w:r>
      <w:r w:rsidR="00CF1E27" w:rsidRPr="00FA288E">
        <w:rPr>
          <w:rFonts w:ascii="Calibri" w:hAnsi="Calibri" w:cs="Calibri"/>
          <w:sz w:val="21"/>
          <w:szCs w:val="21"/>
        </w:rPr>
        <w:t xml:space="preserve">applicable </w:t>
      </w:r>
      <w:r w:rsidRPr="00FA288E">
        <w:rPr>
          <w:rFonts w:ascii="Calibri" w:hAnsi="Calibri" w:cs="Calibri"/>
          <w:sz w:val="21"/>
          <w:szCs w:val="21"/>
        </w:rPr>
        <w:t xml:space="preserve">emerging whole school development </w:t>
      </w:r>
      <w:r w:rsidR="00772C8E" w:rsidRPr="00FA288E">
        <w:rPr>
          <w:rFonts w:ascii="Calibri" w:hAnsi="Calibri" w:cs="Calibri"/>
          <w:sz w:val="21"/>
          <w:szCs w:val="21"/>
        </w:rPr>
        <w:t xml:space="preserve">elements and </w:t>
      </w:r>
      <w:r w:rsidRPr="00FA288E">
        <w:rPr>
          <w:rFonts w:ascii="Calibri" w:hAnsi="Calibri" w:cs="Calibri"/>
          <w:sz w:val="21"/>
          <w:szCs w:val="21"/>
        </w:rPr>
        <w:t>approaches</w:t>
      </w:r>
      <w:r w:rsidR="00CF1E27" w:rsidRPr="00FA288E">
        <w:rPr>
          <w:rFonts w:ascii="Calibri" w:hAnsi="Calibri" w:cs="Calibri"/>
          <w:sz w:val="21"/>
          <w:szCs w:val="21"/>
        </w:rPr>
        <w:t>.</w:t>
      </w:r>
      <w:r w:rsidR="00CF1E27" w:rsidRPr="00FA288E">
        <w:rPr>
          <w:rStyle w:val="FootnoteReference"/>
          <w:rFonts w:ascii="Calibri" w:hAnsi="Calibri" w:cs="Calibri"/>
          <w:sz w:val="21"/>
          <w:szCs w:val="21"/>
        </w:rPr>
        <w:footnoteReference w:id="88"/>
      </w:r>
      <w:r w:rsidRPr="00FA288E">
        <w:rPr>
          <w:rFonts w:ascii="Calibri" w:hAnsi="Calibri" w:cs="Calibri"/>
          <w:sz w:val="21"/>
          <w:szCs w:val="21"/>
        </w:rPr>
        <w:t xml:space="preserve"> </w:t>
      </w:r>
      <w:r w:rsidR="00772C8E" w:rsidRPr="00FA288E">
        <w:rPr>
          <w:rFonts w:ascii="Calibri" w:hAnsi="Calibri" w:cs="Calibri"/>
          <w:sz w:val="21"/>
          <w:szCs w:val="21"/>
        </w:rPr>
        <w:t xml:space="preserve">Whole School Development </w:t>
      </w:r>
      <w:r w:rsidRPr="00FA288E">
        <w:rPr>
          <w:rFonts w:ascii="Calibri" w:hAnsi="Calibri" w:cs="Calibri"/>
          <w:sz w:val="21"/>
          <w:szCs w:val="21"/>
        </w:rPr>
        <w:t>focus</w:t>
      </w:r>
      <w:r w:rsidR="00772C8E" w:rsidRPr="00FA288E">
        <w:rPr>
          <w:rFonts w:ascii="Calibri" w:hAnsi="Calibri" w:cs="Calibri"/>
          <w:sz w:val="21"/>
          <w:szCs w:val="21"/>
        </w:rPr>
        <w:t>es</w:t>
      </w:r>
      <w:r w:rsidRPr="00FA288E">
        <w:rPr>
          <w:rFonts w:ascii="Calibri" w:hAnsi="Calibri" w:cs="Calibri"/>
          <w:sz w:val="21"/>
          <w:szCs w:val="21"/>
        </w:rPr>
        <w:t xml:space="preserve"> on learning and </w:t>
      </w:r>
      <w:r w:rsidR="00772C8E" w:rsidRPr="00FA288E">
        <w:rPr>
          <w:rFonts w:ascii="Calibri" w:hAnsi="Calibri" w:cs="Calibri"/>
          <w:sz w:val="21"/>
          <w:szCs w:val="21"/>
        </w:rPr>
        <w:t>uses</w:t>
      </w:r>
      <w:r w:rsidRPr="00FA288E">
        <w:rPr>
          <w:rFonts w:ascii="Calibri" w:hAnsi="Calibri" w:cs="Calibri"/>
          <w:sz w:val="21"/>
          <w:szCs w:val="21"/>
        </w:rPr>
        <w:t xml:space="preserve"> contextually appropriate bottom-up planning and support from the school and community – regardless of government or external funding. This approach </w:t>
      </w:r>
      <w:r w:rsidR="00822683" w:rsidRPr="00FA288E">
        <w:rPr>
          <w:rFonts w:ascii="Calibri" w:hAnsi="Calibri" w:cs="Calibri"/>
          <w:sz w:val="21"/>
          <w:szCs w:val="21"/>
        </w:rPr>
        <w:t>could</w:t>
      </w:r>
      <w:r w:rsidRPr="00FA288E">
        <w:rPr>
          <w:rFonts w:ascii="Calibri" w:hAnsi="Calibri" w:cs="Calibri"/>
          <w:sz w:val="21"/>
          <w:szCs w:val="21"/>
        </w:rPr>
        <w:t xml:space="preserve"> </w:t>
      </w:r>
      <w:r w:rsidR="00822683" w:rsidRPr="00FA288E">
        <w:rPr>
          <w:rFonts w:ascii="Calibri" w:hAnsi="Calibri" w:cs="Calibri"/>
          <w:sz w:val="21"/>
          <w:szCs w:val="21"/>
        </w:rPr>
        <w:t>consolidate and</w:t>
      </w:r>
      <w:r w:rsidRPr="00FA288E">
        <w:rPr>
          <w:rFonts w:ascii="Calibri" w:hAnsi="Calibri" w:cs="Calibri"/>
          <w:sz w:val="21"/>
          <w:szCs w:val="21"/>
        </w:rPr>
        <w:t xml:space="preserve"> integrat</w:t>
      </w:r>
      <w:r w:rsidR="00822683" w:rsidRPr="00FA288E">
        <w:rPr>
          <w:rFonts w:ascii="Calibri" w:hAnsi="Calibri" w:cs="Calibri"/>
          <w:sz w:val="21"/>
          <w:szCs w:val="21"/>
        </w:rPr>
        <w:t>e other</w:t>
      </w:r>
      <w:r w:rsidRPr="00FA288E">
        <w:rPr>
          <w:rFonts w:ascii="Calibri" w:hAnsi="Calibri" w:cs="Calibri"/>
          <w:sz w:val="21"/>
          <w:szCs w:val="21"/>
        </w:rPr>
        <w:t xml:space="preserve"> interventions to support learning </w:t>
      </w:r>
      <w:r w:rsidR="00822683" w:rsidRPr="00FA288E">
        <w:rPr>
          <w:rFonts w:ascii="Calibri" w:hAnsi="Calibri" w:cs="Calibri"/>
          <w:sz w:val="21"/>
          <w:szCs w:val="21"/>
        </w:rPr>
        <w:t xml:space="preserve">in the community </w:t>
      </w:r>
      <w:r w:rsidRPr="00FA288E">
        <w:rPr>
          <w:rFonts w:ascii="Calibri" w:hAnsi="Calibri" w:cs="Calibri"/>
          <w:sz w:val="21"/>
          <w:szCs w:val="21"/>
        </w:rPr>
        <w:t xml:space="preserve">and </w:t>
      </w:r>
      <w:r w:rsidR="00822683" w:rsidRPr="00FA288E">
        <w:rPr>
          <w:rFonts w:ascii="Calibri" w:hAnsi="Calibri" w:cs="Calibri"/>
          <w:sz w:val="21"/>
          <w:szCs w:val="21"/>
        </w:rPr>
        <w:t xml:space="preserve">reflect these in the </w:t>
      </w:r>
      <w:r w:rsidRPr="00FA288E">
        <w:rPr>
          <w:rFonts w:ascii="Calibri" w:hAnsi="Calibri" w:cs="Calibri"/>
          <w:sz w:val="21"/>
          <w:szCs w:val="21"/>
        </w:rPr>
        <w:t xml:space="preserve">revised SLIP. For example, Reading Clubs and Literacy Volunteers </w:t>
      </w:r>
      <w:r w:rsidR="00822683" w:rsidRPr="00FA288E">
        <w:rPr>
          <w:rFonts w:ascii="Calibri" w:hAnsi="Calibri" w:cs="Calibri"/>
          <w:sz w:val="21"/>
          <w:szCs w:val="21"/>
        </w:rPr>
        <w:t xml:space="preserve">should </w:t>
      </w:r>
      <w:r w:rsidRPr="00FA288E">
        <w:rPr>
          <w:rFonts w:ascii="Calibri" w:hAnsi="Calibri" w:cs="Calibri"/>
          <w:sz w:val="21"/>
          <w:szCs w:val="21"/>
        </w:rPr>
        <w:t xml:space="preserve">be included in </w:t>
      </w:r>
      <w:r w:rsidR="00822683" w:rsidRPr="00FA288E">
        <w:rPr>
          <w:rFonts w:ascii="Calibri" w:hAnsi="Calibri" w:cs="Calibri"/>
          <w:sz w:val="21"/>
          <w:szCs w:val="21"/>
        </w:rPr>
        <w:t>an</w:t>
      </w:r>
      <w:r w:rsidRPr="00FA288E">
        <w:rPr>
          <w:rFonts w:ascii="Calibri" w:hAnsi="Calibri" w:cs="Calibri"/>
          <w:sz w:val="21"/>
          <w:szCs w:val="21"/>
        </w:rPr>
        <w:t xml:space="preserve"> expanded SLIP</w:t>
      </w:r>
      <w:r w:rsidR="00822683" w:rsidRPr="00FA288E">
        <w:rPr>
          <w:rFonts w:ascii="Calibri" w:hAnsi="Calibri" w:cs="Calibri"/>
          <w:sz w:val="21"/>
          <w:szCs w:val="21"/>
        </w:rPr>
        <w:t>.</w:t>
      </w:r>
    </w:p>
    <w:tbl>
      <w:tblPr>
        <w:tblStyle w:val="TableGrid"/>
        <w:tblW w:w="0" w:type="auto"/>
        <w:tblInd w:w="0" w:type="dxa"/>
        <w:shd w:val="clear" w:color="auto" w:fill="F2F2F2" w:themeFill="background1" w:themeFillShade="F2"/>
        <w:tblLook w:val="04A0" w:firstRow="1" w:lastRow="0" w:firstColumn="1" w:lastColumn="0" w:noHBand="0" w:noVBand="1"/>
        <w:tblCaption w:val="Recommendation 11"/>
        <w:tblDescription w:val="The Australian Government should incorporate an ‘NGO education grant consortia’ modality in future investments in early grade literacy and numeracy and consider engaging a single managing contractor. The managing contractor will be expected to facilitate the delivery of technical assistance and delivery support in a joint decision-making capacity with partner government institutions."/>
      </w:tblPr>
      <w:tblGrid>
        <w:gridCol w:w="2065"/>
        <w:gridCol w:w="7671"/>
      </w:tblGrid>
      <w:tr w:rsidR="00D25D64" w:rsidRPr="00FA288E" w14:paraId="23BB4C4B" w14:textId="77777777" w:rsidTr="00AE259C">
        <w:trPr>
          <w:tblHeader/>
        </w:trPr>
        <w:tc>
          <w:tcPr>
            <w:tcW w:w="2065" w:type="dxa"/>
            <w:shd w:val="clear" w:color="auto" w:fill="F2F2F2" w:themeFill="background1" w:themeFillShade="F2"/>
          </w:tcPr>
          <w:p w14:paraId="1FAD35B3" w14:textId="77777777" w:rsidR="00D25D64" w:rsidRPr="00FA288E" w:rsidRDefault="00D25D64" w:rsidP="00D25D64">
            <w:pPr>
              <w:tabs>
                <w:tab w:val="left" w:pos="1260"/>
              </w:tabs>
              <w:spacing w:after="80"/>
              <w:rPr>
                <w:rFonts w:cs="Calibri"/>
                <w:szCs w:val="21"/>
                <w:lang w:val="en-AU"/>
              </w:rPr>
            </w:pPr>
            <w:r w:rsidRPr="00FA288E">
              <w:rPr>
                <w:rFonts w:cs="Calibri"/>
                <w:szCs w:val="21"/>
                <w:lang w:val="en-AU"/>
              </w:rPr>
              <w:lastRenderedPageBreak/>
              <w:t>Recommendation 11:</w:t>
            </w:r>
          </w:p>
        </w:tc>
        <w:tc>
          <w:tcPr>
            <w:tcW w:w="7671" w:type="dxa"/>
            <w:shd w:val="clear" w:color="auto" w:fill="F2F2F2" w:themeFill="background1" w:themeFillShade="F2"/>
          </w:tcPr>
          <w:p w14:paraId="52F1DD15" w14:textId="42B25A34" w:rsidR="00D25D64" w:rsidRPr="00FA288E" w:rsidRDefault="00D25D64" w:rsidP="00D25D64">
            <w:pPr>
              <w:tabs>
                <w:tab w:val="left" w:pos="1260"/>
              </w:tabs>
              <w:spacing w:after="80"/>
              <w:rPr>
                <w:rFonts w:cs="Calibri"/>
                <w:szCs w:val="21"/>
                <w:lang w:val="en-AU"/>
              </w:rPr>
            </w:pPr>
            <w:r w:rsidRPr="00FA288E">
              <w:rPr>
                <w:rFonts w:cs="Calibri"/>
                <w:sz w:val="20"/>
                <w:szCs w:val="20"/>
                <w:lang w:val="en-AU"/>
              </w:rPr>
              <w:t xml:space="preserve">The Australian Government should incorporate an ‘NGO education grant consortia’ modality in future investments in early grade literacy and numeracy and consider engaging a single managing contractor. The managing contractor will </w:t>
            </w:r>
            <w:r w:rsidR="00725D9F" w:rsidRPr="00FA288E">
              <w:rPr>
                <w:rFonts w:cs="Calibri"/>
                <w:sz w:val="20"/>
                <w:szCs w:val="20"/>
                <w:lang w:val="en-AU"/>
              </w:rPr>
              <w:t xml:space="preserve">be expected to </w:t>
            </w:r>
            <w:r w:rsidRPr="00FA288E">
              <w:rPr>
                <w:rFonts w:cs="Calibri"/>
                <w:sz w:val="20"/>
                <w:szCs w:val="20"/>
                <w:lang w:val="en-AU"/>
              </w:rPr>
              <w:t xml:space="preserve">facilitate the delivery of technical assistance and delivery support </w:t>
            </w:r>
            <w:r w:rsidR="0038692A" w:rsidRPr="00FA288E">
              <w:t>in a joint decision-making capacity with partner</w:t>
            </w:r>
            <w:r w:rsidRPr="00FA288E">
              <w:rPr>
                <w:rFonts w:cs="Calibri"/>
                <w:sz w:val="20"/>
                <w:szCs w:val="20"/>
                <w:lang w:val="en-AU"/>
              </w:rPr>
              <w:t xml:space="preserve"> government institutions.</w:t>
            </w:r>
          </w:p>
        </w:tc>
      </w:tr>
    </w:tbl>
    <w:p w14:paraId="636A8EAB" w14:textId="77777777" w:rsidR="00A34CB9" w:rsidRPr="00FA288E" w:rsidRDefault="008E2685" w:rsidP="00822683">
      <w:pPr>
        <w:spacing w:after="80" w:line="240" w:lineRule="auto"/>
        <w:rPr>
          <w:rFonts w:cs="Calibri"/>
          <w:szCs w:val="21"/>
        </w:rPr>
      </w:pPr>
      <w:r w:rsidRPr="00FA288E">
        <w:rPr>
          <w:rFonts w:cs="Calibri"/>
          <w:szCs w:val="21"/>
        </w:rPr>
        <w:t>The potential benefit</w:t>
      </w:r>
      <w:r w:rsidR="00822683" w:rsidRPr="00FA288E">
        <w:rPr>
          <w:rFonts w:cs="Calibri"/>
          <w:szCs w:val="21"/>
        </w:rPr>
        <w:t>s</w:t>
      </w:r>
      <w:r w:rsidRPr="00FA288E">
        <w:rPr>
          <w:rFonts w:cs="Calibri"/>
          <w:szCs w:val="21"/>
        </w:rPr>
        <w:t xml:space="preserve"> of </w:t>
      </w:r>
      <w:r w:rsidR="00822683" w:rsidRPr="00FA288E">
        <w:rPr>
          <w:rFonts w:cs="Calibri"/>
          <w:szCs w:val="21"/>
        </w:rPr>
        <w:t>incorporating a</w:t>
      </w:r>
      <w:r w:rsidR="00EA0637" w:rsidRPr="00FA288E">
        <w:rPr>
          <w:rFonts w:cs="Calibri"/>
          <w:szCs w:val="21"/>
        </w:rPr>
        <w:t>n NGO</w:t>
      </w:r>
      <w:r w:rsidR="00822683" w:rsidRPr="00FA288E">
        <w:rPr>
          <w:rFonts w:cs="Calibri"/>
          <w:szCs w:val="21"/>
        </w:rPr>
        <w:t xml:space="preserve"> grant </w:t>
      </w:r>
      <w:r w:rsidR="00EA0637" w:rsidRPr="00FA288E">
        <w:rPr>
          <w:rFonts w:cs="Calibri"/>
          <w:szCs w:val="21"/>
        </w:rPr>
        <w:t xml:space="preserve">consortia </w:t>
      </w:r>
      <w:r w:rsidRPr="00FA288E">
        <w:rPr>
          <w:rFonts w:cs="Calibri"/>
          <w:szCs w:val="21"/>
        </w:rPr>
        <w:t xml:space="preserve">modality </w:t>
      </w:r>
      <w:r w:rsidR="00822683" w:rsidRPr="00FA288E">
        <w:rPr>
          <w:rFonts w:cs="Calibri"/>
          <w:szCs w:val="21"/>
        </w:rPr>
        <w:t>in a future investment in education are</w:t>
      </w:r>
      <w:r w:rsidRPr="00FA288E">
        <w:rPr>
          <w:rFonts w:cs="Calibri"/>
          <w:szCs w:val="21"/>
        </w:rPr>
        <w:t xml:space="preserve"> t</w:t>
      </w:r>
      <w:r w:rsidR="00EA0637" w:rsidRPr="00FA288E">
        <w:rPr>
          <w:rFonts w:cs="Calibri"/>
          <w:szCs w:val="21"/>
        </w:rPr>
        <w:t>hree</w:t>
      </w:r>
      <w:r w:rsidRPr="00FA288E">
        <w:rPr>
          <w:rFonts w:cs="Calibri"/>
          <w:szCs w:val="21"/>
        </w:rPr>
        <w:t>-fold</w:t>
      </w:r>
      <w:r w:rsidR="00822683" w:rsidRPr="00FA288E">
        <w:rPr>
          <w:rFonts w:cs="Calibri"/>
          <w:szCs w:val="21"/>
        </w:rPr>
        <w:t xml:space="preserve">: </w:t>
      </w:r>
      <w:proofErr w:type="spellStart"/>
      <w:r w:rsidR="00822683" w:rsidRPr="00FA288E">
        <w:rPr>
          <w:rFonts w:cs="Calibri"/>
          <w:szCs w:val="21"/>
        </w:rPr>
        <w:t>i</w:t>
      </w:r>
      <w:proofErr w:type="spellEnd"/>
      <w:r w:rsidR="00822683" w:rsidRPr="00FA288E">
        <w:rPr>
          <w:rFonts w:cs="Calibri"/>
          <w:szCs w:val="21"/>
        </w:rPr>
        <w:t xml:space="preserve">) </w:t>
      </w:r>
      <w:r w:rsidR="00EA0637" w:rsidRPr="00FA288E">
        <w:rPr>
          <w:rFonts w:cs="Calibri"/>
          <w:szCs w:val="21"/>
        </w:rPr>
        <w:t xml:space="preserve">NGO </w:t>
      </w:r>
      <w:r w:rsidR="00822683" w:rsidRPr="00FA288E">
        <w:rPr>
          <w:rFonts w:cs="Calibri"/>
          <w:szCs w:val="21"/>
        </w:rPr>
        <w:t>grant</w:t>
      </w:r>
      <w:r w:rsidR="00EA0637" w:rsidRPr="00FA288E">
        <w:rPr>
          <w:rFonts w:cs="Calibri"/>
          <w:szCs w:val="21"/>
        </w:rPr>
        <w:t xml:space="preserve"> consortia</w:t>
      </w:r>
      <w:r w:rsidR="00822683" w:rsidRPr="00FA288E">
        <w:rPr>
          <w:rFonts w:cs="Calibri"/>
          <w:szCs w:val="21"/>
        </w:rPr>
        <w:t xml:space="preserve"> have the</w:t>
      </w:r>
      <w:r w:rsidRPr="00FA288E">
        <w:rPr>
          <w:rFonts w:cs="Calibri"/>
          <w:szCs w:val="21"/>
        </w:rPr>
        <w:t xml:space="preserve"> </w:t>
      </w:r>
      <w:r w:rsidR="00EA0637" w:rsidRPr="00FA288E">
        <w:rPr>
          <w:rFonts w:cs="Calibri"/>
          <w:szCs w:val="21"/>
        </w:rPr>
        <w:t xml:space="preserve">proven </w:t>
      </w:r>
      <w:r w:rsidRPr="00FA288E">
        <w:rPr>
          <w:rFonts w:cs="Calibri"/>
          <w:szCs w:val="21"/>
        </w:rPr>
        <w:t>ability to mobilise</w:t>
      </w:r>
      <w:r w:rsidR="00822683" w:rsidRPr="00FA288E">
        <w:rPr>
          <w:rFonts w:cs="Calibri"/>
          <w:szCs w:val="21"/>
        </w:rPr>
        <w:t>, adapt and implement quickly</w:t>
      </w:r>
      <w:r w:rsidR="00EA0637" w:rsidRPr="00FA288E">
        <w:rPr>
          <w:rFonts w:cs="Calibri"/>
          <w:szCs w:val="21"/>
        </w:rPr>
        <w:t>, particularly at the sub-national level where they have previous or existing relationships</w:t>
      </w:r>
      <w:r w:rsidR="00822683" w:rsidRPr="00FA288E">
        <w:rPr>
          <w:rFonts w:cs="Calibri"/>
          <w:szCs w:val="21"/>
        </w:rPr>
        <w:t xml:space="preserve">; and ii) grant activities </w:t>
      </w:r>
      <w:r w:rsidR="00EA0637" w:rsidRPr="00FA288E">
        <w:rPr>
          <w:rFonts w:cs="Calibri"/>
          <w:szCs w:val="21"/>
        </w:rPr>
        <w:t xml:space="preserve">can </w:t>
      </w:r>
      <w:r w:rsidR="00822683" w:rsidRPr="00FA288E">
        <w:rPr>
          <w:rFonts w:cs="Calibri"/>
          <w:szCs w:val="21"/>
        </w:rPr>
        <w:t>provide</w:t>
      </w:r>
      <w:r w:rsidRPr="00FA288E">
        <w:rPr>
          <w:rFonts w:cs="Calibri"/>
          <w:szCs w:val="21"/>
        </w:rPr>
        <w:t xml:space="preserve"> a rich source of evidence upon which policy and strategy decisions can be made – by both partner governments</w:t>
      </w:r>
      <w:r w:rsidR="00EA0637" w:rsidRPr="00FA288E">
        <w:rPr>
          <w:rFonts w:cs="Calibri"/>
          <w:szCs w:val="21"/>
        </w:rPr>
        <w:t>, and iii) NGO consortia offer the potential for increased reach and provision of different skills and perspectives</w:t>
      </w:r>
      <w:r w:rsidRPr="00FA288E">
        <w:rPr>
          <w:rFonts w:cs="Calibri"/>
          <w:szCs w:val="21"/>
        </w:rPr>
        <w:t xml:space="preserve">. </w:t>
      </w:r>
    </w:p>
    <w:p w14:paraId="5C8F6049" w14:textId="0BABBE03" w:rsidR="002767D9" w:rsidRPr="00FA288E" w:rsidRDefault="008E2685" w:rsidP="00D25D64">
      <w:pPr>
        <w:spacing w:after="80" w:line="240" w:lineRule="auto"/>
        <w:sectPr w:rsidR="002767D9" w:rsidRPr="00FA288E" w:rsidSect="00BB39EB">
          <w:pgSz w:w="11906" w:h="16838"/>
          <w:pgMar w:top="1296" w:right="1008" w:bottom="864" w:left="1152" w:header="720" w:footer="720" w:gutter="0"/>
          <w:pgNumType w:start="1"/>
          <w:cols w:space="720"/>
          <w:docGrid w:linePitch="360"/>
        </w:sectPr>
      </w:pPr>
      <w:r w:rsidRPr="00FA288E">
        <w:rPr>
          <w:rFonts w:cs="Calibri"/>
          <w:szCs w:val="21"/>
        </w:rPr>
        <w:t xml:space="preserve">The </w:t>
      </w:r>
      <w:r w:rsidR="00EA0637" w:rsidRPr="00FA288E">
        <w:rPr>
          <w:rFonts w:cs="Calibri"/>
          <w:szCs w:val="21"/>
        </w:rPr>
        <w:t xml:space="preserve">NGO </w:t>
      </w:r>
      <w:r w:rsidRPr="00FA288E">
        <w:rPr>
          <w:rFonts w:cs="Calibri"/>
          <w:szCs w:val="21"/>
        </w:rPr>
        <w:t xml:space="preserve">consortia </w:t>
      </w:r>
      <w:r w:rsidR="00A512DF" w:rsidRPr="00FA288E">
        <w:rPr>
          <w:rFonts w:cs="Calibri"/>
          <w:szCs w:val="21"/>
        </w:rPr>
        <w:t>c</w:t>
      </w:r>
      <w:r w:rsidRPr="00FA288E">
        <w:rPr>
          <w:rFonts w:cs="Calibri"/>
          <w:szCs w:val="21"/>
        </w:rPr>
        <w:t xml:space="preserve">ould be guided strategically by GoPNG and </w:t>
      </w:r>
      <w:r w:rsidR="000F311A" w:rsidRPr="00FA288E">
        <w:rPr>
          <w:rFonts w:cs="Calibri"/>
          <w:szCs w:val="21"/>
        </w:rPr>
        <w:t xml:space="preserve">the Australian </w:t>
      </w:r>
      <w:r w:rsidR="001444CE" w:rsidRPr="00FA288E">
        <w:rPr>
          <w:rFonts w:cs="Calibri"/>
          <w:szCs w:val="21"/>
        </w:rPr>
        <w:t>G</w:t>
      </w:r>
      <w:r w:rsidR="000F311A" w:rsidRPr="00FA288E">
        <w:rPr>
          <w:rFonts w:cs="Calibri"/>
          <w:szCs w:val="21"/>
        </w:rPr>
        <w:t>overnment</w:t>
      </w:r>
      <w:r w:rsidRPr="00FA288E">
        <w:rPr>
          <w:rFonts w:cs="Calibri"/>
          <w:szCs w:val="21"/>
        </w:rPr>
        <w:t xml:space="preserve"> through a </w:t>
      </w:r>
      <w:r w:rsidR="00A512DF" w:rsidRPr="00FA288E">
        <w:rPr>
          <w:rFonts w:cs="Calibri"/>
          <w:szCs w:val="21"/>
        </w:rPr>
        <w:t>single m</w:t>
      </w:r>
      <w:r w:rsidRPr="00FA288E">
        <w:rPr>
          <w:rFonts w:cs="Calibri"/>
          <w:szCs w:val="21"/>
        </w:rPr>
        <w:t xml:space="preserve">anaging </w:t>
      </w:r>
      <w:r w:rsidR="00A512DF" w:rsidRPr="00FA288E">
        <w:rPr>
          <w:rFonts w:cs="Calibri"/>
          <w:szCs w:val="21"/>
        </w:rPr>
        <w:t>c</w:t>
      </w:r>
      <w:r w:rsidRPr="00FA288E">
        <w:rPr>
          <w:rFonts w:cs="Calibri"/>
          <w:szCs w:val="21"/>
        </w:rPr>
        <w:t>ontractor mechanism that would be responsible for strategic management oversight</w:t>
      </w:r>
      <w:r w:rsidR="00EA0637" w:rsidRPr="00FA288E">
        <w:rPr>
          <w:rFonts w:cs="Calibri"/>
          <w:szCs w:val="21"/>
        </w:rPr>
        <w:t xml:space="preserve"> and coordination</w:t>
      </w:r>
      <w:r w:rsidRPr="00FA288E">
        <w:rPr>
          <w:rFonts w:cs="Calibri"/>
          <w:szCs w:val="21"/>
        </w:rPr>
        <w:t>,</w:t>
      </w:r>
      <w:r w:rsidR="00D25D64" w:rsidRPr="00FA288E">
        <w:rPr>
          <w:rFonts w:cs="Calibri"/>
          <w:szCs w:val="21"/>
        </w:rPr>
        <w:t xml:space="preserve"> </w:t>
      </w:r>
      <w:r w:rsidRPr="00FA288E">
        <w:rPr>
          <w:rFonts w:cs="Calibri"/>
          <w:szCs w:val="21"/>
        </w:rPr>
        <w:t xml:space="preserve">policy </w:t>
      </w:r>
      <w:r w:rsidR="00EA0637" w:rsidRPr="00FA288E">
        <w:rPr>
          <w:rFonts w:cs="Calibri"/>
          <w:szCs w:val="21"/>
        </w:rPr>
        <w:t>dialogue</w:t>
      </w:r>
      <w:r w:rsidRPr="00FA288E">
        <w:rPr>
          <w:rFonts w:cs="Calibri"/>
          <w:szCs w:val="21"/>
        </w:rPr>
        <w:t xml:space="preserve">, quality assurance, plan coherence, </w:t>
      </w:r>
      <w:r w:rsidR="00EA0637" w:rsidRPr="00FA288E">
        <w:rPr>
          <w:rFonts w:cs="Calibri"/>
          <w:szCs w:val="21"/>
        </w:rPr>
        <w:t xml:space="preserve">and aggregated </w:t>
      </w:r>
      <w:r w:rsidRPr="00FA288E">
        <w:rPr>
          <w:rFonts w:cs="Calibri"/>
          <w:szCs w:val="21"/>
        </w:rPr>
        <w:t xml:space="preserve">monitoring/evaluation and reporting. This approach would </w:t>
      </w:r>
      <w:r w:rsidR="00D25D64" w:rsidRPr="00FA288E">
        <w:rPr>
          <w:rFonts w:cs="Calibri"/>
          <w:szCs w:val="21"/>
        </w:rPr>
        <w:t xml:space="preserve">help ensure technical assistance and delivery support are provided through government institutions, </w:t>
      </w:r>
      <w:r w:rsidRPr="00FA288E">
        <w:rPr>
          <w:rFonts w:cs="Calibri"/>
          <w:szCs w:val="21"/>
        </w:rPr>
        <w:t>enable greater coherence in programming and reporting of overall lessons/results</w:t>
      </w:r>
      <w:r w:rsidR="00D25D64" w:rsidRPr="00FA288E">
        <w:rPr>
          <w:rFonts w:cs="Calibri"/>
          <w:szCs w:val="21"/>
        </w:rPr>
        <w:t xml:space="preserve"> and </w:t>
      </w:r>
      <w:r w:rsidRPr="00FA288E">
        <w:rPr>
          <w:rFonts w:cs="Calibri"/>
          <w:szCs w:val="21"/>
        </w:rPr>
        <w:t>reduce transactional costs for both government</w:t>
      </w:r>
      <w:r w:rsidR="00EA0637" w:rsidRPr="00FA288E">
        <w:rPr>
          <w:rFonts w:cs="Calibri"/>
          <w:szCs w:val="21"/>
        </w:rPr>
        <w:t>s</w:t>
      </w:r>
      <w:r w:rsidRPr="00FA288E">
        <w:rPr>
          <w:rFonts w:cs="Calibri"/>
          <w:szCs w:val="21"/>
        </w:rPr>
        <w:t xml:space="preserve"> while still encouraging innovation and adaptation to localised challenges and opportunities</w:t>
      </w:r>
      <w:r w:rsidR="00A53DD7" w:rsidRPr="00FA288E">
        <w:rPr>
          <w:rFonts w:cs="Calibri"/>
          <w:szCs w:val="21"/>
        </w:rPr>
        <w:t>.</w:t>
      </w:r>
    </w:p>
    <w:p w14:paraId="036DA87D" w14:textId="77777777" w:rsidR="00B13AED" w:rsidRPr="00FA288E" w:rsidRDefault="00B13AED" w:rsidP="00B13AED"/>
    <w:p w14:paraId="20E58054" w14:textId="77777777" w:rsidR="00B13AED" w:rsidRPr="00FA288E" w:rsidRDefault="00B13AED" w:rsidP="00B13AED"/>
    <w:p w14:paraId="1F78E3D8" w14:textId="77777777" w:rsidR="00B13AED" w:rsidRPr="00FA288E" w:rsidRDefault="00B13AED" w:rsidP="00B13AED"/>
    <w:p w14:paraId="7BC99A53" w14:textId="77777777" w:rsidR="00436FDA" w:rsidRPr="00FA288E" w:rsidRDefault="00436FDA" w:rsidP="00320085">
      <w:pPr>
        <w:pStyle w:val="Heading2"/>
        <w:rPr>
          <w:b w:val="0"/>
          <w:bCs w:val="0"/>
          <w:sz w:val="32"/>
          <w:szCs w:val="32"/>
        </w:rPr>
      </w:pPr>
      <w:bookmarkStart w:id="108" w:name="_Toc31625599"/>
      <w:bookmarkStart w:id="109" w:name="_Toc42075979"/>
      <w:r w:rsidRPr="00FA288E">
        <w:rPr>
          <w:b w:val="0"/>
          <w:bCs w:val="0"/>
          <w:sz w:val="32"/>
          <w:szCs w:val="32"/>
        </w:rPr>
        <w:t>Annexes</w:t>
      </w:r>
      <w:bookmarkEnd w:id="108"/>
      <w:bookmarkEnd w:id="109"/>
    </w:p>
    <w:p w14:paraId="00325F96" w14:textId="77777777" w:rsidR="00DA5591" w:rsidRPr="00FA288E" w:rsidRDefault="00DA5591" w:rsidP="00F84232">
      <w:pPr>
        <w:pStyle w:val="ListParagraph"/>
        <w:numPr>
          <w:ilvl w:val="0"/>
          <w:numId w:val="12"/>
        </w:numPr>
        <w:spacing w:before="60" w:after="60" w:line="216" w:lineRule="auto"/>
        <w:rPr>
          <w:rFonts w:ascii="Calibri" w:hAnsi="Calibri" w:cs="Calibri"/>
          <w:sz w:val="21"/>
          <w:szCs w:val="21"/>
          <w:lang w:val="en-AU"/>
        </w:rPr>
      </w:pPr>
      <w:r w:rsidRPr="00FA288E">
        <w:rPr>
          <w:rFonts w:ascii="Calibri" w:hAnsi="Calibri" w:cs="Calibri"/>
          <w:sz w:val="21"/>
          <w:szCs w:val="21"/>
          <w:lang w:val="en-AU"/>
        </w:rPr>
        <w:t>Terms of Reference</w:t>
      </w:r>
    </w:p>
    <w:p w14:paraId="2789B3AB" w14:textId="77777777" w:rsidR="00436FDA" w:rsidRPr="00FA288E" w:rsidRDefault="00E041B6" w:rsidP="00F84232">
      <w:pPr>
        <w:pStyle w:val="ListParagraph"/>
        <w:numPr>
          <w:ilvl w:val="0"/>
          <w:numId w:val="12"/>
        </w:numPr>
        <w:spacing w:before="60" w:after="60" w:line="216" w:lineRule="auto"/>
        <w:rPr>
          <w:rFonts w:ascii="Calibri" w:hAnsi="Calibri" w:cs="Calibri"/>
          <w:sz w:val="21"/>
          <w:szCs w:val="21"/>
          <w:lang w:val="en-AU"/>
        </w:rPr>
      </w:pPr>
      <w:r w:rsidRPr="00FA288E">
        <w:rPr>
          <w:rFonts w:ascii="Calibri" w:hAnsi="Calibri" w:cs="Calibri"/>
          <w:sz w:val="21"/>
          <w:szCs w:val="21"/>
          <w:lang w:val="en-AU"/>
        </w:rPr>
        <w:t>Key Evaluation Questions and Sub-Questions</w:t>
      </w:r>
    </w:p>
    <w:p w14:paraId="68BE671C" w14:textId="77777777" w:rsidR="003C1678" w:rsidRPr="00FA288E" w:rsidRDefault="003C1678" w:rsidP="00F84232">
      <w:pPr>
        <w:pStyle w:val="ListParagraph"/>
        <w:numPr>
          <w:ilvl w:val="0"/>
          <w:numId w:val="12"/>
        </w:numPr>
        <w:spacing w:before="60" w:after="60" w:line="216" w:lineRule="auto"/>
        <w:rPr>
          <w:rFonts w:ascii="Calibri" w:hAnsi="Calibri" w:cs="Calibri"/>
          <w:sz w:val="21"/>
          <w:szCs w:val="21"/>
          <w:lang w:val="en-AU"/>
        </w:rPr>
      </w:pPr>
      <w:r w:rsidRPr="00FA288E">
        <w:rPr>
          <w:rFonts w:ascii="Calibri" w:hAnsi="Calibri" w:cs="Calibri"/>
          <w:sz w:val="21"/>
          <w:szCs w:val="21"/>
          <w:lang w:val="en-AU"/>
        </w:rPr>
        <w:t>Aide-Memoire (25 November 2019)</w:t>
      </w:r>
    </w:p>
    <w:p w14:paraId="6B868A0A" w14:textId="77777777" w:rsidR="00E041B6" w:rsidRPr="00FA288E" w:rsidRDefault="00E041B6" w:rsidP="00F84232">
      <w:pPr>
        <w:pStyle w:val="ListParagraph"/>
        <w:numPr>
          <w:ilvl w:val="0"/>
          <w:numId w:val="12"/>
        </w:numPr>
        <w:spacing w:before="60" w:after="60" w:line="216" w:lineRule="auto"/>
        <w:rPr>
          <w:rFonts w:ascii="Calibri" w:hAnsi="Calibri" w:cs="Calibri"/>
          <w:sz w:val="21"/>
          <w:szCs w:val="21"/>
          <w:lang w:val="en-AU"/>
        </w:rPr>
      </w:pPr>
      <w:r w:rsidRPr="00FA288E">
        <w:rPr>
          <w:lang w:val="en-AU"/>
        </w:rPr>
        <w:t>Consortia Leads and Partners, Budget Allocations and Implementation Areas</w:t>
      </w:r>
    </w:p>
    <w:p w14:paraId="236A9EEA" w14:textId="77777777" w:rsidR="00D11615" w:rsidRPr="00FA288E" w:rsidRDefault="00D11615" w:rsidP="00F84232">
      <w:pPr>
        <w:pStyle w:val="ListParagraph"/>
        <w:numPr>
          <w:ilvl w:val="0"/>
          <w:numId w:val="12"/>
        </w:numPr>
        <w:spacing w:before="60" w:after="60" w:line="216" w:lineRule="auto"/>
        <w:rPr>
          <w:rFonts w:ascii="Calibri" w:hAnsi="Calibri" w:cs="Calibri"/>
          <w:sz w:val="21"/>
          <w:szCs w:val="21"/>
          <w:lang w:val="en-AU"/>
        </w:rPr>
      </w:pPr>
      <w:r w:rsidRPr="00FA288E">
        <w:rPr>
          <w:rFonts w:ascii="Calibri" w:hAnsi="Calibri" w:cs="Calibri"/>
          <w:sz w:val="21"/>
          <w:szCs w:val="21"/>
          <w:lang w:val="en-AU"/>
        </w:rPr>
        <w:t>List of Individuals Interviewed/Consulted</w:t>
      </w:r>
    </w:p>
    <w:p w14:paraId="4C5F4575" w14:textId="77777777" w:rsidR="00E041B6" w:rsidRPr="00FA288E" w:rsidRDefault="00436FDA" w:rsidP="003C1678">
      <w:pPr>
        <w:pStyle w:val="ListParagraph"/>
        <w:numPr>
          <w:ilvl w:val="0"/>
          <w:numId w:val="12"/>
        </w:numPr>
        <w:spacing w:before="60" w:after="60" w:line="216" w:lineRule="auto"/>
        <w:rPr>
          <w:lang w:val="en-AU"/>
        </w:rPr>
      </w:pPr>
      <w:r w:rsidRPr="00FA288E">
        <w:rPr>
          <w:rFonts w:cs="Calibri"/>
          <w:szCs w:val="21"/>
          <w:lang w:val="en-AU"/>
        </w:rPr>
        <w:t>Analysis of Key Intervention Progress and Results</w:t>
      </w:r>
    </w:p>
    <w:p w14:paraId="7DF87A28" w14:textId="5EF80DC1" w:rsidR="00E041B6" w:rsidRPr="0034292D" w:rsidRDefault="00E041B6" w:rsidP="00D11615">
      <w:pPr>
        <w:pStyle w:val="ListParagraph"/>
        <w:numPr>
          <w:ilvl w:val="0"/>
          <w:numId w:val="12"/>
        </w:numPr>
        <w:spacing w:before="60" w:after="60" w:line="216" w:lineRule="auto"/>
        <w:ind w:left="360" w:firstLine="0"/>
        <w:rPr>
          <w:rFonts w:cs="Calibri"/>
          <w:szCs w:val="21"/>
          <w:lang w:val="en-AU"/>
        </w:rPr>
      </w:pPr>
      <w:r w:rsidRPr="00FA288E">
        <w:rPr>
          <w:lang w:val="en-AU"/>
        </w:rPr>
        <w:t>Documents Reviewed</w:t>
      </w:r>
    </w:p>
    <w:p w14:paraId="6D348492" w14:textId="43D3F724" w:rsidR="0034292D" w:rsidRPr="00FA288E" w:rsidRDefault="0034292D" w:rsidP="00D11615">
      <w:pPr>
        <w:pStyle w:val="ListParagraph"/>
        <w:numPr>
          <w:ilvl w:val="0"/>
          <w:numId w:val="12"/>
        </w:numPr>
        <w:spacing w:before="60" w:after="60" w:line="216" w:lineRule="auto"/>
        <w:ind w:left="360" w:firstLine="0"/>
        <w:rPr>
          <w:rFonts w:cs="Calibri"/>
          <w:szCs w:val="21"/>
          <w:lang w:val="en-AU"/>
        </w:rPr>
      </w:pPr>
      <w:r>
        <w:rPr>
          <w:lang w:val="en-AU"/>
        </w:rPr>
        <w:t>DFAT Monitoring and Evaluation Standards</w:t>
      </w:r>
    </w:p>
    <w:p w14:paraId="40735CDF" w14:textId="77777777" w:rsidR="00E041B6" w:rsidRPr="00FA288E" w:rsidRDefault="00E041B6" w:rsidP="00E041B6">
      <w:pPr>
        <w:pStyle w:val="ListParagraph"/>
        <w:rPr>
          <w:lang w:val="en-AU"/>
        </w:rPr>
        <w:sectPr w:rsidR="00E041B6" w:rsidRPr="00FA288E" w:rsidSect="008E376C">
          <w:pgSz w:w="11906" w:h="16838"/>
          <w:pgMar w:top="1296" w:right="1008" w:bottom="864" w:left="1152" w:header="720" w:footer="720" w:gutter="0"/>
          <w:cols w:space="720"/>
          <w:docGrid w:linePitch="360"/>
        </w:sectPr>
      </w:pPr>
      <w:bookmarkStart w:id="110" w:name="_Toc26914382"/>
    </w:p>
    <w:p w14:paraId="0F05DA04" w14:textId="51229304" w:rsidR="00D0036D" w:rsidRPr="00FA288E" w:rsidRDefault="00D0036D" w:rsidP="005A1DC6">
      <w:pPr>
        <w:pStyle w:val="Heading1"/>
        <w:numPr>
          <w:ilvl w:val="0"/>
          <w:numId w:val="0"/>
        </w:numPr>
      </w:pPr>
      <w:bookmarkStart w:id="111" w:name="_Annex_A:_Terms"/>
      <w:bookmarkStart w:id="112" w:name="_Toc31625600"/>
      <w:bookmarkStart w:id="113" w:name="_Toc42075980"/>
      <w:bookmarkEnd w:id="111"/>
      <w:r w:rsidRPr="00FA288E">
        <w:lastRenderedPageBreak/>
        <w:t>Annex A: Terms of Reference: PPF Education Grants Mid-Term Review</w:t>
      </w:r>
      <w:bookmarkEnd w:id="112"/>
      <w:bookmarkEnd w:id="113"/>
    </w:p>
    <w:p w14:paraId="6E897629" w14:textId="77777777" w:rsidR="00E041B6" w:rsidRPr="005A1DC6" w:rsidRDefault="00E041B6" w:rsidP="00E041B6">
      <w:pPr>
        <w:spacing w:after="0" w:line="240" w:lineRule="auto"/>
        <w:jc w:val="center"/>
        <w:rPr>
          <w:b/>
          <w:bCs/>
          <w:szCs w:val="21"/>
        </w:rPr>
      </w:pPr>
      <w:r w:rsidRPr="005A1DC6">
        <w:rPr>
          <w:b/>
          <w:bCs/>
          <w:szCs w:val="21"/>
        </w:rPr>
        <w:t xml:space="preserve">Independent Mid-Term Review of the PNG Partnership Fund (PPF) Education Grants </w:t>
      </w:r>
    </w:p>
    <w:p w14:paraId="2A86F144" w14:textId="77777777" w:rsidR="00E041B6" w:rsidRPr="005A1DC6" w:rsidRDefault="00E041B6" w:rsidP="00E041B6">
      <w:pPr>
        <w:spacing w:after="0" w:line="240" w:lineRule="auto"/>
        <w:jc w:val="center"/>
        <w:rPr>
          <w:b/>
          <w:bCs/>
          <w:szCs w:val="21"/>
        </w:rPr>
      </w:pPr>
    </w:p>
    <w:p w14:paraId="15E2869C" w14:textId="77777777" w:rsidR="00E041B6" w:rsidRPr="005A1DC6" w:rsidRDefault="00E041B6" w:rsidP="00E041B6">
      <w:pPr>
        <w:spacing w:after="0" w:line="240" w:lineRule="auto"/>
        <w:jc w:val="center"/>
        <w:rPr>
          <w:szCs w:val="21"/>
          <w:u w:val="single"/>
        </w:rPr>
      </w:pPr>
      <w:r w:rsidRPr="005A1DC6">
        <w:rPr>
          <w:b/>
          <w:bCs/>
          <w:szCs w:val="21"/>
        </w:rPr>
        <w:t>Terms of Reference</w:t>
      </w:r>
    </w:p>
    <w:p w14:paraId="2E52DE66" w14:textId="77777777" w:rsidR="00E041B6" w:rsidRPr="005A1DC6" w:rsidRDefault="00E041B6" w:rsidP="00E041B6">
      <w:pPr>
        <w:pStyle w:val="ListParagraph"/>
        <w:jc w:val="center"/>
        <w:rPr>
          <w:sz w:val="21"/>
          <w:szCs w:val="21"/>
          <w:lang w:val="en-AU"/>
        </w:rPr>
      </w:pPr>
    </w:p>
    <w:p w14:paraId="3C2AACB9" w14:textId="77777777" w:rsidR="00E041B6" w:rsidRPr="005A1DC6" w:rsidRDefault="00E041B6" w:rsidP="00FF62CC">
      <w:pPr>
        <w:pStyle w:val="ListParagraph"/>
        <w:numPr>
          <w:ilvl w:val="0"/>
          <w:numId w:val="79"/>
        </w:numPr>
        <w:spacing w:after="0" w:line="240" w:lineRule="auto"/>
        <w:contextualSpacing w:val="0"/>
        <w:rPr>
          <w:b/>
          <w:sz w:val="21"/>
          <w:szCs w:val="21"/>
          <w:lang w:val="en-AU"/>
        </w:rPr>
      </w:pPr>
      <w:r w:rsidRPr="005A1DC6">
        <w:rPr>
          <w:b/>
          <w:sz w:val="21"/>
          <w:szCs w:val="21"/>
          <w:lang w:val="en-AU"/>
        </w:rPr>
        <w:t xml:space="preserve">Purpose of the Review </w:t>
      </w:r>
    </w:p>
    <w:p w14:paraId="4C30FB7D" w14:textId="77777777" w:rsidR="00E041B6" w:rsidRPr="005A1DC6" w:rsidRDefault="00E041B6" w:rsidP="00E041B6">
      <w:pPr>
        <w:spacing w:after="0" w:line="240" w:lineRule="auto"/>
        <w:rPr>
          <w:szCs w:val="21"/>
        </w:rPr>
      </w:pPr>
    </w:p>
    <w:p w14:paraId="0E2CD2CA" w14:textId="77777777" w:rsidR="00E041B6" w:rsidRPr="005A1DC6" w:rsidRDefault="00E041B6" w:rsidP="00E041B6">
      <w:pPr>
        <w:spacing w:after="0" w:line="240" w:lineRule="auto"/>
        <w:rPr>
          <w:szCs w:val="21"/>
        </w:rPr>
      </w:pPr>
      <w:r w:rsidRPr="005A1DC6">
        <w:rPr>
          <w:szCs w:val="21"/>
        </w:rPr>
        <w:t xml:space="preserve">The review will assess the effectiveness and efficiency of the three education grants under the Papua New Guinea Partnership Fund (PPF). In assessing effectiveness and efficiency, the review will also consider the grants’ relevance, progress, sustainability, monitoring and evaluation framework and its gender equality and social inclusion. </w:t>
      </w:r>
    </w:p>
    <w:p w14:paraId="689F43D5" w14:textId="77777777" w:rsidR="00E041B6" w:rsidRPr="005A1DC6" w:rsidRDefault="00E041B6" w:rsidP="00E041B6">
      <w:pPr>
        <w:spacing w:after="0" w:line="240" w:lineRule="auto"/>
        <w:rPr>
          <w:szCs w:val="21"/>
        </w:rPr>
      </w:pPr>
    </w:p>
    <w:p w14:paraId="40FA21EA" w14:textId="77777777" w:rsidR="00E041B6" w:rsidRPr="005A1DC6" w:rsidRDefault="00E041B6" w:rsidP="00E041B6">
      <w:pPr>
        <w:pStyle w:val="CommentText"/>
        <w:rPr>
          <w:sz w:val="21"/>
          <w:szCs w:val="21"/>
        </w:rPr>
      </w:pPr>
      <w:r w:rsidRPr="005A1DC6">
        <w:rPr>
          <w:sz w:val="21"/>
          <w:szCs w:val="21"/>
        </w:rPr>
        <w:t xml:space="preserve">The review has two key purposes: </w:t>
      </w:r>
    </w:p>
    <w:p w14:paraId="56F3D830" w14:textId="77777777" w:rsidR="00E041B6" w:rsidRPr="005A1DC6" w:rsidRDefault="00E041B6" w:rsidP="00FF62CC">
      <w:pPr>
        <w:pStyle w:val="CommentText"/>
        <w:numPr>
          <w:ilvl w:val="0"/>
          <w:numId w:val="82"/>
        </w:numPr>
        <w:spacing w:line="240" w:lineRule="auto"/>
        <w:rPr>
          <w:sz w:val="21"/>
          <w:szCs w:val="21"/>
        </w:rPr>
      </w:pPr>
      <w:r w:rsidRPr="005A1DC6">
        <w:rPr>
          <w:sz w:val="21"/>
          <w:szCs w:val="21"/>
        </w:rPr>
        <w:t xml:space="preserve">to identify actions/recommendations to improve the grants for the two-year extension (from 2019-20 to 2021-22); and </w:t>
      </w:r>
    </w:p>
    <w:p w14:paraId="63B97C88" w14:textId="77777777" w:rsidR="00E041B6" w:rsidRPr="005A1DC6" w:rsidRDefault="00E041B6" w:rsidP="00FF62CC">
      <w:pPr>
        <w:pStyle w:val="CommentText"/>
        <w:numPr>
          <w:ilvl w:val="0"/>
          <w:numId w:val="82"/>
        </w:numPr>
        <w:spacing w:line="240" w:lineRule="auto"/>
        <w:rPr>
          <w:sz w:val="21"/>
          <w:szCs w:val="21"/>
        </w:rPr>
      </w:pPr>
      <w:r w:rsidRPr="005A1DC6">
        <w:rPr>
          <w:sz w:val="21"/>
          <w:szCs w:val="21"/>
        </w:rPr>
        <w:t xml:space="preserve">to inform the design of a future investment in foundational education in Papua New Guinea, including recommendations on approaches to improving basic literacy and numeracy and what delivery modalities may be most effective. </w:t>
      </w:r>
    </w:p>
    <w:p w14:paraId="5DEB581A" w14:textId="77777777" w:rsidR="00E041B6" w:rsidRPr="005A1DC6" w:rsidRDefault="00E041B6" w:rsidP="00E041B6">
      <w:pPr>
        <w:spacing w:after="0" w:line="240" w:lineRule="auto"/>
        <w:rPr>
          <w:szCs w:val="21"/>
        </w:rPr>
      </w:pPr>
      <w:r w:rsidRPr="005A1DC6">
        <w:rPr>
          <w:szCs w:val="21"/>
        </w:rPr>
        <w:t>The review report will include sections on ‘lessons learned’ as well as a clear set of recommendations for future support by DFAT in foundational literacy and numeracy.</w:t>
      </w:r>
    </w:p>
    <w:p w14:paraId="289FD076" w14:textId="77777777" w:rsidR="00E041B6" w:rsidRPr="005A1DC6" w:rsidRDefault="00E041B6" w:rsidP="00E041B6">
      <w:pPr>
        <w:spacing w:after="0" w:line="240" w:lineRule="auto"/>
        <w:rPr>
          <w:szCs w:val="21"/>
        </w:rPr>
      </w:pPr>
    </w:p>
    <w:p w14:paraId="160D11BE" w14:textId="77777777" w:rsidR="00E041B6" w:rsidRPr="005A1DC6" w:rsidRDefault="00E041B6" w:rsidP="00FF62CC">
      <w:pPr>
        <w:pStyle w:val="ListParagraph"/>
        <w:numPr>
          <w:ilvl w:val="0"/>
          <w:numId w:val="79"/>
        </w:numPr>
        <w:spacing w:after="0" w:line="240" w:lineRule="auto"/>
        <w:contextualSpacing w:val="0"/>
        <w:rPr>
          <w:b/>
          <w:sz w:val="21"/>
          <w:szCs w:val="21"/>
          <w:lang w:val="en-AU"/>
        </w:rPr>
      </w:pPr>
      <w:r w:rsidRPr="005A1DC6">
        <w:rPr>
          <w:b/>
          <w:sz w:val="21"/>
          <w:szCs w:val="21"/>
          <w:lang w:val="en-AU"/>
        </w:rPr>
        <w:t xml:space="preserve">Background  </w:t>
      </w:r>
    </w:p>
    <w:p w14:paraId="0E6E5575" w14:textId="77777777" w:rsidR="00E041B6" w:rsidRPr="005A1DC6" w:rsidRDefault="00E041B6" w:rsidP="00E041B6">
      <w:pPr>
        <w:tabs>
          <w:tab w:val="num" w:pos="142"/>
        </w:tabs>
        <w:spacing w:after="0" w:line="240" w:lineRule="auto"/>
        <w:rPr>
          <w:szCs w:val="21"/>
        </w:rPr>
      </w:pPr>
    </w:p>
    <w:p w14:paraId="39D11C28" w14:textId="77777777" w:rsidR="00E041B6" w:rsidRPr="005A1DC6" w:rsidRDefault="00E041B6" w:rsidP="00E041B6">
      <w:pPr>
        <w:tabs>
          <w:tab w:val="num" w:pos="142"/>
        </w:tabs>
        <w:spacing w:after="0" w:line="240" w:lineRule="auto"/>
        <w:rPr>
          <w:szCs w:val="21"/>
        </w:rPr>
      </w:pPr>
      <w:r w:rsidRPr="005A1DC6">
        <w:rPr>
          <w:szCs w:val="21"/>
        </w:rPr>
        <w:t>The Papua New Guinea Partnership Fund (PPF) is an initiative of the Australian Government in partnership with the Government of Papua New Guinea (PNG). It is a grant mechanism set up to attract, identify and incentivise high-performing government and non-government organisations including consortia to deliver longer-term projects that are competitive and seek to maximise value for money. The purpose of the grants is to expand the reach and coverage of interventions in health and education that have the potential to deliver results at scale. The PPF features a range of approaches to support human development projects. These are:</w:t>
      </w:r>
    </w:p>
    <w:p w14:paraId="2631FC48" w14:textId="77777777" w:rsidR="00E041B6" w:rsidRPr="00445714" w:rsidRDefault="00E041B6" w:rsidP="00FF62CC">
      <w:pPr>
        <w:pStyle w:val="ListParagraph"/>
        <w:numPr>
          <w:ilvl w:val="0"/>
          <w:numId w:val="91"/>
        </w:numPr>
        <w:spacing w:after="0" w:line="240" w:lineRule="auto"/>
        <w:rPr>
          <w:szCs w:val="21"/>
        </w:rPr>
      </w:pPr>
      <w:r w:rsidRPr="00445714">
        <w:rPr>
          <w:szCs w:val="21"/>
        </w:rPr>
        <w:t>Innovative mechanisms that support a focus on achieving results;</w:t>
      </w:r>
    </w:p>
    <w:p w14:paraId="66A81026" w14:textId="77777777" w:rsidR="00E041B6" w:rsidRPr="00445714" w:rsidRDefault="00E041B6" w:rsidP="00FF62CC">
      <w:pPr>
        <w:pStyle w:val="ListParagraph"/>
        <w:numPr>
          <w:ilvl w:val="0"/>
          <w:numId w:val="91"/>
        </w:numPr>
        <w:spacing w:after="0" w:line="240" w:lineRule="auto"/>
        <w:rPr>
          <w:szCs w:val="21"/>
        </w:rPr>
      </w:pPr>
      <w:r w:rsidRPr="00445714">
        <w:rPr>
          <w:szCs w:val="21"/>
        </w:rPr>
        <w:t>Competitive funding, with the best proposals chosen from a range of proposals designed to achieve results;</w:t>
      </w:r>
    </w:p>
    <w:p w14:paraId="58807245" w14:textId="77777777" w:rsidR="00E041B6" w:rsidRPr="00445714" w:rsidRDefault="00E041B6" w:rsidP="00FF62CC">
      <w:pPr>
        <w:pStyle w:val="ListParagraph"/>
        <w:numPr>
          <w:ilvl w:val="0"/>
          <w:numId w:val="91"/>
        </w:numPr>
        <w:spacing w:after="0" w:line="240" w:lineRule="auto"/>
        <w:rPr>
          <w:szCs w:val="21"/>
        </w:rPr>
      </w:pPr>
      <w:r w:rsidRPr="00445714">
        <w:rPr>
          <w:szCs w:val="21"/>
        </w:rPr>
        <w:t>Partnerships of different entities, each with their own strengths and skills to contribute to achieving results; and</w:t>
      </w:r>
    </w:p>
    <w:p w14:paraId="52ACB38E" w14:textId="77777777" w:rsidR="00E041B6" w:rsidRPr="00445714" w:rsidRDefault="00E041B6" w:rsidP="00FF62CC">
      <w:pPr>
        <w:pStyle w:val="ListParagraph"/>
        <w:numPr>
          <w:ilvl w:val="0"/>
          <w:numId w:val="91"/>
        </w:numPr>
        <w:spacing w:after="0" w:line="240" w:lineRule="auto"/>
        <w:rPr>
          <w:szCs w:val="21"/>
        </w:rPr>
      </w:pPr>
      <w:r w:rsidRPr="00445714">
        <w:rPr>
          <w:szCs w:val="21"/>
        </w:rPr>
        <w:t>Large-scale interventions, facilitating extensive and substantive reach in service delivery with DFAT financing.</w:t>
      </w:r>
    </w:p>
    <w:p w14:paraId="46713D68" w14:textId="77777777" w:rsidR="00E041B6" w:rsidRPr="005A1DC6" w:rsidRDefault="00E041B6" w:rsidP="00E041B6">
      <w:pPr>
        <w:tabs>
          <w:tab w:val="num" w:pos="142"/>
        </w:tabs>
        <w:spacing w:after="0" w:line="240" w:lineRule="auto"/>
        <w:rPr>
          <w:szCs w:val="21"/>
        </w:rPr>
      </w:pPr>
    </w:p>
    <w:p w14:paraId="014D8B10" w14:textId="77777777" w:rsidR="00E041B6" w:rsidRPr="005A1DC6" w:rsidRDefault="00E041B6" w:rsidP="00E041B6">
      <w:pPr>
        <w:tabs>
          <w:tab w:val="num" w:pos="142"/>
        </w:tabs>
        <w:spacing w:after="0" w:line="240" w:lineRule="auto"/>
        <w:rPr>
          <w:szCs w:val="21"/>
        </w:rPr>
      </w:pPr>
      <w:r w:rsidRPr="005A1DC6">
        <w:rPr>
          <w:szCs w:val="21"/>
        </w:rPr>
        <w:t xml:space="preserve">The PPF was established in March 2017 and is implemented by </w:t>
      </w:r>
      <w:proofErr w:type="spellStart"/>
      <w:r w:rsidRPr="005A1DC6">
        <w:rPr>
          <w:szCs w:val="21"/>
        </w:rPr>
        <w:t>Abt</w:t>
      </w:r>
      <w:proofErr w:type="spellEnd"/>
      <w:r w:rsidRPr="005A1DC6">
        <w:rPr>
          <w:szCs w:val="21"/>
        </w:rPr>
        <w:t xml:space="preserve"> Associates through the PNG-Australia Governance Partnership. </w:t>
      </w:r>
    </w:p>
    <w:p w14:paraId="16DC94D8" w14:textId="77777777" w:rsidR="00E041B6" w:rsidRPr="005A1DC6" w:rsidRDefault="00E041B6" w:rsidP="00E041B6">
      <w:pPr>
        <w:tabs>
          <w:tab w:val="num" w:pos="142"/>
        </w:tabs>
        <w:spacing w:after="0" w:line="240" w:lineRule="auto"/>
        <w:rPr>
          <w:szCs w:val="21"/>
        </w:rPr>
      </w:pPr>
    </w:p>
    <w:p w14:paraId="2746E682" w14:textId="77777777" w:rsidR="00E041B6" w:rsidRPr="005A1DC6" w:rsidRDefault="00E041B6" w:rsidP="00E041B6">
      <w:pPr>
        <w:tabs>
          <w:tab w:val="num" w:pos="142"/>
        </w:tabs>
        <w:spacing w:after="0" w:line="240" w:lineRule="auto"/>
        <w:rPr>
          <w:szCs w:val="21"/>
        </w:rPr>
      </w:pPr>
      <w:r w:rsidRPr="005A1DC6">
        <w:rPr>
          <w:szCs w:val="21"/>
        </w:rPr>
        <w:t xml:space="preserve">The subject of this review is the three PPF grants to education consortia which are working with the National Department of Education (NDoE) and respective provincial authorities to improve literacy and numeracy in the early grades of schools (AUD 47 million over three years). The grants align with the National Education Plan’s focus areas of teacher and teaching, learning, local management and systems strengthening. They are an integral part of the AHC Education and Leadership Portfolio and are the main contributing factor to </w:t>
      </w:r>
      <w:r w:rsidRPr="005A1DC6">
        <w:rPr>
          <w:i/>
          <w:szCs w:val="21"/>
        </w:rPr>
        <w:t>Outcome 1: girls and boys in targeted provinces/schools have improved early grade literacy and numerac</w:t>
      </w:r>
      <w:r w:rsidRPr="005A1DC6">
        <w:rPr>
          <w:szCs w:val="21"/>
        </w:rPr>
        <w:t xml:space="preserve">y of the Education and Leadership Portfolio Plan (ELPP). </w:t>
      </w:r>
    </w:p>
    <w:p w14:paraId="6605C581" w14:textId="77777777" w:rsidR="00E041B6" w:rsidRPr="005A1DC6" w:rsidRDefault="00E041B6" w:rsidP="00E041B6">
      <w:pPr>
        <w:tabs>
          <w:tab w:val="num" w:pos="142"/>
        </w:tabs>
        <w:spacing w:after="0" w:line="240" w:lineRule="auto"/>
        <w:rPr>
          <w:szCs w:val="21"/>
        </w:rPr>
      </w:pPr>
    </w:p>
    <w:p w14:paraId="0676D7DF" w14:textId="77777777" w:rsidR="00E041B6" w:rsidRPr="005A1DC6" w:rsidRDefault="00E041B6" w:rsidP="00E041B6">
      <w:pPr>
        <w:keepNext/>
        <w:tabs>
          <w:tab w:val="num" w:pos="142"/>
        </w:tabs>
        <w:spacing w:after="0" w:line="240" w:lineRule="auto"/>
        <w:rPr>
          <w:szCs w:val="21"/>
        </w:rPr>
      </w:pPr>
      <w:r w:rsidRPr="005A1DC6">
        <w:rPr>
          <w:szCs w:val="21"/>
        </w:rPr>
        <w:lastRenderedPageBreak/>
        <w:t>The three education grants are:</w:t>
      </w:r>
    </w:p>
    <w:p w14:paraId="18443452" w14:textId="77777777" w:rsidR="00E041B6" w:rsidRPr="005A1DC6" w:rsidRDefault="00E041B6" w:rsidP="00FF62CC">
      <w:pPr>
        <w:pStyle w:val="ListParagraph"/>
        <w:keepNext/>
        <w:numPr>
          <w:ilvl w:val="0"/>
          <w:numId w:val="90"/>
        </w:numPr>
        <w:spacing w:after="0" w:line="240" w:lineRule="auto"/>
        <w:contextualSpacing w:val="0"/>
        <w:rPr>
          <w:sz w:val="21"/>
          <w:szCs w:val="21"/>
          <w:lang w:val="en-AU"/>
        </w:rPr>
      </w:pPr>
      <w:r w:rsidRPr="005A1DC6">
        <w:rPr>
          <w:sz w:val="21"/>
          <w:szCs w:val="21"/>
          <w:lang w:val="en-AU"/>
        </w:rPr>
        <w:t xml:space="preserve">A partnership with Save the Children (lead), Summer Institute of Linguistics and Callan’s Services, </w:t>
      </w:r>
      <w:r w:rsidRPr="005A1DC6">
        <w:rPr>
          <w:sz w:val="21"/>
          <w:szCs w:val="21"/>
          <w:u w:val="single"/>
          <w:lang w:val="en-AU"/>
        </w:rPr>
        <w:t>Rapidly Improving Standards in Education</w:t>
      </w:r>
      <w:r w:rsidRPr="005A1DC6">
        <w:rPr>
          <w:sz w:val="21"/>
          <w:szCs w:val="21"/>
          <w:lang w:val="en-AU"/>
        </w:rPr>
        <w:t xml:space="preserve"> (RISE) is working in the Autonomous Region of Bougainville, East Sepik and Eastern Highlands. (Total contract value AUD 18,039,129)</w:t>
      </w:r>
    </w:p>
    <w:p w14:paraId="0B97EB02" w14:textId="77777777" w:rsidR="00E041B6" w:rsidRPr="005A1DC6" w:rsidRDefault="00E041B6" w:rsidP="00FF62CC">
      <w:pPr>
        <w:pStyle w:val="ListParagraph"/>
        <w:numPr>
          <w:ilvl w:val="0"/>
          <w:numId w:val="90"/>
        </w:numPr>
        <w:spacing w:after="0" w:line="240" w:lineRule="auto"/>
        <w:contextualSpacing w:val="0"/>
        <w:rPr>
          <w:sz w:val="21"/>
          <w:szCs w:val="21"/>
          <w:lang w:val="en-AU"/>
        </w:rPr>
      </w:pPr>
      <w:r w:rsidRPr="005A1DC6">
        <w:rPr>
          <w:sz w:val="21"/>
          <w:szCs w:val="21"/>
          <w:lang w:val="en-AU"/>
        </w:rPr>
        <w:t xml:space="preserve">A partnership with World Vision (lead), Child Fund, Consultative Implementation and Monitoring Council and the University of Canberra, </w:t>
      </w:r>
      <w:r w:rsidRPr="005A1DC6">
        <w:rPr>
          <w:sz w:val="21"/>
          <w:szCs w:val="21"/>
          <w:u w:val="single"/>
          <w:lang w:val="en-AU"/>
        </w:rPr>
        <w:t>Together for Education</w:t>
      </w:r>
      <w:r w:rsidRPr="005A1DC6">
        <w:rPr>
          <w:sz w:val="21"/>
          <w:szCs w:val="21"/>
          <w:lang w:val="en-AU"/>
        </w:rPr>
        <w:t xml:space="preserve"> (T4E) is working in Central, Madang and </w:t>
      </w:r>
      <w:proofErr w:type="spellStart"/>
      <w:r w:rsidRPr="005A1DC6">
        <w:rPr>
          <w:sz w:val="21"/>
          <w:szCs w:val="21"/>
          <w:lang w:val="en-AU"/>
        </w:rPr>
        <w:t>Morobe</w:t>
      </w:r>
      <w:proofErr w:type="spellEnd"/>
      <w:r w:rsidRPr="005A1DC6">
        <w:rPr>
          <w:sz w:val="21"/>
          <w:szCs w:val="21"/>
          <w:lang w:val="en-AU"/>
        </w:rPr>
        <w:t xml:space="preserve"> </w:t>
      </w:r>
    </w:p>
    <w:p w14:paraId="5E1F6E90" w14:textId="77777777" w:rsidR="00E041B6" w:rsidRPr="005A1DC6" w:rsidRDefault="00E041B6" w:rsidP="00FF62CC">
      <w:pPr>
        <w:pStyle w:val="ListParagraph"/>
        <w:numPr>
          <w:ilvl w:val="1"/>
          <w:numId w:val="90"/>
        </w:numPr>
        <w:rPr>
          <w:sz w:val="21"/>
          <w:szCs w:val="21"/>
          <w:lang w:val="en-AU"/>
        </w:rPr>
      </w:pPr>
      <w:r w:rsidRPr="005A1DC6">
        <w:rPr>
          <w:sz w:val="21"/>
          <w:szCs w:val="21"/>
          <w:lang w:val="en-AU"/>
        </w:rPr>
        <w:t>(AUD 14,095,995); and</w:t>
      </w:r>
    </w:p>
    <w:p w14:paraId="76E1650C" w14:textId="77777777" w:rsidR="00E041B6" w:rsidRPr="005A1DC6" w:rsidRDefault="00E041B6" w:rsidP="00FF62CC">
      <w:pPr>
        <w:pStyle w:val="ListParagraph"/>
        <w:numPr>
          <w:ilvl w:val="0"/>
          <w:numId w:val="90"/>
        </w:numPr>
        <w:spacing w:after="0" w:line="240" w:lineRule="auto"/>
        <w:contextualSpacing w:val="0"/>
        <w:rPr>
          <w:sz w:val="21"/>
          <w:szCs w:val="21"/>
          <w:lang w:val="en-AU"/>
        </w:rPr>
      </w:pPr>
      <w:r w:rsidRPr="005A1DC6">
        <w:rPr>
          <w:sz w:val="21"/>
          <w:szCs w:val="21"/>
          <w:lang w:val="en-AU"/>
        </w:rPr>
        <w:t xml:space="preserve">A partnership with Care Australia (lead), Adventist Development Relief Agency, University of Goroka, Queensland University of Technology and Church Education Agency, </w:t>
      </w:r>
      <w:proofErr w:type="spellStart"/>
      <w:r w:rsidRPr="005A1DC6">
        <w:rPr>
          <w:sz w:val="21"/>
          <w:szCs w:val="21"/>
          <w:u w:val="single"/>
          <w:lang w:val="en-AU"/>
        </w:rPr>
        <w:t>Pikinini</w:t>
      </w:r>
      <w:proofErr w:type="spellEnd"/>
      <w:r w:rsidRPr="005A1DC6">
        <w:rPr>
          <w:sz w:val="21"/>
          <w:szCs w:val="21"/>
          <w:u w:val="single"/>
          <w:lang w:val="en-AU"/>
        </w:rPr>
        <w:t xml:space="preserve"> </w:t>
      </w:r>
      <w:proofErr w:type="spellStart"/>
      <w:r w:rsidRPr="005A1DC6">
        <w:rPr>
          <w:sz w:val="21"/>
          <w:szCs w:val="21"/>
          <w:u w:val="single"/>
          <w:lang w:val="en-AU"/>
        </w:rPr>
        <w:t>Kisim</w:t>
      </w:r>
      <w:proofErr w:type="spellEnd"/>
      <w:r w:rsidRPr="005A1DC6">
        <w:rPr>
          <w:sz w:val="21"/>
          <w:szCs w:val="21"/>
          <w:u w:val="single"/>
          <w:lang w:val="en-AU"/>
        </w:rPr>
        <w:t xml:space="preserve"> Save</w:t>
      </w:r>
      <w:r w:rsidRPr="005A1DC6">
        <w:rPr>
          <w:sz w:val="21"/>
          <w:szCs w:val="21"/>
          <w:lang w:val="en-AU"/>
        </w:rPr>
        <w:t xml:space="preserve"> (PKS) is working in West New Britain, </w:t>
      </w:r>
      <w:proofErr w:type="spellStart"/>
      <w:r w:rsidRPr="005A1DC6">
        <w:rPr>
          <w:sz w:val="21"/>
          <w:szCs w:val="21"/>
          <w:lang w:val="en-AU"/>
        </w:rPr>
        <w:t>Jiwaka</w:t>
      </w:r>
      <w:proofErr w:type="spellEnd"/>
      <w:r w:rsidRPr="005A1DC6">
        <w:rPr>
          <w:sz w:val="21"/>
          <w:szCs w:val="21"/>
          <w:lang w:val="en-AU"/>
        </w:rPr>
        <w:t xml:space="preserve">, Western Highlands and </w:t>
      </w:r>
      <w:proofErr w:type="spellStart"/>
      <w:r w:rsidRPr="005A1DC6">
        <w:rPr>
          <w:sz w:val="21"/>
          <w:szCs w:val="21"/>
          <w:lang w:val="en-AU"/>
        </w:rPr>
        <w:t>Simbu</w:t>
      </w:r>
      <w:proofErr w:type="spellEnd"/>
      <w:r w:rsidRPr="005A1DC6">
        <w:rPr>
          <w:sz w:val="21"/>
          <w:szCs w:val="21"/>
          <w:lang w:val="en-AU"/>
        </w:rPr>
        <w:t xml:space="preserve"> (AUD 15,000,000).</w:t>
      </w:r>
    </w:p>
    <w:p w14:paraId="3FEE7C4A" w14:textId="77777777" w:rsidR="00E041B6" w:rsidRPr="005A1DC6" w:rsidRDefault="00E041B6" w:rsidP="00E041B6">
      <w:pPr>
        <w:tabs>
          <w:tab w:val="num" w:pos="142"/>
        </w:tabs>
        <w:spacing w:after="0" w:line="240" w:lineRule="auto"/>
        <w:rPr>
          <w:szCs w:val="21"/>
        </w:rPr>
      </w:pPr>
    </w:p>
    <w:p w14:paraId="3B22F155" w14:textId="77777777" w:rsidR="00E041B6" w:rsidRPr="005A1DC6" w:rsidRDefault="00E041B6" w:rsidP="00E041B6">
      <w:pPr>
        <w:tabs>
          <w:tab w:val="num" w:pos="142"/>
        </w:tabs>
        <w:spacing w:after="0" w:line="240" w:lineRule="auto"/>
        <w:rPr>
          <w:szCs w:val="21"/>
        </w:rPr>
      </w:pPr>
      <w:r w:rsidRPr="005A1DC6">
        <w:rPr>
          <w:szCs w:val="21"/>
        </w:rPr>
        <w:t xml:space="preserve">RISE has a focus area on Early Childhood Development which falls under the responsibility of the Department of Community Development and Religion. </w:t>
      </w:r>
    </w:p>
    <w:p w14:paraId="46912A89" w14:textId="77777777" w:rsidR="00E041B6" w:rsidRPr="005A1DC6" w:rsidRDefault="00E041B6" w:rsidP="00E041B6">
      <w:pPr>
        <w:tabs>
          <w:tab w:val="num" w:pos="142"/>
        </w:tabs>
        <w:spacing w:after="0" w:line="240" w:lineRule="auto"/>
        <w:rPr>
          <w:szCs w:val="21"/>
        </w:rPr>
      </w:pPr>
    </w:p>
    <w:p w14:paraId="4A19AFBF" w14:textId="77777777" w:rsidR="00E041B6" w:rsidRPr="005A1DC6" w:rsidRDefault="00E041B6" w:rsidP="00E041B6">
      <w:pPr>
        <w:tabs>
          <w:tab w:val="num" w:pos="142"/>
        </w:tabs>
        <w:spacing w:after="0" w:line="240" w:lineRule="auto"/>
        <w:rPr>
          <w:szCs w:val="21"/>
        </w:rPr>
      </w:pPr>
      <w:r w:rsidRPr="005A1DC6">
        <w:rPr>
          <w:szCs w:val="21"/>
        </w:rPr>
        <w:t>RISE and T4E commenced mobilisation in June 2017 and implementation in January 2018. PKS commenced mobilisation in March 2018 and implementation in September 2018. All three spent a large part of the initial implementation phase on baseline surveys as there was no baseline data on learning outcomes that could be drawn from.</w:t>
      </w:r>
    </w:p>
    <w:p w14:paraId="56781464" w14:textId="77777777" w:rsidR="00E041B6" w:rsidRPr="005A1DC6" w:rsidRDefault="00E041B6" w:rsidP="00E041B6">
      <w:pPr>
        <w:tabs>
          <w:tab w:val="num" w:pos="142"/>
        </w:tabs>
        <w:spacing w:after="0" w:line="240" w:lineRule="auto"/>
        <w:rPr>
          <w:szCs w:val="21"/>
        </w:rPr>
      </w:pPr>
    </w:p>
    <w:p w14:paraId="57B330A5" w14:textId="0939A757" w:rsidR="00E041B6" w:rsidRPr="005A1DC6" w:rsidRDefault="00E041B6" w:rsidP="00E041B6">
      <w:pPr>
        <w:tabs>
          <w:tab w:val="num" w:pos="142"/>
        </w:tabs>
        <w:spacing w:after="0" w:line="240" w:lineRule="auto"/>
        <w:rPr>
          <w:szCs w:val="21"/>
        </w:rPr>
      </w:pPr>
      <w:r w:rsidRPr="005A1DC6">
        <w:rPr>
          <w:szCs w:val="21"/>
        </w:rPr>
        <w:t xml:space="preserve">DFAT has been working with NDoE on the investment design Education for Prosperity (E4P) to enable PNG children in target areas to gain essential literacy and numeracy skills for further learning and life opportunities. It is anticipated that E4P will draw on approaches developed by PPF over the 5 years from 2020-21 at least. </w:t>
      </w:r>
    </w:p>
    <w:p w14:paraId="105E0E80" w14:textId="77777777" w:rsidR="00E041B6" w:rsidRPr="005A1DC6" w:rsidRDefault="00E041B6" w:rsidP="00E041B6">
      <w:pPr>
        <w:tabs>
          <w:tab w:val="num" w:pos="142"/>
        </w:tabs>
        <w:spacing w:after="0" w:line="240" w:lineRule="auto"/>
        <w:rPr>
          <w:szCs w:val="21"/>
        </w:rPr>
      </w:pPr>
    </w:p>
    <w:p w14:paraId="64A2B0E3" w14:textId="77777777" w:rsidR="00445714" w:rsidRPr="00FA288E" w:rsidRDefault="00445714" w:rsidP="00445714">
      <w:pPr>
        <w:keepNext/>
        <w:tabs>
          <w:tab w:val="num" w:pos="142"/>
        </w:tabs>
        <w:spacing w:after="0" w:line="240" w:lineRule="auto"/>
      </w:pPr>
      <w:r w:rsidRPr="00FA288E">
        <w:rPr>
          <w:noProof/>
          <w:sz w:val="24"/>
          <w:lang w:eastAsia="en-AU"/>
        </w:rPr>
        <w:drawing>
          <wp:inline distT="0" distB="0" distL="0" distR="0" wp14:anchorId="612F4774" wp14:editId="6DD5101E">
            <wp:extent cx="6096000" cy="3676650"/>
            <wp:effectExtent l="0" t="0" r="0" b="0"/>
            <wp:docPr id="5" name="Picture 5" descr="Figure 1 shows a map of Papua New Guinea's provinces, showing the locations of Save the Children, World Vision and CAR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0420" cy="3679316"/>
                    </a:xfrm>
                    <a:prstGeom prst="rect">
                      <a:avLst/>
                    </a:prstGeom>
                    <a:noFill/>
                  </pic:spPr>
                </pic:pic>
              </a:graphicData>
            </a:graphic>
          </wp:inline>
        </w:drawing>
      </w:r>
    </w:p>
    <w:p w14:paraId="5068D7E5" w14:textId="77777777" w:rsidR="00445714" w:rsidRPr="00445714" w:rsidRDefault="00445714" w:rsidP="00445714">
      <w:pPr>
        <w:pStyle w:val="Caption"/>
        <w:rPr>
          <w:b w:val="0"/>
          <w:color w:val="auto"/>
          <w:sz w:val="24"/>
          <w:szCs w:val="24"/>
          <w:lang w:val="en-AU"/>
        </w:rPr>
      </w:pPr>
      <w:r w:rsidRPr="00445714">
        <w:rPr>
          <w:color w:val="auto"/>
          <w:sz w:val="24"/>
          <w:szCs w:val="24"/>
          <w:lang w:val="en-AU"/>
        </w:rPr>
        <w:t xml:space="preserve">Figure </w:t>
      </w:r>
      <w:r w:rsidRPr="00445714">
        <w:rPr>
          <w:b w:val="0"/>
          <w:color w:val="auto"/>
          <w:sz w:val="24"/>
          <w:szCs w:val="24"/>
          <w:lang w:val="en-AU"/>
        </w:rPr>
        <w:fldChar w:fldCharType="begin"/>
      </w:r>
      <w:r w:rsidRPr="00445714">
        <w:rPr>
          <w:color w:val="auto"/>
          <w:sz w:val="24"/>
          <w:szCs w:val="24"/>
          <w:lang w:val="en-AU"/>
        </w:rPr>
        <w:instrText xml:space="preserve"> SEQ Figure \* ARABIC </w:instrText>
      </w:r>
      <w:r w:rsidRPr="00445714">
        <w:rPr>
          <w:b w:val="0"/>
          <w:color w:val="auto"/>
          <w:sz w:val="24"/>
          <w:szCs w:val="24"/>
          <w:lang w:val="en-AU"/>
        </w:rPr>
        <w:fldChar w:fldCharType="separate"/>
      </w:r>
      <w:r w:rsidRPr="00445714">
        <w:rPr>
          <w:noProof/>
          <w:color w:val="auto"/>
          <w:sz w:val="24"/>
          <w:szCs w:val="24"/>
          <w:lang w:val="en-AU"/>
        </w:rPr>
        <w:t>1</w:t>
      </w:r>
      <w:r w:rsidRPr="00445714">
        <w:rPr>
          <w:b w:val="0"/>
          <w:color w:val="auto"/>
          <w:sz w:val="24"/>
          <w:szCs w:val="24"/>
          <w:lang w:val="en-AU"/>
        </w:rPr>
        <w:fldChar w:fldCharType="end"/>
      </w:r>
      <w:r w:rsidRPr="00445714">
        <w:rPr>
          <w:color w:val="auto"/>
          <w:sz w:val="24"/>
          <w:szCs w:val="24"/>
          <w:lang w:val="en-AU"/>
        </w:rPr>
        <w:t xml:space="preserve"> Location of PPF grant activities</w:t>
      </w:r>
    </w:p>
    <w:p w14:paraId="035EEED7" w14:textId="741855DB" w:rsidR="00E041B6" w:rsidRPr="005A1DC6" w:rsidRDefault="00E041B6" w:rsidP="00E041B6">
      <w:pPr>
        <w:rPr>
          <w:b/>
          <w:szCs w:val="21"/>
        </w:rPr>
      </w:pPr>
    </w:p>
    <w:p w14:paraId="21732AD3" w14:textId="7709B8F5" w:rsidR="00E041B6" w:rsidRDefault="00E041B6" w:rsidP="00E041B6">
      <w:pPr>
        <w:tabs>
          <w:tab w:val="num" w:pos="142"/>
        </w:tabs>
        <w:spacing w:after="0" w:line="240" w:lineRule="auto"/>
        <w:rPr>
          <w:sz w:val="24"/>
        </w:rPr>
      </w:pPr>
    </w:p>
    <w:p w14:paraId="4B097A90" w14:textId="77777777" w:rsidR="00445714" w:rsidRPr="00FA288E" w:rsidRDefault="00445714" w:rsidP="00E041B6">
      <w:pPr>
        <w:tabs>
          <w:tab w:val="num" w:pos="142"/>
        </w:tabs>
        <w:spacing w:after="0" w:line="240" w:lineRule="auto"/>
        <w:rPr>
          <w:sz w:val="24"/>
        </w:rPr>
      </w:pPr>
    </w:p>
    <w:p w14:paraId="5A3E94BA" w14:textId="77777777" w:rsidR="00E041B6" w:rsidRPr="005A1DC6" w:rsidRDefault="00E041B6" w:rsidP="00FF62CC">
      <w:pPr>
        <w:pStyle w:val="ListParagraph"/>
        <w:numPr>
          <w:ilvl w:val="0"/>
          <w:numId w:val="79"/>
        </w:numPr>
        <w:spacing w:after="0" w:line="240" w:lineRule="auto"/>
        <w:contextualSpacing w:val="0"/>
        <w:rPr>
          <w:rFonts w:asciiTheme="majorHAnsi" w:hAnsiTheme="majorHAnsi" w:cstheme="majorHAnsi"/>
          <w:b/>
          <w:sz w:val="21"/>
          <w:szCs w:val="21"/>
          <w:lang w:val="en-AU"/>
        </w:rPr>
      </w:pPr>
      <w:r w:rsidRPr="005A1DC6">
        <w:rPr>
          <w:rFonts w:asciiTheme="majorHAnsi" w:hAnsiTheme="majorHAnsi" w:cstheme="majorHAnsi"/>
          <w:b/>
          <w:sz w:val="21"/>
          <w:szCs w:val="21"/>
          <w:lang w:val="en-AU"/>
        </w:rPr>
        <w:lastRenderedPageBreak/>
        <w:t xml:space="preserve">Key questions and scope of the Mid-Term Review </w:t>
      </w:r>
    </w:p>
    <w:p w14:paraId="2DDC86A0" w14:textId="77777777" w:rsidR="00E041B6" w:rsidRPr="005A1DC6" w:rsidRDefault="00E041B6" w:rsidP="00E041B6">
      <w:pPr>
        <w:spacing w:after="0" w:line="240" w:lineRule="auto"/>
        <w:rPr>
          <w:rFonts w:asciiTheme="majorHAnsi" w:hAnsiTheme="majorHAnsi" w:cstheme="majorHAnsi"/>
          <w:szCs w:val="21"/>
        </w:rPr>
      </w:pPr>
    </w:p>
    <w:p w14:paraId="002586EA" w14:textId="03D5998C"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To address its purpose, the mid-term review will consider the key questions outlined in the table below</w:t>
      </w:r>
      <w:r w:rsidR="00445714">
        <w:rPr>
          <w:rFonts w:asciiTheme="majorHAnsi" w:hAnsiTheme="majorHAnsi" w:cstheme="majorHAnsi"/>
          <w:szCs w:val="21"/>
        </w:rPr>
        <w:t>.</w:t>
      </w:r>
      <w:r w:rsidRPr="005A1DC6">
        <w:rPr>
          <w:rStyle w:val="FootnoteReference"/>
          <w:rFonts w:asciiTheme="majorHAnsi" w:hAnsiTheme="majorHAnsi" w:cstheme="majorHAnsi"/>
          <w:szCs w:val="21"/>
        </w:rPr>
        <w:footnoteReference w:id="89"/>
      </w:r>
      <w:r w:rsidRPr="005A1DC6">
        <w:rPr>
          <w:rFonts w:asciiTheme="majorHAnsi" w:hAnsiTheme="majorHAnsi" w:cstheme="majorHAnsi"/>
          <w:szCs w:val="21"/>
        </w:rPr>
        <w:t xml:space="preserve"> </w:t>
      </w:r>
    </w:p>
    <w:p w14:paraId="3AB569DE" w14:textId="77777777" w:rsidR="00E041B6" w:rsidRPr="005A1DC6" w:rsidRDefault="00E041B6" w:rsidP="00E041B6">
      <w:pPr>
        <w:spacing w:after="0" w:line="240" w:lineRule="auto"/>
        <w:rPr>
          <w:rFonts w:asciiTheme="majorHAnsi" w:hAnsiTheme="majorHAnsi" w:cstheme="majorHAnsi"/>
          <w:szCs w:val="21"/>
        </w:rPr>
      </w:pPr>
    </w:p>
    <w:tbl>
      <w:tblPr>
        <w:tblStyle w:val="TableGrid"/>
        <w:tblW w:w="0" w:type="auto"/>
        <w:tblInd w:w="0" w:type="dxa"/>
        <w:tblLook w:val="04A0" w:firstRow="1" w:lastRow="0" w:firstColumn="1" w:lastColumn="0" w:noHBand="0" w:noVBand="1"/>
        <w:tblCaption w:val="Evaluation questions"/>
        <w:tblDescription w:val="1. Considering the stage of their implementation, how effective have the grants been in improving literacy and numeracy against the agreed monitoring and evaluation plans - including for girls and boys and children with disabilities? Indicative secondary questions include: To what extent are the grant targets being achieved or likely to be achieved? &#10;Is a monitoring and evaluation system being used to effectively measure the grants progress - including for gender and disability inclusiveness? Specifically are the data and the assessment tools for monitoring teacher and student progress effective? Are modifications to indicators/outcomes recommended for the extension period (including for gender)? Is it appropriate for a shared monitoring and evaluation model to be trialled across the consortia? Is it possible to implement common indicator/s or outcome/s across the three projects in the extension phase? If yes, what would they be? &#10;2. Have the different approaches to improving literacy and numeracy taken across the three grants been successful and are there any that should be shared, improved, modified, extended or stopped? Indicative secondary questions include: How has innovation been applied in the grant approaches?  What has been successful or not successful, and why? How could approaches that are successful, or which have good potential, be improved, adapted or replicated during the extension? What are the relevant lessons for the E4P or PNG Government? Are there potential benefits in continuing the PPF grant mechanism as a separate funding stream to 2021 and beyond vis-a-vis absorbing PPF activities under E4P (novating)? 3. What if any approaches of the PPF program have been successful in directly or indirectly influencing GoPNG policies and practices. Indicative secondary questions include: To what extent and how have the programs been able to build relationships and influence policy at district, province or national level in different political, social and geographic contexts? Could successful strategies be reshaped or extended under PPF or E4P? How have financing and sustainability considerations driven the grant’s implementation choices with a view of replication? To what extent are the programs aligned to existing PNG policies e.g. Standards Based Curricula etc.)? What are recommendations for focus in the extension period to embed institutionalisation and to promote scalability? 4. Is the management of the grants efficient? Indicative secondary questions include: To what extent are the projects being implemented on time and in a cost efficient way? Has the consortia model been efficient and could the coherence of the approach be improved? Have the grants adequately promoted the PNG-Aus Partnership?  What lessons could be learnt to improve efficiency of communications and branding of the PNG-Aus Partnership?"/>
      </w:tblPr>
      <w:tblGrid>
        <w:gridCol w:w="3823"/>
        <w:gridCol w:w="5193"/>
      </w:tblGrid>
      <w:tr w:rsidR="00E041B6" w:rsidRPr="005A1DC6" w14:paraId="703D37DF" w14:textId="77777777" w:rsidTr="00C72286">
        <w:trPr>
          <w:tblHeader/>
        </w:trPr>
        <w:tc>
          <w:tcPr>
            <w:tcW w:w="3823" w:type="dxa"/>
            <w:shd w:val="clear" w:color="auto" w:fill="262626" w:themeFill="text1" w:themeFillTint="D9"/>
          </w:tcPr>
          <w:p w14:paraId="5CAB3F97" w14:textId="77777777" w:rsidR="00E041B6" w:rsidRPr="005A1DC6" w:rsidRDefault="00E041B6" w:rsidP="00AC247A">
            <w:pPr>
              <w:rPr>
                <w:rFonts w:asciiTheme="majorHAnsi" w:hAnsiTheme="majorHAnsi" w:cstheme="majorHAnsi"/>
                <w:b/>
                <w:szCs w:val="21"/>
                <w:lang w:val="en-AU"/>
              </w:rPr>
            </w:pPr>
            <w:r w:rsidRPr="005A1DC6">
              <w:rPr>
                <w:rFonts w:asciiTheme="majorHAnsi" w:hAnsiTheme="majorHAnsi" w:cstheme="majorHAnsi"/>
                <w:b/>
                <w:szCs w:val="21"/>
                <w:lang w:val="en-AU"/>
              </w:rPr>
              <w:t xml:space="preserve">Key evaluation questions </w:t>
            </w:r>
          </w:p>
        </w:tc>
        <w:tc>
          <w:tcPr>
            <w:tcW w:w="5193" w:type="dxa"/>
            <w:shd w:val="clear" w:color="auto" w:fill="262626" w:themeFill="text1" w:themeFillTint="D9"/>
          </w:tcPr>
          <w:p w14:paraId="30B37932" w14:textId="77777777" w:rsidR="00E041B6" w:rsidRPr="005A1DC6" w:rsidRDefault="00E041B6" w:rsidP="00AC247A">
            <w:pPr>
              <w:rPr>
                <w:rFonts w:asciiTheme="majorHAnsi" w:hAnsiTheme="majorHAnsi" w:cstheme="majorHAnsi"/>
                <w:b/>
                <w:szCs w:val="21"/>
                <w:lang w:val="en-AU"/>
              </w:rPr>
            </w:pPr>
            <w:r w:rsidRPr="005A1DC6">
              <w:rPr>
                <w:rFonts w:asciiTheme="majorHAnsi" w:hAnsiTheme="majorHAnsi" w:cstheme="majorHAnsi"/>
                <w:b/>
                <w:i/>
                <w:szCs w:val="21"/>
                <w:lang w:val="en-AU"/>
              </w:rPr>
              <w:t>Indicative</w:t>
            </w:r>
            <w:r w:rsidRPr="005A1DC6">
              <w:rPr>
                <w:rFonts w:asciiTheme="majorHAnsi" w:hAnsiTheme="majorHAnsi" w:cstheme="majorHAnsi"/>
                <w:b/>
                <w:szCs w:val="21"/>
                <w:lang w:val="en-AU"/>
              </w:rPr>
              <w:t xml:space="preserve"> secondary questions</w:t>
            </w:r>
          </w:p>
        </w:tc>
      </w:tr>
      <w:tr w:rsidR="00E041B6" w:rsidRPr="005A1DC6" w14:paraId="13FB29FA" w14:textId="77777777" w:rsidTr="00C72286">
        <w:tc>
          <w:tcPr>
            <w:tcW w:w="3823" w:type="dxa"/>
          </w:tcPr>
          <w:p w14:paraId="77955580" w14:textId="77777777" w:rsidR="00E041B6" w:rsidRPr="005A1DC6" w:rsidRDefault="00E041B6" w:rsidP="00AC247A">
            <w:pPr>
              <w:rPr>
                <w:rFonts w:asciiTheme="majorHAnsi" w:hAnsiTheme="majorHAnsi" w:cstheme="majorHAnsi"/>
                <w:szCs w:val="21"/>
                <w:lang w:val="en-AU"/>
              </w:rPr>
            </w:pPr>
            <w:r w:rsidRPr="005A1DC6">
              <w:rPr>
                <w:rFonts w:asciiTheme="majorHAnsi" w:hAnsiTheme="majorHAnsi" w:cstheme="majorHAnsi"/>
                <w:szCs w:val="21"/>
                <w:lang w:val="en-AU"/>
              </w:rPr>
              <w:t xml:space="preserve">1. Considering the stage of their implementation, how </w:t>
            </w:r>
            <w:r w:rsidRPr="005A1DC6">
              <w:rPr>
                <w:rFonts w:asciiTheme="majorHAnsi" w:hAnsiTheme="majorHAnsi" w:cstheme="majorHAnsi"/>
                <w:b/>
                <w:szCs w:val="21"/>
                <w:u w:val="single"/>
                <w:lang w:val="en-AU"/>
              </w:rPr>
              <w:t>effective</w:t>
            </w:r>
            <w:r w:rsidRPr="005A1DC6">
              <w:rPr>
                <w:rFonts w:asciiTheme="majorHAnsi" w:hAnsiTheme="majorHAnsi" w:cstheme="majorHAnsi"/>
                <w:szCs w:val="21"/>
                <w:lang w:val="en-AU"/>
              </w:rPr>
              <w:t xml:space="preserve"> have the grants been in improving literacy and numeracy against the agreed </w:t>
            </w:r>
            <w:r w:rsidRPr="005A1DC6">
              <w:rPr>
                <w:rFonts w:asciiTheme="majorHAnsi" w:hAnsiTheme="majorHAnsi" w:cstheme="majorHAnsi"/>
                <w:b/>
                <w:szCs w:val="21"/>
                <w:u w:val="single"/>
                <w:lang w:val="en-AU"/>
              </w:rPr>
              <w:t>monitoring and evaluation</w:t>
            </w:r>
            <w:r w:rsidRPr="005A1DC6">
              <w:rPr>
                <w:rFonts w:asciiTheme="majorHAnsi" w:hAnsiTheme="majorHAnsi" w:cstheme="majorHAnsi"/>
                <w:szCs w:val="21"/>
                <w:lang w:val="en-AU"/>
              </w:rPr>
              <w:t xml:space="preserve"> plans - including for girls and boys and children with disabilities? </w:t>
            </w:r>
          </w:p>
          <w:p w14:paraId="36FE1A7E" w14:textId="77777777" w:rsidR="00E041B6" w:rsidRPr="005A1DC6" w:rsidRDefault="00E041B6" w:rsidP="00AC247A">
            <w:pPr>
              <w:rPr>
                <w:rFonts w:asciiTheme="majorHAnsi" w:hAnsiTheme="majorHAnsi" w:cstheme="majorHAnsi"/>
                <w:szCs w:val="21"/>
                <w:lang w:val="en-AU"/>
              </w:rPr>
            </w:pPr>
          </w:p>
        </w:tc>
        <w:tc>
          <w:tcPr>
            <w:tcW w:w="5193" w:type="dxa"/>
          </w:tcPr>
          <w:p w14:paraId="4D4B2B84" w14:textId="77777777" w:rsidR="00E041B6" w:rsidRPr="005A1DC6" w:rsidRDefault="00E041B6" w:rsidP="00FF62CC">
            <w:pPr>
              <w:pStyle w:val="ListParagraph"/>
              <w:numPr>
                <w:ilvl w:val="0"/>
                <w:numId w:val="84"/>
              </w:numPr>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 xml:space="preserve">To what extent are the grant targets being achieved or likely to be achieved? </w:t>
            </w:r>
          </w:p>
          <w:p w14:paraId="57D13554" w14:textId="77777777" w:rsidR="00E041B6" w:rsidRPr="005A1DC6" w:rsidRDefault="00E041B6" w:rsidP="00FF62CC">
            <w:pPr>
              <w:pStyle w:val="ListParagraph"/>
              <w:numPr>
                <w:ilvl w:val="0"/>
                <w:numId w:val="84"/>
              </w:numPr>
              <w:contextualSpacing w:val="0"/>
              <w:rPr>
                <w:rFonts w:asciiTheme="majorHAnsi" w:hAnsiTheme="majorHAnsi" w:cstheme="majorHAnsi"/>
                <w:iCs/>
                <w:sz w:val="21"/>
                <w:szCs w:val="21"/>
                <w:lang w:val="en-AU"/>
              </w:rPr>
            </w:pPr>
            <w:r w:rsidRPr="005A1DC6">
              <w:rPr>
                <w:rFonts w:asciiTheme="majorHAnsi" w:hAnsiTheme="majorHAnsi" w:cstheme="majorHAnsi"/>
                <w:iCs/>
                <w:sz w:val="21"/>
                <w:szCs w:val="21"/>
                <w:lang w:val="en-AU"/>
              </w:rPr>
              <w:t xml:space="preserve">Is a monitoring and evaluation system being used to effectively measure the grants progress - including for gender and disability inclusiveness? Specifically are the data and the assessment tools for monitoring teacher and student progress effective? </w:t>
            </w:r>
          </w:p>
          <w:p w14:paraId="0FF7B135" w14:textId="77777777" w:rsidR="00E041B6" w:rsidRPr="005A1DC6" w:rsidRDefault="00E041B6" w:rsidP="00FF62CC">
            <w:pPr>
              <w:pStyle w:val="ListParagraph"/>
              <w:numPr>
                <w:ilvl w:val="0"/>
                <w:numId w:val="84"/>
              </w:numPr>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 xml:space="preserve">Are modifications to indicators/outcomes recommended for the extension period </w:t>
            </w:r>
            <w:r w:rsidRPr="005A1DC6">
              <w:rPr>
                <w:rFonts w:asciiTheme="majorHAnsi" w:hAnsiTheme="majorHAnsi" w:cstheme="majorHAnsi"/>
                <w:iCs/>
                <w:sz w:val="21"/>
                <w:szCs w:val="21"/>
                <w:lang w:val="en-AU"/>
              </w:rPr>
              <w:t>(including for gender)</w:t>
            </w:r>
            <w:r w:rsidRPr="005A1DC6">
              <w:rPr>
                <w:rFonts w:asciiTheme="majorHAnsi" w:hAnsiTheme="majorHAnsi" w:cstheme="majorHAnsi"/>
                <w:sz w:val="21"/>
                <w:szCs w:val="21"/>
                <w:lang w:val="en-AU"/>
              </w:rPr>
              <w:t>?</w:t>
            </w:r>
          </w:p>
          <w:p w14:paraId="2C5601FE" w14:textId="77777777" w:rsidR="00E041B6" w:rsidRPr="005A1DC6" w:rsidRDefault="00E041B6" w:rsidP="00FF62CC">
            <w:pPr>
              <w:pStyle w:val="ListParagraph"/>
              <w:numPr>
                <w:ilvl w:val="0"/>
                <w:numId w:val="84"/>
              </w:numPr>
              <w:contextualSpacing w:val="0"/>
              <w:rPr>
                <w:rFonts w:asciiTheme="majorHAnsi" w:hAnsiTheme="majorHAnsi" w:cstheme="majorHAnsi"/>
                <w:iCs/>
                <w:sz w:val="21"/>
                <w:szCs w:val="21"/>
                <w:lang w:val="en-AU"/>
              </w:rPr>
            </w:pPr>
            <w:r w:rsidRPr="005A1DC6">
              <w:rPr>
                <w:rFonts w:asciiTheme="majorHAnsi" w:hAnsiTheme="majorHAnsi" w:cstheme="majorHAnsi"/>
                <w:iCs/>
                <w:sz w:val="21"/>
                <w:szCs w:val="21"/>
                <w:lang w:val="en-AU"/>
              </w:rPr>
              <w:t xml:space="preserve">Is it appropriate for a shared monitoring and evaluation model to be trialled across the consortia? </w:t>
            </w:r>
          </w:p>
          <w:p w14:paraId="7A97288A" w14:textId="77777777" w:rsidR="00E041B6" w:rsidRPr="005A1DC6" w:rsidRDefault="00E041B6" w:rsidP="00FF62CC">
            <w:pPr>
              <w:pStyle w:val="ListParagraph"/>
              <w:numPr>
                <w:ilvl w:val="0"/>
                <w:numId w:val="84"/>
              </w:numPr>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 xml:space="preserve">Is it possible to implement common indicator/s or outcome/s across the three projects in the extension phase? If yes, what would they be? </w:t>
            </w:r>
          </w:p>
        </w:tc>
      </w:tr>
      <w:tr w:rsidR="00E041B6" w:rsidRPr="005A1DC6" w14:paraId="095F3876" w14:textId="77777777" w:rsidTr="00C72286">
        <w:tc>
          <w:tcPr>
            <w:tcW w:w="3823" w:type="dxa"/>
          </w:tcPr>
          <w:p w14:paraId="25860868" w14:textId="77777777" w:rsidR="00E041B6" w:rsidRPr="005A1DC6" w:rsidRDefault="00E041B6" w:rsidP="00AC247A">
            <w:pPr>
              <w:rPr>
                <w:rFonts w:asciiTheme="majorHAnsi" w:hAnsiTheme="majorHAnsi" w:cstheme="majorHAnsi"/>
                <w:szCs w:val="21"/>
                <w:lang w:val="en-AU"/>
              </w:rPr>
            </w:pPr>
            <w:r w:rsidRPr="005A1DC6">
              <w:rPr>
                <w:rFonts w:asciiTheme="majorHAnsi" w:hAnsiTheme="majorHAnsi" w:cstheme="majorHAnsi"/>
                <w:szCs w:val="21"/>
                <w:lang w:val="en-AU"/>
              </w:rPr>
              <w:t xml:space="preserve">2. Have the different approaches to improving literacy and numeracy taken across the three grants been successful and are there any that should be </w:t>
            </w:r>
            <w:r w:rsidRPr="005A1DC6">
              <w:rPr>
                <w:rFonts w:asciiTheme="majorHAnsi" w:hAnsiTheme="majorHAnsi" w:cstheme="majorHAnsi"/>
                <w:b/>
                <w:szCs w:val="21"/>
                <w:lang w:val="en-AU"/>
              </w:rPr>
              <w:t xml:space="preserve">shared, improved, modified, extended or </w:t>
            </w:r>
            <w:r w:rsidRPr="005A1DC6">
              <w:rPr>
                <w:rFonts w:asciiTheme="majorHAnsi" w:hAnsiTheme="majorHAnsi" w:cstheme="majorHAnsi"/>
                <w:b/>
                <w:szCs w:val="21"/>
                <w:u w:val="single"/>
                <w:lang w:val="en-AU"/>
              </w:rPr>
              <w:t>stopped</w:t>
            </w:r>
            <w:r w:rsidRPr="005A1DC6">
              <w:rPr>
                <w:rFonts w:asciiTheme="majorHAnsi" w:hAnsiTheme="majorHAnsi" w:cstheme="majorHAnsi"/>
                <w:szCs w:val="21"/>
                <w:lang w:val="en-AU"/>
              </w:rPr>
              <w:t>?</w:t>
            </w:r>
          </w:p>
          <w:p w14:paraId="21FD342E" w14:textId="77777777" w:rsidR="00E041B6" w:rsidRPr="005A1DC6" w:rsidRDefault="00E041B6" w:rsidP="00AC247A">
            <w:pPr>
              <w:rPr>
                <w:rFonts w:asciiTheme="majorHAnsi" w:hAnsiTheme="majorHAnsi" w:cstheme="majorHAnsi"/>
                <w:szCs w:val="21"/>
                <w:lang w:val="en-AU"/>
              </w:rPr>
            </w:pPr>
          </w:p>
        </w:tc>
        <w:tc>
          <w:tcPr>
            <w:tcW w:w="5193" w:type="dxa"/>
          </w:tcPr>
          <w:p w14:paraId="09C79D9C" w14:textId="77777777" w:rsidR="00E041B6" w:rsidRPr="005A1DC6" w:rsidRDefault="00E041B6" w:rsidP="00FF62CC">
            <w:pPr>
              <w:pStyle w:val="ListParagraph"/>
              <w:numPr>
                <w:ilvl w:val="0"/>
                <w:numId w:val="84"/>
              </w:numPr>
              <w:contextualSpacing w:val="0"/>
              <w:rPr>
                <w:rFonts w:asciiTheme="majorHAnsi" w:hAnsiTheme="majorHAnsi" w:cstheme="majorHAnsi"/>
                <w:iCs/>
                <w:sz w:val="21"/>
                <w:szCs w:val="21"/>
                <w:lang w:val="en-AU"/>
              </w:rPr>
            </w:pPr>
            <w:r w:rsidRPr="005A1DC6">
              <w:rPr>
                <w:rFonts w:asciiTheme="majorHAnsi" w:hAnsiTheme="majorHAnsi" w:cstheme="majorHAnsi"/>
                <w:iCs/>
                <w:sz w:val="21"/>
                <w:szCs w:val="21"/>
                <w:lang w:val="en-AU"/>
              </w:rPr>
              <w:t>How has innovation been applied in the grant approaches?  What has been successful or not successful, and why?</w:t>
            </w:r>
          </w:p>
          <w:p w14:paraId="49F6156E" w14:textId="77777777" w:rsidR="00E041B6" w:rsidRPr="005A1DC6" w:rsidRDefault="00E041B6" w:rsidP="00FF62CC">
            <w:pPr>
              <w:pStyle w:val="ListParagraph"/>
              <w:numPr>
                <w:ilvl w:val="0"/>
                <w:numId w:val="84"/>
              </w:numPr>
              <w:contextualSpacing w:val="0"/>
              <w:rPr>
                <w:rFonts w:asciiTheme="majorHAnsi" w:hAnsiTheme="majorHAnsi" w:cstheme="majorHAnsi"/>
                <w:iCs/>
                <w:sz w:val="21"/>
                <w:szCs w:val="21"/>
                <w:lang w:val="en-AU"/>
              </w:rPr>
            </w:pPr>
            <w:r w:rsidRPr="005A1DC6">
              <w:rPr>
                <w:rFonts w:asciiTheme="majorHAnsi" w:hAnsiTheme="majorHAnsi" w:cstheme="majorHAnsi"/>
                <w:iCs/>
                <w:sz w:val="21"/>
                <w:szCs w:val="21"/>
                <w:lang w:val="en-AU"/>
              </w:rPr>
              <w:t xml:space="preserve">How could approaches that are successful, or which have good potential, be improved, adapted or replicated during the extension?  </w:t>
            </w:r>
          </w:p>
          <w:p w14:paraId="00A0F9CD" w14:textId="77777777" w:rsidR="00E041B6" w:rsidRPr="005A1DC6" w:rsidRDefault="00E041B6" w:rsidP="00FF62CC">
            <w:pPr>
              <w:pStyle w:val="ListParagraph"/>
              <w:numPr>
                <w:ilvl w:val="0"/>
                <w:numId w:val="84"/>
              </w:numPr>
              <w:contextualSpacing w:val="0"/>
              <w:rPr>
                <w:rFonts w:asciiTheme="majorHAnsi" w:hAnsiTheme="majorHAnsi" w:cstheme="majorHAnsi"/>
                <w:iCs/>
                <w:sz w:val="21"/>
                <w:szCs w:val="21"/>
                <w:lang w:val="en-AU"/>
              </w:rPr>
            </w:pPr>
            <w:r w:rsidRPr="005A1DC6">
              <w:rPr>
                <w:rFonts w:asciiTheme="majorHAnsi" w:hAnsiTheme="majorHAnsi" w:cstheme="majorHAnsi"/>
                <w:iCs/>
                <w:sz w:val="21"/>
                <w:szCs w:val="21"/>
                <w:lang w:val="en-AU"/>
              </w:rPr>
              <w:t xml:space="preserve">What are the relevant lessons for the E4P or PNG Government? </w:t>
            </w:r>
          </w:p>
          <w:p w14:paraId="3A9BE2F9" w14:textId="77777777" w:rsidR="00E041B6" w:rsidRPr="005A1DC6" w:rsidRDefault="00E041B6" w:rsidP="00FF62CC">
            <w:pPr>
              <w:pStyle w:val="ListParagraph"/>
              <w:numPr>
                <w:ilvl w:val="0"/>
                <w:numId w:val="84"/>
              </w:numPr>
              <w:contextualSpacing w:val="0"/>
              <w:rPr>
                <w:rFonts w:asciiTheme="majorHAnsi" w:hAnsiTheme="majorHAnsi" w:cstheme="majorHAnsi"/>
                <w:iCs/>
                <w:sz w:val="21"/>
                <w:szCs w:val="21"/>
                <w:lang w:val="en-AU"/>
              </w:rPr>
            </w:pPr>
            <w:r w:rsidRPr="005A1DC6">
              <w:rPr>
                <w:rFonts w:asciiTheme="majorHAnsi" w:hAnsiTheme="majorHAnsi" w:cstheme="majorHAnsi"/>
                <w:iCs/>
                <w:sz w:val="21"/>
                <w:szCs w:val="21"/>
                <w:lang w:val="en-AU"/>
              </w:rPr>
              <w:t>Are there potential benefits in continuing the PPF grant mechanism as a separate funding stream to 2021 and beyond vis-a-vis absorbing PPF activities under E4P (novating)?</w:t>
            </w:r>
          </w:p>
        </w:tc>
      </w:tr>
      <w:tr w:rsidR="00E041B6" w:rsidRPr="005A1DC6" w14:paraId="7A095D65" w14:textId="77777777" w:rsidTr="00C72286">
        <w:tc>
          <w:tcPr>
            <w:tcW w:w="3823" w:type="dxa"/>
          </w:tcPr>
          <w:p w14:paraId="2505C92E" w14:textId="77777777" w:rsidR="00E041B6" w:rsidRPr="005A1DC6" w:rsidRDefault="00E041B6" w:rsidP="00AC247A">
            <w:pPr>
              <w:rPr>
                <w:rFonts w:asciiTheme="majorHAnsi" w:hAnsiTheme="majorHAnsi" w:cstheme="majorHAnsi"/>
                <w:i/>
                <w:szCs w:val="21"/>
                <w:lang w:val="en-AU"/>
              </w:rPr>
            </w:pPr>
            <w:r w:rsidRPr="005A1DC6">
              <w:rPr>
                <w:rFonts w:asciiTheme="majorHAnsi" w:hAnsiTheme="majorHAnsi" w:cstheme="majorHAnsi"/>
                <w:szCs w:val="21"/>
                <w:lang w:val="en-AU"/>
              </w:rPr>
              <w:t xml:space="preserve">3. What if any approaches of the PPF program have been successful in directly or indirectly influencing </w:t>
            </w:r>
            <w:r w:rsidRPr="005A1DC6">
              <w:rPr>
                <w:rFonts w:asciiTheme="majorHAnsi" w:hAnsiTheme="majorHAnsi" w:cstheme="majorHAnsi"/>
                <w:b/>
                <w:szCs w:val="21"/>
                <w:u w:val="single"/>
                <w:lang w:val="en-AU"/>
              </w:rPr>
              <w:t>GoPNG policies and practices</w:t>
            </w:r>
            <w:r w:rsidRPr="005A1DC6">
              <w:rPr>
                <w:rFonts w:asciiTheme="majorHAnsi" w:hAnsiTheme="majorHAnsi" w:cstheme="majorHAnsi"/>
                <w:szCs w:val="21"/>
                <w:lang w:val="en-AU"/>
              </w:rPr>
              <w:t xml:space="preserve">. </w:t>
            </w:r>
          </w:p>
          <w:p w14:paraId="6A03BA08" w14:textId="77777777" w:rsidR="00E041B6" w:rsidRPr="005A1DC6" w:rsidRDefault="00E041B6" w:rsidP="00AC247A">
            <w:pPr>
              <w:rPr>
                <w:rFonts w:asciiTheme="majorHAnsi" w:hAnsiTheme="majorHAnsi" w:cstheme="majorHAnsi"/>
                <w:szCs w:val="21"/>
                <w:lang w:val="en-AU"/>
              </w:rPr>
            </w:pPr>
          </w:p>
        </w:tc>
        <w:tc>
          <w:tcPr>
            <w:tcW w:w="5193" w:type="dxa"/>
          </w:tcPr>
          <w:p w14:paraId="2C04BA52" w14:textId="77777777" w:rsidR="00E041B6" w:rsidRPr="005A1DC6" w:rsidRDefault="00E041B6" w:rsidP="00FF62CC">
            <w:pPr>
              <w:pStyle w:val="ListParagraph"/>
              <w:numPr>
                <w:ilvl w:val="0"/>
                <w:numId w:val="84"/>
              </w:numPr>
              <w:contextualSpacing w:val="0"/>
              <w:rPr>
                <w:rFonts w:asciiTheme="majorHAnsi" w:hAnsiTheme="majorHAnsi" w:cstheme="majorHAnsi"/>
                <w:iCs/>
                <w:sz w:val="21"/>
                <w:szCs w:val="21"/>
                <w:lang w:val="en-AU"/>
              </w:rPr>
            </w:pPr>
            <w:r w:rsidRPr="005A1DC6">
              <w:rPr>
                <w:rFonts w:asciiTheme="majorHAnsi" w:hAnsiTheme="majorHAnsi" w:cstheme="majorHAnsi"/>
                <w:iCs/>
                <w:sz w:val="21"/>
                <w:szCs w:val="21"/>
                <w:lang w:val="en-AU"/>
              </w:rPr>
              <w:t xml:space="preserve">To what extent and how have the programs been able to build relationships and influence policy at district, province or national level in different political, social and geographic contexts? </w:t>
            </w:r>
          </w:p>
          <w:p w14:paraId="4C6CA777" w14:textId="77777777" w:rsidR="00E041B6" w:rsidRPr="005A1DC6" w:rsidRDefault="00E041B6" w:rsidP="00FF62CC">
            <w:pPr>
              <w:pStyle w:val="ListParagraph"/>
              <w:numPr>
                <w:ilvl w:val="0"/>
                <w:numId w:val="84"/>
              </w:numPr>
              <w:contextualSpacing w:val="0"/>
              <w:rPr>
                <w:rFonts w:asciiTheme="majorHAnsi" w:hAnsiTheme="majorHAnsi" w:cstheme="majorHAnsi"/>
                <w:iCs/>
                <w:sz w:val="21"/>
                <w:szCs w:val="21"/>
                <w:lang w:val="en-AU"/>
              </w:rPr>
            </w:pPr>
            <w:r w:rsidRPr="005A1DC6">
              <w:rPr>
                <w:rFonts w:asciiTheme="majorHAnsi" w:hAnsiTheme="majorHAnsi" w:cstheme="majorHAnsi"/>
                <w:sz w:val="21"/>
                <w:szCs w:val="21"/>
                <w:lang w:val="en-AU"/>
              </w:rPr>
              <w:t>Could successful strategies be reshaped or extended under PPF or E4P</w:t>
            </w:r>
            <w:r w:rsidRPr="005A1DC6">
              <w:rPr>
                <w:rStyle w:val="FootnoteReference"/>
                <w:rFonts w:asciiTheme="majorHAnsi" w:hAnsiTheme="majorHAnsi" w:cstheme="majorHAnsi"/>
                <w:i/>
                <w:iCs/>
                <w:sz w:val="21"/>
                <w:szCs w:val="21"/>
                <w:lang w:val="en-AU"/>
              </w:rPr>
              <w:footnoteReference w:id="90"/>
            </w:r>
            <w:r w:rsidRPr="005A1DC6">
              <w:rPr>
                <w:rFonts w:asciiTheme="majorHAnsi" w:hAnsiTheme="majorHAnsi" w:cstheme="majorHAnsi"/>
                <w:sz w:val="21"/>
                <w:szCs w:val="21"/>
                <w:lang w:val="en-AU"/>
              </w:rPr>
              <w:t xml:space="preserve">? </w:t>
            </w:r>
          </w:p>
          <w:p w14:paraId="7F616B99" w14:textId="77777777" w:rsidR="00E041B6" w:rsidRPr="005A1DC6" w:rsidRDefault="00E041B6" w:rsidP="00FF62CC">
            <w:pPr>
              <w:pStyle w:val="ListParagraph"/>
              <w:numPr>
                <w:ilvl w:val="0"/>
                <w:numId w:val="84"/>
              </w:numPr>
              <w:contextualSpacing w:val="0"/>
              <w:rPr>
                <w:rFonts w:asciiTheme="majorHAnsi" w:hAnsiTheme="majorHAnsi" w:cstheme="majorHAnsi"/>
                <w:iCs/>
                <w:sz w:val="21"/>
                <w:szCs w:val="21"/>
                <w:lang w:val="en-AU"/>
              </w:rPr>
            </w:pPr>
            <w:r w:rsidRPr="005A1DC6">
              <w:rPr>
                <w:rFonts w:asciiTheme="majorHAnsi" w:hAnsiTheme="majorHAnsi" w:cstheme="majorHAnsi"/>
                <w:iCs/>
                <w:sz w:val="21"/>
                <w:szCs w:val="21"/>
                <w:lang w:val="en-AU"/>
              </w:rPr>
              <w:t xml:space="preserve">How have financing and sustainability considerations driven the grant’s implementation choices with a view of replication? </w:t>
            </w:r>
          </w:p>
          <w:p w14:paraId="5769D7F3" w14:textId="77777777" w:rsidR="00E041B6" w:rsidRPr="005A1DC6" w:rsidRDefault="00E041B6" w:rsidP="00FF62CC">
            <w:pPr>
              <w:pStyle w:val="ListParagraph"/>
              <w:numPr>
                <w:ilvl w:val="0"/>
                <w:numId w:val="84"/>
              </w:numPr>
              <w:contextualSpacing w:val="0"/>
              <w:rPr>
                <w:rFonts w:asciiTheme="majorHAnsi" w:hAnsiTheme="majorHAnsi" w:cstheme="majorHAnsi"/>
                <w:iCs/>
                <w:sz w:val="21"/>
                <w:szCs w:val="21"/>
                <w:lang w:val="en-AU"/>
              </w:rPr>
            </w:pPr>
            <w:r w:rsidRPr="005A1DC6">
              <w:rPr>
                <w:rFonts w:asciiTheme="majorHAnsi" w:hAnsiTheme="majorHAnsi" w:cstheme="majorHAnsi"/>
                <w:iCs/>
                <w:sz w:val="21"/>
                <w:szCs w:val="21"/>
                <w:lang w:val="en-AU"/>
              </w:rPr>
              <w:t xml:space="preserve">To what extent are the programs aligned to existing PNG policies e.g. Standards Based Curricula etc.)? </w:t>
            </w:r>
          </w:p>
          <w:p w14:paraId="128E596D" w14:textId="77777777" w:rsidR="00E041B6" w:rsidRPr="005A1DC6" w:rsidRDefault="00E041B6" w:rsidP="00FF62CC">
            <w:pPr>
              <w:pStyle w:val="ListParagraph"/>
              <w:numPr>
                <w:ilvl w:val="0"/>
                <w:numId w:val="84"/>
              </w:numPr>
              <w:contextualSpacing w:val="0"/>
              <w:rPr>
                <w:rFonts w:asciiTheme="majorHAnsi" w:hAnsiTheme="majorHAnsi" w:cstheme="majorHAnsi"/>
                <w:sz w:val="21"/>
                <w:szCs w:val="21"/>
                <w:lang w:val="en-AU"/>
              </w:rPr>
            </w:pPr>
            <w:r w:rsidRPr="005A1DC6">
              <w:rPr>
                <w:rFonts w:asciiTheme="majorHAnsi" w:hAnsiTheme="majorHAnsi" w:cstheme="majorHAnsi"/>
                <w:iCs/>
                <w:sz w:val="21"/>
                <w:szCs w:val="21"/>
                <w:lang w:val="en-AU"/>
              </w:rPr>
              <w:t xml:space="preserve">What are recommendations for focus in the extension period to embed institutionalisation and to promote scalability? </w:t>
            </w:r>
          </w:p>
        </w:tc>
      </w:tr>
      <w:tr w:rsidR="00E041B6" w:rsidRPr="005A1DC6" w14:paraId="69F1BE14" w14:textId="77777777" w:rsidTr="00C72286">
        <w:tc>
          <w:tcPr>
            <w:tcW w:w="3823" w:type="dxa"/>
          </w:tcPr>
          <w:p w14:paraId="5450F1BD" w14:textId="77777777" w:rsidR="00E041B6" w:rsidRPr="005A1DC6" w:rsidRDefault="00E041B6" w:rsidP="00AC247A">
            <w:pPr>
              <w:rPr>
                <w:rFonts w:asciiTheme="majorHAnsi" w:hAnsiTheme="majorHAnsi" w:cstheme="majorHAnsi"/>
                <w:szCs w:val="21"/>
                <w:lang w:val="en-AU"/>
              </w:rPr>
            </w:pPr>
            <w:r w:rsidRPr="005A1DC6">
              <w:rPr>
                <w:rFonts w:asciiTheme="majorHAnsi" w:hAnsiTheme="majorHAnsi" w:cstheme="majorHAnsi"/>
                <w:szCs w:val="21"/>
                <w:lang w:val="en-AU"/>
              </w:rPr>
              <w:lastRenderedPageBreak/>
              <w:t xml:space="preserve">4. Is the management of the grants </w:t>
            </w:r>
            <w:r w:rsidRPr="005A1DC6">
              <w:rPr>
                <w:rFonts w:asciiTheme="majorHAnsi" w:hAnsiTheme="majorHAnsi" w:cstheme="majorHAnsi"/>
                <w:b/>
                <w:szCs w:val="21"/>
                <w:u w:val="single"/>
                <w:lang w:val="en-AU"/>
              </w:rPr>
              <w:t>efficient</w:t>
            </w:r>
            <w:r w:rsidRPr="005A1DC6">
              <w:rPr>
                <w:rFonts w:asciiTheme="majorHAnsi" w:hAnsiTheme="majorHAnsi" w:cstheme="majorHAnsi"/>
                <w:szCs w:val="21"/>
                <w:lang w:val="en-AU"/>
              </w:rPr>
              <w:t>?</w:t>
            </w:r>
          </w:p>
          <w:p w14:paraId="4056B7DA" w14:textId="77777777" w:rsidR="00E041B6" w:rsidRPr="005A1DC6" w:rsidRDefault="00E041B6" w:rsidP="00AC247A">
            <w:pPr>
              <w:rPr>
                <w:rFonts w:asciiTheme="majorHAnsi" w:hAnsiTheme="majorHAnsi" w:cstheme="majorHAnsi"/>
                <w:szCs w:val="21"/>
                <w:lang w:val="en-AU"/>
              </w:rPr>
            </w:pPr>
          </w:p>
        </w:tc>
        <w:tc>
          <w:tcPr>
            <w:tcW w:w="5193" w:type="dxa"/>
          </w:tcPr>
          <w:p w14:paraId="59D7F804" w14:textId="77777777" w:rsidR="00E041B6" w:rsidRPr="005A1DC6" w:rsidRDefault="00E041B6" w:rsidP="00FF62CC">
            <w:pPr>
              <w:pStyle w:val="ListParagraph"/>
              <w:numPr>
                <w:ilvl w:val="0"/>
                <w:numId w:val="84"/>
              </w:numPr>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 xml:space="preserve">To what extent are the projects being implemented on </w:t>
            </w:r>
            <w:r w:rsidRPr="005A1DC6">
              <w:rPr>
                <w:rFonts w:asciiTheme="majorHAnsi" w:hAnsiTheme="majorHAnsi" w:cstheme="majorHAnsi"/>
                <w:iCs/>
                <w:sz w:val="21"/>
                <w:szCs w:val="21"/>
                <w:lang w:val="en-AU"/>
              </w:rPr>
              <w:t>time</w:t>
            </w:r>
            <w:r w:rsidRPr="005A1DC6">
              <w:rPr>
                <w:rFonts w:asciiTheme="majorHAnsi" w:hAnsiTheme="majorHAnsi" w:cstheme="majorHAnsi"/>
                <w:sz w:val="21"/>
                <w:szCs w:val="21"/>
                <w:lang w:val="en-AU"/>
              </w:rPr>
              <w:t xml:space="preserve"> and in a cost efficient way?</w:t>
            </w:r>
          </w:p>
          <w:p w14:paraId="4D5298C7" w14:textId="77777777" w:rsidR="00E041B6" w:rsidRPr="005A1DC6" w:rsidRDefault="00E041B6" w:rsidP="00FF62CC">
            <w:pPr>
              <w:pStyle w:val="ListParagraph"/>
              <w:numPr>
                <w:ilvl w:val="0"/>
                <w:numId w:val="84"/>
              </w:numPr>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Has the consortia model been efficient and could the coherence of the approach be improved?</w:t>
            </w:r>
          </w:p>
          <w:p w14:paraId="74BBF6A3" w14:textId="77777777" w:rsidR="00E041B6" w:rsidRPr="005A1DC6" w:rsidRDefault="00E041B6" w:rsidP="00FF62CC">
            <w:pPr>
              <w:pStyle w:val="ListParagraph"/>
              <w:numPr>
                <w:ilvl w:val="0"/>
                <w:numId w:val="84"/>
              </w:numPr>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 xml:space="preserve">Have the grants </w:t>
            </w:r>
            <w:r w:rsidRPr="005A1DC6">
              <w:rPr>
                <w:rFonts w:asciiTheme="majorHAnsi" w:hAnsiTheme="majorHAnsi" w:cstheme="majorHAnsi"/>
                <w:iCs/>
                <w:sz w:val="21"/>
                <w:szCs w:val="21"/>
                <w:lang w:val="en-AU"/>
              </w:rPr>
              <w:t>adequately</w:t>
            </w:r>
            <w:r w:rsidRPr="005A1DC6">
              <w:rPr>
                <w:rFonts w:asciiTheme="majorHAnsi" w:hAnsiTheme="majorHAnsi" w:cstheme="majorHAnsi"/>
                <w:sz w:val="21"/>
                <w:szCs w:val="21"/>
                <w:lang w:val="en-AU"/>
              </w:rPr>
              <w:t xml:space="preserve"> promoted the PNG-</w:t>
            </w:r>
            <w:proofErr w:type="spellStart"/>
            <w:r w:rsidRPr="005A1DC6">
              <w:rPr>
                <w:rFonts w:asciiTheme="majorHAnsi" w:hAnsiTheme="majorHAnsi" w:cstheme="majorHAnsi"/>
                <w:sz w:val="21"/>
                <w:szCs w:val="21"/>
                <w:lang w:val="en-AU"/>
              </w:rPr>
              <w:t>Aus</w:t>
            </w:r>
            <w:proofErr w:type="spellEnd"/>
            <w:r w:rsidRPr="005A1DC6">
              <w:rPr>
                <w:rFonts w:asciiTheme="majorHAnsi" w:hAnsiTheme="majorHAnsi" w:cstheme="majorHAnsi"/>
                <w:sz w:val="21"/>
                <w:szCs w:val="21"/>
                <w:lang w:val="en-AU"/>
              </w:rPr>
              <w:t xml:space="preserve"> Partnership?  What lessons could be learnt to improve efficiency of communications and branding of the PNG-</w:t>
            </w:r>
            <w:proofErr w:type="spellStart"/>
            <w:r w:rsidRPr="005A1DC6">
              <w:rPr>
                <w:rFonts w:asciiTheme="majorHAnsi" w:hAnsiTheme="majorHAnsi" w:cstheme="majorHAnsi"/>
                <w:sz w:val="21"/>
                <w:szCs w:val="21"/>
                <w:lang w:val="en-AU"/>
              </w:rPr>
              <w:t>Aus</w:t>
            </w:r>
            <w:proofErr w:type="spellEnd"/>
            <w:r w:rsidRPr="005A1DC6">
              <w:rPr>
                <w:rFonts w:asciiTheme="majorHAnsi" w:hAnsiTheme="majorHAnsi" w:cstheme="majorHAnsi"/>
                <w:sz w:val="21"/>
                <w:szCs w:val="21"/>
                <w:lang w:val="en-AU"/>
              </w:rPr>
              <w:t xml:space="preserve"> Partnership?</w:t>
            </w:r>
          </w:p>
        </w:tc>
      </w:tr>
    </w:tbl>
    <w:p w14:paraId="7A15F0A2" w14:textId="77777777" w:rsidR="00E041B6" w:rsidRPr="005A1DC6" w:rsidRDefault="00E041B6" w:rsidP="00E041B6">
      <w:pPr>
        <w:spacing w:after="0" w:line="240" w:lineRule="auto"/>
        <w:rPr>
          <w:rFonts w:asciiTheme="majorHAnsi" w:hAnsiTheme="majorHAnsi" w:cstheme="majorHAnsi"/>
          <w:szCs w:val="21"/>
        </w:rPr>
      </w:pPr>
    </w:p>
    <w:p w14:paraId="36BD8238" w14:textId="77777777" w:rsidR="00E041B6" w:rsidRPr="005A1DC6" w:rsidRDefault="00E041B6" w:rsidP="00E041B6">
      <w:pPr>
        <w:spacing w:after="0" w:line="240" w:lineRule="auto"/>
        <w:rPr>
          <w:rFonts w:asciiTheme="majorHAnsi" w:hAnsiTheme="majorHAnsi" w:cstheme="majorHAnsi"/>
          <w:szCs w:val="21"/>
        </w:rPr>
      </w:pPr>
    </w:p>
    <w:p w14:paraId="1F39727E" w14:textId="77777777" w:rsidR="00E041B6" w:rsidRPr="005A1DC6" w:rsidRDefault="00E041B6" w:rsidP="00FF62CC">
      <w:pPr>
        <w:pStyle w:val="ListParagraph"/>
        <w:numPr>
          <w:ilvl w:val="0"/>
          <w:numId w:val="79"/>
        </w:numPr>
        <w:spacing w:after="0" w:line="240" w:lineRule="auto"/>
        <w:contextualSpacing w:val="0"/>
        <w:rPr>
          <w:rFonts w:asciiTheme="majorHAnsi" w:hAnsiTheme="majorHAnsi" w:cstheme="majorHAnsi"/>
          <w:b/>
          <w:sz w:val="21"/>
          <w:szCs w:val="21"/>
          <w:lang w:val="en-AU"/>
        </w:rPr>
      </w:pPr>
      <w:r w:rsidRPr="005A1DC6">
        <w:rPr>
          <w:rFonts w:asciiTheme="majorHAnsi" w:hAnsiTheme="majorHAnsi" w:cstheme="majorHAnsi"/>
          <w:b/>
          <w:sz w:val="21"/>
          <w:szCs w:val="21"/>
          <w:lang w:val="en-AU"/>
        </w:rPr>
        <w:t xml:space="preserve">Clients/Primary audience </w:t>
      </w:r>
    </w:p>
    <w:p w14:paraId="79E9FE92" w14:textId="77777777" w:rsidR="00E041B6" w:rsidRPr="005A1DC6" w:rsidRDefault="00E041B6" w:rsidP="00E041B6">
      <w:pPr>
        <w:spacing w:after="0" w:line="240" w:lineRule="auto"/>
        <w:rPr>
          <w:rFonts w:asciiTheme="majorHAnsi" w:hAnsiTheme="majorHAnsi" w:cstheme="majorHAnsi"/>
          <w:szCs w:val="21"/>
        </w:rPr>
      </w:pPr>
    </w:p>
    <w:p w14:paraId="20D82D17"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The primary users of the review will be the PPF National Oversight Committee; DFAT’s PNG Education and Leadership Program; the National Department of Education; Provincial and District Education Divisions; NGO Consortia members; the Department of National Planning and Monitoring; and PPF secretariat.</w:t>
      </w:r>
    </w:p>
    <w:p w14:paraId="20467D2F" w14:textId="77777777" w:rsidR="00E041B6" w:rsidRPr="005A1DC6" w:rsidRDefault="00E041B6" w:rsidP="00E041B6">
      <w:pPr>
        <w:spacing w:after="0" w:line="240" w:lineRule="auto"/>
        <w:rPr>
          <w:rFonts w:asciiTheme="majorHAnsi" w:hAnsiTheme="majorHAnsi" w:cstheme="majorHAnsi"/>
          <w:szCs w:val="21"/>
        </w:rPr>
      </w:pPr>
    </w:p>
    <w:p w14:paraId="4B3D45E5" w14:textId="77777777" w:rsidR="00E041B6" w:rsidRPr="005A1DC6" w:rsidRDefault="00E041B6" w:rsidP="00FF62CC">
      <w:pPr>
        <w:pStyle w:val="ListParagraph"/>
        <w:numPr>
          <w:ilvl w:val="0"/>
          <w:numId w:val="79"/>
        </w:numPr>
        <w:spacing w:after="0" w:line="240" w:lineRule="auto"/>
        <w:contextualSpacing w:val="0"/>
        <w:rPr>
          <w:rFonts w:asciiTheme="majorHAnsi" w:hAnsiTheme="majorHAnsi" w:cstheme="majorHAnsi"/>
          <w:b/>
          <w:sz w:val="21"/>
          <w:szCs w:val="21"/>
          <w:lang w:val="en-AU"/>
        </w:rPr>
      </w:pPr>
      <w:r w:rsidRPr="005A1DC6">
        <w:rPr>
          <w:rFonts w:asciiTheme="majorHAnsi" w:hAnsiTheme="majorHAnsi" w:cstheme="majorHAnsi"/>
          <w:b/>
          <w:sz w:val="21"/>
          <w:szCs w:val="21"/>
          <w:lang w:val="en-AU"/>
        </w:rPr>
        <w:t xml:space="preserve">Methodology  </w:t>
      </w:r>
    </w:p>
    <w:p w14:paraId="08AF4985" w14:textId="77777777" w:rsidR="00E041B6" w:rsidRPr="005A1DC6" w:rsidRDefault="00E041B6" w:rsidP="00E041B6">
      <w:pPr>
        <w:spacing w:after="0" w:line="240" w:lineRule="auto"/>
        <w:rPr>
          <w:rFonts w:asciiTheme="majorHAnsi" w:hAnsiTheme="majorHAnsi" w:cstheme="majorHAnsi"/>
          <w:szCs w:val="21"/>
        </w:rPr>
      </w:pPr>
    </w:p>
    <w:p w14:paraId="47A4394D"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 xml:space="preserve">The review methodology will be designed and implemented in accordance with DFAT Monitoring and Evaluation Standards. The methodology will involve review of relevant PPF program documents, interviews with selected stakeholders and a review of key policy documents for education in PNG.  </w:t>
      </w:r>
    </w:p>
    <w:p w14:paraId="02370B7B" w14:textId="77777777" w:rsidR="00E041B6" w:rsidRPr="005A1DC6" w:rsidRDefault="00E041B6" w:rsidP="00E041B6">
      <w:pPr>
        <w:spacing w:after="0" w:line="240" w:lineRule="auto"/>
        <w:rPr>
          <w:rFonts w:asciiTheme="majorHAnsi" w:hAnsiTheme="majorHAnsi" w:cstheme="majorHAnsi"/>
          <w:szCs w:val="21"/>
        </w:rPr>
      </w:pPr>
    </w:p>
    <w:p w14:paraId="14C00C42"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 xml:space="preserve">Under the terms of their agreements, the three education consortia are undertaking internal reviews of their projects in late 2019. The review will coordinate with the grant consortia to use findings from these reviews. </w:t>
      </w:r>
    </w:p>
    <w:p w14:paraId="26A2F7A7" w14:textId="77777777" w:rsidR="00E041B6" w:rsidRPr="005A1DC6" w:rsidRDefault="00E041B6" w:rsidP="00E041B6">
      <w:pPr>
        <w:spacing w:after="0" w:line="240" w:lineRule="auto"/>
        <w:rPr>
          <w:rFonts w:asciiTheme="majorHAnsi" w:hAnsiTheme="majorHAnsi" w:cstheme="majorHAnsi"/>
          <w:szCs w:val="21"/>
        </w:rPr>
      </w:pPr>
    </w:p>
    <w:p w14:paraId="55038A92"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 xml:space="preserve">The review team leader will draft a Review Plan for consideration by DFAT and the review team, in accordance with DFAT M&amp;E Standards.  The plan will refine and prioritise the review questions, and describe the methodologies to be used to address each.  The review will be undertaken in accordance with the plan, but with scope for the evolution of approaches during the course of the in-country/field mission(s).   </w:t>
      </w:r>
    </w:p>
    <w:p w14:paraId="03E7F921" w14:textId="77777777" w:rsidR="00E041B6" w:rsidRPr="005A1DC6" w:rsidRDefault="00E041B6" w:rsidP="00E041B6">
      <w:pPr>
        <w:spacing w:after="0" w:line="240" w:lineRule="auto"/>
        <w:rPr>
          <w:rFonts w:asciiTheme="majorHAnsi" w:hAnsiTheme="majorHAnsi" w:cstheme="majorHAnsi"/>
          <w:szCs w:val="21"/>
        </w:rPr>
      </w:pPr>
    </w:p>
    <w:p w14:paraId="754D24A7"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 xml:space="preserve">Given the diverse and geographically dispersed nature of the education programs, DFAT and the consortia should be consulted in identifying sites for the field missions. Three sites are proposed, one for each consortium. </w:t>
      </w:r>
    </w:p>
    <w:p w14:paraId="2B840751" w14:textId="77777777" w:rsidR="00E041B6" w:rsidRPr="005A1DC6" w:rsidRDefault="00E041B6" w:rsidP="00FF62CC">
      <w:pPr>
        <w:pStyle w:val="ListParagraph"/>
        <w:numPr>
          <w:ilvl w:val="0"/>
          <w:numId w:val="81"/>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World Vision: Madang</w:t>
      </w:r>
    </w:p>
    <w:p w14:paraId="03197097" w14:textId="77777777" w:rsidR="00E041B6" w:rsidRPr="005A1DC6" w:rsidRDefault="00E041B6" w:rsidP="00FF62CC">
      <w:pPr>
        <w:pStyle w:val="ListParagraph"/>
        <w:numPr>
          <w:ilvl w:val="0"/>
          <w:numId w:val="81"/>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Save the Children: East Sepik</w:t>
      </w:r>
    </w:p>
    <w:p w14:paraId="0201133F" w14:textId="77777777" w:rsidR="00E041B6" w:rsidRPr="005A1DC6" w:rsidRDefault="00E041B6" w:rsidP="00FF62CC">
      <w:pPr>
        <w:pStyle w:val="ListParagraph"/>
        <w:numPr>
          <w:ilvl w:val="0"/>
          <w:numId w:val="81"/>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CARE Australia: Western Highlands</w:t>
      </w:r>
    </w:p>
    <w:p w14:paraId="7E4C08D0" w14:textId="77777777" w:rsidR="00E041B6" w:rsidRPr="005A1DC6" w:rsidRDefault="00E041B6" w:rsidP="00E041B6">
      <w:pPr>
        <w:spacing w:after="0" w:line="240" w:lineRule="auto"/>
        <w:rPr>
          <w:rFonts w:asciiTheme="majorHAnsi" w:hAnsiTheme="majorHAnsi" w:cstheme="majorHAnsi"/>
          <w:szCs w:val="21"/>
        </w:rPr>
      </w:pPr>
    </w:p>
    <w:p w14:paraId="45FB1BDA" w14:textId="77777777" w:rsidR="00E041B6" w:rsidRPr="005A1DC6" w:rsidRDefault="00E041B6" w:rsidP="00FF62CC">
      <w:pPr>
        <w:pStyle w:val="ListParagraph"/>
        <w:numPr>
          <w:ilvl w:val="0"/>
          <w:numId w:val="79"/>
        </w:numPr>
        <w:spacing w:after="0" w:line="240" w:lineRule="auto"/>
        <w:contextualSpacing w:val="0"/>
        <w:rPr>
          <w:rFonts w:asciiTheme="majorHAnsi" w:hAnsiTheme="majorHAnsi" w:cstheme="majorHAnsi"/>
          <w:b/>
          <w:sz w:val="21"/>
          <w:szCs w:val="21"/>
          <w:u w:val="single"/>
          <w:lang w:val="en-AU"/>
        </w:rPr>
      </w:pPr>
      <w:r w:rsidRPr="005A1DC6">
        <w:rPr>
          <w:rFonts w:asciiTheme="majorHAnsi" w:hAnsiTheme="majorHAnsi" w:cstheme="majorHAnsi"/>
          <w:b/>
          <w:sz w:val="21"/>
          <w:szCs w:val="21"/>
          <w:lang w:val="en-AU"/>
        </w:rPr>
        <w:t xml:space="preserve">Limitations and constraints of the review  </w:t>
      </w:r>
    </w:p>
    <w:p w14:paraId="4D685BFA" w14:textId="77777777" w:rsidR="00E041B6" w:rsidRPr="005A1DC6" w:rsidRDefault="00E041B6" w:rsidP="00E041B6">
      <w:pPr>
        <w:pStyle w:val="ListParagraph"/>
        <w:rPr>
          <w:rFonts w:asciiTheme="majorHAnsi" w:hAnsiTheme="majorHAnsi" w:cstheme="majorHAnsi"/>
          <w:sz w:val="21"/>
          <w:szCs w:val="21"/>
          <w:u w:val="single"/>
          <w:lang w:val="en-AU"/>
        </w:rPr>
      </w:pPr>
    </w:p>
    <w:p w14:paraId="6F6B72FE" w14:textId="770671D1"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 xml:space="preserve">Due to the scope and scale of the three education grants and the diversity of approaches, focus areas, and geographical locations of the programs, it may be necessary to limit the scope of the review (e.g. to a number of specific enquiries), or engage a team with sufficient members to divide among the three consortia. </w:t>
      </w:r>
    </w:p>
    <w:p w14:paraId="08275CA8" w14:textId="77777777" w:rsidR="00E041B6" w:rsidRPr="005A1DC6" w:rsidRDefault="00E041B6" w:rsidP="00E041B6">
      <w:pPr>
        <w:spacing w:after="0" w:line="240" w:lineRule="auto"/>
        <w:rPr>
          <w:rFonts w:asciiTheme="majorHAnsi" w:hAnsiTheme="majorHAnsi" w:cstheme="majorHAnsi"/>
          <w:szCs w:val="21"/>
        </w:rPr>
      </w:pPr>
    </w:p>
    <w:p w14:paraId="691A5F89" w14:textId="77777777" w:rsidR="00E041B6" w:rsidRPr="005A1DC6" w:rsidRDefault="00E041B6" w:rsidP="00E041B6">
      <w:pPr>
        <w:spacing w:after="0" w:line="240" w:lineRule="auto"/>
        <w:rPr>
          <w:rFonts w:asciiTheme="majorHAnsi" w:hAnsiTheme="majorHAnsi" w:cstheme="majorHAnsi"/>
          <w:szCs w:val="21"/>
        </w:rPr>
      </w:pPr>
    </w:p>
    <w:p w14:paraId="33D0080D" w14:textId="77777777" w:rsidR="00E041B6" w:rsidRPr="005A1DC6" w:rsidRDefault="00E041B6" w:rsidP="00FF62CC">
      <w:pPr>
        <w:pStyle w:val="ListParagraph"/>
        <w:numPr>
          <w:ilvl w:val="0"/>
          <w:numId w:val="79"/>
        </w:numPr>
        <w:spacing w:after="0" w:line="240" w:lineRule="auto"/>
        <w:contextualSpacing w:val="0"/>
        <w:rPr>
          <w:rFonts w:asciiTheme="majorHAnsi" w:hAnsiTheme="majorHAnsi" w:cstheme="majorHAnsi"/>
          <w:b/>
          <w:sz w:val="21"/>
          <w:szCs w:val="21"/>
          <w:lang w:val="en-AU"/>
        </w:rPr>
      </w:pPr>
      <w:r w:rsidRPr="005A1DC6">
        <w:rPr>
          <w:rFonts w:asciiTheme="majorHAnsi" w:hAnsiTheme="majorHAnsi" w:cstheme="majorHAnsi"/>
          <w:sz w:val="21"/>
          <w:szCs w:val="21"/>
          <w:lang w:val="en-AU"/>
        </w:rPr>
        <w:t xml:space="preserve"> </w:t>
      </w:r>
      <w:r w:rsidRPr="005A1DC6">
        <w:rPr>
          <w:rFonts w:asciiTheme="majorHAnsi" w:hAnsiTheme="majorHAnsi" w:cstheme="majorHAnsi"/>
          <w:b/>
          <w:sz w:val="21"/>
          <w:szCs w:val="21"/>
          <w:lang w:val="en-AU"/>
        </w:rPr>
        <w:t>Review team composition, allocation of tasks</w:t>
      </w:r>
    </w:p>
    <w:p w14:paraId="4ED1A92C" w14:textId="77777777" w:rsidR="00E041B6" w:rsidRPr="005A1DC6" w:rsidRDefault="00E041B6" w:rsidP="00E041B6">
      <w:pPr>
        <w:spacing w:after="0" w:line="240" w:lineRule="auto"/>
        <w:rPr>
          <w:rFonts w:asciiTheme="majorHAnsi" w:hAnsiTheme="majorHAnsi" w:cstheme="majorHAnsi"/>
          <w:szCs w:val="21"/>
        </w:rPr>
      </w:pPr>
    </w:p>
    <w:p w14:paraId="5C53DDA4"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 xml:space="preserve">The team will principally (and initially) consist of a Team Leader Education Specialist with expertise in foundation level skills and Monitoring and Evaluation (M&amp;E) Specialist. </w:t>
      </w:r>
    </w:p>
    <w:p w14:paraId="186AC28F" w14:textId="77777777" w:rsidR="00E041B6" w:rsidRPr="005A1DC6" w:rsidRDefault="00E041B6" w:rsidP="00E041B6">
      <w:pPr>
        <w:spacing w:after="0" w:line="240" w:lineRule="auto"/>
        <w:rPr>
          <w:rFonts w:asciiTheme="majorHAnsi" w:hAnsiTheme="majorHAnsi" w:cstheme="majorHAnsi"/>
          <w:szCs w:val="21"/>
        </w:rPr>
      </w:pPr>
    </w:p>
    <w:p w14:paraId="52B6A397"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Other research support may be required to manage logistics and information such as the standardisation of research protocols. It is not expected that primary data be collected as part of this review.</w:t>
      </w:r>
    </w:p>
    <w:p w14:paraId="43AEC82C" w14:textId="77777777" w:rsidR="00E041B6" w:rsidRPr="005A1DC6" w:rsidRDefault="00E041B6" w:rsidP="00E041B6">
      <w:pPr>
        <w:spacing w:after="0" w:line="240" w:lineRule="auto"/>
        <w:rPr>
          <w:rFonts w:asciiTheme="majorHAnsi" w:hAnsiTheme="majorHAnsi" w:cstheme="majorHAnsi"/>
          <w:szCs w:val="21"/>
        </w:rPr>
      </w:pPr>
    </w:p>
    <w:p w14:paraId="2342248A"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lastRenderedPageBreak/>
        <w:t>The Team Leader – Education Specialist will be responsible for:</w:t>
      </w:r>
    </w:p>
    <w:p w14:paraId="3B8092D5" w14:textId="77777777" w:rsidR="00E041B6" w:rsidRPr="005A1DC6" w:rsidRDefault="00E041B6" w:rsidP="00FF62CC">
      <w:pPr>
        <w:numPr>
          <w:ilvl w:val="0"/>
          <w:numId w:val="83"/>
        </w:numPr>
        <w:spacing w:after="0" w:line="240" w:lineRule="auto"/>
        <w:rPr>
          <w:rFonts w:asciiTheme="majorHAnsi" w:hAnsiTheme="majorHAnsi" w:cstheme="majorHAnsi"/>
          <w:szCs w:val="21"/>
        </w:rPr>
      </w:pPr>
      <w:r w:rsidRPr="005A1DC6">
        <w:rPr>
          <w:rFonts w:asciiTheme="majorHAnsi" w:hAnsiTheme="majorHAnsi" w:cstheme="majorHAnsi"/>
          <w:szCs w:val="21"/>
        </w:rPr>
        <w:t>Designing an evaluation plan, alongside the M&amp;E Specialist and other team members, in order to implement the Review terms of reference</w:t>
      </w:r>
    </w:p>
    <w:p w14:paraId="4E8DC0E8" w14:textId="77777777" w:rsidR="00E041B6" w:rsidRPr="005A1DC6" w:rsidRDefault="00E041B6" w:rsidP="00FF62CC">
      <w:pPr>
        <w:numPr>
          <w:ilvl w:val="0"/>
          <w:numId w:val="83"/>
        </w:numPr>
        <w:spacing w:after="0" w:line="240" w:lineRule="auto"/>
        <w:rPr>
          <w:rFonts w:asciiTheme="majorHAnsi" w:hAnsiTheme="majorHAnsi" w:cstheme="majorHAnsi"/>
          <w:szCs w:val="21"/>
        </w:rPr>
      </w:pPr>
      <w:r w:rsidRPr="005A1DC6">
        <w:rPr>
          <w:rFonts w:asciiTheme="majorHAnsi" w:hAnsiTheme="majorHAnsi" w:cstheme="majorHAnsi"/>
          <w:szCs w:val="21"/>
        </w:rPr>
        <w:t>Implementing the evaluation plan</w:t>
      </w:r>
    </w:p>
    <w:p w14:paraId="2F2E61B8" w14:textId="77777777" w:rsidR="00E041B6" w:rsidRPr="005A1DC6" w:rsidRDefault="00E041B6" w:rsidP="00FF62CC">
      <w:pPr>
        <w:numPr>
          <w:ilvl w:val="0"/>
          <w:numId w:val="83"/>
        </w:numPr>
        <w:spacing w:after="0" w:line="240" w:lineRule="auto"/>
        <w:rPr>
          <w:rFonts w:asciiTheme="majorHAnsi" w:hAnsiTheme="majorHAnsi" w:cstheme="majorHAnsi"/>
          <w:szCs w:val="21"/>
        </w:rPr>
      </w:pPr>
      <w:r w:rsidRPr="005A1DC6">
        <w:rPr>
          <w:rFonts w:asciiTheme="majorHAnsi" w:hAnsiTheme="majorHAnsi" w:cstheme="majorHAnsi"/>
          <w:szCs w:val="21"/>
        </w:rPr>
        <w:t>Sourcing and analysing information in order to inform a credible judgment on effectiveness</w:t>
      </w:r>
    </w:p>
    <w:p w14:paraId="216796BA" w14:textId="77777777" w:rsidR="00E041B6" w:rsidRPr="005A1DC6" w:rsidRDefault="00E041B6" w:rsidP="00FF62CC">
      <w:pPr>
        <w:numPr>
          <w:ilvl w:val="0"/>
          <w:numId w:val="83"/>
        </w:numPr>
        <w:spacing w:after="0" w:line="240" w:lineRule="auto"/>
        <w:rPr>
          <w:rFonts w:asciiTheme="majorHAnsi" w:hAnsiTheme="majorHAnsi" w:cstheme="majorHAnsi"/>
          <w:szCs w:val="21"/>
        </w:rPr>
      </w:pPr>
      <w:r w:rsidRPr="005A1DC6">
        <w:rPr>
          <w:rFonts w:asciiTheme="majorHAnsi" w:hAnsiTheme="majorHAnsi" w:cstheme="majorHAnsi"/>
          <w:szCs w:val="21"/>
        </w:rPr>
        <w:t>Making recommendations</w:t>
      </w:r>
    </w:p>
    <w:p w14:paraId="1E0E30F8" w14:textId="77777777" w:rsidR="00E041B6" w:rsidRPr="005A1DC6" w:rsidRDefault="00E041B6" w:rsidP="00FF62CC">
      <w:pPr>
        <w:numPr>
          <w:ilvl w:val="0"/>
          <w:numId w:val="83"/>
        </w:numPr>
        <w:spacing w:after="0" w:line="240" w:lineRule="auto"/>
        <w:rPr>
          <w:rFonts w:asciiTheme="majorHAnsi" w:hAnsiTheme="majorHAnsi" w:cstheme="majorHAnsi"/>
          <w:szCs w:val="21"/>
        </w:rPr>
      </w:pPr>
      <w:r w:rsidRPr="005A1DC6">
        <w:rPr>
          <w:rFonts w:asciiTheme="majorHAnsi" w:hAnsiTheme="majorHAnsi" w:cstheme="majorHAnsi"/>
          <w:szCs w:val="21"/>
        </w:rPr>
        <w:t xml:space="preserve">Delivering a high-quality final report in line with DFAT M&amp;E Standards, which includes contributions from team members.  </w:t>
      </w:r>
    </w:p>
    <w:p w14:paraId="217953F1" w14:textId="77777777" w:rsidR="00E041B6" w:rsidRPr="005A1DC6" w:rsidRDefault="00E041B6" w:rsidP="00E041B6">
      <w:pPr>
        <w:spacing w:after="0" w:line="240" w:lineRule="auto"/>
        <w:rPr>
          <w:rFonts w:asciiTheme="majorHAnsi" w:hAnsiTheme="majorHAnsi" w:cstheme="majorHAnsi"/>
          <w:szCs w:val="21"/>
        </w:rPr>
      </w:pPr>
    </w:p>
    <w:p w14:paraId="469600B8"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The Team Leader – Education Specialist will also be required to:</w:t>
      </w:r>
    </w:p>
    <w:p w14:paraId="03A66738" w14:textId="77777777" w:rsidR="00E041B6" w:rsidRPr="005A1DC6" w:rsidRDefault="00E041B6" w:rsidP="00FF62CC">
      <w:pPr>
        <w:numPr>
          <w:ilvl w:val="0"/>
          <w:numId w:val="83"/>
        </w:numPr>
        <w:spacing w:after="0" w:line="240" w:lineRule="auto"/>
        <w:rPr>
          <w:rFonts w:asciiTheme="majorHAnsi" w:hAnsiTheme="majorHAnsi" w:cstheme="majorHAnsi"/>
          <w:szCs w:val="21"/>
        </w:rPr>
      </w:pPr>
      <w:r w:rsidRPr="005A1DC6">
        <w:rPr>
          <w:rFonts w:asciiTheme="majorHAnsi" w:hAnsiTheme="majorHAnsi" w:cstheme="majorHAnsi"/>
          <w:szCs w:val="21"/>
        </w:rPr>
        <w:t>Work constructively with HDMES on finalisation and quality assurance of deliverables</w:t>
      </w:r>
    </w:p>
    <w:p w14:paraId="21D270B0" w14:textId="77777777" w:rsidR="00E041B6" w:rsidRPr="005A1DC6" w:rsidRDefault="00E041B6" w:rsidP="00FF62CC">
      <w:pPr>
        <w:numPr>
          <w:ilvl w:val="0"/>
          <w:numId w:val="83"/>
        </w:numPr>
        <w:spacing w:after="0" w:line="240" w:lineRule="auto"/>
        <w:rPr>
          <w:rFonts w:asciiTheme="majorHAnsi" w:hAnsiTheme="majorHAnsi" w:cstheme="majorHAnsi"/>
          <w:szCs w:val="21"/>
        </w:rPr>
      </w:pPr>
      <w:r w:rsidRPr="005A1DC6">
        <w:rPr>
          <w:rFonts w:asciiTheme="majorHAnsi" w:hAnsiTheme="majorHAnsi" w:cstheme="majorHAnsi"/>
          <w:szCs w:val="21"/>
        </w:rPr>
        <w:t>Represent the team in consultation with DFAT and in peer reviews, as required.</w:t>
      </w:r>
    </w:p>
    <w:p w14:paraId="2139E343" w14:textId="77777777" w:rsidR="00E041B6" w:rsidRPr="005A1DC6" w:rsidRDefault="00E041B6" w:rsidP="00FF62CC">
      <w:pPr>
        <w:numPr>
          <w:ilvl w:val="0"/>
          <w:numId w:val="83"/>
        </w:numPr>
        <w:spacing w:after="0" w:line="240" w:lineRule="auto"/>
        <w:rPr>
          <w:rFonts w:asciiTheme="majorHAnsi" w:hAnsiTheme="majorHAnsi" w:cstheme="majorHAnsi"/>
          <w:szCs w:val="21"/>
        </w:rPr>
      </w:pPr>
      <w:r w:rsidRPr="005A1DC6">
        <w:rPr>
          <w:rFonts w:asciiTheme="majorHAnsi" w:hAnsiTheme="majorHAnsi" w:cstheme="majorHAnsi"/>
          <w:szCs w:val="21"/>
        </w:rPr>
        <w:t>Work sensitively and collaboratively with stakeholders and other team members</w:t>
      </w:r>
    </w:p>
    <w:p w14:paraId="44D03437" w14:textId="77777777" w:rsidR="00E041B6" w:rsidRPr="005A1DC6" w:rsidRDefault="00E041B6" w:rsidP="00FF62CC">
      <w:pPr>
        <w:numPr>
          <w:ilvl w:val="0"/>
          <w:numId w:val="83"/>
        </w:numPr>
        <w:spacing w:after="0" w:line="240" w:lineRule="auto"/>
        <w:rPr>
          <w:rFonts w:asciiTheme="majorHAnsi" w:hAnsiTheme="majorHAnsi" w:cstheme="majorHAnsi"/>
          <w:szCs w:val="21"/>
        </w:rPr>
      </w:pPr>
      <w:r w:rsidRPr="005A1DC6">
        <w:rPr>
          <w:rFonts w:asciiTheme="majorHAnsi" w:hAnsiTheme="majorHAnsi" w:cstheme="majorHAnsi"/>
          <w:szCs w:val="21"/>
        </w:rPr>
        <w:t>Apply technical education expertise to the review in order to inform judgments and conclusions about effectiveness and recommendations</w:t>
      </w:r>
    </w:p>
    <w:p w14:paraId="027008A3" w14:textId="77777777" w:rsidR="00E041B6" w:rsidRPr="005A1DC6" w:rsidRDefault="00E041B6" w:rsidP="00E041B6">
      <w:pPr>
        <w:spacing w:after="0" w:line="240" w:lineRule="auto"/>
        <w:rPr>
          <w:rFonts w:asciiTheme="majorHAnsi" w:hAnsiTheme="majorHAnsi" w:cstheme="majorHAnsi"/>
          <w:szCs w:val="21"/>
          <w:u w:val="single"/>
        </w:rPr>
      </w:pPr>
    </w:p>
    <w:p w14:paraId="1F0802D9"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u w:val="single"/>
        </w:rPr>
        <w:t>Monitoring and Evaluation (M&amp;E) Specialist (Team Member)</w:t>
      </w:r>
      <w:r w:rsidRPr="005A1DC6">
        <w:rPr>
          <w:rFonts w:asciiTheme="majorHAnsi" w:hAnsiTheme="majorHAnsi" w:cstheme="majorHAnsi"/>
          <w:szCs w:val="21"/>
        </w:rPr>
        <w:t xml:space="preserve"> </w:t>
      </w:r>
    </w:p>
    <w:p w14:paraId="11620A11" w14:textId="77777777" w:rsidR="00E041B6" w:rsidRPr="005A1DC6" w:rsidRDefault="00E041B6" w:rsidP="00E041B6">
      <w:pPr>
        <w:spacing w:after="0" w:line="240" w:lineRule="auto"/>
        <w:rPr>
          <w:rFonts w:asciiTheme="majorHAnsi" w:hAnsiTheme="majorHAnsi" w:cstheme="majorHAnsi"/>
          <w:szCs w:val="21"/>
        </w:rPr>
      </w:pPr>
    </w:p>
    <w:p w14:paraId="7928E060"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The Monitoring and Evaluation (M&amp;E) Specialist</w:t>
      </w:r>
      <w:r w:rsidRPr="005A1DC6">
        <w:rPr>
          <w:rFonts w:asciiTheme="majorHAnsi" w:hAnsiTheme="majorHAnsi" w:cstheme="majorHAnsi"/>
          <w:szCs w:val="21"/>
          <w:u w:val="single"/>
        </w:rPr>
        <w:t xml:space="preserve"> </w:t>
      </w:r>
      <w:r w:rsidRPr="005A1DC6">
        <w:rPr>
          <w:rFonts w:asciiTheme="majorHAnsi" w:hAnsiTheme="majorHAnsi" w:cstheme="majorHAnsi"/>
          <w:szCs w:val="21"/>
        </w:rPr>
        <w:t>will:</w:t>
      </w:r>
    </w:p>
    <w:p w14:paraId="3034B78A" w14:textId="77777777" w:rsidR="00E041B6" w:rsidRPr="005A1DC6" w:rsidRDefault="00E041B6" w:rsidP="00FF62CC">
      <w:pPr>
        <w:numPr>
          <w:ilvl w:val="0"/>
          <w:numId w:val="83"/>
        </w:numPr>
        <w:spacing w:after="0" w:line="240" w:lineRule="auto"/>
        <w:rPr>
          <w:rFonts w:asciiTheme="majorHAnsi" w:hAnsiTheme="majorHAnsi" w:cstheme="majorHAnsi"/>
          <w:szCs w:val="21"/>
        </w:rPr>
      </w:pPr>
      <w:r w:rsidRPr="005A1DC6">
        <w:rPr>
          <w:rFonts w:asciiTheme="majorHAnsi" w:hAnsiTheme="majorHAnsi" w:cstheme="majorHAnsi"/>
          <w:szCs w:val="21"/>
        </w:rPr>
        <w:t xml:space="preserve">Plan, guide and develop the overall approach and methodology for the review, including development of research protocols, in consultation with the Education Adviser (and possible research team). </w:t>
      </w:r>
    </w:p>
    <w:p w14:paraId="7171FBED" w14:textId="77777777" w:rsidR="00E041B6" w:rsidRPr="005A1DC6" w:rsidRDefault="00E041B6" w:rsidP="00FF62CC">
      <w:pPr>
        <w:numPr>
          <w:ilvl w:val="0"/>
          <w:numId w:val="83"/>
        </w:numPr>
        <w:spacing w:after="0" w:line="240" w:lineRule="auto"/>
        <w:rPr>
          <w:rFonts w:asciiTheme="majorHAnsi" w:hAnsiTheme="majorHAnsi" w:cstheme="majorHAnsi"/>
          <w:szCs w:val="21"/>
        </w:rPr>
      </w:pPr>
      <w:r w:rsidRPr="005A1DC6">
        <w:rPr>
          <w:rFonts w:asciiTheme="majorHAnsi" w:hAnsiTheme="majorHAnsi" w:cstheme="majorHAnsi"/>
          <w:szCs w:val="21"/>
        </w:rPr>
        <w:t xml:space="preserve">Be responsible for managing and directing activities and representing the review team.    </w:t>
      </w:r>
    </w:p>
    <w:p w14:paraId="3CDAA849" w14:textId="77777777" w:rsidR="00E041B6" w:rsidRPr="005A1DC6" w:rsidRDefault="00E041B6" w:rsidP="00FF62CC">
      <w:pPr>
        <w:numPr>
          <w:ilvl w:val="0"/>
          <w:numId w:val="83"/>
        </w:numPr>
        <w:spacing w:after="0" w:line="240" w:lineRule="auto"/>
        <w:rPr>
          <w:rFonts w:asciiTheme="majorHAnsi" w:hAnsiTheme="majorHAnsi" w:cstheme="majorHAnsi"/>
          <w:szCs w:val="21"/>
        </w:rPr>
      </w:pPr>
      <w:r w:rsidRPr="005A1DC6">
        <w:rPr>
          <w:rFonts w:asciiTheme="majorHAnsi" w:hAnsiTheme="majorHAnsi" w:cstheme="majorHAnsi"/>
          <w:szCs w:val="21"/>
        </w:rPr>
        <w:t xml:space="preserve">Be responsible for managing, compiling and editing inputs from the Education Adviser and research team into a clear draft, and quality assuring all reporting.  </w:t>
      </w:r>
    </w:p>
    <w:p w14:paraId="2B76D5A8" w14:textId="77777777" w:rsidR="00E041B6" w:rsidRPr="005A1DC6" w:rsidRDefault="00E041B6" w:rsidP="00FF62CC">
      <w:pPr>
        <w:numPr>
          <w:ilvl w:val="0"/>
          <w:numId w:val="83"/>
        </w:numPr>
        <w:spacing w:after="0" w:line="240" w:lineRule="auto"/>
        <w:rPr>
          <w:rFonts w:asciiTheme="majorHAnsi" w:hAnsiTheme="majorHAnsi" w:cstheme="majorHAnsi"/>
          <w:szCs w:val="21"/>
        </w:rPr>
      </w:pPr>
      <w:r w:rsidRPr="005A1DC6">
        <w:rPr>
          <w:rFonts w:asciiTheme="majorHAnsi" w:hAnsiTheme="majorHAnsi" w:cstheme="majorHAnsi"/>
          <w:szCs w:val="21"/>
        </w:rPr>
        <w:t>Support TL in peer reviews, as required.</w:t>
      </w:r>
    </w:p>
    <w:p w14:paraId="08EF5F68" w14:textId="77777777" w:rsidR="00E041B6" w:rsidRPr="005A1DC6" w:rsidRDefault="00E041B6" w:rsidP="00E041B6">
      <w:pPr>
        <w:spacing w:after="0" w:line="240" w:lineRule="auto"/>
        <w:rPr>
          <w:rFonts w:asciiTheme="majorHAnsi" w:hAnsiTheme="majorHAnsi" w:cstheme="majorHAnsi"/>
          <w:szCs w:val="21"/>
          <w:u w:val="single"/>
        </w:rPr>
      </w:pPr>
    </w:p>
    <w:p w14:paraId="622BD64C"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 xml:space="preserve">A representative of the </w:t>
      </w:r>
      <w:r w:rsidRPr="005A1DC6">
        <w:rPr>
          <w:rFonts w:asciiTheme="majorHAnsi" w:hAnsiTheme="majorHAnsi" w:cstheme="majorHAnsi"/>
          <w:szCs w:val="21"/>
          <w:u w:val="single"/>
        </w:rPr>
        <w:t>Government of Papua New Guinea</w:t>
      </w:r>
      <w:r w:rsidRPr="005A1DC6">
        <w:rPr>
          <w:rFonts w:asciiTheme="majorHAnsi" w:hAnsiTheme="majorHAnsi" w:cstheme="majorHAnsi"/>
          <w:szCs w:val="21"/>
        </w:rPr>
        <w:t xml:space="preserve"> will be identified in consultation with the PNG Government and participate in the review. The representative will provide national policy and operational context and perspective to the evaluation team.</w:t>
      </w:r>
    </w:p>
    <w:p w14:paraId="46C90052" w14:textId="77777777" w:rsidR="00E041B6" w:rsidRPr="005A1DC6" w:rsidRDefault="00E041B6" w:rsidP="00E041B6">
      <w:pPr>
        <w:spacing w:after="0" w:line="240" w:lineRule="auto"/>
        <w:rPr>
          <w:rFonts w:asciiTheme="majorHAnsi" w:hAnsiTheme="majorHAnsi" w:cstheme="majorHAnsi"/>
          <w:szCs w:val="21"/>
        </w:rPr>
      </w:pPr>
    </w:p>
    <w:p w14:paraId="281E140B" w14:textId="77777777" w:rsidR="00E041B6" w:rsidRPr="005A1DC6" w:rsidRDefault="00E041B6" w:rsidP="00FF62CC">
      <w:pPr>
        <w:pStyle w:val="ListParagraph"/>
        <w:keepNext/>
        <w:numPr>
          <w:ilvl w:val="0"/>
          <w:numId w:val="79"/>
        </w:numPr>
        <w:spacing w:after="0" w:line="240" w:lineRule="auto"/>
        <w:contextualSpacing w:val="0"/>
        <w:rPr>
          <w:rFonts w:asciiTheme="majorHAnsi" w:hAnsiTheme="majorHAnsi" w:cstheme="majorHAnsi"/>
          <w:b/>
          <w:sz w:val="21"/>
          <w:szCs w:val="21"/>
          <w:lang w:val="en-AU"/>
        </w:rPr>
      </w:pPr>
      <w:r w:rsidRPr="005A1DC6">
        <w:rPr>
          <w:rFonts w:asciiTheme="majorHAnsi" w:hAnsiTheme="majorHAnsi" w:cstheme="majorHAnsi"/>
          <w:b/>
          <w:sz w:val="21"/>
          <w:szCs w:val="21"/>
          <w:lang w:val="en-AU"/>
        </w:rPr>
        <w:t xml:space="preserve">Duration of the Review  </w:t>
      </w:r>
    </w:p>
    <w:p w14:paraId="24F3C410" w14:textId="77777777" w:rsidR="00E041B6" w:rsidRPr="005A1DC6" w:rsidRDefault="00E041B6" w:rsidP="00E041B6">
      <w:pPr>
        <w:pStyle w:val="ListParagraph"/>
        <w:keepNext/>
        <w:rPr>
          <w:rFonts w:asciiTheme="majorHAnsi" w:hAnsiTheme="majorHAnsi" w:cstheme="majorHAnsi"/>
          <w:sz w:val="21"/>
          <w:szCs w:val="21"/>
          <w:lang w:val="en-AU"/>
        </w:rPr>
      </w:pPr>
    </w:p>
    <w:p w14:paraId="36B55A07" w14:textId="77777777" w:rsidR="00E041B6" w:rsidRPr="005A1DC6" w:rsidRDefault="00E041B6" w:rsidP="00E041B6">
      <w:pPr>
        <w:keepNext/>
        <w:spacing w:after="0" w:line="240" w:lineRule="auto"/>
        <w:rPr>
          <w:rFonts w:asciiTheme="majorHAnsi" w:hAnsiTheme="majorHAnsi" w:cstheme="majorHAnsi"/>
          <w:szCs w:val="21"/>
        </w:rPr>
      </w:pPr>
      <w:r w:rsidRPr="005A1DC6">
        <w:rPr>
          <w:rFonts w:asciiTheme="majorHAnsi" w:hAnsiTheme="majorHAnsi" w:cstheme="majorHAnsi"/>
          <w:szCs w:val="21"/>
        </w:rPr>
        <w:t>The expected period for the review process is from 21 October to 29 November 2019</w:t>
      </w:r>
      <w:r w:rsidRPr="005A1DC6">
        <w:rPr>
          <w:rStyle w:val="FootnoteReference"/>
          <w:rFonts w:asciiTheme="majorHAnsi" w:hAnsiTheme="majorHAnsi" w:cstheme="majorHAnsi"/>
          <w:szCs w:val="21"/>
        </w:rPr>
        <w:footnoteReference w:id="91"/>
      </w:r>
      <w:r w:rsidRPr="005A1DC6">
        <w:rPr>
          <w:rFonts w:asciiTheme="majorHAnsi" w:hAnsiTheme="majorHAnsi" w:cstheme="majorHAnsi"/>
          <w:szCs w:val="21"/>
        </w:rPr>
        <w:t xml:space="preserve"> </w:t>
      </w:r>
      <w:r w:rsidRPr="005A1DC6">
        <w:rPr>
          <w:rFonts w:asciiTheme="majorHAnsi" w:hAnsiTheme="majorHAnsi" w:cstheme="majorHAnsi"/>
          <w:i/>
          <w:iCs/>
          <w:szCs w:val="21"/>
        </w:rPr>
        <w:t xml:space="preserve">(tbc) </w:t>
      </w:r>
      <w:r w:rsidRPr="005A1DC6">
        <w:rPr>
          <w:rFonts w:asciiTheme="majorHAnsi" w:hAnsiTheme="majorHAnsi" w:cstheme="majorHAnsi"/>
          <w:szCs w:val="21"/>
        </w:rPr>
        <w:t xml:space="preserve">including up to 2 weeks in PNG for in-country consultations and field work. Final submission is anticipated in January 2020.  </w:t>
      </w:r>
    </w:p>
    <w:p w14:paraId="664B8B91" w14:textId="77777777" w:rsidR="00E041B6" w:rsidRPr="005A1DC6" w:rsidRDefault="00E041B6" w:rsidP="00E041B6">
      <w:pPr>
        <w:spacing w:after="0" w:line="240" w:lineRule="auto"/>
        <w:rPr>
          <w:rFonts w:asciiTheme="majorHAnsi" w:hAnsiTheme="majorHAnsi" w:cstheme="majorHAnsi"/>
          <w:szCs w:val="21"/>
          <w:u w:val="single"/>
        </w:rPr>
      </w:pPr>
    </w:p>
    <w:p w14:paraId="7B362F63" w14:textId="77777777" w:rsidR="00E041B6" w:rsidRPr="005A1DC6" w:rsidRDefault="00E041B6" w:rsidP="00FF62CC">
      <w:pPr>
        <w:pStyle w:val="ListParagraph"/>
        <w:numPr>
          <w:ilvl w:val="0"/>
          <w:numId w:val="79"/>
        </w:numPr>
        <w:spacing w:after="0" w:line="240" w:lineRule="auto"/>
        <w:contextualSpacing w:val="0"/>
        <w:rPr>
          <w:rFonts w:asciiTheme="majorHAnsi" w:hAnsiTheme="majorHAnsi" w:cstheme="majorHAnsi"/>
          <w:b/>
          <w:sz w:val="21"/>
          <w:szCs w:val="21"/>
          <w:lang w:val="en-AU"/>
        </w:rPr>
      </w:pPr>
      <w:r w:rsidRPr="005A1DC6">
        <w:rPr>
          <w:rFonts w:asciiTheme="majorHAnsi" w:hAnsiTheme="majorHAnsi" w:cstheme="majorHAnsi"/>
          <w:b/>
          <w:sz w:val="21"/>
          <w:szCs w:val="21"/>
          <w:lang w:val="en-AU"/>
        </w:rPr>
        <w:t xml:space="preserve">Review Process  </w:t>
      </w:r>
    </w:p>
    <w:p w14:paraId="68C4D083" w14:textId="77777777" w:rsidR="00E041B6" w:rsidRPr="005A1DC6" w:rsidRDefault="00E041B6" w:rsidP="00E041B6">
      <w:pPr>
        <w:spacing w:after="0" w:line="240" w:lineRule="auto"/>
        <w:rPr>
          <w:rFonts w:asciiTheme="majorHAnsi" w:hAnsiTheme="majorHAnsi" w:cstheme="majorHAnsi"/>
          <w:szCs w:val="21"/>
        </w:rPr>
      </w:pPr>
    </w:p>
    <w:p w14:paraId="618032FD"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 xml:space="preserve">The breakdown of key tasks and input days as below </w:t>
      </w:r>
      <w:r w:rsidRPr="005A1DC6">
        <w:rPr>
          <w:rFonts w:asciiTheme="majorHAnsi" w:hAnsiTheme="majorHAnsi" w:cstheme="majorHAnsi"/>
          <w:i/>
          <w:iCs/>
          <w:szCs w:val="21"/>
        </w:rPr>
        <w:t>(indicative dates and days).</w:t>
      </w:r>
      <w:r w:rsidRPr="005A1DC6">
        <w:rPr>
          <w:rFonts w:asciiTheme="majorHAnsi" w:hAnsiTheme="majorHAnsi" w:cstheme="majorHAnsi"/>
          <w:szCs w:val="21"/>
        </w:rPr>
        <w:t xml:space="preserve"> </w:t>
      </w:r>
    </w:p>
    <w:p w14:paraId="0E31085A"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 xml:space="preserve"> </w:t>
      </w:r>
    </w:p>
    <w:tbl>
      <w:tblPr>
        <w:tblStyle w:val="PlainTable5"/>
        <w:tblW w:w="9493" w:type="dxa"/>
        <w:tblLayout w:type="fixed"/>
        <w:tblLook w:val="04A0" w:firstRow="1" w:lastRow="0" w:firstColumn="1" w:lastColumn="0" w:noHBand="0" w:noVBand="1"/>
        <w:tblCaption w:val="Team Leader and M&amp;E Specialist Tasks and Outputs"/>
        <w:tblDescription w:val="Document review commenced 21 October; Consultations started 7 November; Field visits to Wewak, Madang and Western Highlands took place 9-19 November. A validation workshop was held on 25 November; the Aide Memoire was presented to the Government of PNG and the Australian High Commission on 25 November; the draft report was submitted to the Australian High Commission on 9 December and the final version was submitted on 13 January."/>
      </w:tblPr>
      <w:tblGrid>
        <w:gridCol w:w="9493"/>
      </w:tblGrid>
      <w:tr w:rsidR="00D813A6" w:rsidRPr="005A1DC6" w14:paraId="53FCF468" w14:textId="77777777" w:rsidTr="00AE259C">
        <w:trPr>
          <w:cnfStyle w:val="100000000000" w:firstRow="1" w:lastRow="0" w:firstColumn="0" w:lastColumn="0" w:oddVBand="0" w:evenVBand="0" w:oddHBand="0" w:evenHBand="0" w:firstRowFirstColumn="0" w:firstRowLastColumn="0" w:lastRowFirstColumn="0" w:lastRowLastColumn="0"/>
          <w:trHeight w:val="424"/>
          <w:tblHeader/>
        </w:trPr>
        <w:tc>
          <w:tcPr>
            <w:cnfStyle w:val="001000000100" w:firstRow="0" w:lastRow="0" w:firstColumn="1" w:lastColumn="0" w:oddVBand="0" w:evenVBand="0" w:oddHBand="0" w:evenHBand="0" w:firstRowFirstColumn="1" w:firstRowLastColumn="0" w:lastRowFirstColumn="0" w:lastRowLastColumn="0"/>
            <w:tcW w:w="9493" w:type="dxa"/>
            <w:tcBorders>
              <w:top w:val="single" w:sz="4" w:space="0" w:color="auto"/>
              <w:left w:val="single" w:sz="4" w:space="0" w:color="auto"/>
              <w:bottom w:val="single" w:sz="4" w:space="0" w:color="auto"/>
            </w:tcBorders>
            <w:shd w:val="clear" w:color="auto" w:fill="262626" w:themeFill="text1" w:themeFillTint="D9"/>
            <w:hideMark/>
          </w:tcPr>
          <w:p w14:paraId="540EB9DB" w14:textId="70D249E2" w:rsidR="00D813A6" w:rsidRPr="005A1DC6" w:rsidRDefault="00D813A6" w:rsidP="00E66419">
            <w:pPr>
              <w:jc w:val="center"/>
              <w:rPr>
                <w:rFonts w:asciiTheme="majorHAnsi" w:hAnsiTheme="majorHAnsi" w:cstheme="majorHAnsi"/>
                <w:b/>
                <w:bCs/>
                <w:i w:val="0"/>
                <w:iCs w:val="0"/>
                <w:szCs w:val="21"/>
                <w:lang w:eastAsia="en-AU"/>
              </w:rPr>
            </w:pPr>
            <w:r w:rsidRPr="005A1DC6">
              <w:rPr>
                <w:rFonts w:asciiTheme="majorHAnsi" w:hAnsiTheme="majorHAnsi" w:cstheme="majorHAnsi"/>
                <w:b/>
                <w:bCs/>
                <w:i w:val="0"/>
                <w:iCs w:val="0"/>
                <w:szCs w:val="21"/>
                <w:lang w:eastAsia="en-AU"/>
              </w:rPr>
              <w:t>TL</w:t>
            </w:r>
            <w:r w:rsidR="00E66419" w:rsidRPr="005A1DC6">
              <w:rPr>
                <w:rFonts w:asciiTheme="majorHAnsi" w:hAnsiTheme="majorHAnsi" w:cstheme="majorHAnsi"/>
                <w:b/>
                <w:bCs/>
                <w:i w:val="0"/>
                <w:iCs w:val="0"/>
                <w:szCs w:val="21"/>
                <w:lang w:eastAsia="en-AU"/>
              </w:rPr>
              <w:t xml:space="preserve"> and M&amp;E Specialist Tasks and Outputs/Comments</w:t>
            </w:r>
          </w:p>
        </w:tc>
      </w:tr>
      <w:tr w:rsidR="00855A87" w:rsidRPr="005A1DC6" w14:paraId="2170438E" w14:textId="77777777" w:rsidTr="009F310F">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hideMark/>
          </w:tcPr>
          <w:p w14:paraId="5C9EB6B6" w14:textId="77777777" w:rsidR="00E7288C" w:rsidRPr="005A1DC6" w:rsidRDefault="00855A87" w:rsidP="00E7288C">
            <w:pPr>
              <w:jc w:val="left"/>
              <w:rPr>
                <w:rFonts w:asciiTheme="majorHAnsi" w:hAnsiTheme="majorHAnsi" w:cstheme="majorHAnsi"/>
                <w:szCs w:val="21"/>
                <w:lang w:eastAsia="en-AU"/>
              </w:rPr>
            </w:pPr>
            <w:r w:rsidRPr="005A1DC6">
              <w:rPr>
                <w:rFonts w:asciiTheme="majorHAnsi" w:hAnsiTheme="majorHAnsi" w:cstheme="majorHAnsi"/>
                <w:szCs w:val="21"/>
                <w:lang w:eastAsia="en-AU"/>
              </w:rPr>
              <w:t>Document review</w:t>
            </w:r>
            <w:r w:rsidR="00E7288C" w:rsidRPr="005A1DC6">
              <w:rPr>
                <w:rFonts w:asciiTheme="majorHAnsi" w:hAnsiTheme="majorHAnsi" w:cstheme="majorHAnsi"/>
                <w:i w:val="0"/>
                <w:iCs w:val="0"/>
                <w:szCs w:val="21"/>
                <w:lang w:eastAsia="en-AU"/>
              </w:rPr>
              <w:t xml:space="preserve">: </w:t>
            </w:r>
            <w:r w:rsidRPr="005A1DC6">
              <w:rPr>
                <w:rFonts w:asciiTheme="majorHAnsi" w:hAnsiTheme="majorHAnsi" w:cstheme="majorHAnsi"/>
                <w:szCs w:val="21"/>
                <w:lang w:eastAsia="en-AU"/>
              </w:rPr>
              <w:t>21-Oct</w:t>
            </w:r>
            <w:r w:rsidR="00E7288C" w:rsidRPr="005A1DC6">
              <w:rPr>
                <w:rFonts w:asciiTheme="majorHAnsi" w:hAnsiTheme="majorHAnsi" w:cstheme="majorHAnsi"/>
                <w:i w:val="0"/>
                <w:iCs w:val="0"/>
                <w:szCs w:val="21"/>
                <w:lang w:eastAsia="en-AU"/>
              </w:rPr>
              <w:t xml:space="preserve"> - </w:t>
            </w:r>
            <w:r w:rsidRPr="005A1DC6">
              <w:rPr>
                <w:rFonts w:asciiTheme="majorHAnsi" w:hAnsiTheme="majorHAnsi" w:cstheme="majorHAnsi"/>
                <w:szCs w:val="21"/>
                <w:lang w:eastAsia="en-AU"/>
              </w:rPr>
              <w:t>31-Oct</w:t>
            </w:r>
            <w:r w:rsidR="00E7288C" w:rsidRPr="005A1DC6">
              <w:rPr>
                <w:rFonts w:asciiTheme="majorHAnsi" w:hAnsiTheme="majorHAnsi" w:cstheme="majorHAnsi"/>
                <w:i w:val="0"/>
                <w:iCs w:val="0"/>
                <w:szCs w:val="21"/>
                <w:lang w:eastAsia="en-AU"/>
              </w:rPr>
              <w:t xml:space="preserve"> </w:t>
            </w:r>
          </w:p>
          <w:p w14:paraId="641F5798" w14:textId="3532100E" w:rsidR="00855A87" w:rsidRPr="005A1DC6" w:rsidRDefault="00855A87" w:rsidP="00E7288C">
            <w:pPr>
              <w:jc w:val="left"/>
              <w:rPr>
                <w:rFonts w:asciiTheme="majorHAnsi" w:hAnsiTheme="majorHAnsi" w:cstheme="majorHAnsi"/>
                <w:i w:val="0"/>
                <w:iCs w:val="0"/>
                <w:szCs w:val="21"/>
                <w:lang w:eastAsia="en-AU"/>
              </w:rPr>
            </w:pPr>
            <w:r w:rsidRPr="005A1DC6">
              <w:rPr>
                <w:rFonts w:asciiTheme="majorHAnsi" w:hAnsiTheme="majorHAnsi" w:cstheme="majorHAnsi"/>
                <w:color w:val="000000"/>
                <w:szCs w:val="21"/>
                <w:lang w:eastAsia="en-AU"/>
              </w:rPr>
              <w:t>Summary of relevant literature</w:t>
            </w:r>
          </w:p>
        </w:tc>
      </w:tr>
      <w:tr w:rsidR="00855A87" w:rsidRPr="005A1DC6" w14:paraId="01EE1F52" w14:textId="77777777" w:rsidTr="00E7288C">
        <w:trPr>
          <w:trHeight w:val="655"/>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right w:val="single" w:sz="4" w:space="0" w:color="auto"/>
            </w:tcBorders>
            <w:hideMark/>
          </w:tcPr>
          <w:p w14:paraId="5F9711DA" w14:textId="7D2D237A" w:rsidR="00855A87" w:rsidRPr="005A1DC6" w:rsidRDefault="00855A87" w:rsidP="00E7288C">
            <w:pPr>
              <w:jc w:val="left"/>
              <w:rPr>
                <w:rFonts w:asciiTheme="majorHAnsi" w:hAnsiTheme="majorHAnsi" w:cstheme="majorHAnsi"/>
                <w:i w:val="0"/>
                <w:iCs w:val="0"/>
                <w:color w:val="000000"/>
                <w:szCs w:val="21"/>
                <w:lang w:eastAsia="en-AU"/>
              </w:rPr>
            </w:pPr>
            <w:r w:rsidRPr="005A1DC6">
              <w:rPr>
                <w:rFonts w:asciiTheme="majorHAnsi" w:hAnsiTheme="majorHAnsi" w:cstheme="majorHAnsi"/>
                <w:color w:val="000000"/>
                <w:szCs w:val="21"/>
                <w:lang w:eastAsia="en-AU"/>
              </w:rPr>
              <w:t>Inception teleconference</w:t>
            </w:r>
            <w:r w:rsidR="00E7288C" w:rsidRPr="005A1DC6">
              <w:rPr>
                <w:rFonts w:asciiTheme="majorHAnsi" w:hAnsiTheme="majorHAnsi" w:cstheme="majorHAnsi"/>
                <w:color w:val="000000"/>
                <w:szCs w:val="21"/>
                <w:lang w:eastAsia="en-AU"/>
              </w:rPr>
              <w:t xml:space="preserve">: </w:t>
            </w:r>
            <w:r w:rsidRPr="005A1DC6">
              <w:rPr>
                <w:rFonts w:asciiTheme="majorHAnsi" w:hAnsiTheme="majorHAnsi" w:cstheme="majorHAnsi"/>
                <w:color w:val="000000"/>
                <w:szCs w:val="21"/>
                <w:lang w:eastAsia="en-AU"/>
              </w:rPr>
              <w:t>29-Oct</w:t>
            </w:r>
          </w:p>
          <w:p w14:paraId="5FC7755B" w14:textId="600035BF" w:rsidR="00855A87" w:rsidRPr="005A1DC6" w:rsidRDefault="00855A87" w:rsidP="00E7288C">
            <w:pPr>
              <w:jc w:val="left"/>
              <w:rPr>
                <w:rFonts w:asciiTheme="majorHAnsi" w:hAnsiTheme="majorHAnsi" w:cstheme="majorHAnsi"/>
                <w:color w:val="000000"/>
                <w:szCs w:val="21"/>
                <w:lang w:eastAsia="en-AU"/>
              </w:rPr>
            </w:pPr>
            <w:r w:rsidRPr="005A1DC6">
              <w:rPr>
                <w:rFonts w:asciiTheme="majorHAnsi" w:hAnsiTheme="majorHAnsi" w:cstheme="majorHAnsi"/>
                <w:color w:val="000000"/>
                <w:szCs w:val="21"/>
                <w:lang w:eastAsia="en-AU"/>
              </w:rPr>
              <w:t>Briefing on draft Review Plan</w:t>
            </w:r>
          </w:p>
        </w:tc>
      </w:tr>
      <w:tr w:rsidR="00855A87" w:rsidRPr="005A1DC6" w14:paraId="1F271DF7" w14:textId="77777777" w:rsidTr="009F310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hideMark/>
          </w:tcPr>
          <w:p w14:paraId="65815F71" w14:textId="68464FEA" w:rsidR="00855A87" w:rsidRPr="005A1DC6" w:rsidRDefault="00855A87" w:rsidP="00E7288C">
            <w:pPr>
              <w:jc w:val="left"/>
              <w:rPr>
                <w:rFonts w:asciiTheme="majorHAnsi" w:hAnsiTheme="majorHAnsi" w:cstheme="majorHAnsi"/>
                <w:i w:val="0"/>
                <w:iCs w:val="0"/>
                <w:color w:val="000000"/>
                <w:szCs w:val="21"/>
                <w:lang w:eastAsia="en-AU"/>
              </w:rPr>
            </w:pPr>
            <w:r w:rsidRPr="005A1DC6">
              <w:rPr>
                <w:rFonts w:asciiTheme="majorHAnsi" w:hAnsiTheme="majorHAnsi" w:cstheme="majorHAnsi"/>
                <w:color w:val="000000"/>
                <w:szCs w:val="21"/>
                <w:lang w:eastAsia="en-AU"/>
              </w:rPr>
              <w:t>Draft Review Plan</w:t>
            </w:r>
            <w:r w:rsidR="00E7288C" w:rsidRPr="005A1DC6">
              <w:rPr>
                <w:rFonts w:asciiTheme="majorHAnsi" w:hAnsiTheme="majorHAnsi" w:cstheme="majorHAnsi"/>
                <w:i w:val="0"/>
                <w:iCs w:val="0"/>
                <w:color w:val="000000"/>
                <w:szCs w:val="21"/>
                <w:lang w:eastAsia="en-AU"/>
              </w:rPr>
              <w:t xml:space="preserve">: </w:t>
            </w:r>
            <w:r w:rsidRPr="005A1DC6">
              <w:rPr>
                <w:rFonts w:asciiTheme="majorHAnsi" w:hAnsiTheme="majorHAnsi" w:cstheme="majorHAnsi"/>
                <w:color w:val="000000"/>
                <w:szCs w:val="21"/>
                <w:lang w:eastAsia="en-AU"/>
              </w:rPr>
              <w:t>26-Oct</w:t>
            </w:r>
            <w:r w:rsidR="00E7288C" w:rsidRPr="005A1DC6">
              <w:rPr>
                <w:rFonts w:asciiTheme="majorHAnsi" w:hAnsiTheme="majorHAnsi" w:cstheme="majorHAnsi"/>
                <w:i w:val="0"/>
                <w:iCs w:val="0"/>
                <w:color w:val="000000"/>
                <w:szCs w:val="21"/>
                <w:lang w:eastAsia="en-AU"/>
              </w:rPr>
              <w:t xml:space="preserve"> - </w:t>
            </w:r>
            <w:r w:rsidRPr="005A1DC6">
              <w:rPr>
                <w:rFonts w:asciiTheme="majorHAnsi" w:hAnsiTheme="majorHAnsi" w:cstheme="majorHAnsi"/>
                <w:color w:val="000000"/>
                <w:szCs w:val="21"/>
                <w:lang w:eastAsia="en-AU"/>
              </w:rPr>
              <w:t>31-Oct</w:t>
            </w:r>
          </w:p>
          <w:p w14:paraId="5601D3CC" w14:textId="585F202E" w:rsidR="00855A87" w:rsidRPr="005A1DC6" w:rsidRDefault="00855A87" w:rsidP="00E7288C">
            <w:pPr>
              <w:jc w:val="left"/>
              <w:rPr>
                <w:rFonts w:asciiTheme="majorHAnsi" w:hAnsiTheme="majorHAnsi" w:cstheme="majorHAnsi"/>
                <w:color w:val="000000"/>
                <w:szCs w:val="21"/>
                <w:lang w:eastAsia="en-AU"/>
              </w:rPr>
            </w:pPr>
            <w:r w:rsidRPr="005A1DC6">
              <w:rPr>
                <w:rFonts w:asciiTheme="majorHAnsi" w:hAnsiTheme="majorHAnsi" w:cstheme="majorHAnsi"/>
                <w:color w:val="000000"/>
                <w:szCs w:val="21"/>
                <w:lang w:eastAsia="en-AU"/>
              </w:rPr>
              <w:t>Revised draft submitted to DFAT</w:t>
            </w:r>
          </w:p>
        </w:tc>
      </w:tr>
      <w:tr w:rsidR="00855A87" w:rsidRPr="005A1DC6" w14:paraId="757E0408" w14:textId="77777777" w:rsidTr="009F310F">
        <w:trPr>
          <w:trHeight w:val="308"/>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hideMark/>
          </w:tcPr>
          <w:p w14:paraId="1F32A8AF" w14:textId="43D03D11" w:rsidR="005B0E6B" w:rsidRPr="005A1DC6" w:rsidRDefault="00855A87" w:rsidP="00E7288C">
            <w:pPr>
              <w:jc w:val="left"/>
              <w:rPr>
                <w:rFonts w:asciiTheme="majorHAnsi" w:hAnsiTheme="majorHAnsi" w:cstheme="majorHAnsi"/>
                <w:i w:val="0"/>
                <w:iCs w:val="0"/>
                <w:color w:val="000000"/>
                <w:szCs w:val="21"/>
                <w:lang w:eastAsia="en-AU"/>
              </w:rPr>
            </w:pPr>
            <w:r w:rsidRPr="005A1DC6">
              <w:rPr>
                <w:rFonts w:asciiTheme="majorHAnsi" w:hAnsiTheme="majorHAnsi" w:cstheme="majorHAnsi"/>
                <w:color w:val="000000"/>
                <w:szCs w:val="21"/>
                <w:lang w:eastAsia="en-AU"/>
              </w:rPr>
              <w:t>Submit draft Review Plan to AHC</w:t>
            </w:r>
            <w:r w:rsidR="00E7288C" w:rsidRPr="005A1DC6">
              <w:rPr>
                <w:rFonts w:asciiTheme="majorHAnsi" w:hAnsiTheme="majorHAnsi" w:cstheme="majorHAnsi"/>
                <w:i w:val="0"/>
                <w:iCs w:val="0"/>
                <w:color w:val="000000"/>
                <w:szCs w:val="21"/>
                <w:lang w:eastAsia="en-AU"/>
              </w:rPr>
              <w:t xml:space="preserve">: </w:t>
            </w:r>
            <w:r w:rsidRPr="005A1DC6">
              <w:rPr>
                <w:rFonts w:asciiTheme="majorHAnsi" w:hAnsiTheme="majorHAnsi" w:cstheme="majorHAnsi"/>
                <w:color w:val="000000"/>
                <w:szCs w:val="21"/>
                <w:lang w:eastAsia="en-AU"/>
              </w:rPr>
              <w:t>1-Nov</w:t>
            </w:r>
          </w:p>
        </w:tc>
      </w:tr>
      <w:tr w:rsidR="005B0E6B" w:rsidRPr="005A1DC6" w14:paraId="13C84FBA" w14:textId="77777777" w:rsidTr="009F310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285D6F3B" w14:textId="77777777" w:rsidR="005B0E6B" w:rsidRPr="005A1DC6" w:rsidRDefault="00E43965" w:rsidP="00E43965">
            <w:pPr>
              <w:jc w:val="left"/>
              <w:rPr>
                <w:rFonts w:asciiTheme="majorHAnsi" w:hAnsiTheme="majorHAnsi" w:cstheme="majorHAnsi"/>
                <w:i w:val="0"/>
                <w:iCs w:val="0"/>
                <w:color w:val="000000"/>
                <w:szCs w:val="21"/>
                <w:lang w:eastAsia="en-AU"/>
              </w:rPr>
            </w:pPr>
            <w:r w:rsidRPr="005A1DC6">
              <w:rPr>
                <w:rFonts w:asciiTheme="majorHAnsi" w:hAnsiTheme="majorHAnsi" w:cstheme="majorHAnsi"/>
                <w:color w:val="000000"/>
                <w:szCs w:val="21"/>
                <w:lang w:eastAsia="en-AU"/>
              </w:rPr>
              <w:lastRenderedPageBreak/>
              <w:t>Team Leader arrived in PNG: 5-Nov</w:t>
            </w:r>
          </w:p>
          <w:p w14:paraId="34C8BB5B" w14:textId="65F6EA8C" w:rsidR="00E43965" w:rsidRPr="005A1DC6" w:rsidRDefault="00E43965" w:rsidP="00E43965">
            <w:pPr>
              <w:jc w:val="left"/>
              <w:rPr>
                <w:rFonts w:asciiTheme="majorHAnsi" w:hAnsiTheme="majorHAnsi" w:cstheme="majorHAnsi"/>
                <w:color w:val="000000"/>
                <w:szCs w:val="21"/>
                <w:lang w:eastAsia="en-AU"/>
              </w:rPr>
            </w:pPr>
            <w:r w:rsidRPr="005A1DC6">
              <w:rPr>
                <w:rFonts w:asciiTheme="majorHAnsi" w:hAnsiTheme="majorHAnsi" w:cstheme="majorHAnsi"/>
                <w:color w:val="000000"/>
                <w:szCs w:val="21"/>
                <w:lang w:eastAsia="en-AU"/>
              </w:rPr>
              <w:t>M&amp;E Specialist arrived in PNG: 4-NOV</w:t>
            </w:r>
          </w:p>
        </w:tc>
      </w:tr>
      <w:tr w:rsidR="00D813A6" w:rsidRPr="005A1DC6" w14:paraId="285D76BE" w14:textId="77777777" w:rsidTr="009F310F">
        <w:trPr>
          <w:trHeight w:val="308"/>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5CD667EA" w14:textId="408F6E87" w:rsidR="00D813A6" w:rsidRPr="005A1DC6" w:rsidRDefault="00D813A6" w:rsidP="00D813A6">
            <w:pPr>
              <w:jc w:val="left"/>
              <w:rPr>
                <w:rFonts w:asciiTheme="majorHAnsi" w:hAnsiTheme="majorHAnsi" w:cstheme="majorHAnsi"/>
                <w:i w:val="0"/>
                <w:iCs w:val="0"/>
                <w:color w:val="000000"/>
                <w:szCs w:val="21"/>
                <w:lang w:eastAsia="en-AU"/>
              </w:rPr>
            </w:pPr>
            <w:r w:rsidRPr="005A1DC6">
              <w:rPr>
                <w:rFonts w:asciiTheme="majorHAnsi" w:hAnsiTheme="majorHAnsi" w:cstheme="majorHAnsi"/>
                <w:color w:val="000000"/>
                <w:szCs w:val="21"/>
                <w:lang w:eastAsia="en-AU"/>
              </w:rPr>
              <w:t>DFAT acceptance of draft Review Plan: 2-Nov – 5-Nov</w:t>
            </w:r>
          </w:p>
        </w:tc>
      </w:tr>
      <w:tr w:rsidR="00D813A6" w:rsidRPr="005A1DC6" w14:paraId="687F7F7E" w14:textId="77777777" w:rsidTr="009F310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62AFB653" w14:textId="122985E9" w:rsidR="00D813A6" w:rsidRPr="005A1DC6" w:rsidRDefault="00D813A6" w:rsidP="00D813A6">
            <w:pPr>
              <w:jc w:val="left"/>
              <w:rPr>
                <w:rFonts w:asciiTheme="majorHAnsi" w:hAnsiTheme="majorHAnsi" w:cstheme="majorHAnsi"/>
                <w:i w:val="0"/>
                <w:iCs w:val="0"/>
                <w:color w:val="000000"/>
                <w:szCs w:val="21"/>
                <w:lang w:eastAsia="en-AU"/>
              </w:rPr>
            </w:pPr>
            <w:r w:rsidRPr="005A1DC6">
              <w:rPr>
                <w:rFonts w:asciiTheme="majorHAnsi" w:hAnsiTheme="majorHAnsi" w:cstheme="majorHAnsi"/>
                <w:color w:val="000000"/>
                <w:szCs w:val="21"/>
                <w:lang w:eastAsia="en-AU"/>
              </w:rPr>
              <w:t>Team Leader and M&amp;E Specialist meet AHC for briefing to walk through draft Review Plan: 6-Nov</w:t>
            </w:r>
          </w:p>
          <w:p w14:paraId="284B36BC" w14:textId="1B90B55B" w:rsidR="00D813A6" w:rsidRPr="005A1DC6" w:rsidRDefault="00D813A6" w:rsidP="00D813A6">
            <w:pPr>
              <w:jc w:val="left"/>
              <w:rPr>
                <w:rFonts w:asciiTheme="majorHAnsi" w:hAnsiTheme="majorHAnsi" w:cstheme="majorHAnsi"/>
                <w:i w:val="0"/>
                <w:iCs w:val="0"/>
                <w:color w:val="000000"/>
                <w:szCs w:val="21"/>
                <w:lang w:eastAsia="en-AU"/>
              </w:rPr>
            </w:pPr>
            <w:r w:rsidRPr="005A1DC6">
              <w:rPr>
                <w:rFonts w:asciiTheme="majorHAnsi" w:hAnsiTheme="majorHAnsi" w:cstheme="majorHAnsi"/>
                <w:iCs w:val="0"/>
                <w:color w:val="000000"/>
                <w:szCs w:val="21"/>
                <w:u w:val="single"/>
                <w:lang w:eastAsia="en-AU"/>
              </w:rPr>
              <w:t>A</w:t>
            </w:r>
            <w:r w:rsidRPr="005A1DC6">
              <w:rPr>
                <w:rFonts w:asciiTheme="majorHAnsi" w:hAnsiTheme="majorHAnsi" w:cstheme="majorHAnsi"/>
                <w:szCs w:val="21"/>
                <w:u w:val="single"/>
              </w:rPr>
              <w:t xml:space="preserve">gree any adjustments to the Review Plan </w:t>
            </w:r>
            <w:r w:rsidRPr="005A1DC6">
              <w:rPr>
                <w:rFonts w:asciiTheme="majorHAnsi" w:hAnsiTheme="majorHAnsi" w:cstheme="majorHAnsi"/>
                <w:szCs w:val="21"/>
              </w:rPr>
              <w:t>and finalise; confirm interview appointments and field visit arrangements</w:t>
            </w:r>
          </w:p>
        </w:tc>
      </w:tr>
      <w:tr w:rsidR="00CF5B80" w:rsidRPr="005A1DC6" w14:paraId="67FF53EE" w14:textId="77777777" w:rsidTr="009F310F">
        <w:trPr>
          <w:trHeight w:val="308"/>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20CC9488" w14:textId="77777777" w:rsidR="00CF5B80" w:rsidRPr="005A1DC6" w:rsidRDefault="00CF5B80" w:rsidP="00CF5B80">
            <w:pPr>
              <w:jc w:val="left"/>
              <w:rPr>
                <w:rFonts w:asciiTheme="majorHAnsi" w:hAnsiTheme="majorHAnsi" w:cstheme="majorHAnsi"/>
                <w:i w:val="0"/>
                <w:iCs w:val="0"/>
                <w:color w:val="000000"/>
                <w:szCs w:val="21"/>
                <w:lang w:eastAsia="en-AU"/>
              </w:rPr>
            </w:pPr>
            <w:r w:rsidRPr="005A1DC6">
              <w:rPr>
                <w:rFonts w:asciiTheme="majorHAnsi" w:hAnsiTheme="majorHAnsi" w:cstheme="majorHAnsi"/>
                <w:color w:val="000000"/>
                <w:szCs w:val="21"/>
                <w:lang w:eastAsia="en-AU"/>
              </w:rPr>
              <w:t>Consultations with DFAT, consortium staff, NDoE and managing contractor in POM</w:t>
            </w:r>
            <w:r w:rsidR="00363223" w:rsidRPr="005A1DC6">
              <w:rPr>
                <w:rFonts w:asciiTheme="majorHAnsi" w:hAnsiTheme="majorHAnsi" w:cstheme="majorHAnsi"/>
                <w:color w:val="000000"/>
                <w:szCs w:val="21"/>
                <w:lang w:eastAsia="en-AU"/>
              </w:rPr>
              <w:t xml:space="preserve">: </w:t>
            </w:r>
            <w:r w:rsidR="00E66419" w:rsidRPr="005A1DC6">
              <w:rPr>
                <w:rFonts w:asciiTheme="majorHAnsi" w:hAnsiTheme="majorHAnsi" w:cstheme="majorHAnsi"/>
                <w:color w:val="000000"/>
                <w:szCs w:val="21"/>
                <w:lang w:eastAsia="en-AU"/>
              </w:rPr>
              <w:t xml:space="preserve">7-Nov – 8-Nov </w:t>
            </w:r>
          </w:p>
          <w:p w14:paraId="18ACBE22" w14:textId="77777777" w:rsidR="00E66419" w:rsidRPr="005A1DC6" w:rsidRDefault="00E66419" w:rsidP="00CF5B80">
            <w:pPr>
              <w:jc w:val="left"/>
              <w:rPr>
                <w:rFonts w:asciiTheme="majorHAnsi" w:hAnsiTheme="majorHAnsi" w:cstheme="majorHAnsi"/>
                <w:i w:val="0"/>
                <w:iCs w:val="0"/>
                <w:color w:val="000000"/>
                <w:szCs w:val="21"/>
                <w:lang w:eastAsia="en-AU"/>
              </w:rPr>
            </w:pPr>
          </w:p>
          <w:p w14:paraId="09219289" w14:textId="02428E1B" w:rsidR="00E66419" w:rsidRPr="005A1DC6" w:rsidRDefault="00E66419" w:rsidP="00E66419">
            <w:pPr>
              <w:jc w:val="left"/>
              <w:rPr>
                <w:rFonts w:asciiTheme="majorHAnsi" w:hAnsiTheme="majorHAnsi" w:cstheme="majorHAnsi"/>
                <w:color w:val="000000"/>
                <w:szCs w:val="21"/>
                <w:lang w:eastAsia="en-AU"/>
              </w:rPr>
            </w:pPr>
            <w:r w:rsidRPr="005A1DC6">
              <w:rPr>
                <w:rFonts w:asciiTheme="majorHAnsi" w:hAnsiTheme="majorHAnsi" w:cstheme="majorHAnsi"/>
                <w:i w:val="0"/>
                <w:iCs w:val="0"/>
                <w:color w:val="000000"/>
                <w:szCs w:val="21"/>
                <w:lang w:eastAsia="en-AU"/>
              </w:rPr>
              <w:t>GoPNG key stakeholders consulte</w:t>
            </w:r>
            <w:r w:rsidR="00C65531" w:rsidRPr="005A1DC6">
              <w:rPr>
                <w:rFonts w:asciiTheme="majorHAnsi" w:hAnsiTheme="majorHAnsi" w:cstheme="majorHAnsi"/>
                <w:i w:val="0"/>
                <w:iCs w:val="0"/>
                <w:color w:val="000000"/>
                <w:szCs w:val="21"/>
                <w:lang w:eastAsia="en-AU"/>
              </w:rPr>
              <w:t>d</w:t>
            </w:r>
            <w:r w:rsidR="00C65531" w:rsidRPr="005A1DC6">
              <w:rPr>
                <w:rFonts w:asciiTheme="majorHAnsi" w:hAnsiTheme="majorHAnsi" w:cstheme="majorHAnsi"/>
                <w:i w:val="0"/>
                <w:iCs w:val="0"/>
                <w:color w:val="000000"/>
                <w:szCs w:val="21"/>
                <w:u w:val="single"/>
                <w:lang w:eastAsia="en-AU"/>
              </w:rPr>
              <w:t xml:space="preserve"> </w:t>
            </w:r>
            <w:r w:rsidRPr="005A1DC6">
              <w:rPr>
                <w:rFonts w:asciiTheme="majorHAnsi" w:hAnsiTheme="majorHAnsi" w:cstheme="majorHAnsi"/>
                <w:color w:val="000000"/>
                <w:szCs w:val="21"/>
                <w:lang w:eastAsia="en-AU"/>
              </w:rPr>
              <w:t>to include, NDoE, DNPM, Department of Community Dev and Religion</w:t>
            </w:r>
            <w:r w:rsidR="00C65531" w:rsidRPr="005A1DC6">
              <w:rPr>
                <w:rFonts w:asciiTheme="majorHAnsi" w:hAnsiTheme="majorHAnsi" w:cstheme="majorHAnsi"/>
                <w:color w:val="000000"/>
                <w:szCs w:val="21"/>
                <w:lang w:eastAsia="en-AU"/>
              </w:rPr>
              <w:t xml:space="preserve">, </w:t>
            </w:r>
            <w:r w:rsidRPr="005A1DC6">
              <w:rPr>
                <w:rFonts w:asciiTheme="majorHAnsi" w:hAnsiTheme="majorHAnsi" w:cstheme="majorHAnsi"/>
                <w:i w:val="0"/>
                <w:iCs w:val="0"/>
                <w:color w:val="000000"/>
                <w:szCs w:val="21"/>
                <w:lang w:eastAsia="en-AU"/>
              </w:rPr>
              <w:t>Managers/Consortium Leads based in POM</w:t>
            </w:r>
            <w:r w:rsidR="00C65531" w:rsidRPr="005A1DC6">
              <w:rPr>
                <w:rFonts w:asciiTheme="majorHAnsi" w:hAnsiTheme="majorHAnsi" w:cstheme="majorHAnsi"/>
                <w:color w:val="000000"/>
                <w:szCs w:val="21"/>
                <w:lang w:eastAsia="en-AU"/>
              </w:rPr>
              <w:t xml:space="preserve"> and </w:t>
            </w:r>
            <w:r w:rsidRPr="005A1DC6">
              <w:rPr>
                <w:rFonts w:asciiTheme="majorHAnsi" w:hAnsiTheme="majorHAnsi" w:cstheme="majorHAnsi"/>
                <w:i w:val="0"/>
                <w:color w:val="000000"/>
                <w:szCs w:val="21"/>
                <w:lang w:eastAsia="en-AU"/>
              </w:rPr>
              <w:t>Managing contractor</w:t>
            </w:r>
          </w:p>
        </w:tc>
      </w:tr>
      <w:tr w:rsidR="0089426A" w:rsidRPr="005A1DC6" w14:paraId="45D864DF" w14:textId="77777777" w:rsidTr="009F310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4B5CE560" w14:textId="0F33BB42" w:rsidR="0089426A" w:rsidRPr="005A1DC6" w:rsidRDefault="0089426A" w:rsidP="0089426A">
            <w:pPr>
              <w:jc w:val="left"/>
              <w:rPr>
                <w:rFonts w:asciiTheme="majorHAnsi" w:hAnsiTheme="majorHAnsi" w:cstheme="majorHAnsi"/>
                <w:color w:val="000000"/>
                <w:szCs w:val="21"/>
                <w:lang w:eastAsia="en-AU"/>
              </w:rPr>
            </w:pPr>
            <w:r w:rsidRPr="005A1DC6">
              <w:rPr>
                <w:rFonts w:asciiTheme="majorHAnsi" w:hAnsiTheme="majorHAnsi" w:cstheme="majorHAnsi"/>
                <w:color w:val="000000"/>
                <w:szCs w:val="21"/>
                <w:lang w:eastAsia="en-AU"/>
              </w:rPr>
              <w:t>Field visit, data collection: 9-Nov – 19-Nov</w:t>
            </w:r>
            <w:r w:rsidR="00405F24" w:rsidRPr="005A1DC6">
              <w:rPr>
                <w:rFonts w:asciiTheme="majorHAnsi" w:hAnsiTheme="majorHAnsi" w:cstheme="majorHAnsi"/>
                <w:color w:val="000000"/>
                <w:szCs w:val="21"/>
                <w:lang w:eastAsia="en-AU"/>
              </w:rPr>
              <w:t xml:space="preserve"> to Wewak, Madang and Western Highlands</w:t>
            </w:r>
          </w:p>
        </w:tc>
      </w:tr>
      <w:tr w:rsidR="00405F24" w:rsidRPr="005A1DC6" w14:paraId="160EFA1B" w14:textId="77777777" w:rsidTr="009F310F">
        <w:trPr>
          <w:trHeight w:val="308"/>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5394FF32" w14:textId="13E26D61" w:rsidR="00405F24" w:rsidRPr="005A1DC6" w:rsidRDefault="00405F24" w:rsidP="00405F24">
            <w:pPr>
              <w:jc w:val="left"/>
              <w:rPr>
                <w:rFonts w:asciiTheme="majorHAnsi" w:hAnsiTheme="majorHAnsi" w:cstheme="majorHAnsi"/>
                <w:color w:val="000000"/>
                <w:szCs w:val="21"/>
                <w:lang w:eastAsia="en-AU"/>
              </w:rPr>
            </w:pPr>
            <w:r w:rsidRPr="005A1DC6">
              <w:rPr>
                <w:rFonts w:asciiTheme="majorHAnsi" w:hAnsiTheme="majorHAnsi" w:cstheme="majorHAnsi"/>
                <w:color w:val="000000"/>
                <w:szCs w:val="21"/>
                <w:lang w:eastAsia="en-AU"/>
              </w:rPr>
              <w:t xml:space="preserve">Preliminary analysis by review team: 20-Nov – 24-Nov: </w:t>
            </w:r>
            <w:r w:rsidRPr="005A1DC6">
              <w:rPr>
                <w:rFonts w:asciiTheme="majorHAnsi" w:hAnsiTheme="majorHAnsi" w:cstheme="majorHAnsi"/>
                <w:color w:val="000000"/>
                <w:szCs w:val="21"/>
                <w:u w:val="single"/>
                <w:lang w:eastAsia="en-AU"/>
              </w:rPr>
              <w:t>Initial Finding Draft</w:t>
            </w:r>
          </w:p>
        </w:tc>
      </w:tr>
      <w:tr w:rsidR="004F7AE0" w:rsidRPr="005A1DC6" w14:paraId="06121B7C" w14:textId="77777777" w:rsidTr="009F310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09B529D2" w14:textId="500EB5D6" w:rsidR="004F7AE0" w:rsidRPr="005A1DC6" w:rsidRDefault="004F7AE0" w:rsidP="004F7AE0">
            <w:pPr>
              <w:jc w:val="left"/>
              <w:rPr>
                <w:rFonts w:asciiTheme="majorHAnsi" w:hAnsiTheme="majorHAnsi" w:cstheme="majorHAnsi"/>
                <w:color w:val="000000"/>
                <w:szCs w:val="21"/>
                <w:lang w:eastAsia="en-AU"/>
              </w:rPr>
            </w:pPr>
            <w:r w:rsidRPr="005A1DC6">
              <w:rPr>
                <w:rFonts w:asciiTheme="majorHAnsi" w:hAnsiTheme="majorHAnsi" w:cstheme="majorHAnsi"/>
                <w:color w:val="000000"/>
                <w:szCs w:val="21"/>
                <w:lang w:eastAsia="en-AU"/>
              </w:rPr>
              <w:t xml:space="preserve">Validation workshop: 25-Nov, </w:t>
            </w:r>
            <w:r w:rsidRPr="005A1DC6">
              <w:rPr>
                <w:rFonts w:asciiTheme="majorHAnsi" w:hAnsiTheme="majorHAnsi" w:cstheme="majorHAnsi"/>
                <w:color w:val="000000"/>
                <w:szCs w:val="21"/>
                <w:u w:val="single"/>
                <w:lang w:eastAsia="en-AU"/>
              </w:rPr>
              <w:t xml:space="preserve">Presentation </w:t>
            </w:r>
            <w:r w:rsidRPr="005A1DC6">
              <w:rPr>
                <w:rFonts w:asciiTheme="majorHAnsi" w:hAnsiTheme="majorHAnsi" w:cstheme="majorHAnsi"/>
                <w:color w:val="000000"/>
                <w:szCs w:val="21"/>
                <w:lang w:eastAsia="en-AU"/>
              </w:rPr>
              <w:t>(PPP and handouts) of initial findings and stakeholder feedback</w:t>
            </w:r>
          </w:p>
        </w:tc>
      </w:tr>
      <w:tr w:rsidR="004F7AE0" w:rsidRPr="005A1DC6" w14:paraId="256364DF" w14:textId="77777777" w:rsidTr="009F310F">
        <w:trPr>
          <w:trHeight w:val="308"/>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652707CE" w14:textId="797102BB" w:rsidR="004F7AE0" w:rsidRPr="005A1DC6" w:rsidRDefault="004F7AE0" w:rsidP="004F7AE0">
            <w:pPr>
              <w:jc w:val="left"/>
              <w:rPr>
                <w:rFonts w:asciiTheme="majorHAnsi" w:hAnsiTheme="majorHAnsi" w:cstheme="majorHAnsi"/>
                <w:color w:val="000000"/>
                <w:szCs w:val="21"/>
                <w:lang w:eastAsia="en-AU"/>
              </w:rPr>
            </w:pPr>
            <w:r w:rsidRPr="005A1DC6">
              <w:rPr>
                <w:rFonts w:asciiTheme="majorHAnsi" w:hAnsiTheme="majorHAnsi" w:cstheme="majorHAnsi"/>
                <w:color w:val="000000"/>
                <w:szCs w:val="21"/>
                <w:u w:val="single"/>
                <w:lang w:eastAsia="en-AU"/>
              </w:rPr>
              <w:t>Aide Memoire presentation</w:t>
            </w:r>
            <w:r w:rsidRPr="005A1DC6">
              <w:rPr>
                <w:rFonts w:asciiTheme="majorHAnsi" w:hAnsiTheme="majorHAnsi" w:cstheme="majorHAnsi"/>
                <w:color w:val="000000"/>
                <w:szCs w:val="21"/>
                <w:lang w:eastAsia="en-AU"/>
              </w:rPr>
              <w:t xml:space="preserve"> to GoPNG and AHC: 25-Nov, </w:t>
            </w:r>
            <w:r w:rsidR="00A36BBC" w:rsidRPr="005A1DC6">
              <w:rPr>
                <w:rFonts w:asciiTheme="majorHAnsi" w:hAnsiTheme="majorHAnsi" w:cstheme="majorHAnsi"/>
                <w:color w:val="000000"/>
                <w:szCs w:val="21"/>
                <w:lang w:eastAsia="en-AU"/>
              </w:rPr>
              <w:t>PowerPoint Presentation and Aide Memoire presented verbally with qualified findings</w:t>
            </w:r>
          </w:p>
        </w:tc>
      </w:tr>
      <w:tr w:rsidR="00A36BBC" w:rsidRPr="005A1DC6" w14:paraId="63673CA2" w14:textId="77777777" w:rsidTr="009F310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63CA4FE0" w14:textId="5DF661F2" w:rsidR="00A36BBC" w:rsidRPr="005A1DC6" w:rsidRDefault="00A36BBC" w:rsidP="00A36BBC">
            <w:pPr>
              <w:jc w:val="left"/>
              <w:rPr>
                <w:rFonts w:asciiTheme="majorHAnsi" w:hAnsiTheme="majorHAnsi" w:cstheme="majorHAnsi"/>
                <w:color w:val="000000"/>
                <w:szCs w:val="21"/>
                <w:lang w:eastAsia="en-AU"/>
              </w:rPr>
            </w:pPr>
            <w:r w:rsidRPr="005A1DC6">
              <w:rPr>
                <w:rFonts w:asciiTheme="majorHAnsi" w:hAnsiTheme="majorHAnsi" w:cstheme="majorHAnsi"/>
                <w:color w:val="000000"/>
                <w:szCs w:val="21"/>
                <w:u w:val="single"/>
                <w:lang w:eastAsia="en-AU"/>
              </w:rPr>
              <w:t>Aide Memoire</w:t>
            </w:r>
            <w:r w:rsidRPr="005A1DC6">
              <w:rPr>
                <w:rFonts w:asciiTheme="majorHAnsi" w:hAnsiTheme="majorHAnsi" w:cstheme="majorHAnsi"/>
                <w:color w:val="000000"/>
                <w:szCs w:val="21"/>
                <w:lang w:eastAsia="en-AU"/>
              </w:rPr>
              <w:t xml:space="preserve"> to AHC, incorporating feedback from presentation: 29-Nov</w:t>
            </w:r>
          </w:p>
        </w:tc>
      </w:tr>
      <w:tr w:rsidR="00A36BBC" w:rsidRPr="005A1DC6" w14:paraId="59D816F1" w14:textId="77777777" w:rsidTr="009F310F">
        <w:trPr>
          <w:trHeight w:val="308"/>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787FCC93" w14:textId="133A4699" w:rsidR="00A36BBC" w:rsidRPr="005A1DC6" w:rsidRDefault="00D36B39" w:rsidP="00A36BBC">
            <w:pPr>
              <w:jc w:val="left"/>
              <w:rPr>
                <w:rFonts w:asciiTheme="majorHAnsi" w:hAnsiTheme="majorHAnsi" w:cstheme="majorHAnsi"/>
                <w:color w:val="000000"/>
                <w:szCs w:val="21"/>
                <w:lang w:eastAsia="en-AU"/>
              </w:rPr>
            </w:pPr>
            <w:r w:rsidRPr="005A1DC6">
              <w:rPr>
                <w:rFonts w:asciiTheme="majorHAnsi" w:hAnsiTheme="majorHAnsi" w:cstheme="majorHAnsi"/>
                <w:color w:val="000000"/>
                <w:szCs w:val="21"/>
                <w:u w:val="single"/>
                <w:lang w:eastAsia="en-AU"/>
              </w:rPr>
              <w:t>Draft Review Report</w:t>
            </w:r>
            <w:r w:rsidRPr="005A1DC6">
              <w:rPr>
                <w:rFonts w:asciiTheme="majorHAnsi" w:hAnsiTheme="majorHAnsi" w:cstheme="majorHAnsi"/>
                <w:color w:val="000000"/>
                <w:szCs w:val="21"/>
                <w:lang w:eastAsia="en-AU"/>
              </w:rPr>
              <w:t xml:space="preserve"> submitted to AHC 9-Dec</w:t>
            </w:r>
          </w:p>
        </w:tc>
      </w:tr>
      <w:tr w:rsidR="00A36BBC" w:rsidRPr="005A1DC6" w14:paraId="3F23E724" w14:textId="77777777" w:rsidTr="009F310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3E00C8CB" w14:textId="25644CA2" w:rsidR="00A36BBC" w:rsidRPr="005A1DC6" w:rsidRDefault="000129F2" w:rsidP="000129F2">
            <w:pPr>
              <w:jc w:val="left"/>
              <w:rPr>
                <w:rFonts w:asciiTheme="majorHAnsi" w:hAnsiTheme="majorHAnsi" w:cstheme="majorHAnsi"/>
                <w:color w:val="000000"/>
                <w:szCs w:val="21"/>
                <w:lang w:eastAsia="en-AU"/>
              </w:rPr>
            </w:pPr>
            <w:r w:rsidRPr="005A1DC6">
              <w:rPr>
                <w:rFonts w:asciiTheme="majorHAnsi" w:hAnsiTheme="majorHAnsi" w:cstheme="majorHAnsi"/>
                <w:color w:val="000000"/>
                <w:szCs w:val="21"/>
                <w:lang w:eastAsia="en-AU"/>
              </w:rPr>
              <w:t>AHC reviewed draft 10-Dec – 22-Dec</w:t>
            </w:r>
          </w:p>
        </w:tc>
      </w:tr>
      <w:tr w:rsidR="00A36BBC" w:rsidRPr="005A1DC6" w14:paraId="627D1E17" w14:textId="77777777" w:rsidTr="009F310F">
        <w:trPr>
          <w:trHeight w:val="308"/>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14B4430E" w14:textId="0B7A26D1" w:rsidR="00A36BBC" w:rsidRPr="005A1DC6" w:rsidRDefault="000129F2" w:rsidP="006246D1">
            <w:pPr>
              <w:jc w:val="left"/>
              <w:rPr>
                <w:rFonts w:asciiTheme="majorHAnsi" w:hAnsiTheme="majorHAnsi" w:cstheme="majorHAnsi"/>
                <w:color w:val="000000"/>
                <w:szCs w:val="21"/>
                <w:lang w:eastAsia="en-AU"/>
              </w:rPr>
            </w:pPr>
            <w:r w:rsidRPr="005A1DC6">
              <w:rPr>
                <w:rFonts w:asciiTheme="majorHAnsi" w:hAnsiTheme="majorHAnsi" w:cstheme="majorHAnsi"/>
                <w:color w:val="000000"/>
                <w:szCs w:val="21"/>
                <w:lang w:eastAsia="en-AU"/>
              </w:rPr>
              <w:t xml:space="preserve">Finalise report following feedback from DFAT: </w:t>
            </w:r>
            <w:r w:rsidR="006246D1" w:rsidRPr="005A1DC6">
              <w:rPr>
                <w:rFonts w:asciiTheme="majorHAnsi" w:hAnsiTheme="majorHAnsi" w:cstheme="majorHAnsi"/>
                <w:color w:val="000000"/>
                <w:szCs w:val="21"/>
                <w:lang w:eastAsia="en-AU"/>
              </w:rPr>
              <w:t>6-Jan – 12-Jan</w:t>
            </w:r>
          </w:p>
        </w:tc>
      </w:tr>
      <w:tr w:rsidR="006246D1" w:rsidRPr="005A1DC6" w14:paraId="01FA9BE4" w14:textId="77777777" w:rsidTr="009F310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14:paraId="0DFEC5E5" w14:textId="2DEE9E6B" w:rsidR="006246D1" w:rsidRPr="005A1DC6" w:rsidRDefault="006246D1" w:rsidP="006246D1">
            <w:pPr>
              <w:jc w:val="left"/>
              <w:rPr>
                <w:rFonts w:asciiTheme="majorHAnsi" w:hAnsiTheme="majorHAnsi" w:cstheme="majorHAnsi"/>
                <w:color w:val="000000"/>
                <w:szCs w:val="21"/>
                <w:lang w:eastAsia="en-AU"/>
              </w:rPr>
            </w:pPr>
            <w:r w:rsidRPr="005A1DC6">
              <w:rPr>
                <w:rFonts w:asciiTheme="majorHAnsi" w:hAnsiTheme="majorHAnsi" w:cstheme="majorHAnsi"/>
                <w:color w:val="000000"/>
                <w:szCs w:val="21"/>
                <w:u w:val="single"/>
                <w:lang w:eastAsia="en-AU"/>
              </w:rPr>
              <w:t>Final Review Report</w:t>
            </w:r>
            <w:r w:rsidRPr="005A1DC6">
              <w:rPr>
                <w:rFonts w:asciiTheme="majorHAnsi" w:hAnsiTheme="majorHAnsi" w:cstheme="majorHAnsi"/>
                <w:color w:val="000000"/>
                <w:szCs w:val="21"/>
                <w:lang w:eastAsia="en-AU"/>
              </w:rPr>
              <w:t xml:space="preserve"> submitted 13-Jan</w:t>
            </w:r>
          </w:p>
        </w:tc>
      </w:tr>
    </w:tbl>
    <w:p w14:paraId="0AA534ED" w14:textId="77777777" w:rsidR="00E041B6" w:rsidRPr="005A1DC6" w:rsidRDefault="00E041B6" w:rsidP="00E041B6">
      <w:pPr>
        <w:rPr>
          <w:rFonts w:asciiTheme="majorHAnsi" w:hAnsiTheme="majorHAnsi" w:cstheme="majorHAnsi"/>
          <w:szCs w:val="21"/>
        </w:rPr>
      </w:pPr>
    </w:p>
    <w:p w14:paraId="7EEC2982" w14:textId="7B4D93F6" w:rsidR="00E041B6" w:rsidRPr="00445714" w:rsidRDefault="00E041B6" w:rsidP="00FF62CC">
      <w:pPr>
        <w:pStyle w:val="ListParagraph"/>
        <w:numPr>
          <w:ilvl w:val="0"/>
          <w:numId w:val="79"/>
        </w:numPr>
        <w:spacing w:after="0" w:line="240" w:lineRule="auto"/>
        <w:rPr>
          <w:rFonts w:asciiTheme="majorHAnsi" w:hAnsiTheme="majorHAnsi" w:cstheme="majorHAnsi"/>
          <w:b/>
          <w:szCs w:val="21"/>
        </w:rPr>
      </w:pPr>
      <w:r w:rsidRPr="00445714">
        <w:rPr>
          <w:rFonts w:asciiTheme="majorHAnsi" w:hAnsiTheme="majorHAnsi" w:cstheme="majorHAnsi"/>
          <w:b/>
          <w:szCs w:val="21"/>
        </w:rPr>
        <w:t xml:space="preserve">Reporting  </w:t>
      </w:r>
    </w:p>
    <w:p w14:paraId="45015005" w14:textId="77777777" w:rsidR="00E041B6" w:rsidRPr="005A1DC6" w:rsidRDefault="00E041B6" w:rsidP="00E041B6">
      <w:pPr>
        <w:pStyle w:val="ListParagraph"/>
        <w:rPr>
          <w:rFonts w:asciiTheme="majorHAnsi" w:hAnsiTheme="majorHAnsi" w:cstheme="majorHAnsi"/>
          <w:sz w:val="21"/>
          <w:szCs w:val="21"/>
          <w:u w:val="single"/>
          <w:lang w:val="en-AU"/>
        </w:rPr>
      </w:pPr>
    </w:p>
    <w:p w14:paraId="5E67A9F4"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 xml:space="preserve"> The following outputs are required during the review:</w:t>
      </w:r>
    </w:p>
    <w:p w14:paraId="49EFE32F" w14:textId="77777777" w:rsidR="00E041B6" w:rsidRPr="005A1DC6" w:rsidRDefault="00E041B6" w:rsidP="00FF62CC">
      <w:pPr>
        <w:pStyle w:val="ListParagraph"/>
        <w:numPr>
          <w:ilvl w:val="0"/>
          <w:numId w:val="80"/>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u w:val="single"/>
          <w:lang w:val="en-AU"/>
        </w:rPr>
        <w:t xml:space="preserve">Review Plan </w:t>
      </w:r>
      <w:r w:rsidRPr="005A1DC6">
        <w:rPr>
          <w:rFonts w:asciiTheme="majorHAnsi" w:hAnsiTheme="majorHAnsi" w:cstheme="majorHAnsi"/>
          <w:sz w:val="21"/>
          <w:szCs w:val="21"/>
          <w:lang w:val="en-AU"/>
        </w:rPr>
        <w:t xml:space="preserve">- This plan will outline:  </w:t>
      </w:r>
    </w:p>
    <w:p w14:paraId="12EB7159" w14:textId="77777777" w:rsidR="00E041B6" w:rsidRPr="005A1DC6" w:rsidRDefault="00E041B6" w:rsidP="00FF62CC">
      <w:pPr>
        <w:pStyle w:val="ListParagraph"/>
        <w:numPr>
          <w:ilvl w:val="0"/>
          <w:numId w:val="78"/>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 xml:space="preserve">the approach and methodology to be used for assessing the outcomes of the program;  </w:t>
      </w:r>
    </w:p>
    <w:p w14:paraId="6D680CB1" w14:textId="77777777" w:rsidR="00E041B6" w:rsidRPr="005A1DC6" w:rsidRDefault="00E041B6" w:rsidP="00FF62CC">
      <w:pPr>
        <w:pStyle w:val="ListParagraph"/>
        <w:numPr>
          <w:ilvl w:val="0"/>
          <w:numId w:val="78"/>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 xml:space="preserve">the process for information collection and analysis, including tools such as questionnaires and/or questions to be asked during focus group discussions;  </w:t>
      </w:r>
    </w:p>
    <w:p w14:paraId="4BBBC654" w14:textId="77777777" w:rsidR="00E041B6" w:rsidRPr="005A1DC6" w:rsidRDefault="00E041B6" w:rsidP="00FF62CC">
      <w:pPr>
        <w:pStyle w:val="ListParagraph"/>
        <w:numPr>
          <w:ilvl w:val="0"/>
          <w:numId w:val="78"/>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 xml:space="preserve">identification of any challenges anticipated in achieving the review objectives; </w:t>
      </w:r>
    </w:p>
    <w:p w14:paraId="7DB4713C" w14:textId="77777777" w:rsidR="00E041B6" w:rsidRPr="005A1DC6" w:rsidRDefault="00E041B6" w:rsidP="00FF62CC">
      <w:pPr>
        <w:pStyle w:val="ListParagraph"/>
        <w:numPr>
          <w:ilvl w:val="0"/>
          <w:numId w:val="78"/>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 xml:space="preserve">allocation of tasks of the review team;  </w:t>
      </w:r>
    </w:p>
    <w:p w14:paraId="0E68FA25" w14:textId="77777777" w:rsidR="00E041B6" w:rsidRPr="005A1DC6" w:rsidRDefault="00E041B6" w:rsidP="00FF62CC">
      <w:pPr>
        <w:pStyle w:val="ListParagraph"/>
        <w:numPr>
          <w:ilvl w:val="0"/>
          <w:numId w:val="78"/>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 xml:space="preserve">key timings;  </w:t>
      </w:r>
    </w:p>
    <w:p w14:paraId="6C510DEB" w14:textId="77777777" w:rsidR="00E041B6" w:rsidRPr="005A1DC6" w:rsidRDefault="00E041B6" w:rsidP="00FF62CC">
      <w:pPr>
        <w:pStyle w:val="ListParagraph"/>
        <w:numPr>
          <w:ilvl w:val="0"/>
          <w:numId w:val="78"/>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 xml:space="preserve">a consultation schedule identifying key stakeholders to be consulted and the purpose of the consultations;  </w:t>
      </w:r>
    </w:p>
    <w:p w14:paraId="7C8FDE36" w14:textId="77777777" w:rsidR="00E041B6" w:rsidRPr="005A1DC6" w:rsidRDefault="00E041B6" w:rsidP="00FF62CC">
      <w:pPr>
        <w:pStyle w:val="ListParagraph"/>
        <w:numPr>
          <w:ilvl w:val="0"/>
          <w:numId w:val="78"/>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 xml:space="preserve">activities/research to be undertaken; and  </w:t>
      </w:r>
    </w:p>
    <w:p w14:paraId="364CC8E9" w14:textId="77777777" w:rsidR="00E041B6" w:rsidRPr="005A1DC6" w:rsidRDefault="00E041B6" w:rsidP="00FF62CC">
      <w:pPr>
        <w:pStyle w:val="ListParagraph"/>
        <w:numPr>
          <w:ilvl w:val="0"/>
          <w:numId w:val="78"/>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 xml:space="preserve">a draft schedule of field visits. </w:t>
      </w:r>
    </w:p>
    <w:p w14:paraId="3AC45FE5" w14:textId="77777777" w:rsidR="00E041B6" w:rsidRPr="005A1DC6" w:rsidRDefault="00E041B6" w:rsidP="00E041B6">
      <w:pPr>
        <w:pStyle w:val="ListParagraph"/>
        <w:ind w:left="1080"/>
        <w:rPr>
          <w:rFonts w:asciiTheme="majorHAnsi" w:hAnsiTheme="majorHAnsi" w:cstheme="majorHAnsi"/>
          <w:sz w:val="21"/>
          <w:szCs w:val="21"/>
          <w:lang w:val="en-AU"/>
        </w:rPr>
      </w:pPr>
    </w:p>
    <w:p w14:paraId="1A9FB873"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iCs/>
          <w:szCs w:val="21"/>
        </w:rPr>
        <w:t>A draft review plan will be</w:t>
      </w:r>
      <w:r w:rsidRPr="005A1DC6">
        <w:rPr>
          <w:rFonts w:asciiTheme="majorHAnsi" w:hAnsiTheme="majorHAnsi" w:cstheme="majorHAnsi"/>
          <w:i/>
          <w:iCs/>
          <w:szCs w:val="21"/>
        </w:rPr>
        <w:t xml:space="preserve"> </w:t>
      </w:r>
      <w:r w:rsidRPr="005A1DC6">
        <w:rPr>
          <w:rFonts w:asciiTheme="majorHAnsi" w:hAnsiTheme="majorHAnsi" w:cstheme="majorHAnsi"/>
          <w:szCs w:val="21"/>
        </w:rPr>
        <w:t>developed for submission to DFAT and will be agreed prior to travel to PNG.</w:t>
      </w:r>
    </w:p>
    <w:p w14:paraId="7C73C899" w14:textId="77777777" w:rsidR="00E041B6" w:rsidRPr="005A1DC6" w:rsidRDefault="00E041B6" w:rsidP="00E041B6">
      <w:pPr>
        <w:spacing w:after="0" w:line="240" w:lineRule="auto"/>
        <w:rPr>
          <w:rFonts w:asciiTheme="majorHAnsi" w:hAnsiTheme="majorHAnsi" w:cstheme="majorHAnsi"/>
          <w:szCs w:val="21"/>
        </w:rPr>
      </w:pPr>
    </w:p>
    <w:p w14:paraId="00E397F6" w14:textId="77777777" w:rsidR="00E041B6" w:rsidRPr="005A1DC6" w:rsidRDefault="00E041B6" w:rsidP="00FF62CC">
      <w:pPr>
        <w:pStyle w:val="ListParagraph"/>
        <w:numPr>
          <w:ilvl w:val="0"/>
          <w:numId w:val="80"/>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u w:val="single"/>
          <w:lang w:val="en-AU"/>
        </w:rPr>
        <w:t>Validation workshop</w:t>
      </w:r>
      <w:r w:rsidRPr="005A1DC6">
        <w:rPr>
          <w:rFonts w:asciiTheme="majorHAnsi" w:hAnsiTheme="majorHAnsi" w:cstheme="majorHAnsi"/>
          <w:sz w:val="21"/>
          <w:szCs w:val="21"/>
          <w:lang w:val="en-AU"/>
        </w:rPr>
        <w:t xml:space="preserve"> - The Team Leader will present and seek feedback on initial findings to DFAT, PNG Government representatives, and NGO consortia upon completion of the field mission. </w:t>
      </w:r>
    </w:p>
    <w:p w14:paraId="36496DF1" w14:textId="77777777" w:rsidR="00E041B6" w:rsidRPr="005A1DC6" w:rsidRDefault="00E041B6" w:rsidP="00FF62CC">
      <w:pPr>
        <w:pStyle w:val="ListParagraph"/>
        <w:numPr>
          <w:ilvl w:val="0"/>
          <w:numId w:val="80"/>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u w:val="single"/>
          <w:lang w:val="en-AU"/>
        </w:rPr>
        <w:t>Aide Memoire presentation</w:t>
      </w:r>
      <w:r w:rsidRPr="005A1DC6">
        <w:rPr>
          <w:rFonts w:asciiTheme="majorHAnsi" w:hAnsiTheme="majorHAnsi" w:cstheme="majorHAnsi"/>
          <w:sz w:val="21"/>
          <w:szCs w:val="21"/>
          <w:lang w:val="en-AU"/>
        </w:rPr>
        <w:t xml:space="preserve"> – The Team Leader will present preliminary findings to AHC and PNG Government representatives</w:t>
      </w:r>
    </w:p>
    <w:p w14:paraId="3A0B8B85" w14:textId="77777777" w:rsidR="00E041B6" w:rsidRPr="005A1DC6" w:rsidRDefault="00E041B6" w:rsidP="00FF62CC">
      <w:pPr>
        <w:pStyle w:val="ListParagraph"/>
        <w:numPr>
          <w:ilvl w:val="0"/>
          <w:numId w:val="80"/>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u w:val="single"/>
          <w:lang w:val="en-AU"/>
        </w:rPr>
        <w:t>Aide Memoire</w:t>
      </w:r>
      <w:r w:rsidRPr="005A1DC6">
        <w:rPr>
          <w:rFonts w:asciiTheme="majorHAnsi" w:hAnsiTheme="majorHAnsi" w:cstheme="majorHAnsi"/>
          <w:sz w:val="21"/>
          <w:szCs w:val="21"/>
          <w:lang w:val="en-AU"/>
        </w:rPr>
        <w:t xml:space="preserve"> – A short written summary of the review and its preliminary findings will be presented to AHC/Government of Papua New Guinea</w:t>
      </w:r>
    </w:p>
    <w:p w14:paraId="67F451DE" w14:textId="77777777" w:rsidR="00E041B6" w:rsidRPr="005A1DC6" w:rsidRDefault="00E041B6" w:rsidP="00FF62CC">
      <w:pPr>
        <w:pStyle w:val="ListParagraph"/>
        <w:numPr>
          <w:ilvl w:val="0"/>
          <w:numId w:val="80"/>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u w:val="single"/>
          <w:lang w:val="en-AU"/>
        </w:rPr>
        <w:t>Draft Mid-term review report</w:t>
      </w:r>
    </w:p>
    <w:p w14:paraId="22F5A8B6" w14:textId="77777777" w:rsidR="00E041B6" w:rsidRPr="005A1DC6" w:rsidRDefault="00E041B6" w:rsidP="00FF62CC">
      <w:pPr>
        <w:pStyle w:val="ListParagraph"/>
        <w:numPr>
          <w:ilvl w:val="0"/>
          <w:numId w:val="80"/>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u w:val="single"/>
          <w:lang w:val="en-AU"/>
        </w:rPr>
        <w:lastRenderedPageBreak/>
        <w:t>Mid-term review report</w:t>
      </w:r>
      <w:r w:rsidRPr="005A1DC6">
        <w:rPr>
          <w:rFonts w:asciiTheme="majorHAnsi" w:hAnsiTheme="majorHAnsi" w:cstheme="majorHAnsi"/>
          <w:sz w:val="21"/>
          <w:szCs w:val="21"/>
          <w:lang w:val="en-AU"/>
        </w:rPr>
        <w:t xml:space="preserve"> - the review report should not exceed 20-25 pages with attached Annexes as required</w:t>
      </w:r>
      <w:r w:rsidRPr="005A1DC6">
        <w:rPr>
          <w:rStyle w:val="FootnoteReference"/>
          <w:rFonts w:asciiTheme="majorHAnsi" w:hAnsiTheme="majorHAnsi" w:cstheme="majorHAnsi"/>
          <w:sz w:val="21"/>
          <w:szCs w:val="21"/>
          <w:lang w:val="en-AU"/>
        </w:rPr>
        <w:footnoteReference w:id="92"/>
      </w:r>
      <w:r w:rsidRPr="005A1DC6">
        <w:rPr>
          <w:rFonts w:asciiTheme="majorHAnsi" w:hAnsiTheme="majorHAnsi" w:cstheme="majorHAnsi"/>
          <w:sz w:val="21"/>
          <w:szCs w:val="21"/>
          <w:lang w:val="en-AU"/>
        </w:rPr>
        <w:t xml:space="preserve">. </w:t>
      </w:r>
    </w:p>
    <w:p w14:paraId="455619A5" w14:textId="77777777" w:rsidR="00E041B6" w:rsidRPr="005A1DC6" w:rsidRDefault="00E041B6" w:rsidP="00E041B6">
      <w:pPr>
        <w:spacing w:after="0" w:line="240" w:lineRule="auto"/>
        <w:rPr>
          <w:rFonts w:asciiTheme="majorHAnsi" w:hAnsiTheme="majorHAnsi" w:cstheme="majorHAnsi"/>
          <w:szCs w:val="21"/>
        </w:rPr>
      </w:pPr>
    </w:p>
    <w:p w14:paraId="1322AC61"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DFAT will be consulted prior to meetings and presentations.</w:t>
      </w:r>
    </w:p>
    <w:p w14:paraId="343BCC1F" w14:textId="77777777" w:rsidR="00E041B6" w:rsidRPr="005A1DC6" w:rsidRDefault="00E041B6" w:rsidP="00E041B6">
      <w:pPr>
        <w:spacing w:after="0" w:line="240" w:lineRule="auto"/>
        <w:rPr>
          <w:rFonts w:asciiTheme="majorHAnsi" w:hAnsiTheme="majorHAnsi" w:cstheme="majorHAnsi"/>
          <w:szCs w:val="21"/>
        </w:rPr>
      </w:pPr>
    </w:p>
    <w:p w14:paraId="751294A7"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 xml:space="preserve">The final report should be a document that can be made publicly available and be well understood by stakeholders – a clearly-written abstract of 2-4 pages should be attached. The review must meet the requirements of DFAT’s Monitoring and Evaluation Standards and conform to DFAT’s documentary standards. </w:t>
      </w:r>
    </w:p>
    <w:p w14:paraId="64DDD13D" w14:textId="77777777" w:rsidR="00E041B6" w:rsidRPr="005A1DC6" w:rsidRDefault="00E041B6" w:rsidP="00E041B6">
      <w:pPr>
        <w:spacing w:after="0" w:line="240" w:lineRule="auto"/>
        <w:rPr>
          <w:rFonts w:asciiTheme="majorHAnsi" w:hAnsiTheme="majorHAnsi" w:cstheme="majorHAnsi"/>
          <w:szCs w:val="21"/>
        </w:rPr>
      </w:pPr>
    </w:p>
    <w:p w14:paraId="2CB0F3B1"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All reports should be submitted to Janelle Denton, Acting Counsellor, Education and Leadership.</w:t>
      </w:r>
    </w:p>
    <w:p w14:paraId="1B81A1AC" w14:textId="77777777" w:rsidR="00E041B6" w:rsidRPr="005A1DC6" w:rsidRDefault="00E041B6" w:rsidP="00E041B6">
      <w:pPr>
        <w:spacing w:after="0" w:line="240" w:lineRule="auto"/>
        <w:rPr>
          <w:rFonts w:asciiTheme="majorHAnsi" w:hAnsiTheme="majorHAnsi" w:cstheme="majorHAnsi"/>
          <w:szCs w:val="21"/>
        </w:rPr>
      </w:pPr>
    </w:p>
    <w:p w14:paraId="57240B31" w14:textId="77777777" w:rsidR="00E041B6" w:rsidRPr="005A1DC6" w:rsidRDefault="00E041B6" w:rsidP="00FF62CC">
      <w:pPr>
        <w:pStyle w:val="ListParagraph"/>
        <w:numPr>
          <w:ilvl w:val="0"/>
          <w:numId w:val="79"/>
        </w:numPr>
        <w:spacing w:after="0" w:line="240" w:lineRule="auto"/>
        <w:contextualSpacing w:val="0"/>
        <w:rPr>
          <w:rFonts w:asciiTheme="majorHAnsi" w:hAnsiTheme="majorHAnsi" w:cstheme="majorHAnsi"/>
          <w:b/>
          <w:sz w:val="21"/>
          <w:szCs w:val="21"/>
          <w:lang w:val="en-AU"/>
        </w:rPr>
      </w:pPr>
      <w:r w:rsidRPr="005A1DC6">
        <w:rPr>
          <w:rFonts w:asciiTheme="majorHAnsi" w:hAnsiTheme="majorHAnsi" w:cstheme="majorHAnsi"/>
          <w:b/>
          <w:sz w:val="21"/>
          <w:szCs w:val="21"/>
          <w:lang w:val="en-AU"/>
        </w:rPr>
        <w:t xml:space="preserve">Documents to be consulted </w:t>
      </w:r>
    </w:p>
    <w:p w14:paraId="1CCE2A20" w14:textId="77777777" w:rsidR="00E041B6" w:rsidRPr="005A1DC6" w:rsidRDefault="00E041B6" w:rsidP="00E041B6">
      <w:pPr>
        <w:spacing w:after="0" w:line="240" w:lineRule="auto"/>
        <w:rPr>
          <w:rFonts w:asciiTheme="majorHAnsi" w:hAnsiTheme="majorHAnsi" w:cstheme="majorHAnsi"/>
          <w:szCs w:val="21"/>
        </w:rPr>
      </w:pPr>
    </w:p>
    <w:p w14:paraId="2C32C081" w14:textId="77777777" w:rsidR="00E041B6" w:rsidRPr="005A1DC6" w:rsidRDefault="00E041B6" w:rsidP="00E041B6">
      <w:pPr>
        <w:rPr>
          <w:rFonts w:asciiTheme="majorHAnsi" w:hAnsiTheme="majorHAnsi" w:cstheme="majorHAnsi"/>
          <w:szCs w:val="21"/>
        </w:rPr>
      </w:pPr>
      <w:r w:rsidRPr="005A1DC6">
        <w:rPr>
          <w:rFonts w:asciiTheme="majorHAnsi" w:hAnsiTheme="majorHAnsi" w:cstheme="majorHAnsi"/>
          <w:szCs w:val="21"/>
        </w:rPr>
        <w:t>Documents to be consulted include:</w:t>
      </w:r>
    </w:p>
    <w:p w14:paraId="320FD527" w14:textId="77777777" w:rsidR="00E041B6" w:rsidRPr="005A1DC6" w:rsidRDefault="00E041B6" w:rsidP="00E041B6">
      <w:pPr>
        <w:rPr>
          <w:rFonts w:asciiTheme="majorHAnsi" w:hAnsiTheme="majorHAnsi" w:cstheme="majorHAnsi"/>
          <w:szCs w:val="21"/>
        </w:rPr>
      </w:pPr>
      <w:r w:rsidRPr="005A1DC6">
        <w:rPr>
          <w:rFonts w:asciiTheme="majorHAnsi" w:hAnsiTheme="majorHAnsi" w:cstheme="majorHAnsi"/>
          <w:szCs w:val="21"/>
        </w:rPr>
        <w:t>DFAT Monitoring and Evaluation Standards</w:t>
      </w:r>
    </w:p>
    <w:p w14:paraId="24710D2A" w14:textId="77777777" w:rsidR="00E041B6" w:rsidRPr="005A1DC6" w:rsidRDefault="00E041B6" w:rsidP="00E041B6">
      <w:pPr>
        <w:rPr>
          <w:rFonts w:asciiTheme="majorHAnsi" w:hAnsiTheme="majorHAnsi" w:cstheme="majorHAnsi"/>
          <w:szCs w:val="21"/>
        </w:rPr>
      </w:pPr>
      <w:r w:rsidRPr="005A1DC6">
        <w:rPr>
          <w:rFonts w:asciiTheme="majorHAnsi" w:hAnsiTheme="majorHAnsi" w:cstheme="majorHAnsi"/>
          <w:szCs w:val="21"/>
        </w:rPr>
        <w:t>Education and Leadership Portfolio Plan 2018-2022</w:t>
      </w:r>
    </w:p>
    <w:p w14:paraId="2012CF7D" w14:textId="77777777" w:rsidR="00E041B6" w:rsidRPr="005A1DC6" w:rsidRDefault="00E041B6" w:rsidP="00E041B6">
      <w:pPr>
        <w:rPr>
          <w:rFonts w:asciiTheme="majorHAnsi" w:hAnsiTheme="majorHAnsi" w:cstheme="majorHAnsi"/>
          <w:szCs w:val="21"/>
        </w:rPr>
      </w:pPr>
      <w:r w:rsidRPr="005A1DC6">
        <w:rPr>
          <w:rFonts w:asciiTheme="majorHAnsi" w:hAnsiTheme="majorHAnsi" w:cstheme="majorHAnsi"/>
          <w:szCs w:val="21"/>
        </w:rPr>
        <w:t>PPF program documents, plans and reports, including</w:t>
      </w:r>
    </w:p>
    <w:p w14:paraId="0CAEAFFA" w14:textId="77777777" w:rsidR="00E041B6" w:rsidRPr="005A1DC6" w:rsidRDefault="00E041B6" w:rsidP="00FF62CC">
      <w:pPr>
        <w:pStyle w:val="ListParagraph"/>
        <w:numPr>
          <w:ilvl w:val="0"/>
          <w:numId w:val="92"/>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Grantee annual plans and MEP plans</w:t>
      </w:r>
    </w:p>
    <w:p w14:paraId="24A1BAD3" w14:textId="77777777" w:rsidR="00E041B6" w:rsidRPr="005A1DC6" w:rsidRDefault="00E041B6" w:rsidP="00FF62CC">
      <w:pPr>
        <w:pStyle w:val="ListParagraph"/>
        <w:numPr>
          <w:ilvl w:val="0"/>
          <w:numId w:val="92"/>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Grantee annual progress reports</w:t>
      </w:r>
    </w:p>
    <w:p w14:paraId="6B89028C" w14:textId="77777777" w:rsidR="00E041B6" w:rsidRPr="005A1DC6" w:rsidRDefault="00E041B6" w:rsidP="00FF62CC">
      <w:pPr>
        <w:pStyle w:val="ListParagraph"/>
        <w:numPr>
          <w:ilvl w:val="0"/>
          <w:numId w:val="92"/>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PPF annual reports</w:t>
      </w:r>
    </w:p>
    <w:p w14:paraId="0233A328" w14:textId="77777777" w:rsidR="00E041B6" w:rsidRPr="005A1DC6" w:rsidRDefault="00E041B6" w:rsidP="00FF62CC">
      <w:pPr>
        <w:pStyle w:val="ListParagraph"/>
        <w:numPr>
          <w:ilvl w:val="0"/>
          <w:numId w:val="92"/>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PPF 6 monthly report</w:t>
      </w:r>
    </w:p>
    <w:p w14:paraId="1206F765" w14:textId="77777777" w:rsidR="00E041B6" w:rsidRPr="005A1DC6" w:rsidRDefault="00E041B6" w:rsidP="00FF62CC">
      <w:pPr>
        <w:pStyle w:val="ListParagraph"/>
        <w:numPr>
          <w:ilvl w:val="0"/>
          <w:numId w:val="92"/>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Baseline survey results and synthesis</w:t>
      </w:r>
    </w:p>
    <w:p w14:paraId="304DAA92" w14:textId="77777777" w:rsidR="00E041B6" w:rsidRPr="005A1DC6" w:rsidRDefault="00E041B6" w:rsidP="00FF62CC">
      <w:pPr>
        <w:pStyle w:val="ListParagraph"/>
        <w:numPr>
          <w:ilvl w:val="0"/>
          <w:numId w:val="92"/>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Midline survey results and draft synthesis</w:t>
      </w:r>
    </w:p>
    <w:p w14:paraId="2E957B75" w14:textId="77777777" w:rsidR="00E041B6" w:rsidRPr="005A1DC6" w:rsidRDefault="00E041B6" w:rsidP="00FF62CC">
      <w:pPr>
        <w:pStyle w:val="ListParagraph"/>
        <w:numPr>
          <w:ilvl w:val="0"/>
          <w:numId w:val="92"/>
        </w:numPr>
        <w:spacing w:after="0" w:line="240" w:lineRule="auto"/>
        <w:contextualSpacing w:val="0"/>
        <w:rPr>
          <w:rFonts w:asciiTheme="majorHAnsi" w:hAnsiTheme="majorHAnsi" w:cstheme="majorHAnsi"/>
          <w:sz w:val="21"/>
          <w:szCs w:val="21"/>
          <w:lang w:val="en-AU"/>
        </w:rPr>
      </w:pPr>
      <w:r w:rsidRPr="005A1DC6">
        <w:rPr>
          <w:rFonts w:asciiTheme="majorHAnsi" w:hAnsiTheme="majorHAnsi" w:cstheme="majorHAnsi"/>
          <w:sz w:val="21"/>
          <w:szCs w:val="21"/>
          <w:lang w:val="en-AU"/>
        </w:rPr>
        <w:t xml:space="preserve">Education for Prosperity Draft design (Quality Foundations for Education). </w:t>
      </w:r>
    </w:p>
    <w:p w14:paraId="37ADF7DE" w14:textId="77777777" w:rsidR="00E041B6" w:rsidRPr="005A1DC6" w:rsidRDefault="00E041B6" w:rsidP="00E041B6">
      <w:pPr>
        <w:rPr>
          <w:rFonts w:asciiTheme="majorHAnsi" w:hAnsiTheme="majorHAnsi" w:cstheme="majorHAnsi"/>
          <w:szCs w:val="21"/>
        </w:rPr>
      </w:pPr>
    </w:p>
    <w:p w14:paraId="280ADA9D" w14:textId="77777777" w:rsidR="00E041B6" w:rsidRPr="005A1DC6" w:rsidRDefault="00E041B6" w:rsidP="00E041B6">
      <w:pPr>
        <w:rPr>
          <w:rFonts w:asciiTheme="majorHAnsi" w:hAnsiTheme="majorHAnsi" w:cstheme="majorHAnsi"/>
          <w:szCs w:val="21"/>
        </w:rPr>
      </w:pPr>
      <w:r w:rsidRPr="005A1DC6">
        <w:rPr>
          <w:rFonts w:asciiTheme="majorHAnsi" w:hAnsiTheme="majorHAnsi" w:cstheme="majorHAnsi"/>
          <w:szCs w:val="21"/>
        </w:rPr>
        <w:t>PNG National Education Plan</w:t>
      </w:r>
    </w:p>
    <w:p w14:paraId="43718024" w14:textId="77777777" w:rsidR="00E041B6" w:rsidRPr="005A1DC6" w:rsidRDefault="00E041B6" w:rsidP="00E041B6">
      <w:pPr>
        <w:rPr>
          <w:rFonts w:asciiTheme="majorHAnsi" w:hAnsiTheme="majorHAnsi" w:cstheme="majorHAnsi"/>
          <w:szCs w:val="21"/>
        </w:rPr>
      </w:pPr>
      <w:r w:rsidRPr="005A1DC6">
        <w:rPr>
          <w:rFonts w:asciiTheme="majorHAnsi" w:hAnsiTheme="majorHAnsi" w:cstheme="majorHAnsi"/>
          <w:szCs w:val="21"/>
        </w:rPr>
        <w:t>E4P draft Investment Design Document</w:t>
      </w:r>
    </w:p>
    <w:p w14:paraId="744DCD60" w14:textId="77777777" w:rsidR="00E041B6" w:rsidRPr="005A1DC6" w:rsidRDefault="00E041B6" w:rsidP="00E041B6">
      <w:pPr>
        <w:rPr>
          <w:rFonts w:asciiTheme="majorHAnsi" w:hAnsiTheme="majorHAnsi" w:cstheme="majorHAnsi"/>
          <w:szCs w:val="21"/>
        </w:rPr>
      </w:pPr>
      <w:proofErr w:type="spellStart"/>
      <w:r w:rsidRPr="005A1DC6">
        <w:rPr>
          <w:rFonts w:asciiTheme="majorHAnsi" w:hAnsiTheme="majorHAnsi" w:cstheme="majorHAnsi"/>
          <w:szCs w:val="21"/>
        </w:rPr>
        <w:t>Inovasi</w:t>
      </w:r>
      <w:proofErr w:type="spellEnd"/>
      <w:r w:rsidRPr="005A1DC6">
        <w:rPr>
          <w:rFonts w:asciiTheme="majorHAnsi" w:hAnsiTheme="majorHAnsi" w:cstheme="majorHAnsi"/>
          <w:szCs w:val="21"/>
        </w:rPr>
        <w:t xml:space="preserve"> Guiding Program Strategy, Part 1: November 2017</w:t>
      </w:r>
    </w:p>
    <w:p w14:paraId="67CCD615" w14:textId="77777777" w:rsidR="00E041B6" w:rsidRPr="005A1DC6" w:rsidRDefault="00E041B6" w:rsidP="00E041B6">
      <w:pPr>
        <w:spacing w:after="0" w:line="240" w:lineRule="auto"/>
        <w:rPr>
          <w:rFonts w:asciiTheme="majorHAnsi" w:hAnsiTheme="majorHAnsi" w:cstheme="majorHAnsi"/>
          <w:szCs w:val="21"/>
        </w:rPr>
      </w:pPr>
    </w:p>
    <w:p w14:paraId="383DC75C" w14:textId="77777777" w:rsidR="00E041B6" w:rsidRPr="005A1DC6" w:rsidRDefault="00E041B6" w:rsidP="00FF62CC">
      <w:pPr>
        <w:pStyle w:val="ListParagraph"/>
        <w:numPr>
          <w:ilvl w:val="0"/>
          <w:numId w:val="79"/>
        </w:numPr>
        <w:spacing w:after="0" w:line="240" w:lineRule="auto"/>
        <w:contextualSpacing w:val="0"/>
        <w:rPr>
          <w:rFonts w:asciiTheme="majorHAnsi" w:hAnsiTheme="majorHAnsi" w:cstheme="majorHAnsi"/>
          <w:b/>
          <w:sz w:val="21"/>
          <w:szCs w:val="21"/>
          <w:lang w:val="en-AU"/>
        </w:rPr>
      </w:pPr>
      <w:r w:rsidRPr="005A1DC6">
        <w:rPr>
          <w:rFonts w:asciiTheme="majorHAnsi" w:hAnsiTheme="majorHAnsi" w:cstheme="majorHAnsi"/>
          <w:b/>
          <w:sz w:val="21"/>
          <w:szCs w:val="21"/>
          <w:lang w:val="en-AU"/>
        </w:rPr>
        <w:t>People and organisations to be consulted</w:t>
      </w:r>
    </w:p>
    <w:p w14:paraId="3515E532" w14:textId="77777777" w:rsidR="00E041B6" w:rsidRPr="005A1DC6" w:rsidRDefault="00E041B6" w:rsidP="00E041B6">
      <w:pPr>
        <w:spacing w:after="0" w:line="240" w:lineRule="auto"/>
        <w:rPr>
          <w:rFonts w:asciiTheme="majorHAnsi" w:hAnsiTheme="majorHAnsi" w:cstheme="majorHAnsi"/>
          <w:szCs w:val="21"/>
        </w:rPr>
      </w:pPr>
    </w:p>
    <w:p w14:paraId="240681AA"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Consultations to include:</w:t>
      </w:r>
    </w:p>
    <w:p w14:paraId="28A909B6" w14:textId="77777777" w:rsidR="00E041B6" w:rsidRPr="005A1DC6" w:rsidRDefault="00E041B6" w:rsidP="00E041B6">
      <w:pPr>
        <w:spacing w:after="0" w:line="240" w:lineRule="auto"/>
        <w:rPr>
          <w:rFonts w:asciiTheme="majorHAnsi" w:hAnsiTheme="majorHAnsi" w:cstheme="majorHAnsi"/>
          <w:szCs w:val="21"/>
        </w:rPr>
      </w:pPr>
    </w:p>
    <w:p w14:paraId="77E6525F" w14:textId="77777777" w:rsidR="00E041B6" w:rsidRPr="005A1DC6" w:rsidRDefault="00E041B6" w:rsidP="00E041B6">
      <w:pPr>
        <w:spacing w:after="0" w:line="240" w:lineRule="auto"/>
        <w:rPr>
          <w:rFonts w:asciiTheme="majorHAnsi" w:hAnsiTheme="majorHAnsi" w:cstheme="majorHAnsi"/>
          <w:szCs w:val="21"/>
          <w:u w:val="single"/>
        </w:rPr>
      </w:pPr>
      <w:r w:rsidRPr="005A1DC6">
        <w:rPr>
          <w:rFonts w:asciiTheme="majorHAnsi" w:hAnsiTheme="majorHAnsi" w:cstheme="majorHAnsi"/>
          <w:szCs w:val="21"/>
          <w:u w:val="single"/>
        </w:rPr>
        <w:t>DFAT</w:t>
      </w:r>
    </w:p>
    <w:p w14:paraId="59F2FCBF"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Education and Leadership Team</w:t>
      </w:r>
    </w:p>
    <w:p w14:paraId="59D71D80" w14:textId="77777777" w:rsidR="00E041B6" w:rsidRPr="005A1DC6" w:rsidRDefault="00E041B6" w:rsidP="00E041B6">
      <w:pPr>
        <w:spacing w:after="0" w:line="240" w:lineRule="auto"/>
        <w:rPr>
          <w:rFonts w:asciiTheme="majorHAnsi" w:hAnsiTheme="majorHAnsi" w:cstheme="majorHAnsi"/>
          <w:szCs w:val="21"/>
        </w:rPr>
      </w:pPr>
    </w:p>
    <w:p w14:paraId="2C93A9D8"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u w:val="single"/>
        </w:rPr>
        <w:t>Government of PNG</w:t>
      </w:r>
      <w:r w:rsidRPr="005A1DC6">
        <w:rPr>
          <w:rFonts w:asciiTheme="majorHAnsi" w:hAnsiTheme="majorHAnsi" w:cstheme="majorHAnsi"/>
          <w:szCs w:val="21"/>
        </w:rPr>
        <w:t xml:space="preserve"> </w:t>
      </w:r>
    </w:p>
    <w:p w14:paraId="37E77DFD"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National Department of Education</w:t>
      </w:r>
    </w:p>
    <w:p w14:paraId="46D9276E"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Department of Community Development and Religion</w:t>
      </w:r>
    </w:p>
    <w:p w14:paraId="13CA7C9B"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Department of National Planning and Monitoring</w:t>
      </w:r>
    </w:p>
    <w:p w14:paraId="5A1B1163"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Provincial and district governments</w:t>
      </w:r>
    </w:p>
    <w:p w14:paraId="5B76DCF4" w14:textId="77777777" w:rsidR="00E041B6" w:rsidRPr="005A1DC6" w:rsidRDefault="00E041B6" w:rsidP="00E041B6">
      <w:pPr>
        <w:spacing w:after="0" w:line="240" w:lineRule="auto"/>
        <w:rPr>
          <w:rFonts w:asciiTheme="majorHAnsi" w:hAnsiTheme="majorHAnsi" w:cstheme="majorHAnsi"/>
          <w:szCs w:val="21"/>
        </w:rPr>
      </w:pPr>
    </w:p>
    <w:p w14:paraId="7A075C3F" w14:textId="77777777" w:rsidR="00E041B6" w:rsidRPr="005A1DC6" w:rsidRDefault="00E041B6" w:rsidP="00E041B6">
      <w:pPr>
        <w:spacing w:after="0" w:line="240" w:lineRule="auto"/>
        <w:rPr>
          <w:rFonts w:asciiTheme="majorHAnsi" w:hAnsiTheme="majorHAnsi" w:cstheme="majorHAnsi"/>
          <w:szCs w:val="21"/>
          <w:u w:val="single"/>
        </w:rPr>
      </w:pPr>
      <w:r w:rsidRPr="005A1DC6">
        <w:rPr>
          <w:rFonts w:asciiTheme="majorHAnsi" w:hAnsiTheme="majorHAnsi" w:cstheme="majorHAnsi"/>
          <w:szCs w:val="21"/>
          <w:u w:val="single"/>
        </w:rPr>
        <w:lastRenderedPageBreak/>
        <w:t>Consortium members</w:t>
      </w:r>
    </w:p>
    <w:p w14:paraId="076AD467"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 xml:space="preserve">CARE </w:t>
      </w:r>
    </w:p>
    <w:p w14:paraId="28631C1B"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 xml:space="preserve">World Vision Port Moresby </w:t>
      </w:r>
    </w:p>
    <w:p w14:paraId="7D3A037C" w14:textId="77777777" w:rsidR="00E041B6" w:rsidRPr="005A1DC6" w:rsidRDefault="00E041B6" w:rsidP="00E041B6">
      <w:pPr>
        <w:spacing w:after="0" w:line="240" w:lineRule="auto"/>
        <w:rPr>
          <w:rFonts w:asciiTheme="majorHAnsi" w:hAnsiTheme="majorHAnsi" w:cstheme="majorHAnsi"/>
          <w:szCs w:val="21"/>
        </w:rPr>
      </w:pPr>
      <w:r w:rsidRPr="005A1DC6">
        <w:rPr>
          <w:rFonts w:asciiTheme="majorHAnsi" w:hAnsiTheme="majorHAnsi" w:cstheme="majorHAnsi"/>
          <w:szCs w:val="21"/>
        </w:rPr>
        <w:t xml:space="preserve">Save the Children </w:t>
      </w:r>
    </w:p>
    <w:p w14:paraId="35A4976C" w14:textId="77777777" w:rsidR="00E041B6" w:rsidRPr="005A1DC6" w:rsidRDefault="00E041B6" w:rsidP="00E041B6">
      <w:pPr>
        <w:spacing w:after="0" w:line="240" w:lineRule="auto"/>
        <w:rPr>
          <w:rFonts w:asciiTheme="majorHAnsi" w:hAnsiTheme="majorHAnsi" w:cstheme="majorHAnsi"/>
          <w:szCs w:val="21"/>
          <w:u w:val="single"/>
        </w:rPr>
      </w:pPr>
    </w:p>
    <w:p w14:paraId="0651C8F4" w14:textId="77777777" w:rsidR="00E041B6" w:rsidRPr="005A1DC6" w:rsidRDefault="00E041B6" w:rsidP="00E041B6">
      <w:pPr>
        <w:spacing w:after="0" w:line="240" w:lineRule="auto"/>
        <w:rPr>
          <w:rFonts w:asciiTheme="majorHAnsi" w:hAnsiTheme="majorHAnsi" w:cstheme="majorHAnsi"/>
          <w:szCs w:val="21"/>
          <w:u w:val="single"/>
        </w:rPr>
      </w:pPr>
      <w:r w:rsidRPr="005A1DC6">
        <w:rPr>
          <w:rFonts w:asciiTheme="majorHAnsi" w:hAnsiTheme="majorHAnsi" w:cstheme="majorHAnsi"/>
          <w:szCs w:val="21"/>
          <w:u w:val="single"/>
        </w:rPr>
        <w:t xml:space="preserve">Other stakeholders </w:t>
      </w:r>
    </w:p>
    <w:p w14:paraId="0A96ED65" w14:textId="77777777" w:rsidR="00E041B6" w:rsidRPr="005A1DC6" w:rsidRDefault="00E041B6" w:rsidP="00E041B6">
      <w:pPr>
        <w:spacing w:after="0" w:line="240" w:lineRule="auto"/>
        <w:rPr>
          <w:rFonts w:asciiTheme="majorHAnsi" w:hAnsiTheme="majorHAnsi" w:cstheme="majorHAnsi"/>
          <w:szCs w:val="21"/>
        </w:rPr>
      </w:pPr>
      <w:proofErr w:type="spellStart"/>
      <w:r w:rsidRPr="005A1DC6">
        <w:rPr>
          <w:rFonts w:asciiTheme="majorHAnsi" w:hAnsiTheme="majorHAnsi" w:cstheme="majorHAnsi"/>
          <w:szCs w:val="21"/>
        </w:rPr>
        <w:t>Abt</w:t>
      </w:r>
      <w:proofErr w:type="spellEnd"/>
      <w:r w:rsidRPr="005A1DC6">
        <w:rPr>
          <w:rFonts w:asciiTheme="majorHAnsi" w:hAnsiTheme="majorHAnsi" w:cstheme="majorHAnsi"/>
          <w:szCs w:val="21"/>
        </w:rPr>
        <w:t xml:space="preserve"> (managing contractor)</w:t>
      </w:r>
    </w:p>
    <w:p w14:paraId="5B1DEA5F" w14:textId="77777777" w:rsidR="00D0036D" w:rsidRPr="00FA288E" w:rsidRDefault="00D0036D" w:rsidP="002154C2">
      <w:pPr>
        <w:pStyle w:val="Heading1"/>
        <w:numPr>
          <w:ilvl w:val="0"/>
          <w:numId w:val="0"/>
        </w:numPr>
        <w:sectPr w:rsidR="00D0036D" w:rsidRPr="00FA288E" w:rsidSect="008E376C">
          <w:pgSz w:w="11906" w:h="16838"/>
          <w:pgMar w:top="1418" w:right="1009" w:bottom="1009" w:left="1151" w:header="720" w:footer="720" w:gutter="0"/>
          <w:cols w:space="720"/>
          <w:docGrid w:linePitch="360"/>
        </w:sectPr>
      </w:pPr>
    </w:p>
    <w:p w14:paraId="25B51E92" w14:textId="77777777" w:rsidR="00436FDA" w:rsidRPr="00FA288E" w:rsidRDefault="00D0036D" w:rsidP="002154C2">
      <w:pPr>
        <w:pStyle w:val="Heading1"/>
        <w:numPr>
          <w:ilvl w:val="0"/>
          <w:numId w:val="0"/>
        </w:numPr>
      </w:pPr>
      <w:bookmarkStart w:id="114" w:name="_Annex_B:_Key"/>
      <w:bookmarkStart w:id="115" w:name="_Toc31625601"/>
      <w:bookmarkStart w:id="116" w:name="_Toc42075981"/>
      <w:bookmarkEnd w:id="114"/>
      <w:r w:rsidRPr="00FA288E">
        <w:lastRenderedPageBreak/>
        <w:t xml:space="preserve">Annex B: </w:t>
      </w:r>
      <w:bookmarkEnd w:id="110"/>
      <w:r w:rsidRPr="00FA288E">
        <w:t>Key Review Questions and Sub-Questions</w:t>
      </w:r>
      <w:bookmarkEnd w:id="115"/>
      <w:bookmarkEnd w:id="116"/>
    </w:p>
    <w:p w14:paraId="30629BA2" w14:textId="77777777" w:rsidR="00616A73" w:rsidRPr="00FA288E" w:rsidRDefault="00616A73" w:rsidP="00616A73">
      <w:pPr>
        <w:keepNext/>
        <w:spacing w:before="60" w:after="60" w:line="216" w:lineRule="auto"/>
        <w:rPr>
          <w:rFonts w:eastAsia="Calibri" w:cs="Calibri"/>
          <w:sz w:val="20"/>
          <w:szCs w:val="20"/>
        </w:rPr>
      </w:pPr>
      <w:bookmarkStart w:id="117" w:name="_Toc26914383"/>
      <w:r w:rsidRPr="00FA288E">
        <w:rPr>
          <w:rFonts w:eastAsia="Calibri" w:cs="Calibri"/>
          <w:sz w:val="20"/>
          <w:szCs w:val="20"/>
        </w:rPr>
        <w:t xml:space="preserve">Prior to the mid-term review, a review plan was prepared in discussions between HDMES and the Australian Government.  This plan revised the criteria wording since originally stated in the Terms of Reference to reflect a shared understanding of the requirements of the review. The review plan identified six Key Review Questions and a series of sub-questions against each of the criteria for the review as provided in the table below. </w:t>
      </w:r>
    </w:p>
    <w:p w14:paraId="51F97276" w14:textId="77777777" w:rsidR="00616A73" w:rsidRPr="00FA288E" w:rsidRDefault="00616A73" w:rsidP="00616A73">
      <w:pPr>
        <w:keepNext/>
        <w:spacing w:before="60" w:after="60" w:line="216" w:lineRule="auto"/>
        <w:ind w:left="1138" w:hanging="1138"/>
        <w:rPr>
          <w:rFonts w:eastAsia="Calibri" w:cs="Calibri"/>
          <w:sz w:val="20"/>
          <w:szCs w:val="20"/>
        </w:rPr>
      </w:pPr>
    </w:p>
    <w:p w14:paraId="69A9062F" w14:textId="77777777" w:rsidR="00616A73" w:rsidRPr="00FA288E" w:rsidRDefault="00616A73" w:rsidP="00616A73">
      <w:pPr>
        <w:keepNext/>
        <w:spacing w:before="60" w:after="60" w:line="216" w:lineRule="auto"/>
        <w:ind w:left="1138" w:hanging="1138"/>
        <w:rPr>
          <w:rFonts w:eastAsia="Calibri" w:cs="Calibri"/>
          <w:sz w:val="20"/>
          <w:szCs w:val="20"/>
        </w:rPr>
      </w:pPr>
      <w:r w:rsidRPr="00FA288E">
        <w:rPr>
          <w:rFonts w:eastAsia="Calibri" w:cs="Calibri"/>
          <w:sz w:val="20"/>
          <w:szCs w:val="20"/>
        </w:rPr>
        <w:t>Key review questions and sub-questions informed the PPF Education Grants MTR</w:t>
      </w:r>
    </w:p>
    <w:tbl>
      <w:tblPr>
        <w:tblStyle w:val="TableGrid"/>
        <w:tblW w:w="4992" w:type="pct"/>
        <w:tblInd w:w="-5" w:type="dxa"/>
        <w:tblLook w:val="04A0" w:firstRow="1" w:lastRow="0" w:firstColumn="1" w:lastColumn="0" w:noHBand="0" w:noVBand="1"/>
        <w:tblCaption w:val="Key review questions and sub-questions informed the PPF Education Grants MTR"/>
        <w:tblDescription w:val="Under the effectiveness criteria the key question was How effective have the grants been in improving literacy and numeracy against the agreed outcomes and targets for girls and boys and children with disabilities? Sub questions include: a. To what extent have the grants progressed towards achieving their agreed outcomes, and are they on track? b. How inclusive have the grants been in achieving these outcomes to date? c. What are the main factors influencing the success or lack of progress for the different approaches taken (including specific innovations)?&#10;Under effectiveness (through policy influence) criteria the key question was: To what extent have the grant approaches been successful in directly or indirectly influencing GoPNG policies? Sub-questions were: To what extent are the programs aligned to existing PNG policies e.g. Standards Based Curriculum etc.? To what extent and how have the programs been able to build relationships and influence policy at district, province or national levels? Which approaches to influencing policy have been most successful/promising?&#10;Under the monitoring and evaluation criteria the key question was: To what extent are the grant’s monitoring and evaluation systems adequately measuring implementation progress towards outcomes, and supporting reporting and learning? Sub-questions include: Are the current program logics sufficiently robust to lead to achievement of end-of-program outcomes, and to what extent is there coherence between approaches? Are the data and the assessment tools for monitoring teacher and student progress and other relevant outcomes sufficiently inclusive and effective? To what extent is reporting meeting the information and /or learning needs of grantees, GoPNG and the Australian Government?&#10;Under the efficiency criteria the key question was: To what extent are the grant projects being implemented efficiently? Sub-questions included: To what extent are the projects being implemented on time and in a cost-efficient way? Has implementation of the consortia model resulted in specific efficiencies, e.g. communications, creation and sharing of resources? Are there significant variations in the cost efficiencies of the grant outcomes?&#10;Under the sustainability criteria the key question was: To what extent have the approaches and practices advocated by the grants been institutionalised / are likely to be sustainable? Sub-questions included: How have financing and sustainability considerations driven the grant’s implementation choices (with a view of replication)? To what extent have the grants been successful in institutionalising approaches and practices (school/education systems and bureaucracy)? Is there evidence of securing ongoing support and/or resourcing?&#10;Has the grant model adequately promoted the PNGAus Partnership and branding?&#10;Under the model/strategy criteria the key question was: What implementation lessons from the PPF grants can contribute to future DFAT programming in foundational education in PNG? Sub-questions include:&#10;a. What approaches, or types of approach, are particularly successful or not successful and why?&#10;b. How could the approaches that are successful, or which have good potential, be adjusted, adapted or replicated during an extension under PPF to increase their overall effectiveness, considering especially:&#10;i. Teaching and learning at the school level&#10;ii. E-learning approaches&#10;iii. Strategies to institutionalise change and promote sustainability/ scalability&#10;iv. Strategies for GoPNG engagement and / or policy influence&#10;v. Modifications to M&amp;E indicators/outcomes (including for gender and disability)&#10;vi. A possible shared M&amp;E Framework/indicators across consortia&#10;vii. Effective communications and branding of the PNGAus Partnership&#10;c. What are the relevant lessons for the E4P design? Lessons might include the following considerations:&#10;i. Improving or adapting current approaches to teaching and learning &#10;ii. Facilitating GoPNG engagement and / or policy influence, &#10;iii. Enhancing sustainability of outcomes&#10;iv. The relative merits of continuing the PPF grant mechanism as a separate funding stream beyond the proposed completion of the grants at the end of 2021, or novating PPF activities under E4D?&#10;How has innovation been applied in the grant approaches?  What has been successful or not successful, and why? "/>
      </w:tblPr>
      <w:tblGrid>
        <w:gridCol w:w="2103"/>
        <w:gridCol w:w="7617"/>
      </w:tblGrid>
      <w:tr w:rsidR="00616A73" w:rsidRPr="00FA288E" w14:paraId="44C7D5DB" w14:textId="77777777" w:rsidTr="00AC247A">
        <w:trPr>
          <w:trHeight w:val="364"/>
          <w:tblHeader/>
        </w:trPr>
        <w:tc>
          <w:tcPr>
            <w:tcW w:w="1082" w:type="pct"/>
            <w:shd w:val="clear" w:color="auto" w:fill="262626" w:themeFill="text1" w:themeFillTint="D9"/>
            <w:vAlign w:val="center"/>
          </w:tcPr>
          <w:p w14:paraId="145F39CE" w14:textId="1ED894EB" w:rsidR="00616A73" w:rsidRPr="00FA288E" w:rsidRDefault="00EC3518" w:rsidP="00AC247A">
            <w:pPr>
              <w:spacing w:before="60" w:after="60" w:line="216" w:lineRule="auto"/>
              <w:jc w:val="center"/>
              <w:rPr>
                <w:rFonts w:cs="Calibri"/>
                <w:color w:val="FFFFFF"/>
                <w:sz w:val="20"/>
                <w:szCs w:val="20"/>
                <w:lang w:val="en-AU" w:eastAsia="en-GB"/>
              </w:rPr>
            </w:pPr>
            <w:r>
              <w:rPr>
                <w:rFonts w:cs="Calibri"/>
                <w:color w:val="FFFFFF"/>
                <w:sz w:val="20"/>
                <w:szCs w:val="20"/>
                <w:lang w:val="en-AU" w:eastAsia="en-GB"/>
              </w:rPr>
              <w:t xml:space="preserve"> </w:t>
            </w:r>
          </w:p>
        </w:tc>
        <w:tc>
          <w:tcPr>
            <w:tcW w:w="3918" w:type="pct"/>
            <w:shd w:val="clear" w:color="auto" w:fill="262626" w:themeFill="text1" w:themeFillTint="D9"/>
            <w:vAlign w:val="center"/>
          </w:tcPr>
          <w:p w14:paraId="24394990" w14:textId="77777777" w:rsidR="00616A73" w:rsidRPr="00FA288E" w:rsidRDefault="00616A73" w:rsidP="00AC247A">
            <w:pPr>
              <w:spacing w:before="60" w:after="60" w:line="216" w:lineRule="auto"/>
              <w:jc w:val="center"/>
              <w:rPr>
                <w:rFonts w:cs="Calibri"/>
                <w:color w:val="FFFFFF"/>
                <w:sz w:val="20"/>
                <w:szCs w:val="20"/>
                <w:lang w:val="en-AU" w:eastAsia="en-GB"/>
              </w:rPr>
            </w:pPr>
            <w:r w:rsidRPr="00FA288E">
              <w:rPr>
                <w:rFonts w:cs="Calibri"/>
                <w:color w:val="FFFFFF"/>
                <w:sz w:val="20"/>
                <w:szCs w:val="20"/>
                <w:lang w:val="en-AU" w:eastAsia="en-GB"/>
              </w:rPr>
              <w:t>Key Review Questions and sub-questions</w:t>
            </w:r>
          </w:p>
        </w:tc>
      </w:tr>
      <w:tr w:rsidR="00616A73" w:rsidRPr="00FA288E" w14:paraId="437AFAA9" w14:textId="77777777" w:rsidTr="00AC247A">
        <w:trPr>
          <w:trHeight w:val="364"/>
        </w:trPr>
        <w:tc>
          <w:tcPr>
            <w:tcW w:w="1082" w:type="pct"/>
            <w:shd w:val="clear" w:color="auto" w:fill="262626" w:themeFill="text1" w:themeFillTint="D9"/>
            <w:vAlign w:val="center"/>
          </w:tcPr>
          <w:p w14:paraId="41640368" w14:textId="77777777" w:rsidR="00616A73" w:rsidRPr="00FA288E" w:rsidRDefault="00616A73" w:rsidP="00AC247A">
            <w:pPr>
              <w:spacing w:before="60" w:after="60" w:line="216" w:lineRule="auto"/>
              <w:jc w:val="center"/>
              <w:rPr>
                <w:rFonts w:eastAsia="Calibri" w:cs="Calibri"/>
                <w:sz w:val="20"/>
                <w:szCs w:val="20"/>
                <w:lang w:val="en-AU"/>
              </w:rPr>
            </w:pPr>
            <w:r w:rsidRPr="00FA288E">
              <w:rPr>
                <w:rFonts w:eastAsia="Calibri" w:cs="Calibri"/>
                <w:sz w:val="20"/>
                <w:szCs w:val="20"/>
                <w:lang w:val="en-AU"/>
              </w:rPr>
              <w:t>Effectiveness</w:t>
            </w:r>
          </w:p>
        </w:tc>
        <w:tc>
          <w:tcPr>
            <w:tcW w:w="3918" w:type="pct"/>
            <w:vAlign w:val="center"/>
          </w:tcPr>
          <w:p w14:paraId="34E3863F" w14:textId="77777777" w:rsidR="00616A73" w:rsidRPr="00FA288E" w:rsidRDefault="00616A73" w:rsidP="00AC247A">
            <w:pPr>
              <w:spacing w:before="60" w:after="60" w:line="216" w:lineRule="auto"/>
              <w:rPr>
                <w:rFonts w:eastAsia="Calibri" w:cs="Calibri"/>
                <w:sz w:val="20"/>
                <w:szCs w:val="20"/>
                <w:lang w:val="en-AU"/>
              </w:rPr>
            </w:pPr>
            <w:r w:rsidRPr="00FA288E">
              <w:rPr>
                <w:rFonts w:eastAsia="Calibri" w:cs="Calibri"/>
                <w:sz w:val="20"/>
                <w:szCs w:val="20"/>
                <w:lang w:val="en-AU"/>
              </w:rPr>
              <w:t>KRQ 1. How effective have the grants been in improving literacy and numeracy against the agreed outcomes and targets for girls and boys and children with disabilities?</w:t>
            </w:r>
          </w:p>
          <w:p w14:paraId="17A1F415" w14:textId="77777777" w:rsidR="00616A73" w:rsidRPr="00FA288E" w:rsidRDefault="00616A73" w:rsidP="00AC247A">
            <w:pPr>
              <w:pStyle w:val="ListParagraph"/>
              <w:numPr>
                <w:ilvl w:val="0"/>
                <w:numId w:val="14"/>
              </w:numPr>
              <w:spacing w:before="60" w:after="60" w:line="216" w:lineRule="auto"/>
              <w:ind w:left="316" w:hanging="270"/>
              <w:rPr>
                <w:rFonts w:ascii="Calibri" w:eastAsia="Times New Roman" w:hAnsi="Calibri" w:cs="Calibri"/>
                <w:iCs/>
                <w:sz w:val="20"/>
                <w:szCs w:val="20"/>
                <w:lang w:val="en-AU"/>
              </w:rPr>
            </w:pPr>
            <w:r w:rsidRPr="00FA288E">
              <w:rPr>
                <w:rFonts w:ascii="Calibri" w:eastAsia="Times New Roman" w:hAnsi="Calibri" w:cs="Calibri"/>
                <w:iCs/>
                <w:sz w:val="20"/>
                <w:szCs w:val="20"/>
                <w:lang w:val="en-AU"/>
              </w:rPr>
              <w:t>To what extent have the grants progressed towards achieving their agreed outcomes, and are they on track?</w:t>
            </w:r>
          </w:p>
          <w:p w14:paraId="3B1D9143" w14:textId="77777777" w:rsidR="00616A73" w:rsidRPr="00FA288E" w:rsidRDefault="00616A73" w:rsidP="00AC247A">
            <w:pPr>
              <w:pStyle w:val="ListParagraph"/>
              <w:numPr>
                <w:ilvl w:val="0"/>
                <w:numId w:val="14"/>
              </w:numPr>
              <w:spacing w:before="60" w:after="60" w:line="216" w:lineRule="auto"/>
              <w:ind w:left="316" w:hanging="270"/>
              <w:rPr>
                <w:rFonts w:ascii="Calibri" w:eastAsia="Times New Roman" w:hAnsi="Calibri" w:cs="Calibri"/>
                <w:iCs/>
                <w:sz w:val="20"/>
                <w:szCs w:val="20"/>
                <w:lang w:val="en-AU"/>
              </w:rPr>
            </w:pPr>
            <w:r w:rsidRPr="00FA288E">
              <w:rPr>
                <w:rFonts w:ascii="Calibri" w:eastAsia="Calibri" w:hAnsi="Calibri" w:cs="Calibri"/>
                <w:sz w:val="20"/>
                <w:szCs w:val="20"/>
                <w:lang w:val="en-AU"/>
              </w:rPr>
              <w:t>How inclusive have the grants been in achieving these outcomes to date?</w:t>
            </w:r>
          </w:p>
          <w:p w14:paraId="785A83B0" w14:textId="77777777" w:rsidR="00616A73" w:rsidRPr="00FA288E" w:rsidRDefault="00616A73" w:rsidP="00AC247A">
            <w:pPr>
              <w:pStyle w:val="ListParagraph"/>
              <w:numPr>
                <w:ilvl w:val="0"/>
                <w:numId w:val="14"/>
              </w:numPr>
              <w:spacing w:before="60" w:after="60" w:line="216" w:lineRule="auto"/>
              <w:ind w:left="316" w:hanging="270"/>
              <w:rPr>
                <w:rFonts w:ascii="Calibri" w:eastAsia="Times New Roman" w:hAnsi="Calibri" w:cs="Calibri"/>
                <w:iCs/>
                <w:sz w:val="20"/>
                <w:szCs w:val="20"/>
                <w:lang w:val="en-AU"/>
              </w:rPr>
            </w:pPr>
            <w:r w:rsidRPr="00FA288E">
              <w:rPr>
                <w:rFonts w:ascii="Calibri" w:eastAsia="Calibri" w:hAnsi="Calibri" w:cs="Calibri"/>
                <w:sz w:val="20"/>
                <w:szCs w:val="20"/>
                <w:lang w:val="en-AU"/>
              </w:rPr>
              <w:t>What are the main factors influencing the success or lack of progress for the different approaches taken (including specific innovations)?</w:t>
            </w:r>
          </w:p>
        </w:tc>
      </w:tr>
      <w:tr w:rsidR="00616A73" w:rsidRPr="00FA288E" w14:paraId="6CA11F41" w14:textId="77777777" w:rsidTr="00AC247A">
        <w:trPr>
          <w:trHeight w:val="364"/>
        </w:trPr>
        <w:tc>
          <w:tcPr>
            <w:tcW w:w="1082" w:type="pct"/>
            <w:shd w:val="clear" w:color="auto" w:fill="262626" w:themeFill="text1" w:themeFillTint="D9"/>
            <w:vAlign w:val="center"/>
          </w:tcPr>
          <w:p w14:paraId="5FEF0BD2" w14:textId="77777777" w:rsidR="00616A73" w:rsidRPr="00FA288E" w:rsidRDefault="00616A73" w:rsidP="00AC247A">
            <w:pPr>
              <w:spacing w:before="60" w:after="60" w:line="216" w:lineRule="auto"/>
              <w:jc w:val="center"/>
              <w:rPr>
                <w:rFonts w:eastAsia="Calibri" w:cs="Calibri"/>
                <w:sz w:val="20"/>
                <w:szCs w:val="20"/>
                <w:lang w:val="en-AU"/>
              </w:rPr>
            </w:pPr>
            <w:r w:rsidRPr="00FA288E">
              <w:rPr>
                <w:rFonts w:eastAsia="Calibri" w:cs="Calibri"/>
                <w:sz w:val="20"/>
                <w:szCs w:val="20"/>
                <w:lang w:val="en-AU"/>
              </w:rPr>
              <w:t xml:space="preserve">Effectiveness </w:t>
            </w:r>
          </w:p>
          <w:p w14:paraId="70A55CBD" w14:textId="77777777" w:rsidR="00616A73" w:rsidRPr="00FA288E" w:rsidRDefault="00616A73" w:rsidP="00AC247A">
            <w:pPr>
              <w:spacing w:before="60" w:after="60" w:line="216" w:lineRule="auto"/>
              <w:jc w:val="center"/>
              <w:rPr>
                <w:rFonts w:eastAsia="Calibri" w:cs="Calibri"/>
                <w:sz w:val="20"/>
                <w:szCs w:val="20"/>
                <w:lang w:val="en-AU"/>
              </w:rPr>
            </w:pPr>
            <w:r w:rsidRPr="00FA288E">
              <w:rPr>
                <w:rFonts w:eastAsia="Calibri" w:cs="Calibri"/>
                <w:sz w:val="20"/>
                <w:szCs w:val="20"/>
                <w:lang w:val="en-AU"/>
              </w:rPr>
              <w:t>(through policy influence)</w:t>
            </w:r>
          </w:p>
        </w:tc>
        <w:tc>
          <w:tcPr>
            <w:tcW w:w="3918" w:type="pct"/>
            <w:vAlign w:val="center"/>
          </w:tcPr>
          <w:p w14:paraId="12E3BC9E" w14:textId="77777777" w:rsidR="00616A73" w:rsidRPr="00FA288E" w:rsidRDefault="00616A73" w:rsidP="00AC247A">
            <w:pPr>
              <w:spacing w:before="60" w:after="60" w:line="216" w:lineRule="auto"/>
              <w:rPr>
                <w:rFonts w:eastAsia="Calibri" w:cs="Calibri"/>
                <w:sz w:val="20"/>
                <w:szCs w:val="20"/>
                <w:lang w:val="en-AU"/>
              </w:rPr>
            </w:pPr>
            <w:r w:rsidRPr="00FA288E">
              <w:rPr>
                <w:rFonts w:eastAsia="Calibri" w:cs="Calibri"/>
                <w:sz w:val="20"/>
                <w:szCs w:val="20"/>
                <w:lang w:val="en-AU"/>
              </w:rPr>
              <w:t xml:space="preserve">KRQ 2. To what extent have the grant approaches been successful in directly or indirectly influencing GoPNG policies? </w:t>
            </w:r>
          </w:p>
          <w:p w14:paraId="45C7B9E9" w14:textId="77777777" w:rsidR="00616A73" w:rsidRPr="00FA288E" w:rsidRDefault="00616A73" w:rsidP="00AC247A">
            <w:pPr>
              <w:pStyle w:val="ListParagraph"/>
              <w:numPr>
                <w:ilvl w:val="0"/>
                <w:numId w:val="15"/>
              </w:numPr>
              <w:spacing w:before="60" w:after="60" w:line="216" w:lineRule="auto"/>
              <w:ind w:left="316" w:hanging="270"/>
              <w:rPr>
                <w:rFonts w:ascii="Calibri" w:eastAsia="Calibri" w:hAnsi="Calibri" w:cs="Calibri"/>
                <w:sz w:val="20"/>
                <w:szCs w:val="20"/>
                <w:lang w:val="en-AU"/>
              </w:rPr>
            </w:pPr>
            <w:r w:rsidRPr="00FA288E">
              <w:rPr>
                <w:rFonts w:ascii="Calibri" w:eastAsia="Calibri" w:hAnsi="Calibri" w:cs="Calibri"/>
                <w:sz w:val="20"/>
                <w:szCs w:val="20"/>
                <w:lang w:val="en-AU"/>
              </w:rPr>
              <w:t>To what extent are the programs aligned to existing PNG policies e.g. Standards Based Curriculum etc.?</w:t>
            </w:r>
          </w:p>
          <w:p w14:paraId="1A34088C" w14:textId="77777777" w:rsidR="00616A73" w:rsidRPr="00FA288E" w:rsidRDefault="00616A73" w:rsidP="00AC247A">
            <w:pPr>
              <w:pStyle w:val="ListParagraph"/>
              <w:numPr>
                <w:ilvl w:val="0"/>
                <w:numId w:val="15"/>
              </w:numPr>
              <w:spacing w:before="60" w:after="60" w:line="216" w:lineRule="auto"/>
              <w:ind w:left="316" w:hanging="270"/>
              <w:rPr>
                <w:rFonts w:ascii="Calibri" w:eastAsia="Calibri" w:hAnsi="Calibri" w:cs="Calibri"/>
                <w:sz w:val="20"/>
                <w:szCs w:val="20"/>
                <w:lang w:val="en-AU"/>
              </w:rPr>
            </w:pPr>
            <w:r w:rsidRPr="00FA288E">
              <w:rPr>
                <w:rFonts w:ascii="Calibri" w:eastAsia="Calibri" w:hAnsi="Calibri" w:cs="Calibri"/>
                <w:sz w:val="20"/>
                <w:szCs w:val="20"/>
                <w:lang w:val="en-AU"/>
              </w:rPr>
              <w:t>To what extent and how have the programs been able to build relationships and influence policy at district, province or national levels?</w:t>
            </w:r>
          </w:p>
          <w:p w14:paraId="5938A1B9" w14:textId="77777777" w:rsidR="00616A73" w:rsidRPr="00FA288E" w:rsidRDefault="00616A73" w:rsidP="00AC247A">
            <w:pPr>
              <w:pStyle w:val="ListParagraph"/>
              <w:numPr>
                <w:ilvl w:val="0"/>
                <w:numId w:val="15"/>
              </w:numPr>
              <w:spacing w:before="60" w:after="60" w:line="216" w:lineRule="auto"/>
              <w:ind w:left="316" w:hanging="270"/>
              <w:rPr>
                <w:rFonts w:ascii="Calibri" w:eastAsia="Calibri" w:hAnsi="Calibri" w:cs="Calibri"/>
                <w:sz w:val="20"/>
                <w:szCs w:val="20"/>
                <w:lang w:val="en-AU"/>
              </w:rPr>
            </w:pPr>
            <w:r w:rsidRPr="00FA288E">
              <w:rPr>
                <w:rFonts w:ascii="Calibri" w:eastAsia="Calibri" w:hAnsi="Calibri" w:cs="Calibri"/>
                <w:sz w:val="20"/>
                <w:szCs w:val="20"/>
                <w:lang w:val="en-AU"/>
              </w:rPr>
              <w:t xml:space="preserve">Which approaches to influencing policy have been most successful/promising? </w:t>
            </w:r>
          </w:p>
        </w:tc>
      </w:tr>
      <w:tr w:rsidR="00616A73" w:rsidRPr="00FA288E" w14:paraId="2E34E06C" w14:textId="77777777" w:rsidTr="00AC247A">
        <w:trPr>
          <w:trHeight w:val="364"/>
        </w:trPr>
        <w:tc>
          <w:tcPr>
            <w:tcW w:w="1082" w:type="pct"/>
            <w:shd w:val="clear" w:color="auto" w:fill="262626" w:themeFill="text1" w:themeFillTint="D9"/>
            <w:vAlign w:val="center"/>
          </w:tcPr>
          <w:p w14:paraId="7C38F3C6" w14:textId="77777777" w:rsidR="00616A73" w:rsidRPr="00FA288E" w:rsidRDefault="00616A73" w:rsidP="00AC247A">
            <w:pPr>
              <w:spacing w:before="60" w:after="60" w:line="216" w:lineRule="auto"/>
              <w:jc w:val="center"/>
              <w:rPr>
                <w:rFonts w:eastAsia="Calibri" w:cs="Calibri"/>
                <w:sz w:val="20"/>
                <w:szCs w:val="20"/>
                <w:lang w:val="en-AU"/>
              </w:rPr>
            </w:pPr>
            <w:r w:rsidRPr="00FA288E">
              <w:rPr>
                <w:rFonts w:eastAsia="Calibri" w:cs="Calibri"/>
                <w:sz w:val="20"/>
                <w:szCs w:val="20"/>
                <w:lang w:val="en-AU"/>
              </w:rPr>
              <w:t>Monitoring and Evaluation</w:t>
            </w:r>
          </w:p>
        </w:tc>
        <w:tc>
          <w:tcPr>
            <w:tcW w:w="3918" w:type="pct"/>
            <w:shd w:val="clear" w:color="auto" w:fill="auto"/>
            <w:vAlign w:val="center"/>
          </w:tcPr>
          <w:p w14:paraId="2FECFA2D" w14:textId="77777777" w:rsidR="00616A73" w:rsidRPr="00FA288E" w:rsidRDefault="00616A73" w:rsidP="00AC247A">
            <w:pPr>
              <w:spacing w:before="60" w:after="60" w:line="216" w:lineRule="auto"/>
              <w:rPr>
                <w:rFonts w:eastAsia="Calibri" w:cs="Calibri"/>
                <w:sz w:val="20"/>
                <w:szCs w:val="20"/>
                <w:lang w:val="en-AU"/>
              </w:rPr>
            </w:pPr>
            <w:r w:rsidRPr="00FA288E">
              <w:rPr>
                <w:rFonts w:eastAsia="Calibri" w:cs="Calibri"/>
                <w:sz w:val="20"/>
                <w:szCs w:val="20"/>
                <w:lang w:val="en-AU"/>
              </w:rPr>
              <w:t>KRQ 3. To what extent are the grant’s monitoring and evaluation systems adequately measuring implementation progress towards outcomes, and supporting reporting and learning?</w:t>
            </w:r>
          </w:p>
          <w:p w14:paraId="314664F1" w14:textId="77777777" w:rsidR="00616A73" w:rsidRPr="00FA288E" w:rsidRDefault="00616A73" w:rsidP="00AC247A">
            <w:pPr>
              <w:pStyle w:val="ListParagraph"/>
              <w:numPr>
                <w:ilvl w:val="0"/>
                <w:numId w:val="16"/>
              </w:numPr>
              <w:spacing w:before="60" w:after="60" w:line="216" w:lineRule="auto"/>
              <w:ind w:left="316" w:hanging="270"/>
              <w:rPr>
                <w:rFonts w:ascii="Calibri" w:eastAsia="Calibri" w:hAnsi="Calibri" w:cs="Calibri"/>
                <w:sz w:val="20"/>
                <w:szCs w:val="20"/>
                <w:lang w:val="en-AU"/>
              </w:rPr>
            </w:pPr>
            <w:r w:rsidRPr="00FA288E">
              <w:rPr>
                <w:rFonts w:ascii="Calibri" w:eastAsia="Calibri" w:hAnsi="Calibri" w:cs="Calibri"/>
                <w:sz w:val="20"/>
                <w:szCs w:val="20"/>
                <w:lang w:val="en-AU"/>
              </w:rPr>
              <w:t>Are the current program logics sufficiently robust to lead to achievement of end-of-program outcomes, and to what extent is there coherence between approaches?</w:t>
            </w:r>
          </w:p>
          <w:p w14:paraId="749B4E29" w14:textId="77777777" w:rsidR="00616A73" w:rsidRPr="00FA288E" w:rsidRDefault="00616A73" w:rsidP="00AC247A">
            <w:pPr>
              <w:pStyle w:val="ListParagraph"/>
              <w:numPr>
                <w:ilvl w:val="0"/>
                <w:numId w:val="16"/>
              </w:numPr>
              <w:spacing w:before="60" w:after="60" w:line="216" w:lineRule="auto"/>
              <w:ind w:left="316" w:hanging="270"/>
              <w:rPr>
                <w:rFonts w:ascii="Calibri" w:eastAsia="Calibri" w:hAnsi="Calibri" w:cs="Calibri"/>
                <w:sz w:val="20"/>
                <w:szCs w:val="20"/>
                <w:lang w:val="en-AU"/>
              </w:rPr>
            </w:pPr>
            <w:r w:rsidRPr="00FA288E">
              <w:rPr>
                <w:rFonts w:ascii="Calibri" w:eastAsia="Calibri" w:hAnsi="Calibri" w:cs="Calibri"/>
                <w:sz w:val="20"/>
                <w:szCs w:val="20"/>
                <w:lang w:val="en-AU"/>
              </w:rPr>
              <w:t>Are the data and the assessment tools for monitoring teacher and student progress and other relevant outcomes sufficiently inclusive and effective?</w:t>
            </w:r>
          </w:p>
          <w:p w14:paraId="05126838" w14:textId="77777777" w:rsidR="00616A73" w:rsidRPr="00FA288E" w:rsidRDefault="00616A73" w:rsidP="00AC247A">
            <w:pPr>
              <w:pStyle w:val="ListParagraph"/>
              <w:numPr>
                <w:ilvl w:val="0"/>
                <w:numId w:val="16"/>
              </w:numPr>
              <w:spacing w:before="60" w:after="60" w:line="216" w:lineRule="auto"/>
              <w:ind w:left="316" w:hanging="270"/>
              <w:rPr>
                <w:rFonts w:ascii="Calibri" w:eastAsia="Calibri" w:hAnsi="Calibri" w:cs="Calibri"/>
                <w:sz w:val="20"/>
                <w:szCs w:val="20"/>
                <w:lang w:val="en-AU"/>
              </w:rPr>
            </w:pPr>
            <w:r w:rsidRPr="00FA288E">
              <w:rPr>
                <w:rFonts w:ascii="Calibri" w:eastAsia="Calibri" w:hAnsi="Calibri" w:cs="Calibri"/>
                <w:sz w:val="20"/>
                <w:szCs w:val="20"/>
                <w:lang w:val="en-AU"/>
              </w:rPr>
              <w:t>To what extent is reporting meeting the information and /or learning needs of grantees, GoPNG and the Australian Government?</w:t>
            </w:r>
          </w:p>
        </w:tc>
      </w:tr>
      <w:tr w:rsidR="00616A73" w:rsidRPr="00FA288E" w14:paraId="1D9A64DD" w14:textId="77777777" w:rsidTr="00AC247A">
        <w:trPr>
          <w:trHeight w:val="364"/>
        </w:trPr>
        <w:tc>
          <w:tcPr>
            <w:tcW w:w="1082" w:type="pct"/>
            <w:shd w:val="clear" w:color="auto" w:fill="262626" w:themeFill="text1" w:themeFillTint="D9"/>
            <w:vAlign w:val="center"/>
          </w:tcPr>
          <w:p w14:paraId="3D924BED" w14:textId="77777777" w:rsidR="00616A73" w:rsidRPr="00FA288E" w:rsidRDefault="00616A73" w:rsidP="00AC247A">
            <w:pPr>
              <w:spacing w:before="60" w:after="60" w:line="216" w:lineRule="auto"/>
              <w:jc w:val="center"/>
              <w:rPr>
                <w:rFonts w:eastAsia="Calibri" w:cs="Calibri"/>
                <w:sz w:val="20"/>
                <w:szCs w:val="20"/>
                <w:lang w:val="en-AU"/>
              </w:rPr>
            </w:pPr>
            <w:r w:rsidRPr="00FA288E">
              <w:rPr>
                <w:rFonts w:eastAsia="Calibri" w:cs="Calibri"/>
                <w:sz w:val="20"/>
                <w:szCs w:val="20"/>
                <w:lang w:val="en-AU"/>
              </w:rPr>
              <w:t>Efficiency</w:t>
            </w:r>
          </w:p>
        </w:tc>
        <w:tc>
          <w:tcPr>
            <w:tcW w:w="3918" w:type="pct"/>
            <w:shd w:val="clear" w:color="auto" w:fill="auto"/>
            <w:vAlign w:val="center"/>
          </w:tcPr>
          <w:p w14:paraId="3077A1E2" w14:textId="77777777" w:rsidR="00616A73" w:rsidRPr="00FA288E" w:rsidRDefault="00616A73" w:rsidP="00AC247A">
            <w:pPr>
              <w:spacing w:before="60" w:after="60" w:line="216" w:lineRule="auto"/>
              <w:rPr>
                <w:rFonts w:eastAsia="Calibri" w:cs="Calibri"/>
                <w:sz w:val="20"/>
                <w:szCs w:val="20"/>
                <w:lang w:val="en-AU"/>
              </w:rPr>
            </w:pPr>
            <w:r w:rsidRPr="00FA288E">
              <w:rPr>
                <w:rFonts w:eastAsia="Calibri" w:cs="Calibri"/>
                <w:sz w:val="20"/>
                <w:szCs w:val="20"/>
                <w:lang w:val="en-AU"/>
              </w:rPr>
              <w:t xml:space="preserve">KRQ 4. To what extent are the grant projects being implemented efficiently? </w:t>
            </w:r>
          </w:p>
          <w:p w14:paraId="788A2C52" w14:textId="77777777" w:rsidR="00616A73" w:rsidRPr="00FA288E" w:rsidRDefault="00616A73" w:rsidP="00AC247A">
            <w:pPr>
              <w:pStyle w:val="ListParagraph"/>
              <w:numPr>
                <w:ilvl w:val="0"/>
                <w:numId w:val="17"/>
              </w:numPr>
              <w:spacing w:before="60" w:after="60" w:line="216" w:lineRule="auto"/>
              <w:ind w:left="316" w:hanging="270"/>
              <w:rPr>
                <w:rFonts w:ascii="Calibri" w:eastAsia="Calibri" w:hAnsi="Calibri" w:cs="Calibri"/>
                <w:sz w:val="20"/>
                <w:szCs w:val="20"/>
                <w:lang w:val="en-AU"/>
              </w:rPr>
            </w:pPr>
            <w:r w:rsidRPr="00FA288E">
              <w:rPr>
                <w:rFonts w:ascii="Calibri" w:eastAsia="Calibri" w:hAnsi="Calibri" w:cs="Calibri"/>
                <w:sz w:val="20"/>
                <w:szCs w:val="20"/>
                <w:lang w:val="en-AU"/>
              </w:rPr>
              <w:t xml:space="preserve">To what extent are the projects being implemented on </w:t>
            </w:r>
            <w:r w:rsidRPr="00FA288E">
              <w:rPr>
                <w:rFonts w:ascii="Calibri" w:eastAsia="Calibri" w:hAnsi="Calibri" w:cs="Calibri"/>
                <w:iCs/>
                <w:sz w:val="20"/>
                <w:szCs w:val="20"/>
                <w:lang w:val="en-AU"/>
              </w:rPr>
              <w:t>time</w:t>
            </w:r>
            <w:r w:rsidRPr="00FA288E">
              <w:rPr>
                <w:rFonts w:ascii="Calibri" w:eastAsia="Calibri" w:hAnsi="Calibri" w:cs="Calibri"/>
                <w:sz w:val="20"/>
                <w:szCs w:val="20"/>
                <w:lang w:val="en-AU"/>
              </w:rPr>
              <w:t xml:space="preserve"> and in a cost-efficient way</w:t>
            </w:r>
          </w:p>
          <w:p w14:paraId="67D34218" w14:textId="77777777" w:rsidR="00616A73" w:rsidRPr="00FA288E" w:rsidRDefault="00616A73" w:rsidP="00AC247A">
            <w:pPr>
              <w:pStyle w:val="ListParagraph"/>
              <w:numPr>
                <w:ilvl w:val="0"/>
                <w:numId w:val="17"/>
              </w:numPr>
              <w:spacing w:before="60" w:after="60" w:line="216" w:lineRule="auto"/>
              <w:ind w:left="316" w:hanging="270"/>
              <w:rPr>
                <w:rFonts w:ascii="Calibri" w:eastAsia="Calibri" w:hAnsi="Calibri" w:cs="Calibri"/>
                <w:sz w:val="20"/>
                <w:szCs w:val="20"/>
                <w:lang w:val="en-AU"/>
              </w:rPr>
            </w:pPr>
            <w:r w:rsidRPr="00FA288E">
              <w:rPr>
                <w:rFonts w:ascii="Calibri" w:eastAsia="Calibri" w:hAnsi="Calibri" w:cs="Calibri"/>
                <w:sz w:val="20"/>
                <w:szCs w:val="20"/>
                <w:lang w:val="en-AU"/>
              </w:rPr>
              <w:t>Has implementation of the consortia model resulted in specific efficiencies, e.g. communications, creation and sharing of resources?</w:t>
            </w:r>
          </w:p>
          <w:p w14:paraId="2E9B79BF" w14:textId="77777777" w:rsidR="00616A73" w:rsidRPr="00FA288E" w:rsidRDefault="00616A73" w:rsidP="00AC247A">
            <w:pPr>
              <w:pStyle w:val="ListParagraph"/>
              <w:numPr>
                <w:ilvl w:val="0"/>
                <w:numId w:val="17"/>
              </w:numPr>
              <w:spacing w:before="60" w:after="60" w:line="216" w:lineRule="auto"/>
              <w:ind w:left="316" w:hanging="270"/>
              <w:rPr>
                <w:rFonts w:ascii="Calibri" w:eastAsia="Calibri" w:hAnsi="Calibri" w:cs="Calibri"/>
                <w:sz w:val="20"/>
                <w:szCs w:val="20"/>
                <w:lang w:val="en-AU"/>
              </w:rPr>
            </w:pPr>
            <w:r w:rsidRPr="00FA288E">
              <w:rPr>
                <w:rFonts w:ascii="Calibri" w:eastAsia="Calibri" w:hAnsi="Calibri" w:cs="Calibri"/>
                <w:sz w:val="20"/>
                <w:szCs w:val="20"/>
                <w:lang w:val="en-AU"/>
              </w:rPr>
              <w:t>Are there significant variations in the cost efficiencies of the grant outcomes?</w:t>
            </w:r>
          </w:p>
        </w:tc>
      </w:tr>
      <w:tr w:rsidR="00616A73" w:rsidRPr="00FA288E" w14:paraId="2FF7AEC7" w14:textId="77777777" w:rsidTr="00AC247A">
        <w:trPr>
          <w:trHeight w:val="364"/>
        </w:trPr>
        <w:tc>
          <w:tcPr>
            <w:tcW w:w="1082" w:type="pct"/>
            <w:shd w:val="clear" w:color="auto" w:fill="262626" w:themeFill="text1" w:themeFillTint="D9"/>
            <w:vAlign w:val="center"/>
          </w:tcPr>
          <w:p w14:paraId="471C28E8" w14:textId="77777777" w:rsidR="00616A73" w:rsidRPr="00FA288E" w:rsidRDefault="00616A73" w:rsidP="00AC247A">
            <w:pPr>
              <w:spacing w:before="60" w:after="60" w:line="216" w:lineRule="auto"/>
              <w:jc w:val="center"/>
              <w:rPr>
                <w:rFonts w:eastAsia="Calibri" w:cs="Calibri"/>
                <w:sz w:val="20"/>
                <w:szCs w:val="20"/>
                <w:lang w:val="en-AU"/>
              </w:rPr>
            </w:pPr>
            <w:r w:rsidRPr="00FA288E">
              <w:rPr>
                <w:rFonts w:eastAsia="Calibri" w:cs="Calibri"/>
                <w:sz w:val="20"/>
                <w:szCs w:val="20"/>
                <w:lang w:val="en-AU"/>
              </w:rPr>
              <w:t>Sustainability</w:t>
            </w:r>
          </w:p>
        </w:tc>
        <w:tc>
          <w:tcPr>
            <w:tcW w:w="3918" w:type="pct"/>
            <w:shd w:val="clear" w:color="auto" w:fill="auto"/>
            <w:vAlign w:val="center"/>
          </w:tcPr>
          <w:p w14:paraId="1E5A3615" w14:textId="77777777" w:rsidR="00616A73" w:rsidRPr="00FA288E" w:rsidRDefault="00616A73" w:rsidP="00AC247A">
            <w:pPr>
              <w:spacing w:before="60" w:after="60" w:line="216" w:lineRule="auto"/>
              <w:rPr>
                <w:rFonts w:eastAsia="Calibri" w:cs="Calibri"/>
                <w:sz w:val="20"/>
                <w:szCs w:val="20"/>
                <w:lang w:val="en-AU"/>
              </w:rPr>
            </w:pPr>
            <w:r w:rsidRPr="00FA288E">
              <w:rPr>
                <w:rFonts w:eastAsia="Calibri" w:cs="Calibri"/>
                <w:sz w:val="20"/>
                <w:szCs w:val="20"/>
                <w:lang w:val="en-AU"/>
              </w:rPr>
              <w:t>KRQ 5. To what extent have the approaches and practices advocated by the grants been institutionalised / are likely to be sustainable?</w:t>
            </w:r>
          </w:p>
          <w:p w14:paraId="05D98964" w14:textId="77777777" w:rsidR="00616A73" w:rsidRPr="00FA288E" w:rsidRDefault="00616A73" w:rsidP="00AC247A">
            <w:pPr>
              <w:pStyle w:val="ListParagraph"/>
              <w:numPr>
                <w:ilvl w:val="0"/>
                <w:numId w:val="18"/>
              </w:numPr>
              <w:spacing w:before="60" w:after="60" w:line="216" w:lineRule="auto"/>
              <w:ind w:left="316" w:hanging="270"/>
              <w:rPr>
                <w:rFonts w:ascii="Calibri" w:eastAsia="Calibri" w:hAnsi="Calibri" w:cs="Calibri"/>
                <w:iCs/>
                <w:sz w:val="20"/>
                <w:szCs w:val="20"/>
                <w:lang w:val="en-AU"/>
              </w:rPr>
            </w:pPr>
            <w:r w:rsidRPr="00FA288E">
              <w:rPr>
                <w:rFonts w:ascii="Calibri" w:eastAsia="Calibri" w:hAnsi="Calibri" w:cs="Calibri"/>
                <w:iCs/>
                <w:sz w:val="20"/>
                <w:szCs w:val="20"/>
                <w:lang w:val="en-AU"/>
              </w:rPr>
              <w:t xml:space="preserve">How </w:t>
            </w:r>
            <w:r w:rsidRPr="00FA288E">
              <w:rPr>
                <w:rFonts w:ascii="Calibri" w:eastAsia="Calibri" w:hAnsi="Calibri" w:cs="Calibri"/>
                <w:sz w:val="20"/>
                <w:szCs w:val="20"/>
                <w:lang w:val="en-AU"/>
              </w:rPr>
              <w:t>have</w:t>
            </w:r>
            <w:r w:rsidRPr="00FA288E">
              <w:rPr>
                <w:rFonts w:ascii="Calibri" w:eastAsia="Calibri" w:hAnsi="Calibri" w:cs="Calibri"/>
                <w:iCs/>
                <w:sz w:val="20"/>
                <w:szCs w:val="20"/>
                <w:lang w:val="en-AU"/>
              </w:rPr>
              <w:t xml:space="preserve"> financing and sustainability considerations driven the grant’s implementation choices (with a view of replication)?</w:t>
            </w:r>
          </w:p>
          <w:p w14:paraId="057878EE" w14:textId="77777777" w:rsidR="00616A73" w:rsidRPr="00FA288E" w:rsidRDefault="00616A73" w:rsidP="00AC247A">
            <w:pPr>
              <w:pStyle w:val="ListParagraph"/>
              <w:numPr>
                <w:ilvl w:val="0"/>
                <w:numId w:val="18"/>
              </w:numPr>
              <w:spacing w:before="60" w:after="60" w:line="216" w:lineRule="auto"/>
              <w:ind w:left="316" w:hanging="270"/>
              <w:rPr>
                <w:rFonts w:ascii="Calibri" w:eastAsia="Calibri" w:hAnsi="Calibri" w:cs="Calibri"/>
                <w:iCs/>
                <w:sz w:val="20"/>
                <w:szCs w:val="20"/>
                <w:lang w:val="en-AU"/>
              </w:rPr>
            </w:pPr>
            <w:r w:rsidRPr="00FA288E">
              <w:rPr>
                <w:rFonts w:ascii="Calibri" w:eastAsia="Calibri" w:hAnsi="Calibri" w:cs="Calibri"/>
                <w:sz w:val="20"/>
                <w:szCs w:val="20"/>
                <w:lang w:val="en-AU"/>
              </w:rPr>
              <w:t>To what extent have the grants been successful in institutionalising approaches and practices (school/education systems and bureaucracy)?</w:t>
            </w:r>
          </w:p>
          <w:p w14:paraId="79C3ED64" w14:textId="77777777" w:rsidR="00616A73" w:rsidRPr="00FA288E" w:rsidRDefault="00616A73" w:rsidP="00AC247A">
            <w:pPr>
              <w:pStyle w:val="ListParagraph"/>
              <w:numPr>
                <w:ilvl w:val="0"/>
                <w:numId w:val="18"/>
              </w:numPr>
              <w:spacing w:before="60" w:after="60" w:line="216" w:lineRule="auto"/>
              <w:ind w:left="316" w:hanging="270"/>
              <w:rPr>
                <w:rFonts w:ascii="Calibri" w:eastAsia="Calibri" w:hAnsi="Calibri" w:cs="Calibri"/>
                <w:iCs/>
                <w:sz w:val="20"/>
                <w:szCs w:val="20"/>
                <w:lang w:val="en-AU"/>
              </w:rPr>
            </w:pPr>
            <w:r w:rsidRPr="00FA288E">
              <w:rPr>
                <w:rFonts w:ascii="Calibri" w:eastAsia="Calibri" w:hAnsi="Calibri" w:cs="Calibri"/>
                <w:sz w:val="20"/>
                <w:szCs w:val="20"/>
                <w:lang w:val="en-AU"/>
              </w:rPr>
              <w:t>Is there evidence of securing ongoing support and/or resourcing?</w:t>
            </w:r>
          </w:p>
          <w:p w14:paraId="6C77189A" w14:textId="77777777" w:rsidR="00616A73" w:rsidRPr="00FA288E" w:rsidRDefault="00616A73" w:rsidP="00AC247A">
            <w:pPr>
              <w:pStyle w:val="ListParagraph"/>
              <w:numPr>
                <w:ilvl w:val="0"/>
                <w:numId w:val="18"/>
              </w:numPr>
              <w:spacing w:before="60" w:after="60" w:line="216" w:lineRule="auto"/>
              <w:ind w:left="316" w:hanging="270"/>
              <w:rPr>
                <w:rFonts w:ascii="Calibri" w:eastAsia="Calibri" w:hAnsi="Calibri" w:cs="Calibri"/>
                <w:iCs/>
                <w:sz w:val="20"/>
                <w:szCs w:val="20"/>
                <w:lang w:val="en-AU"/>
              </w:rPr>
            </w:pPr>
            <w:r w:rsidRPr="00FA288E">
              <w:rPr>
                <w:rFonts w:ascii="Calibri" w:eastAsia="Calibri" w:hAnsi="Calibri" w:cs="Calibri"/>
                <w:sz w:val="20"/>
                <w:szCs w:val="20"/>
                <w:lang w:val="en-AU"/>
              </w:rPr>
              <w:t xml:space="preserve">Has the grant model adequately promoted the </w:t>
            </w:r>
            <w:proofErr w:type="spellStart"/>
            <w:r w:rsidRPr="00FA288E">
              <w:rPr>
                <w:rFonts w:ascii="Calibri" w:eastAsia="Calibri" w:hAnsi="Calibri" w:cs="Calibri"/>
                <w:sz w:val="20"/>
                <w:szCs w:val="20"/>
                <w:lang w:val="en-AU"/>
              </w:rPr>
              <w:t>PNGAus</w:t>
            </w:r>
            <w:proofErr w:type="spellEnd"/>
            <w:r w:rsidRPr="00FA288E">
              <w:rPr>
                <w:rFonts w:ascii="Calibri" w:eastAsia="Calibri" w:hAnsi="Calibri" w:cs="Calibri"/>
                <w:sz w:val="20"/>
                <w:szCs w:val="20"/>
                <w:lang w:val="en-AU"/>
              </w:rPr>
              <w:t xml:space="preserve"> Partnership and branding?</w:t>
            </w:r>
          </w:p>
        </w:tc>
      </w:tr>
      <w:tr w:rsidR="00616A73" w:rsidRPr="00FA288E" w14:paraId="797676CC" w14:textId="77777777" w:rsidTr="00AC247A">
        <w:trPr>
          <w:trHeight w:val="364"/>
        </w:trPr>
        <w:tc>
          <w:tcPr>
            <w:tcW w:w="1082" w:type="pct"/>
            <w:shd w:val="clear" w:color="auto" w:fill="262626" w:themeFill="text1" w:themeFillTint="D9"/>
            <w:vAlign w:val="center"/>
          </w:tcPr>
          <w:p w14:paraId="4BF8D23F" w14:textId="0874011F" w:rsidR="00616A73" w:rsidRPr="00FA288E" w:rsidRDefault="00616A73" w:rsidP="00AC247A">
            <w:pPr>
              <w:spacing w:before="60" w:after="60" w:line="216" w:lineRule="auto"/>
              <w:jc w:val="center"/>
              <w:rPr>
                <w:rFonts w:eastAsia="Calibri" w:cs="Calibri"/>
                <w:sz w:val="20"/>
                <w:szCs w:val="20"/>
                <w:lang w:val="en-AU"/>
              </w:rPr>
            </w:pPr>
            <w:r w:rsidRPr="00FA288E">
              <w:rPr>
                <w:rFonts w:eastAsia="Calibri" w:cs="Calibri"/>
                <w:sz w:val="20"/>
                <w:szCs w:val="20"/>
                <w:lang w:val="en-AU"/>
              </w:rPr>
              <w:t>Model/strategy</w:t>
            </w:r>
          </w:p>
        </w:tc>
        <w:tc>
          <w:tcPr>
            <w:tcW w:w="3918" w:type="pct"/>
            <w:shd w:val="clear" w:color="auto" w:fill="auto"/>
            <w:vAlign w:val="center"/>
          </w:tcPr>
          <w:p w14:paraId="23A69F71" w14:textId="77777777" w:rsidR="00616A73" w:rsidRPr="00FA288E" w:rsidRDefault="00616A73" w:rsidP="00AC247A">
            <w:pPr>
              <w:spacing w:before="60" w:after="60" w:line="216" w:lineRule="auto"/>
              <w:rPr>
                <w:rFonts w:eastAsia="Calibri" w:cs="Calibri"/>
                <w:sz w:val="20"/>
                <w:szCs w:val="20"/>
                <w:lang w:val="en-AU"/>
              </w:rPr>
            </w:pPr>
            <w:r w:rsidRPr="00FA288E">
              <w:rPr>
                <w:rFonts w:eastAsia="Calibri" w:cs="Calibri"/>
                <w:sz w:val="20"/>
                <w:szCs w:val="20"/>
                <w:lang w:val="en-AU"/>
              </w:rPr>
              <w:t>KRQ 6. What implementation lessons from the PPF grants can contribute to future DFAT programming in foundational education in PNG?</w:t>
            </w:r>
          </w:p>
          <w:p w14:paraId="4A3F82C0" w14:textId="77777777" w:rsidR="00616A73" w:rsidRPr="00FA288E" w:rsidRDefault="00616A73" w:rsidP="00AC247A">
            <w:pPr>
              <w:pStyle w:val="ListParagraph"/>
              <w:numPr>
                <w:ilvl w:val="0"/>
                <w:numId w:val="19"/>
              </w:numPr>
              <w:spacing w:before="60" w:after="60" w:line="216" w:lineRule="auto"/>
              <w:ind w:left="316" w:hanging="270"/>
              <w:rPr>
                <w:rFonts w:ascii="Calibri" w:eastAsia="Calibri" w:hAnsi="Calibri" w:cs="Calibri"/>
                <w:iCs/>
                <w:sz w:val="20"/>
                <w:szCs w:val="20"/>
                <w:lang w:val="en-AU"/>
              </w:rPr>
            </w:pPr>
            <w:r w:rsidRPr="00FA288E">
              <w:rPr>
                <w:rFonts w:ascii="Calibri" w:eastAsia="Calibri" w:hAnsi="Calibri" w:cs="Calibri"/>
                <w:iCs/>
                <w:sz w:val="20"/>
                <w:szCs w:val="20"/>
                <w:lang w:val="en-AU"/>
              </w:rPr>
              <w:t>What approaches, or types of approach, are particularly successful or not successful and why?</w:t>
            </w:r>
          </w:p>
          <w:p w14:paraId="0187CB48" w14:textId="77777777" w:rsidR="00616A73" w:rsidRPr="00FA288E" w:rsidRDefault="00616A73" w:rsidP="00AC247A">
            <w:pPr>
              <w:pStyle w:val="ListParagraph"/>
              <w:numPr>
                <w:ilvl w:val="0"/>
                <w:numId w:val="19"/>
              </w:numPr>
              <w:spacing w:before="60" w:after="60" w:line="216" w:lineRule="auto"/>
              <w:ind w:left="316" w:hanging="270"/>
              <w:rPr>
                <w:rFonts w:ascii="Calibri" w:eastAsia="Calibri" w:hAnsi="Calibri" w:cs="Calibri"/>
                <w:iCs/>
                <w:sz w:val="20"/>
                <w:szCs w:val="20"/>
                <w:lang w:val="en-AU"/>
              </w:rPr>
            </w:pPr>
            <w:r w:rsidRPr="00FA288E">
              <w:rPr>
                <w:rFonts w:ascii="Calibri" w:eastAsia="Calibri" w:hAnsi="Calibri" w:cs="Calibri"/>
                <w:iCs/>
                <w:sz w:val="20"/>
                <w:szCs w:val="20"/>
                <w:lang w:val="en-AU"/>
              </w:rPr>
              <w:t>How could the approaches that are successful, or which have good potential, be adjusted, adapted or replicated during an extension under PPF to increase their overall effectiveness, considering especially:</w:t>
            </w:r>
          </w:p>
          <w:p w14:paraId="518E403A" w14:textId="77777777" w:rsidR="00616A73" w:rsidRPr="00FA288E" w:rsidRDefault="00616A73" w:rsidP="00AC247A">
            <w:pPr>
              <w:pStyle w:val="ListParagraph"/>
              <w:numPr>
                <w:ilvl w:val="0"/>
                <w:numId w:val="13"/>
              </w:numPr>
              <w:spacing w:before="60" w:after="60" w:line="216" w:lineRule="auto"/>
              <w:rPr>
                <w:rFonts w:ascii="Calibri" w:eastAsia="Calibri" w:hAnsi="Calibri" w:cs="Calibri"/>
                <w:iCs/>
                <w:sz w:val="20"/>
                <w:szCs w:val="20"/>
                <w:lang w:val="en-AU"/>
              </w:rPr>
            </w:pPr>
            <w:r w:rsidRPr="00FA288E">
              <w:rPr>
                <w:rFonts w:ascii="Calibri" w:eastAsia="Calibri" w:hAnsi="Calibri" w:cs="Calibri"/>
                <w:iCs/>
                <w:sz w:val="20"/>
                <w:szCs w:val="20"/>
                <w:lang w:val="en-AU"/>
              </w:rPr>
              <w:t>Teaching and learning at the school level</w:t>
            </w:r>
          </w:p>
          <w:p w14:paraId="5942DE51" w14:textId="77777777" w:rsidR="00616A73" w:rsidRPr="00FA288E" w:rsidRDefault="00616A73" w:rsidP="00AC247A">
            <w:pPr>
              <w:pStyle w:val="ListParagraph"/>
              <w:numPr>
                <w:ilvl w:val="0"/>
                <w:numId w:val="13"/>
              </w:numPr>
              <w:spacing w:before="60" w:after="60" w:line="216" w:lineRule="auto"/>
              <w:rPr>
                <w:rFonts w:ascii="Calibri" w:eastAsia="Calibri" w:hAnsi="Calibri" w:cs="Calibri"/>
                <w:iCs/>
                <w:sz w:val="20"/>
                <w:szCs w:val="20"/>
                <w:lang w:val="en-AU"/>
              </w:rPr>
            </w:pPr>
            <w:r w:rsidRPr="00FA288E">
              <w:rPr>
                <w:rFonts w:ascii="Calibri" w:eastAsia="Calibri" w:hAnsi="Calibri" w:cs="Calibri"/>
                <w:iCs/>
                <w:sz w:val="20"/>
                <w:szCs w:val="20"/>
                <w:lang w:val="en-AU"/>
              </w:rPr>
              <w:t>E-learning approaches</w:t>
            </w:r>
          </w:p>
          <w:p w14:paraId="7557A848" w14:textId="77777777" w:rsidR="00616A73" w:rsidRPr="00FA288E" w:rsidRDefault="00616A73" w:rsidP="00AC247A">
            <w:pPr>
              <w:pStyle w:val="ListParagraph"/>
              <w:numPr>
                <w:ilvl w:val="0"/>
                <w:numId w:val="13"/>
              </w:numPr>
              <w:spacing w:before="60" w:after="60" w:line="216" w:lineRule="auto"/>
              <w:rPr>
                <w:rFonts w:ascii="Calibri" w:eastAsia="Calibri" w:hAnsi="Calibri" w:cs="Calibri"/>
                <w:iCs/>
                <w:sz w:val="20"/>
                <w:szCs w:val="20"/>
                <w:lang w:val="en-AU"/>
              </w:rPr>
            </w:pPr>
            <w:r w:rsidRPr="00FA288E">
              <w:rPr>
                <w:rFonts w:ascii="Calibri" w:eastAsia="Calibri" w:hAnsi="Calibri" w:cs="Calibri"/>
                <w:iCs/>
                <w:sz w:val="20"/>
                <w:szCs w:val="20"/>
                <w:lang w:val="en-AU"/>
              </w:rPr>
              <w:t>Strategies to institutionalise change and promote sustainability/ scalability</w:t>
            </w:r>
          </w:p>
          <w:p w14:paraId="3EDFD0B6" w14:textId="77777777" w:rsidR="00616A73" w:rsidRPr="00FA288E" w:rsidRDefault="00616A73" w:rsidP="00AC247A">
            <w:pPr>
              <w:pStyle w:val="ListParagraph"/>
              <w:numPr>
                <w:ilvl w:val="0"/>
                <w:numId w:val="13"/>
              </w:numPr>
              <w:spacing w:before="60" w:after="60" w:line="216" w:lineRule="auto"/>
              <w:rPr>
                <w:rFonts w:ascii="Calibri" w:eastAsia="Calibri" w:hAnsi="Calibri" w:cs="Calibri"/>
                <w:iCs/>
                <w:sz w:val="20"/>
                <w:szCs w:val="20"/>
                <w:lang w:val="en-AU"/>
              </w:rPr>
            </w:pPr>
            <w:r w:rsidRPr="00FA288E">
              <w:rPr>
                <w:rFonts w:ascii="Calibri" w:eastAsia="Calibri" w:hAnsi="Calibri" w:cs="Calibri"/>
                <w:iCs/>
                <w:sz w:val="20"/>
                <w:szCs w:val="20"/>
                <w:lang w:val="en-AU"/>
              </w:rPr>
              <w:lastRenderedPageBreak/>
              <w:t>Strategies for GoPNG engagement and / or policy influence</w:t>
            </w:r>
          </w:p>
          <w:p w14:paraId="2B56A804" w14:textId="77777777" w:rsidR="00616A73" w:rsidRPr="00FA288E" w:rsidRDefault="00616A73" w:rsidP="00AC247A">
            <w:pPr>
              <w:pStyle w:val="ListParagraph"/>
              <w:numPr>
                <w:ilvl w:val="0"/>
                <w:numId w:val="13"/>
              </w:numPr>
              <w:spacing w:before="60" w:after="60" w:line="216" w:lineRule="auto"/>
              <w:rPr>
                <w:rFonts w:ascii="Calibri" w:eastAsia="Calibri" w:hAnsi="Calibri" w:cs="Calibri"/>
                <w:iCs/>
                <w:sz w:val="20"/>
                <w:szCs w:val="20"/>
                <w:lang w:val="en-AU"/>
              </w:rPr>
            </w:pPr>
            <w:r w:rsidRPr="00FA288E">
              <w:rPr>
                <w:rFonts w:ascii="Calibri" w:eastAsia="Calibri" w:hAnsi="Calibri" w:cs="Calibri"/>
                <w:iCs/>
                <w:sz w:val="20"/>
                <w:szCs w:val="20"/>
                <w:lang w:val="en-AU"/>
              </w:rPr>
              <w:t>Modifications to M&amp;E indicators/outcomes (including for gender and disability)</w:t>
            </w:r>
          </w:p>
          <w:p w14:paraId="36786963" w14:textId="77777777" w:rsidR="00616A73" w:rsidRPr="00FA288E" w:rsidRDefault="00616A73" w:rsidP="00AC247A">
            <w:pPr>
              <w:pStyle w:val="ListParagraph"/>
              <w:numPr>
                <w:ilvl w:val="0"/>
                <w:numId w:val="13"/>
              </w:numPr>
              <w:spacing w:before="60" w:after="60" w:line="216" w:lineRule="auto"/>
              <w:rPr>
                <w:rFonts w:ascii="Calibri" w:eastAsia="Calibri" w:hAnsi="Calibri" w:cs="Calibri"/>
                <w:iCs/>
                <w:sz w:val="20"/>
                <w:szCs w:val="20"/>
                <w:lang w:val="en-AU"/>
              </w:rPr>
            </w:pPr>
            <w:r w:rsidRPr="00FA288E">
              <w:rPr>
                <w:rFonts w:ascii="Calibri" w:eastAsia="Calibri" w:hAnsi="Calibri" w:cs="Calibri"/>
                <w:iCs/>
                <w:sz w:val="20"/>
                <w:szCs w:val="20"/>
                <w:lang w:val="en-AU"/>
              </w:rPr>
              <w:t>A possible shared M&amp;E Framework/indicators across consortia</w:t>
            </w:r>
          </w:p>
          <w:p w14:paraId="446FBCD4" w14:textId="77777777" w:rsidR="00616A73" w:rsidRPr="00FA288E" w:rsidRDefault="00616A73" w:rsidP="00AC247A">
            <w:pPr>
              <w:pStyle w:val="ListParagraph"/>
              <w:numPr>
                <w:ilvl w:val="0"/>
                <w:numId w:val="13"/>
              </w:numPr>
              <w:spacing w:before="60" w:after="60" w:line="216" w:lineRule="auto"/>
              <w:rPr>
                <w:rFonts w:ascii="Calibri" w:eastAsia="Calibri" w:hAnsi="Calibri" w:cs="Calibri"/>
                <w:iCs/>
                <w:sz w:val="20"/>
                <w:szCs w:val="20"/>
                <w:lang w:val="en-AU"/>
              </w:rPr>
            </w:pPr>
            <w:r w:rsidRPr="00FA288E">
              <w:rPr>
                <w:rFonts w:ascii="Calibri" w:eastAsia="Calibri" w:hAnsi="Calibri" w:cs="Calibri"/>
                <w:iCs/>
                <w:sz w:val="20"/>
                <w:szCs w:val="20"/>
                <w:lang w:val="en-AU"/>
              </w:rPr>
              <w:t xml:space="preserve">Effective communications and branding of the </w:t>
            </w:r>
            <w:proofErr w:type="spellStart"/>
            <w:r w:rsidRPr="00FA288E">
              <w:rPr>
                <w:rFonts w:ascii="Calibri" w:eastAsia="Calibri" w:hAnsi="Calibri" w:cs="Calibri"/>
                <w:iCs/>
                <w:sz w:val="20"/>
                <w:szCs w:val="20"/>
                <w:lang w:val="en-AU"/>
              </w:rPr>
              <w:t>PNGAus</w:t>
            </w:r>
            <w:proofErr w:type="spellEnd"/>
            <w:r w:rsidRPr="00FA288E">
              <w:rPr>
                <w:rFonts w:ascii="Calibri" w:eastAsia="Calibri" w:hAnsi="Calibri" w:cs="Calibri"/>
                <w:iCs/>
                <w:sz w:val="20"/>
                <w:szCs w:val="20"/>
                <w:lang w:val="en-AU"/>
              </w:rPr>
              <w:t xml:space="preserve"> Partnership</w:t>
            </w:r>
          </w:p>
          <w:p w14:paraId="0DABDDE5" w14:textId="77777777" w:rsidR="00616A73" w:rsidRPr="00FA288E" w:rsidRDefault="00616A73" w:rsidP="00AC247A">
            <w:pPr>
              <w:pStyle w:val="ListParagraph"/>
              <w:numPr>
                <w:ilvl w:val="0"/>
                <w:numId w:val="19"/>
              </w:numPr>
              <w:spacing w:before="60" w:after="60" w:line="216" w:lineRule="auto"/>
              <w:ind w:left="316" w:hanging="270"/>
              <w:rPr>
                <w:rFonts w:ascii="Calibri" w:eastAsia="Calibri" w:hAnsi="Calibri" w:cs="Calibri"/>
                <w:iCs/>
                <w:sz w:val="20"/>
                <w:szCs w:val="20"/>
                <w:lang w:val="en-AU"/>
              </w:rPr>
            </w:pPr>
            <w:r w:rsidRPr="00FA288E">
              <w:rPr>
                <w:rFonts w:ascii="Calibri" w:eastAsia="Calibri" w:hAnsi="Calibri" w:cs="Calibri"/>
                <w:iCs/>
                <w:sz w:val="20"/>
                <w:szCs w:val="20"/>
                <w:lang w:val="en-AU"/>
              </w:rPr>
              <w:t>What are the relevant lessons for the E4P design? Lessons might include the following considerations:</w:t>
            </w:r>
          </w:p>
          <w:p w14:paraId="156C5B9B" w14:textId="77777777" w:rsidR="00616A73" w:rsidRPr="00FA288E" w:rsidRDefault="00616A73" w:rsidP="00AC247A">
            <w:pPr>
              <w:numPr>
                <w:ilvl w:val="0"/>
                <w:numId w:val="20"/>
              </w:numPr>
              <w:spacing w:before="60" w:after="60" w:line="216" w:lineRule="auto"/>
              <w:contextualSpacing/>
              <w:rPr>
                <w:rFonts w:eastAsia="Calibri" w:cs="Calibri"/>
                <w:iCs/>
                <w:sz w:val="20"/>
                <w:szCs w:val="20"/>
                <w:lang w:val="en-AU" w:eastAsia="ja-JP"/>
              </w:rPr>
            </w:pPr>
            <w:r w:rsidRPr="00FA288E">
              <w:rPr>
                <w:rFonts w:eastAsia="Calibri" w:cs="Calibri"/>
                <w:iCs/>
                <w:sz w:val="20"/>
                <w:szCs w:val="20"/>
                <w:lang w:val="en-AU" w:eastAsia="ja-JP"/>
              </w:rPr>
              <w:t>Improving or adapting current approaches to teaching and learning</w:t>
            </w:r>
            <w:r w:rsidRPr="00FA288E">
              <w:rPr>
                <w:rFonts w:eastAsia="Calibri" w:cs="Calibri"/>
                <w:iCs/>
                <w:sz w:val="20"/>
                <w:szCs w:val="20"/>
                <w:lang w:val="en-AU"/>
              </w:rPr>
              <w:t xml:space="preserve"> </w:t>
            </w:r>
          </w:p>
          <w:p w14:paraId="790312BC" w14:textId="77777777" w:rsidR="00616A73" w:rsidRPr="00FA288E" w:rsidRDefault="00616A73" w:rsidP="00AC247A">
            <w:pPr>
              <w:numPr>
                <w:ilvl w:val="0"/>
                <w:numId w:val="20"/>
              </w:numPr>
              <w:spacing w:before="60" w:after="60" w:line="216" w:lineRule="auto"/>
              <w:contextualSpacing/>
              <w:rPr>
                <w:rFonts w:eastAsia="Calibri" w:cs="Calibri"/>
                <w:iCs/>
                <w:sz w:val="20"/>
                <w:szCs w:val="20"/>
                <w:lang w:val="en-AU" w:eastAsia="ja-JP"/>
              </w:rPr>
            </w:pPr>
            <w:r w:rsidRPr="00FA288E">
              <w:rPr>
                <w:rFonts w:eastAsia="Calibri" w:cs="Calibri"/>
                <w:iCs/>
                <w:sz w:val="20"/>
                <w:szCs w:val="20"/>
                <w:lang w:val="en-AU"/>
              </w:rPr>
              <w:t xml:space="preserve">Facilitating GoPNG engagement and / or policy influence, </w:t>
            </w:r>
          </w:p>
          <w:p w14:paraId="05F2B6CE" w14:textId="77777777" w:rsidR="00616A73" w:rsidRPr="00FA288E" w:rsidRDefault="00616A73" w:rsidP="00AC247A">
            <w:pPr>
              <w:numPr>
                <w:ilvl w:val="0"/>
                <w:numId w:val="20"/>
              </w:numPr>
              <w:spacing w:before="60" w:after="60" w:line="216" w:lineRule="auto"/>
              <w:contextualSpacing/>
              <w:rPr>
                <w:rFonts w:eastAsia="Calibri" w:cs="Calibri"/>
                <w:iCs/>
                <w:sz w:val="20"/>
                <w:szCs w:val="20"/>
                <w:lang w:val="en-AU" w:eastAsia="ja-JP"/>
              </w:rPr>
            </w:pPr>
            <w:r w:rsidRPr="00FA288E">
              <w:rPr>
                <w:rFonts w:eastAsia="Calibri" w:cs="Calibri"/>
                <w:iCs/>
                <w:sz w:val="20"/>
                <w:szCs w:val="20"/>
                <w:lang w:val="en-AU"/>
              </w:rPr>
              <w:t>Enhancing sustainability of outcomes</w:t>
            </w:r>
          </w:p>
          <w:p w14:paraId="4B5B9DBB" w14:textId="77777777" w:rsidR="00616A73" w:rsidRPr="00FA288E" w:rsidRDefault="00616A73" w:rsidP="00AC247A">
            <w:pPr>
              <w:numPr>
                <w:ilvl w:val="0"/>
                <w:numId w:val="20"/>
              </w:numPr>
              <w:spacing w:before="60" w:after="60" w:line="216" w:lineRule="auto"/>
              <w:contextualSpacing/>
              <w:rPr>
                <w:rFonts w:eastAsia="Calibri" w:cs="Calibri"/>
                <w:iCs/>
                <w:sz w:val="20"/>
                <w:szCs w:val="20"/>
                <w:lang w:val="en-AU" w:eastAsia="ja-JP"/>
              </w:rPr>
            </w:pPr>
            <w:r w:rsidRPr="00FA288E">
              <w:rPr>
                <w:rFonts w:eastAsia="Calibri" w:cs="Calibri"/>
                <w:iCs/>
                <w:sz w:val="20"/>
                <w:szCs w:val="20"/>
                <w:lang w:val="en-AU" w:eastAsia="ja-JP"/>
              </w:rPr>
              <w:t>The relative merits of continuing the PPF grant mechanism as a separate funding stream beyond the proposed completion of the grants at the end of 2021, or novating PPF activities under E4D?</w:t>
            </w:r>
          </w:p>
          <w:p w14:paraId="14BEDECF" w14:textId="77777777" w:rsidR="00616A73" w:rsidRPr="00FA288E" w:rsidRDefault="00616A73" w:rsidP="00AC247A">
            <w:pPr>
              <w:pStyle w:val="ListParagraph"/>
              <w:numPr>
                <w:ilvl w:val="0"/>
                <w:numId w:val="19"/>
              </w:numPr>
              <w:spacing w:before="60" w:after="60" w:line="216" w:lineRule="auto"/>
              <w:ind w:left="316" w:hanging="270"/>
              <w:rPr>
                <w:rFonts w:ascii="Calibri" w:eastAsia="Calibri" w:hAnsi="Calibri" w:cs="Calibri"/>
                <w:sz w:val="20"/>
                <w:szCs w:val="20"/>
                <w:lang w:val="en-AU"/>
              </w:rPr>
            </w:pPr>
            <w:r w:rsidRPr="00FA288E">
              <w:rPr>
                <w:rFonts w:ascii="Calibri" w:eastAsia="Calibri" w:hAnsi="Calibri" w:cs="Calibri"/>
                <w:sz w:val="20"/>
                <w:szCs w:val="20"/>
                <w:lang w:val="en-AU"/>
              </w:rPr>
              <w:t xml:space="preserve">How has </w:t>
            </w:r>
            <w:r w:rsidRPr="00FA288E">
              <w:rPr>
                <w:rFonts w:ascii="Calibri" w:eastAsia="Calibri" w:hAnsi="Calibri" w:cs="Calibri"/>
                <w:iCs/>
                <w:sz w:val="20"/>
                <w:szCs w:val="20"/>
                <w:lang w:val="en-AU"/>
              </w:rPr>
              <w:t>innovation</w:t>
            </w:r>
            <w:r w:rsidRPr="00FA288E">
              <w:rPr>
                <w:rFonts w:ascii="Calibri" w:eastAsia="Calibri" w:hAnsi="Calibri" w:cs="Calibri"/>
                <w:sz w:val="20"/>
                <w:szCs w:val="20"/>
                <w:lang w:val="en-AU"/>
              </w:rPr>
              <w:t xml:space="preserve"> been applied in the grant approaches?  What has been successful or not successful, and why?</w:t>
            </w:r>
          </w:p>
        </w:tc>
      </w:tr>
    </w:tbl>
    <w:p w14:paraId="50B87AE0" w14:textId="77777777" w:rsidR="00D0036D" w:rsidRPr="00FA288E" w:rsidRDefault="00D0036D" w:rsidP="003419C6">
      <w:pPr>
        <w:pStyle w:val="Heading1"/>
        <w:numPr>
          <w:ilvl w:val="0"/>
          <w:numId w:val="0"/>
        </w:numPr>
        <w:rPr>
          <w:sz w:val="22"/>
          <w:szCs w:val="22"/>
        </w:rPr>
        <w:sectPr w:rsidR="00D0036D" w:rsidRPr="00FA288E" w:rsidSect="008E376C">
          <w:pgSz w:w="11906" w:h="16838"/>
          <w:pgMar w:top="1418" w:right="1009" w:bottom="1009" w:left="1151" w:header="720" w:footer="720" w:gutter="0"/>
          <w:cols w:space="720"/>
          <w:docGrid w:linePitch="360"/>
        </w:sectPr>
      </w:pPr>
    </w:p>
    <w:p w14:paraId="37DB8CBE" w14:textId="77777777" w:rsidR="00E81CC2" w:rsidRDefault="003C1678" w:rsidP="00E81CC2">
      <w:pPr>
        <w:pStyle w:val="Heading1"/>
        <w:numPr>
          <w:ilvl w:val="0"/>
          <w:numId w:val="0"/>
        </w:numPr>
      </w:pPr>
      <w:bookmarkStart w:id="118" w:name="_Annex_C:_Aide-Memoire"/>
      <w:bookmarkStart w:id="119" w:name="_Toc31625602"/>
      <w:bookmarkStart w:id="120" w:name="_Toc42075982"/>
      <w:bookmarkEnd w:id="118"/>
      <w:r w:rsidRPr="00FA288E">
        <w:lastRenderedPageBreak/>
        <w:t>Annex C: Aide-Memoire (25 November 2019)</w:t>
      </w:r>
      <w:bookmarkEnd w:id="119"/>
      <w:bookmarkEnd w:id="120"/>
    </w:p>
    <w:p w14:paraId="247E19C1" w14:textId="33A76507" w:rsidR="003C1678" w:rsidRPr="00FF62CC" w:rsidRDefault="003C1678" w:rsidP="00E81CC2">
      <w:pPr>
        <w:pStyle w:val="Heading1"/>
        <w:numPr>
          <w:ilvl w:val="0"/>
          <w:numId w:val="0"/>
        </w:numPr>
        <w:jc w:val="center"/>
        <w:rPr>
          <w:rFonts w:asciiTheme="minorHAnsi" w:hAnsiTheme="minorHAnsi" w:cstheme="minorHAnsi"/>
          <w:b/>
          <w:sz w:val="21"/>
          <w:szCs w:val="21"/>
        </w:rPr>
      </w:pPr>
      <w:r w:rsidRPr="00FF62CC">
        <w:rPr>
          <w:rFonts w:asciiTheme="minorHAnsi" w:hAnsiTheme="minorHAnsi" w:cstheme="minorHAnsi"/>
          <w:b/>
          <w:sz w:val="21"/>
          <w:szCs w:val="21"/>
        </w:rPr>
        <w:t>Draft Aide-Memoire</w:t>
      </w:r>
    </w:p>
    <w:p w14:paraId="14AECF1E" w14:textId="77777777" w:rsidR="003C1678" w:rsidRPr="00FF62CC" w:rsidRDefault="003C1678" w:rsidP="003C1678">
      <w:pPr>
        <w:jc w:val="center"/>
        <w:rPr>
          <w:rFonts w:asciiTheme="minorHAnsi" w:hAnsiTheme="minorHAnsi" w:cstheme="minorHAnsi"/>
          <w:b/>
          <w:szCs w:val="21"/>
        </w:rPr>
      </w:pPr>
      <w:r w:rsidRPr="00FF62CC">
        <w:rPr>
          <w:rFonts w:asciiTheme="minorHAnsi" w:hAnsiTheme="minorHAnsi" w:cstheme="minorHAnsi"/>
          <w:b/>
          <w:szCs w:val="21"/>
        </w:rPr>
        <w:t>Papua New Guinea –Partnership Fund (PPF)</w:t>
      </w:r>
    </w:p>
    <w:p w14:paraId="114C68C0" w14:textId="77777777" w:rsidR="003C1678" w:rsidRPr="00FF62CC" w:rsidRDefault="003C1678" w:rsidP="003C1678">
      <w:pPr>
        <w:jc w:val="center"/>
        <w:rPr>
          <w:rFonts w:asciiTheme="minorHAnsi" w:hAnsiTheme="minorHAnsi" w:cstheme="minorHAnsi"/>
          <w:b/>
          <w:szCs w:val="21"/>
        </w:rPr>
      </w:pPr>
      <w:r w:rsidRPr="00FF62CC">
        <w:rPr>
          <w:rFonts w:asciiTheme="minorHAnsi" w:hAnsiTheme="minorHAnsi" w:cstheme="minorHAnsi"/>
          <w:b/>
          <w:szCs w:val="21"/>
        </w:rPr>
        <w:t>Education Grants Review</w:t>
      </w:r>
    </w:p>
    <w:p w14:paraId="3B5B3FBA" w14:textId="77777777" w:rsidR="003C1678" w:rsidRPr="00FF62CC" w:rsidRDefault="003C1678" w:rsidP="003C1678">
      <w:pPr>
        <w:jc w:val="center"/>
        <w:rPr>
          <w:rFonts w:asciiTheme="minorHAnsi" w:hAnsiTheme="minorHAnsi" w:cstheme="minorHAnsi"/>
          <w:b/>
          <w:szCs w:val="21"/>
        </w:rPr>
      </w:pPr>
      <w:r w:rsidRPr="00FF62CC">
        <w:rPr>
          <w:rFonts w:asciiTheme="minorHAnsi" w:hAnsiTheme="minorHAnsi" w:cstheme="minorHAnsi"/>
          <w:b/>
          <w:szCs w:val="21"/>
        </w:rPr>
        <w:t>25 November 2019</w:t>
      </w:r>
    </w:p>
    <w:p w14:paraId="36A8A254" w14:textId="77777777" w:rsidR="003C1678" w:rsidRPr="00FF62CC" w:rsidRDefault="003C1678" w:rsidP="00FF62CC">
      <w:pPr>
        <w:pStyle w:val="ListParagraph"/>
        <w:numPr>
          <w:ilvl w:val="0"/>
          <w:numId w:val="69"/>
        </w:numPr>
        <w:spacing w:after="240"/>
        <w:rPr>
          <w:rFonts w:cstheme="minorHAnsi"/>
          <w:sz w:val="21"/>
          <w:szCs w:val="21"/>
          <w:lang w:val="en-AU"/>
        </w:rPr>
      </w:pPr>
      <w:r w:rsidRPr="00FF62CC">
        <w:rPr>
          <w:rFonts w:cstheme="minorHAnsi"/>
          <w:sz w:val="21"/>
          <w:szCs w:val="21"/>
          <w:lang w:val="en-AU"/>
        </w:rPr>
        <w:t xml:space="preserve">The Australia High Commission – Port Moresby (AHC) has requested the Human Development Monitoring and Evaluation Service (HDMES) to conduct an independent review of the Papua New Guinea - Partnership Fund (PPF) Education Grants. The review is intended to assess the effectiveness and efficiency of three education grants under the PPF. The objective of the education grants is to work with the Government of Papua New Guinea to improve literacy and numeracy in the early grades of education.  </w:t>
      </w:r>
    </w:p>
    <w:p w14:paraId="7E684F99" w14:textId="77777777" w:rsidR="003C1678" w:rsidRPr="00FF62CC" w:rsidRDefault="003C1678" w:rsidP="003C1678">
      <w:pPr>
        <w:pStyle w:val="ListParagraph"/>
        <w:spacing w:after="240"/>
        <w:rPr>
          <w:rFonts w:cstheme="minorHAnsi"/>
          <w:sz w:val="21"/>
          <w:szCs w:val="21"/>
          <w:lang w:val="en-AU"/>
        </w:rPr>
      </w:pPr>
    </w:p>
    <w:p w14:paraId="02C28DAF" w14:textId="77777777" w:rsidR="003C1678" w:rsidRPr="00FF62CC" w:rsidRDefault="003C1678" w:rsidP="00FF62CC">
      <w:pPr>
        <w:pStyle w:val="ListParagraph"/>
        <w:numPr>
          <w:ilvl w:val="0"/>
          <w:numId w:val="69"/>
        </w:numPr>
        <w:spacing w:after="240"/>
        <w:rPr>
          <w:rFonts w:cstheme="minorHAnsi"/>
          <w:sz w:val="21"/>
          <w:szCs w:val="21"/>
          <w:lang w:val="en-AU"/>
        </w:rPr>
      </w:pPr>
      <w:r w:rsidRPr="00FF62CC">
        <w:rPr>
          <w:rFonts w:cstheme="minorHAnsi"/>
          <w:sz w:val="21"/>
          <w:szCs w:val="21"/>
          <w:lang w:val="en-AU"/>
        </w:rPr>
        <w:t xml:space="preserve">In assessing effectiveness and efficiency, the review has examined the grants’ relevance, effectiveness, sustainability, monitoring and evaluation framework, gender equity and social inclusion. The review has two key purposes: </w:t>
      </w:r>
    </w:p>
    <w:p w14:paraId="7CC211AB" w14:textId="77777777" w:rsidR="003C1678" w:rsidRPr="00FF62CC" w:rsidRDefault="003C1678" w:rsidP="00FF62CC">
      <w:pPr>
        <w:pStyle w:val="CommentText"/>
        <w:numPr>
          <w:ilvl w:val="0"/>
          <w:numId w:val="70"/>
        </w:numPr>
        <w:spacing w:line="240" w:lineRule="auto"/>
        <w:rPr>
          <w:rFonts w:cstheme="minorHAnsi"/>
          <w:sz w:val="21"/>
          <w:szCs w:val="21"/>
        </w:rPr>
      </w:pPr>
      <w:r w:rsidRPr="00FF62CC">
        <w:rPr>
          <w:rFonts w:cstheme="minorHAnsi"/>
          <w:sz w:val="21"/>
          <w:szCs w:val="21"/>
        </w:rPr>
        <w:t xml:space="preserve">Identify potential actions that can be taken to improve the grants for a two-year extension (to the end 2021); and </w:t>
      </w:r>
    </w:p>
    <w:p w14:paraId="3C2CB593" w14:textId="77777777" w:rsidR="003C1678" w:rsidRPr="00FF62CC" w:rsidRDefault="003C1678" w:rsidP="00FF62CC">
      <w:pPr>
        <w:pStyle w:val="CommentText"/>
        <w:numPr>
          <w:ilvl w:val="0"/>
          <w:numId w:val="70"/>
        </w:numPr>
        <w:spacing w:after="0" w:line="240" w:lineRule="auto"/>
        <w:rPr>
          <w:rFonts w:cstheme="minorHAnsi"/>
          <w:sz w:val="21"/>
          <w:szCs w:val="21"/>
        </w:rPr>
      </w:pPr>
      <w:r w:rsidRPr="00FF62CC">
        <w:rPr>
          <w:rFonts w:cstheme="minorHAnsi"/>
          <w:sz w:val="21"/>
          <w:szCs w:val="21"/>
        </w:rPr>
        <w:t>Provide information and advice to inform the design of a future investment in foundational education in Papua New Guinea.</w:t>
      </w:r>
    </w:p>
    <w:p w14:paraId="1A3E9AE7" w14:textId="77777777" w:rsidR="003C1678" w:rsidRPr="00FF62CC" w:rsidRDefault="003C1678" w:rsidP="003C1678">
      <w:pPr>
        <w:pStyle w:val="ListParagraph"/>
        <w:spacing w:after="240"/>
        <w:rPr>
          <w:rFonts w:cstheme="minorHAnsi"/>
          <w:sz w:val="21"/>
          <w:szCs w:val="21"/>
          <w:lang w:val="en-AU"/>
        </w:rPr>
      </w:pPr>
    </w:p>
    <w:p w14:paraId="6EC942DE" w14:textId="77777777" w:rsidR="003C1678" w:rsidRPr="00FF62CC" w:rsidRDefault="003C1678" w:rsidP="00FF62CC">
      <w:pPr>
        <w:pStyle w:val="ListParagraph"/>
        <w:numPr>
          <w:ilvl w:val="0"/>
          <w:numId w:val="69"/>
        </w:numPr>
        <w:spacing w:after="240"/>
        <w:rPr>
          <w:rFonts w:cstheme="minorHAnsi"/>
          <w:sz w:val="21"/>
          <w:szCs w:val="21"/>
          <w:lang w:val="en-AU"/>
        </w:rPr>
      </w:pPr>
      <w:r w:rsidRPr="00FF62CC">
        <w:rPr>
          <w:rFonts w:cstheme="minorHAnsi"/>
          <w:sz w:val="21"/>
          <w:szCs w:val="21"/>
          <w:lang w:val="en-AU"/>
        </w:rPr>
        <w:t xml:space="preserve">The education grants are being implemented by three consortia – each led by an International Non-Government Organization (INGO):  </w:t>
      </w:r>
    </w:p>
    <w:p w14:paraId="3A172C45" w14:textId="77777777" w:rsidR="003C1678" w:rsidRPr="00FF62CC" w:rsidRDefault="003C1678" w:rsidP="00FF62CC">
      <w:pPr>
        <w:pStyle w:val="ListParagraph"/>
        <w:numPr>
          <w:ilvl w:val="1"/>
          <w:numId w:val="93"/>
        </w:numPr>
        <w:spacing w:after="240"/>
        <w:rPr>
          <w:rFonts w:cstheme="minorHAnsi"/>
          <w:sz w:val="21"/>
          <w:szCs w:val="21"/>
          <w:lang w:val="en-AU"/>
        </w:rPr>
      </w:pPr>
      <w:r w:rsidRPr="00FF62CC">
        <w:rPr>
          <w:rFonts w:cstheme="minorHAnsi"/>
          <w:sz w:val="21"/>
          <w:szCs w:val="21"/>
          <w:lang w:val="en-AU"/>
        </w:rPr>
        <w:t>Save the Children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leads the consortium (includes Callan Services for Persons with a Disability National Unit, and the Summer Institute of Linguistics) implementing the Rapidly Improving Standards in Education (RISE) project in selected districts in the provinces of East Sepik and Eastern Highlands and in the Autonomous Region of Bougainville.  </w:t>
      </w:r>
    </w:p>
    <w:p w14:paraId="260A2304" w14:textId="77777777" w:rsidR="003C1678" w:rsidRPr="00FF62CC" w:rsidRDefault="003C1678" w:rsidP="00FF62CC">
      <w:pPr>
        <w:pStyle w:val="ListParagraph"/>
        <w:numPr>
          <w:ilvl w:val="1"/>
          <w:numId w:val="93"/>
        </w:numPr>
        <w:spacing w:after="240"/>
        <w:rPr>
          <w:rFonts w:cstheme="minorHAnsi"/>
          <w:sz w:val="21"/>
          <w:szCs w:val="21"/>
          <w:lang w:val="en-AU"/>
        </w:rPr>
      </w:pPr>
      <w:r w:rsidRPr="00FF62CC">
        <w:rPr>
          <w:rFonts w:cstheme="minorHAnsi"/>
          <w:sz w:val="21"/>
          <w:szCs w:val="21"/>
          <w:lang w:val="en-AU"/>
        </w:rPr>
        <w:t xml:space="preserve">World Vision (WV) leads the consortium (includes the Consultative Implementation and Monitoring Council, University of Canberra, </w:t>
      </w:r>
      <w:proofErr w:type="spellStart"/>
      <w:r w:rsidRPr="00FF62CC">
        <w:rPr>
          <w:rFonts w:cstheme="minorHAnsi"/>
          <w:sz w:val="21"/>
          <w:szCs w:val="21"/>
          <w:lang w:val="en-AU"/>
        </w:rPr>
        <w:t>ChildFund</w:t>
      </w:r>
      <w:proofErr w:type="spellEnd"/>
      <w:r w:rsidRPr="00FF62CC">
        <w:rPr>
          <w:rFonts w:cstheme="minorHAnsi"/>
          <w:sz w:val="21"/>
          <w:szCs w:val="21"/>
          <w:lang w:val="en-AU"/>
        </w:rPr>
        <w:t xml:space="preserve"> and Library for All) implementing the Together for Education (T4E) project in selected districts in the provinces of Central, Madang and </w:t>
      </w:r>
      <w:proofErr w:type="spellStart"/>
      <w:r w:rsidRPr="00FF62CC">
        <w:rPr>
          <w:rFonts w:cstheme="minorHAnsi"/>
          <w:sz w:val="21"/>
          <w:szCs w:val="21"/>
          <w:lang w:val="en-AU"/>
        </w:rPr>
        <w:t>Morobe</w:t>
      </w:r>
      <w:proofErr w:type="spellEnd"/>
      <w:r w:rsidRPr="00FF62CC">
        <w:rPr>
          <w:rFonts w:cstheme="minorHAnsi"/>
          <w:sz w:val="21"/>
          <w:szCs w:val="21"/>
          <w:lang w:val="en-AU"/>
        </w:rPr>
        <w:t xml:space="preserve">. </w:t>
      </w:r>
    </w:p>
    <w:p w14:paraId="6DEE2306" w14:textId="77777777" w:rsidR="003C1678" w:rsidRPr="00FF62CC" w:rsidRDefault="003C1678" w:rsidP="00FF62CC">
      <w:pPr>
        <w:pStyle w:val="ListParagraph"/>
        <w:numPr>
          <w:ilvl w:val="1"/>
          <w:numId w:val="93"/>
        </w:numPr>
        <w:spacing w:after="240"/>
        <w:rPr>
          <w:rFonts w:cstheme="minorHAnsi"/>
          <w:sz w:val="21"/>
          <w:szCs w:val="21"/>
          <w:lang w:val="en-AU"/>
        </w:rPr>
      </w:pPr>
      <w:r w:rsidRPr="00FF62CC">
        <w:rPr>
          <w:rFonts w:cstheme="minorHAnsi"/>
          <w:sz w:val="21"/>
          <w:szCs w:val="21"/>
          <w:lang w:val="en-AU"/>
        </w:rPr>
        <w:t xml:space="preserve">CARE Australia (CARE) leads the consortium (includes Adventist Development and Relief Agency, University of Goroka, Queensland University of Technology and Church Education Agency) implementing the </w:t>
      </w:r>
      <w:proofErr w:type="spellStart"/>
      <w:r w:rsidRPr="00FF62CC">
        <w:rPr>
          <w:rFonts w:cstheme="minorHAnsi"/>
          <w:sz w:val="21"/>
          <w:szCs w:val="21"/>
          <w:lang w:val="en-AU"/>
        </w:rPr>
        <w:t>Pikinini</w:t>
      </w:r>
      <w:proofErr w:type="spellEnd"/>
      <w:r w:rsidRPr="00FF62CC">
        <w:rPr>
          <w:rFonts w:cstheme="minorHAnsi"/>
          <w:sz w:val="21"/>
          <w:szCs w:val="21"/>
          <w:lang w:val="en-AU"/>
        </w:rPr>
        <w:t xml:space="preserve"> </w:t>
      </w:r>
      <w:proofErr w:type="spellStart"/>
      <w:r w:rsidRPr="00FF62CC">
        <w:rPr>
          <w:rFonts w:cstheme="minorHAnsi"/>
          <w:sz w:val="21"/>
          <w:szCs w:val="21"/>
          <w:lang w:val="en-AU"/>
        </w:rPr>
        <w:t>Kisim</w:t>
      </w:r>
      <w:proofErr w:type="spellEnd"/>
      <w:r w:rsidRPr="00FF62CC">
        <w:rPr>
          <w:rFonts w:cstheme="minorHAnsi"/>
          <w:sz w:val="21"/>
          <w:szCs w:val="21"/>
          <w:lang w:val="en-AU"/>
        </w:rPr>
        <w:t xml:space="preserve"> Save (PKS) project in selected districts in the provinces of West New Britain, </w:t>
      </w:r>
      <w:proofErr w:type="spellStart"/>
      <w:r w:rsidRPr="00FF62CC">
        <w:rPr>
          <w:rFonts w:cstheme="minorHAnsi"/>
          <w:sz w:val="21"/>
          <w:szCs w:val="21"/>
          <w:lang w:val="en-AU"/>
        </w:rPr>
        <w:t>Simbu</w:t>
      </w:r>
      <w:proofErr w:type="spellEnd"/>
      <w:r w:rsidRPr="00FF62CC">
        <w:rPr>
          <w:rFonts w:cstheme="minorHAnsi"/>
          <w:sz w:val="21"/>
          <w:szCs w:val="21"/>
          <w:lang w:val="en-AU"/>
        </w:rPr>
        <w:t xml:space="preserve">, </w:t>
      </w:r>
      <w:proofErr w:type="spellStart"/>
      <w:r w:rsidRPr="00FF62CC">
        <w:rPr>
          <w:rFonts w:cstheme="minorHAnsi"/>
          <w:sz w:val="21"/>
          <w:szCs w:val="21"/>
          <w:lang w:val="en-AU"/>
        </w:rPr>
        <w:t>Jiwaka</w:t>
      </w:r>
      <w:proofErr w:type="spellEnd"/>
      <w:r w:rsidRPr="00FF62CC">
        <w:rPr>
          <w:rFonts w:cstheme="minorHAnsi"/>
          <w:sz w:val="21"/>
          <w:szCs w:val="21"/>
          <w:lang w:val="en-AU"/>
        </w:rPr>
        <w:t xml:space="preserve"> and Western Highlands. </w:t>
      </w:r>
    </w:p>
    <w:p w14:paraId="63C27D76" w14:textId="77777777" w:rsidR="003C1678" w:rsidRPr="00FF62CC" w:rsidRDefault="003C1678" w:rsidP="003C1678">
      <w:pPr>
        <w:spacing w:after="240"/>
        <w:ind w:left="810"/>
        <w:rPr>
          <w:rFonts w:asciiTheme="minorHAnsi" w:hAnsiTheme="minorHAnsi" w:cstheme="minorHAnsi"/>
          <w:szCs w:val="21"/>
        </w:rPr>
      </w:pPr>
      <w:r w:rsidRPr="00FF62CC">
        <w:rPr>
          <w:rFonts w:asciiTheme="minorHAnsi" w:hAnsiTheme="minorHAnsi" w:cstheme="minorHAnsi"/>
          <w:szCs w:val="21"/>
        </w:rPr>
        <w:t>In all, the education grants include 10 provinces, 31 Districts and more than 1,400 elementary schools (according to current targets).</w:t>
      </w:r>
    </w:p>
    <w:p w14:paraId="37540171" w14:textId="77777777" w:rsidR="003C1678" w:rsidRPr="00FF62CC" w:rsidRDefault="003C1678" w:rsidP="00FF62CC">
      <w:pPr>
        <w:pStyle w:val="ListParagraph"/>
        <w:numPr>
          <w:ilvl w:val="0"/>
          <w:numId w:val="69"/>
        </w:numPr>
        <w:spacing w:after="240"/>
        <w:rPr>
          <w:rFonts w:cstheme="minorHAnsi"/>
          <w:sz w:val="21"/>
          <w:szCs w:val="21"/>
          <w:lang w:val="en-AU"/>
        </w:rPr>
      </w:pPr>
      <w:r w:rsidRPr="00FF62CC">
        <w:rPr>
          <w:rFonts w:cstheme="minorHAnsi"/>
          <w:sz w:val="21"/>
          <w:szCs w:val="21"/>
          <w:lang w:val="en-AU"/>
        </w:rPr>
        <w:t xml:space="preserve">Management oversight, quality assurance and reporting coordination of the education grants is performed by the PPF Secretariat implemented by </w:t>
      </w:r>
      <w:proofErr w:type="spellStart"/>
      <w:r w:rsidRPr="00FF62CC">
        <w:rPr>
          <w:rFonts w:cstheme="minorHAnsi"/>
          <w:sz w:val="21"/>
          <w:szCs w:val="21"/>
          <w:lang w:val="en-AU"/>
        </w:rPr>
        <w:t>Abt</w:t>
      </w:r>
      <w:proofErr w:type="spellEnd"/>
      <w:r w:rsidRPr="00FF62CC">
        <w:rPr>
          <w:rFonts w:cstheme="minorHAnsi"/>
          <w:sz w:val="21"/>
          <w:szCs w:val="21"/>
          <w:lang w:val="en-AU"/>
        </w:rPr>
        <w:t xml:space="preserve"> Associates, an Australian Managing Contractor.</w:t>
      </w:r>
    </w:p>
    <w:p w14:paraId="2CC82345" w14:textId="77777777" w:rsidR="003C1678" w:rsidRPr="00FF62CC" w:rsidRDefault="003C1678" w:rsidP="003C1678">
      <w:pPr>
        <w:pStyle w:val="ListParagraph"/>
        <w:rPr>
          <w:rFonts w:cstheme="minorHAnsi"/>
          <w:sz w:val="21"/>
          <w:szCs w:val="21"/>
          <w:lang w:val="en-AU"/>
        </w:rPr>
      </w:pPr>
    </w:p>
    <w:p w14:paraId="14FDD208" w14:textId="77777777" w:rsidR="003C1678" w:rsidRPr="00FF62CC" w:rsidRDefault="003C1678" w:rsidP="00FF62CC">
      <w:pPr>
        <w:pStyle w:val="ListParagraph"/>
        <w:numPr>
          <w:ilvl w:val="0"/>
          <w:numId w:val="69"/>
        </w:numPr>
        <w:spacing w:after="240"/>
        <w:rPr>
          <w:rFonts w:cstheme="minorHAnsi"/>
          <w:sz w:val="21"/>
          <w:szCs w:val="21"/>
          <w:lang w:val="en-AU"/>
        </w:rPr>
      </w:pPr>
      <w:r w:rsidRPr="00FF62CC">
        <w:rPr>
          <w:rFonts w:cstheme="minorHAnsi"/>
          <w:sz w:val="21"/>
          <w:szCs w:val="21"/>
          <w:lang w:val="en-AU"/>
        </w:rPr>
        <w:t xml:space="preserve">The HDMES contracted Nelson Ireland (Education Specialist/Team Leader) and Helen Moriarty (Monitoring and Evaluation Specialist) to conduct the review between 21 October 2019 to 13 January 2020, including an in-country mission. </w:t>
      </w:r>
    </w:p>
    <w:p w14:paraId="686F26B7" w14:textId="77777777" w:rsidR="003C1678" w:rsidRPr="00FF62CC" w:rsidRDefault="003C1678" w:rsidP="003C1678">
      <w:pPr>
        <w:pStyle w:val="ListParagraph"/>
        <w:rPr>
          <w:rFonts w:cstheme="minorHAnsi"/>
          <w:sz w:val="21"/>
          <w:szCs w:val="21"/>
          <w:lang w:val="en-AU"/>
        </w:rPr>
      </w:pPr>
    </w:p>
    <w:p w14:paraId="0B2D21F6" w14:textId="77777777" w:rsidR="003C1678" w:rsidRPr="00FF62CC" w:rsidRDefault="003C1678" w:rsidP="00FF62CC">
      <w:pPr>
        <w:pStyle w:val="ListParagraph"/>
        <w:numPr>
          <w:ilvl w:val="0"/>
          <w:numId w:val="69"/>
        </w:numPr>
        <w:spacing w:after="240"/>
        <w:rPr>
          <w:rFonts w:cstheme="minorHAnsi"/>
          <w:sz w:val="21"/>
          <w:szCs w:val="21"/>
          <w:lang w:val="en-AU"/>
        </w:rPr>
      </w:pPr>
      <w:r w:rsidRPr="00FF62CC">
        <w:rPr>
          <w:rFonts w:cstheme="minorHAnsi"/>
          <w:sz w:val="21"/>
          <w:szCs w:val="21"/>
          <w:lang w:val="en-AU"/>
        </w:rPr>
        <w:t>Following a desk review of documents, an in-country mission was conducted during the period of 4-26 November 2019. Initial meetings and interviews with the AHC, the PNG National Department of Education (NDOE) and Department of National Planning and Monitoring (DNPM) were conducted to provide the review team with Australian government and PNG government perspectives regarding the context of and challenges for improving basic education in PNG, and the current scope and nature of Australian support.  A short roundtable discussion, prior to the conduct of field visits, was attended by representatives of the grant implementing agencies for the purposes of orienting the agencies on the scope of the review, and to initiate dialogue on implementation successes and challenges.</w:t>
      </w:r>
    </w:p>
    <w:p w14:paraId="5D7C87EC" w14:textId="77777777" w:rsidR="003C1678" w:rsidRPr="00FF62CC" w:rsidRDefault="003C1678" w:rsidP="003C1678">
      <w:pPr>
        <w:pStyle w:val="ListParagraph"/>
        <w:rPr>
          <w:rFonts w:cstheme="minorHAnsi"/>
          <w:sz w:val="21"/>
          <w:szCs w:val="21"/>
          <w:lang w:val="en-AU"/>
        </w:rPr>
      </w:pPr>
    </w:p>
    <w:p w14:paraId="0D77535C" w14:textId="77777777" w:rsidR="003C1678" w:rsidRPr="00FF62CC" w:rsidRDefault="003C1678" w:rsidP="00FF62CC">
      <w:pPr>
        <w:pStyle w:val="ListParagraph"/>
        <w:numPr>
          <w:ilvl w:val="0"/>
          <w:numId w:val="69"/>
        </w:numPr>
        <w:spacing w:after="240"/>
        <w:rPr>
          <w:rFonts w:cstheme="minorHAnsi"/>
          <w:sz w:val="21"/>
          <w:szCs w:val="21"/>
          <w:lang w:val="en-AU"/>
        </w:rPr>
      </w:pPr>
      <w:r w:rsidRPr="00FF62CC">
        <w:rPr>
          <w:rFonts w:cstheme="minorHAnsi"/>
          <w:sz w:val="21"/>
          <w:szCs w:val="21"/>
          <w:lang w:val="en-AU"/>
        </w:rPr>
        <w:t xml:space="preserve">Field visits, conducted between 11 – 20 November 2019 to the provinces of Wewak, Central and Western Highlands were undertaken.  Due to the limited time, only one district was visited in Central Province, (a school in the </w:t>
      </w:r>
      <w:proofErr w:type="spellStart"/>
      <w:r w:rsidRPr="00FF62CC">
        <w:rPr>
          <w:rFonts w:cstheme="minorHAnsi"/>
          <w:sz w:val="21"/>
          <w:szCs w:val="21"/>
          <w:lang w:val="en-AU"/>
        </w:rPr>
        <w:t>Rigo</w:t>
      </w:r>
      <w:proofErr w:type="spellEnd"/>
      <w:r w:rsidRPr="00FF62CC">
        <w:rPr>
          <w:rFonts w:cstheme="minorHAnsi"/>
          <w:sz w:val="21"/>
          <w:szCs w:val="21"/>
          <w:lang w:val="en-AU"/>
        </w:rPr>
        <w:t xml:space="preserve"> District) and in Western Highlands, schools in the </w:t>
      </w:r>
      <w:proofErr w:type="spellStart"/>
      <w:r w:rsidRPr="00FF62CC">
        <w:rPr>
          <w:rFonts w:cstheme="minorHAnsi"/>
          <w:sz w:val="21"/>
          <w:szCs w:val="21"/>
          <w:lang w:val="en-AU"/>
        </w:rPr>
        <w:t>Tambul</w:t>
      </w:r>
      <w:proofErr w:type="spellEnd"/>
      <w:r w:rsidRPr="00FF62CC">
        <w:rPr>
          <w:rFonts w:cstheme="minorHAnsi"/>
          <w:sz w:val="21"/>
          <w:szCs w:val="21"/>
          <w:lang w:val="en-AU"/>
        </w:rPr>
        <w:t xml:space="preserve"> </w:t>
      </w:r>
      <w:proofErr w:type="spellStart"/>
      <w:r w:rsidRPr="00FF62CC">
        <w:rPr>
          <w:rFonts w:cstheme="minorHAnsi"/>
          <w:sz w:val="21"/>
          <w:szCs w:val="21"/>
          <w:lang w:val="en-AU"/>
        </w:rPr>
        <w:t>Nabilyer</w:t>
      </w:r>
      <w:proofErr w:type="spellEnd"/>
      <w:r w:rsidRPr="00FF62CC">
        <w:rPr>
          <w:rFonts w:cstheme="minorHAnsi"/>
          <w:sz w:val="21"/>
          <w:szCs w:val="21"/>
          <w:lang w:val="en-AU"/>
        </w:rPr>
        <w:t xml:space="preserve"> District. For Wewak Province, schools were visited in two districts - </w:t>
      </w:r>
      <w:proofErr w:type="spellStart"/>
      <w:r w:rsidRPr="00FF62CC">
        <w:rPr>
          <w:rFonts w:cstheme="minorHAnsi"/>
          <w:sz w:val="21"/>
          <w:szCs w:val="21"/>
          <w:lang w:val="en-AU"/>
        </w:rPr>
        <w:t>Yangorrou</w:t>
      </w:r>
      <w:proofErr w:type="spellEnd"/>
      <w:r w:rsidRPr="00FF62CC">
        <w:rPr>
          <w:rFonts w:cstheme="minorHAnsi"/>
          <w:sz w:val="21"/>
          <w:szCs w:val="21"/>
          <w:lang w:val="en-AU"/>
        </w:rPr>
        <w:t xml:space="preserve"> </w:t>
      </w:r>
      <w:proofErr w:type="spellStart"/>
      <w:r w:rsidRPr="00FF62CC">
        <w:rPr>
          <w:rFonts w:cstheme="minorHAnsi"/>
          <w:sz w:val="21"/>
          <w:szCs w:val="21"/>
          <w:lang w:val="en-AU"/>
        </w:rPr>
        <w:t>Sausia</w:t>
      </w:r>
      <w:proofErr w:type="spellEnd"/>
      <w:r w:rsidRPr="00FF62CC">
        <w:rPr>
          <w:rFonts w:cstheme="minorHAnsi"/>
          <w:sz w:val="21"/>
          <w:szCs w:val="21"/>
          <w:lang w:val="en-AU"/>
        </w:rPr>
        <w:t xml:space="preserve"> and Wewak. </w:t>
      </w:r>
    </w:p>
    <w:p w14:paraId="35C5B61B" w14:textId="77777777" w:rsidR="003C1678" w:rsidRPr="00FF62CC" w:rsidRDefault="003C1678" w:rsidP="003C1678">
      <w:pPr>
        <w:pStyle w:val="ListParagraph"/>
        <w:rPr>
          <w:rFonts w:cstheme="minorHAnsi"/>
          <w:sz w:val="21"/>
          <w:szCs w:val="21"/>
          <w:lang w:val="en-AU"/>
        </w:rPr>
      </w:pPr>
    </w:p>
    <w:p w14:paraId="7CE800CC" w14:textId="03D578F2" w:rsidR="003C1678" w:rsidRPr="00FF62CC" w:rsidRDefault="003C1678" w:rsidP="00FF62CC">
      <w:pPr>
        <w:pStyle w:val="ListParagraph"/>
        <w:numPr>
          <w:ilvl w:val="0"/>
          <w:numId w:val="69"/>
        </w:numPr>
        <w:spacing w:after="240"/>
        <w:rPr>
          <w:rFonts w:cstheme="minorHAnsi"/>
          <w:sz w:val="21"/>
          <w:szCs w:val="21"/>
          <w:lang w:val="en-AU"/>
        </w:rPr>
      </w:pPr>
      <w:r w:rsidRPr="00FF62CC">
        <w:rPr>
          <w:rFonts w:cstheme="minorHAnsi"/>
          <w:sz w:val="21"/>
          <w:szCs w:val="21"/>
          <w:lang w:val="en-AU"/>
        </w:rPr>
        <w:t xml:space="preserve">The review team was accompanied during the field visits by Mr. Peter </w:t>
      </w:r>
      <w:proofErr w:type="spellStart"/>
      <w:r w:rsidRPr="00FF62CC">
        <w:rPr>
          <w:rFonts w:cstheme="minorHAnsi"/>
          <w:sz w:val="21"/>
          <w:szCs w:val="21"/>
          <w:lang w:val="en-AU"/>
        </w:rPr>
        <w:t>Kants</w:t>
      </w:r>
      <w:proofErr w:type="spellEnd"/>
      <w:r w:rsidRPr="00FF62CC">
        <w:rPr>
          <w:rFonts w:cstheme="minorHAnsi"/>
          <w:sz w:val="21"/>
          <w:szCs w:val="21"/>
          <w:lang w:val="en-AU"/>
        </w:rPr>
        <w:t xml:space="preserve">, First Assistant Secretary – Research and Planning NDOE during the Western Highlands schedule; Mr. James Ruru, Principal Aid Coordinator, DNPM during the Wewak and Central Province schedule; and Mr. </w:t>
      </w:r>
      <w:proofErr w:type="spellStart"/>
      <w:r w:rsidRPr="00FF62CC">
        <w:rPr>
          <w:rFonts w:cstheme="minorHAnsi"/>
          <w:sz w:val="21"/>
          <w:szCs w:val="21"/>
          <w:lang w:val="en-AU"/>
        </w:rPr>
        <w:t>Gima</w:t>
      </w:r>
      <w:proofErr w:type="spellEnd"/>
      <w:r w:rsidRPr="00FF62CC">
        <w:rPr>
          <w:rFonts w:cstheme="minorHAnsi"/>
          <w:sz w:val="21"/>
          <w:szCs w:val="21"/>
          <w:lang w:val="en-AU"/>
        </w:rPr>
        <w:t xml:space="preserve"> Kana, Senior Program Monitoring Officer – General Education, DNPM during the Western Highlands schedule.  Ms. Delilah Konaka, Assistant Program Manager, Education and Leadership </w:t>
      </w:r>
      <w:r w:rsidR="00F2213E" w:rsidRPr="00FF62CC">
        <w:rPr>
          <w:rFonts w:cstheme="minorHAnsi"/>
          <w:sz w:val="21"/>
          <w:szCs w:val="21"/>
          <w:lang w:val="en-AU"/>
        </w:rPr>
        <w:t>Section</w:t>
      </w:r>
      <w:r w:rsidRPr="00FF62CC">
        <w:rPr>
          <w:rFonts w:cstheme="minorHAnsi"/>
          <w:sz w:val="21"/>
          <w:szCs w:val="21"/>
          <w:lang w:val="en-AU"/>
        </w:rPr>
        <w:t>, AHC accompanied the review team during all field visits and interviews conducted in Port Moresby.  Ms. Myra Harrison, Education Specialist – Foundations, Education Capacity Development Facility (ECDF) joined the review team during the Central Province and Western Highlands schedule.</w:t>
      </w:r>
    </w:p>
    <w:p w14:paraId="6B738DE3" w14:textId="77777777" w:rsidR="003C1678" w:rsidRPr="00FF62CC" w:rsidRDefault="003C1678" w:rsidP="003C1678">
      <w:pPr>
        <w:pStyle w:val="ListParagraph"/>
        <w:spacing w:after="240"/>
        <w:rPr>
          <w:rFonts w:cstheme="minorHAnsi"/>
          <w:sz w:val="21"/>
          <w:szCs w:val="21"/>
          <w:lang w:val="en-AU"/>
        </w:rPr>
      </w:pPr>
    </w:p>
    <w:p w14:paraId="4B17405D" w14:textId="77777777" w:rsidR="003C1678" w:rsidRPr="00FF62CC" w:rsidRDefault="003C1678" w:rsidP="00FF62CC">
      <w:pPr>
        <w:pStyle w:val="ListParagraph"/>
        <w:numPr>
          <w:ilvl w:val="0"/>
          <w:numId w:val="69"/>
        </w:numPr>
        <w:spacing w:after="240"/>
        <w:rPr>
          <w:rFonts w:cstheme="minorHAnsi"/>
          <w:sz w:val="21"/>
          <w:szCs w:val="21"/>
          <w:lang w:val="en-AU"/>
        </w:rPr>
      </w:pPr>
      <w:r w:rsidRPr="00FF62CC">
        <w:rPr>
          <w:rFonts w:cstheme="minorHAnsi"/>
          <w:sz w:val="21"/>
          <w:szCs w:val="21"/>
          <w:lang w:val="en-AU"/>
        </w:rPr>
        <w:t>Over the course of the in-country review mission, the team conducted Key Informant Interviews (KIIs) and Focussed Group Discussions (FGDs) with over 160 individuals. The KIIs and FGDs did not include children, although classroom observations of teaching practice were conducted in all 10 schools visited. A list of individuals and agencies interviewed will be provided as an annex to the final review report. Interview participants included: officials of the NDOE at the national, provincial and district levels; school Boards of Management (</w:t>
      </w:r>
      <w:proofErr w:type="spellStart"/>
      <w:r w:rsidRPr="00FF62CC">
        <w:rPr>
          <w:rFonts w:cstheme="minorHAnsi"/>
          <w:sz w:val="21"/>
          <w:szCs w:val="21"/>
          <w:lang w:val="en-AU"/>
        </w:rPr>
        <w:t>SBoM</w:t>
      </w:r>
      <w:proofErr w:type="spellEnd"/>
      <w:r w:rsidRPr="00FF62CC">
        <w:rPr>
          <w:rFonts w:cstheme="minorHAnsi"/>
          <w:sz w:val="21"/>
          <w:szCs w:val="21"/>
          <w:lang w:val="en-AU"/>
        </w:rPr>
        <w:t>); Teachers-in-charge (TICs)/Head Teachers (HT); teachers, parents and community members, as well as officials of the AHC; the PPF Secretariat overseeing and managing the grants; a UNICEF representative; consultants supporting the Education Capacity Development Fund (ECDF); and the management and staff associated with the three consortia implementing the grants.  The review team appreciates the honest and transparent sharing of information and perspectives from all those who engaged as part of the review mission.</w:t>
      </w:r>
    </w:p>
    <w:p w14:paraId="560D1636" w14:textId="77777777" w:rsidR="003C1678" w:rsidRPr="00FF62CC" w:rsidRDefault="003C1678" w:rsidP="003C1678">
      <w:pPr>
        <w:pStyle w:val="ListParagraph"/>
        <w:rPr>
          <w:rFonts w:cstheme="minorHAnsi"/>
          <w:sz w:val="21"/>
          <w:szCs w:val="21"/>
          <w:lang w:val="en-AU"/>
        </w:rPr>
      </w:pPr>
    </w:p>
    <w:p w14:paraId="4F19FB12" w14:textId="77777777" w:rsidR="003C1678" w:rsidRPr="00FF62CC" w:rsidRDefault="003C1678" w:rsidP="00FF62CC">
      <w:pPr>
        <w:pStyle w:val="ListParagraph"/>
        <w:numPr>
          <w:ilvl w:val="0"/>
          <w:numId w:val="69"/>
        </w:numPr>
        <w:spacing w:after="240"/>
        <w:rPr>
          <w:rFonts w:cstheme="minorHAnsi"/>
          <w:sz w:val="21"/>
          <w:szCs w:val="21"/>
          <w:lang w:val="en-AU"/>
        </w:rPr>
      </w:pPr>
      <w:r w:rsidRPr="00FF62CC">
        <w:rPr>
          <w:rFonts w:cstheme="minorHAnsi"/>
          <w:sz w:val="21"/>
          <w:szCs w:val="21"/>
          <w:lang w:val="en-AU"/>
        </w:rPr>
        <w:t xml:space="preserve">The review team also offers its sincere gratitude to the management and staff of the three consortia implementing the PPF Education Grants, including among many:  Ms Joy Wong and the staff of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for the mission schedule in Wewak, and Ms Marleen </w:t>
      </w:r>
      <w:proofErr w:type="spellStart"/>
      <w:r w:rsidRPr="00FF62CC">
        <w:rPr>
          <w:rFonts w:cstheme="minorHAnsi"/>
          <w:sz w:val="21"/>
          <w:szCs w:val="21"/>
          <w:lang w:val="en-AU"/>
        </w:rPr>
        <w:t>Knijff</w:t>
      </w:r>
      <w:proofErr w:type="spellEnd"/>
      <w:r w:rsidRPr="00FF62CC">
        <w:rPr>
          <w:rFonts w:cstheme="minorHAnsi"/>
          <w:sz w:val="21"/>
          <w:szCs w:val="21"/>
          <w:lang w:val="en-AU"/>
        </w:rPr>
        <w:t xml:space="preserve"> and staff of CARE for the mission schedule in Western Highlands.  The review team wishes to express its sincere appreciation to Ms Imelda </w:t>
      </w:r>
      <w:proofErr w:type="spellStart"/>
      <w:r w:rsidRPr="00FF62CC">
        <w:rPr>
          <w:rFonts w:cstheme="minorHAnsi"/>
          <w:sz w:val="21"/>
          <w:szCs w:val="21"/>
          <w:lang w:val="en-AU"/>
        </w:rPr>
        <w:t>Ochavillo</w:t>
      </w:r>
      <w:proofErr w:type="spellEnd"/>
      <w:r w:rsidRPr="00FF62CC">
        <w:rPr>
          <w:rFonts w:cstheme="minorHAnsi"/>
          <w:sz w:val="21"/>
          <w:szCs w:val="21"/>
          <w:lang w:val="en-AU"/>
        </w:rPr>
        <w:t xml:space="preserve"> and staff of World Vision, and Ms Ebony Holland and staff of </w:t>
      </w:r>
      <w:proofErr w:type="spellStart"/>
      <w:r w:rsidRPr="00FF62CC">
        <w:rPr>
          <w:rFonts w:cstheme="minorHAnsi"/>
          <w:sz w:val="21"/>
          <w:szCs w:val="21"/>
          <w:lang w:val="en-AU"/>
        </w:rPr>
        <w:t>ChildFund</w:t>
      </w:r>
      <w:proofErr w:type="spellEnd"/>
      <w:r w:rsidRPr="00FF62CC">
        <w:rPr>
          <w:rFonts w:cstheme="minorHAnsi"/>
          <w:sz w:val="21"/>
          <w:szCs w:val="21"/>
          <w:lang w:val="en-AU"/>
        </w:rPr>
        <w:t xml:space="preserve"> for accommodating a late change to the schedule of visits, which resulted in a visit to Central Province at short notice rather than the planned visit to the province of Madang.</w:t>
      </w:r>
    </w:p>
    <w:p w14:paraId="32C1B922" w14:textId="77777777" w:rsidR="003C1678" w:rsidRPr="00FF62CC" w:rsidRDefault="003C1678" w:rsidP="003C1678">
      <w:pPr>
        <w:pStyle w:val="ListParagraph"/>
        <w:spacing w:after="240"/>
        <w:rPr>
          <w:rFonts w:cstheme="minorHAnsi"/>
          <w:sz w:val="21"/>
          <w:szCs w:val="21"/>
          <w:lang w:val="en-AU"/>
        </w:rPr>
      </w:pPr>
    </w:p>
    <w:p w14:paraId="4CE80DCA" w14:textId="77777777" w:rsidR="003C1678" w:rsidRPr="00FF62CC" w:rsidRDefault="003C1678" w:rsidP="00FF62CC">
      <w:pPr>
        <w:pStyle w:val="ListParagraph"/>
        <w:numPr>
          <w:ilvl w:val="0"/>
          <w:numId w:val="69"/>
        </w:numPr>
        <w:spacing w:after="240"/>
        <w:rPr>
          <w:rFonts w:cstheme="minorHAnsi"/>
          <w:sz w:val="21"/>
          <w:szCs w:val="21"/>
          <w:lang w:val="en-AU"/>
        </w:rPr>
      </w:pPr>
      <w:r w:rsidRPr="00FF62CC">
        <w:rPr>
          <w:rFonts w:cstheme="minorHAnsi"/>
          <w:sz w:val="21"/>
          <w:szCs w:val="21"/>
          <w:lang w:val="en-AU"/>
        </w:rPr>
        <w:t>Continuums were used during the review to guide the investigations and to organize initial findings and observations.  Continuums can be used to provide additional insight in relation to current activity compared to desired directions, and are useful to inform the development of short and long-term plans.</w:t>
      </w:r>
    </w:p>
    <w:p w14:paraId="7D65E050" w14:textId="5ABEB791" w:rsidR="003C1678" w:rsidRPr="00FF62CC" w:rsidRDefault="003C1678" w:rsidP="003C1678">
      <w:pPr>
        <w:pStyle w:val="ListParagraph"/>
        <w:rPr>
          <w:rFonts w:cstheme="minorHAnsi"/>
          <w:color w:val="000000" w:themeColor="text1"/>
          <w:sz w:val="21"/>
          <w:szCs w:val="21"/>
          <w:lang w:val="en-AU"/>
        </w:rPr>
      </w:pPr>
    </w:p>
    <w:p w14:paraId="61951475" w14:textId="2F3EC417" w:rsidR="00E81CC2" w:rsidRPr="00FF62CC" w:rsidRDefault="00E81CC2" w:rsidP="003C1678">
      <w:pPr>
        <w:pStyle w:val="ListParagraph"/>
        <w:rPr>
          <w:rFonts w:cstheme="minorHAnsi"/>
          <w:color w:val="000000" w:themeColor="text1"/>
          <w:sz w:val="21"/>
          <w:szCs w:val="21"/>
          <w:lang w:val="en-AU"/>
        </w:rPr>
      </w:pPr>
    </w:p>
    <w:p w14:paraId="15F57C4D" w14:textId="77777777" w:rsidR="00E81CC2" w:rsidRPr="00FF62CC" w:rsidRDefault="00E81CC2" w:rsidP="003C1678">
      <w:pPr>
        <w:pStyle w:val="ListParagraph"/>
        <w:rPr>
          <w:rFonts w:cstheme="minorHAnsi"/>
          <w:color w:val="000000" w:themeColor="text1"/>
          <w:sz w:val="21"/>
          <w:szCs w:val="21"/>
          <w:lang w:val="en-AU"/>
        </w:rPr>
      </w:pPr>
    </w:p>
    <w:p w14:paraId="485B4669" w14:textId="77777777" w:rsidR="003C1678" w:rsidRPr="00FF62CC" w:rsidRDefault="003C1678" w:rsidP="00FF62CC">
      <w:pPr>
        <w:pStyle w:val="ListParagraph"/>
        <w:numPr>
          <w:ilvl w:val="0"/>
          <w:numId w:val="72"/>
        </w:numPr>
        <w:ind w:left="1710"/>
        <w:rPr>
          <w:rFonts w:eastAsia="Calibri" w:cstheme="minorHAnsi"/>
          <w:color w:val="000000" w:themeColor="text1"/>
          <w:sz w:val="21"/>
          <w:szCs w:val="21"/>
          <w:lang w:val="en-AU"/>
        </w:rPr>
      </w:pPr>
      <w:r w:rsidRPr="00FF62CC">
        <w:rPr>
          <w:rFonts w:eastAsia="Calibri" w:cstheme="minorHAnsi"/>
          <w:color w:val="000000" w:themeColor="text1"/>
          <w:sz w:val="21"/>
          <w:szCs w:val="21"/>
          <w:lang w:val="en-AU"/>
        </w:rPr>
        <w:t>Strategy/Model Continuums</w:t>
      </w:r>
    </w:p>
    <w:p w14:paraId="70A912F7" w14:textId="77777777" w:rsidR="003C1678" w:rsidRPr="00FF62CC" w:rsidRDefault="003C1678" w:rsidP="00FF62CC">
      <w:pPr>
        <w:numPr>
          <w:ilvl w:val="0"/>
          <w:numId w:val="73"/>
        </w:numPr>
        <w:tabs>
          <w:tab w:val="clear" w:pos="720"/>
        </w:tabs>
        <w:ind w:left="1980"/>
        <w:contextualSpacing/>
        <w:rPr>
          <w:rFonts w:asciiTheme="minorHAnsi" w:eastAsia="Calibri" w:hAnsiTheme="minorHAnsi" w:cstheme="minorHAnsi"/>
          <w:color w:val="000000" w:themeColor="text1"/>
          <w:szCs w:val="21"/>
        </w:rPr>
      </w:pPr>
      <w:r w:rsidRPr="00FF62CC">
        <w:rPr>
          <w:rFonts w:asciiTheme="minorHAnsi" w:eastAsia="Calibri" w:hAnsiTheme="minorHAnsi" w:cstheme="minorHAnsi"/>
          <w:color w:val="000000" w:themeColor="text1"/>
          <w:szCs w:val="21"/>
        </w:rPr>
        <w:t>‘service delivery’ &lt;-------&gt; ‘demonstration’</w:t>
      </w:r>
    </w:p>
    <w:p w14:paraId="2149925B" w14:textId="77777777" w:rsidR="003C1678" w:rsidRPr="00FF62CC" w:rsidRDefault="003C1678" w:rsidP="00FF62CC">
      <w:pPr>
        <w:numPr>
          <w:ilvl w:val="0"/>
          <w:numId w:val="73"/>
        </w:numPr>
        <w:tabs>
          <w:tab w:val="clear" w:pos="720"/>
        </w:tabs>
        <w:ind w:left="1980"/>
        <w:contextualSpacing/>
        <w:rPr>
          <w:rFonts w:asciiTheme="minorHAnsi" w:eastAsia="Calibri" w:hAnsiTheme="minorHAnsi" w:cstheme="minorHAnsi"/>
          <w:color w:val="000000" w:themeColor="text1"/>
          <w:szCs w:val="21"/>
        </w:rPr>
      </w:pPr>
      <w:r w:rsidRPr="00FF62CC">
        <w:rPr>
          <w:rFonts w:asciiTheme="minorHAnsi" w:eastAsia="Calibri" w:hAnsiTheme="minorHAnsi" w:cstheme="minorHAnsi"/>
          <w:color w:val="000000" w:themeColor="text1"/>
          <w:szCs w:val="21"/>
        </w:rPr>
        <w:t>‘proven approaches’ &lt;-------&gt; ‘innovation’ and ‘adaptation’</w:t>
      </w:r>
    </w:p>
    <w:p w14:paraId="1E807405" w14:textId="77777777" w:rsidR="003C1678" w:rsidRPr="00FF62CC" w:rsidRDefault="003C1678" w:rsidP="00FF62CC">
      <w:pPr>
        <w:numPr>
          <w:ilvl w:val="0"/>
          <w:numId w:val="73"/>
        </w:numPr>
        <w:tabs>
          <w:tab w:val="clear" w:pos="720"/>
        </w:tabs>
        <w:ind w:left="1980"/>
        <w:contextualSpacing/>
        <w:rPr>
          <w:rFonts w:asciiTheme="minorHAnsi" w:eastAsia="Calibri" w:hAnsiTheme="minorHAnsi" w:cstheme="minorHAnsi"/>
          <w:color w:val="000000" w:themeColor="text1"/>
          <w:szCs w:val="21"/>
        </w:rPr>
      </w:pPr>
      <w:r w:rsidRPr="00FF62CC">
        <w:rPr>
          <w:rFonts w:asciiTheme="minorHAnsi" w:eastAsia="Calibri" w:hAnsiTheme="minorHAnsi" w:cstheme="minorHAnsi"/>
          <w:color w:val="000000" w:themeColor="text1"/>
          <w:szCs w:val="21"/>
        </w:rPr>
        <w:t>‘specific interventions’ &lt;-------&gt; ‘integrated approach’</w:t>
      </w:r>
    </w:p>
    <w:p w14:paraId="40EF97D1" w14:textId="77777777" w:rsidR="003C1678" w:rsidRPr="00FF62CC" w:rsidRDefault="003C1678" w:rsidP="00FF62CC">
      <w:pPr>
        <w:numPr>
          <w:ilvl w:val="0"/>
          <w:numId w:val="73"/>
        </w:numPr>
        <w:tabs>
          <w:tab w:val="clear" w:pos="720"/>
        </w:tabs>
        <w:ind w:left="1980"/>
        <w:contextualSpacing/>
        <w:rPr>
          <w:rFonts w:asciiTheme="minorHAnsi" w:eastAsia="Calibri" w:hAnsiTheme="minorHAnsi" w:cstheme="minorHAnsi"/>
          <w:color w:val="000000" w:themeColor="text1"/>
          <w:szCs w:val="21"/>
        </w:rPr>
      </w:pPr>
      <w:r w:rsidRPr="00FF62CC">
        <w:rPr>
          <w:rFonts w:asciiTheme="minorHAnsi" w:eastAsia="Calibri" w:hAnsiTheme="minorHAnsi" w:cstheme="minorHAnsi"/>
          <w:color w:val="000000" w:themeColor="text1"/>
          <w:szCs w:val="21"/>
        </w:rPr>
        <w:t>‘ability’ &lt;-------&gt; ‘capacity’</w:t>
      </w:r>
    </w:p>
    <w:p w14:paraId="42A00903" w14:textId="77777777" w:rsidR="003C1678" w:rsidRPr="00FF62CC" w:rsidRDefault="003C1678" w:rsidP="00FF62CC">
      <w:pPr>
        <w:numPr>
          <w:ilvl w:val="0"/>
          <w:numId w:val="73"/>
        </w:numPr>
        <w:tabs>
          <w:tab w:val="clear" w:pos="720"/>
        </w:tabs>
        <w:ind w:left="1980"/>
        <w:contextualSpacing/>
        <w:rPr>
          <w:rFonts w:asciiTheme="minorHAnsi" w:eastAsia="Calibri" w:hAnsiTheme="minorHAnsi" w:cstheme="minorHAnsi"/>
          <w:color w:val="000000" w:themeColor="text1"/>
          <w:szCs w:val="21"/>
        </w:rPr>
      </w:pPr>
      <w:r w:rsidRPr="00FF62CC">
        <w:rPr>
          <w:rFonts w:asciiTheme="minorHAnsi" w:eastAsia="Calibri" w:hAnsiTheme="minorHAnsi" w:cstheme="minorHAnsi"/>
          <w:color w:val="000000" w:themeColor="text1"/>
          <w:szCs w:val="21"/>
        </w:rPr>
        <w:t>‘targets’ &lt;-------&gt; ‘quality’ and ‘sustainability’</w:t>
      </w:r>
    </w:p>
    <w:p w14:paraId="10869B00" w14:textId="77777777" w:rsidR="003C1678" w:rsidRPr="00FF62CC" w:rsidRDefault="003C1678" w:rsidP="00FF62CC">
      <w:pPr>
        <w:numPr>
          <w:ilvl w:val="0"/>
          <w:numId w:val="73"/>
        </w:numPr>
        <w:tabs>
          <w:tab w:val="clear" w:pos="720"/>
        </w:tabs>
        <w:ind w:left="1980"/>
        <w:contextualSpacing/>
        <w:rPr>
          <w:rFonts w:asciiTheme="minorHAnsi" w:eastAsia="Calibri" w:hAnsiTheme="minorHAnsi" w:cstheme="minorHAnsi"/>
          <w:color w:val="000000" w:themeColor="text1"/>
          <w:szCs w:val="21"/>
        </w:rPr>
      </w:pPr>
      <w:r w:rsidRPr="00FF62CC">
        <w:rPr>
          <w:rFonts w:asciiTheme="minorHAnsi" w:eastAsia="Calibri" w:hAnsiTheme="minorHAnsi" w:cstheme="minorHAnsi"/>
          <w:color w:val="000000" w:themeColor="text1"/>
          <w:szCs w:val="21"/>
        </w:rPr>
        <w:t>‘short-game’ &lt;-------&gt; ‘long-game’</w:t>
      </w:r>
    </w:p>
    <w:p w14:paraId="16F4F97D" w14:textId="77777777" w:rsidR="003C1678" w:rsidRPr="00FF62CC" w:rsidRDefault="003C1678" w:rsidP="00FF62CC">
      <w:pPr>
        <w:pStyle w:val="ListParagraph"/>
        <w:numPr>
          <w:ilvl w:val="0"/>
          <w:numId w:val="72"/>
        </w:numPr>
        <w:ind w:left="1710"/>
        <w:rPr>
          <w:rFonts w:eastAsia="Calibri" w:cstheme="minorHAnsi"/>
          <w:color w:val="000000" w:themeColor="text1"/>
          <w:sz w:val="21"/>
          <w:szCs w:val="21"/>
          <w:lang w:val="en-AU"/>
        </w:rPr>
      </w:pPr>
      <w:r w:rsidRPr="00FF62CC">
        <w:rPr>
          <w:rFonts w:eastAsia="Calibri" w:cstheme="minorHAnsi"/>
          <w:color w:val="000000" w:themeColor="text1"/>
          <w:sz w:val="21"/>
          <w:szCs w:val="21"/>
          <w:lang w:val="en-AU"/>
        </w:rPr>
        <w:t>Ways of working</w:t>
      </w:r>
    </w:p>
    <w:p w14:paraId="4F13E383" w14:textId="77777777" w:rsidR="003C1678" w:rsidRPr="00FF62CC" w:rsidRDefault="003C1678" w:rsidP="00FF62CC">
      <w:pPr>
        <w:numPr>
          <w:ilvl w:val="0"/>
          <w:numId w:val="74"/>
        </w:numPr>
        <w:tabs>
          <w:tab w:val="clear" w:pos="720"/>
        </w:tabs>
        <w:ind w:left="1980"/>
        <w:contextualSpacing/>
        <w:rPr>
          <w:rFonts w:asciiTheme="minorHAnsi" w:eastAsia="Calibri" w:hAnsiTheme="minorHAnsi" w:cstheme="minorHAnsi"/>
          <w:color w:val="000000" w:themeColor="text1"/>
          <w:szCs w:val="21"/>
        </w:rPr>
      </w:pPr>
      <w:r w:rsidRPr="00FF62CC">
        <w:rPr>
          <w:rFonts w:asciiTheme="minorHAnsi" w:eastAsia="Calibri" w:hAnsiTheme="minorHAnsi" w:cstheme="minorHAnsi"/>
          <w:color w:val="000000" w:themeColor="text1"/>
          <w:szCs w:val="21"/>
        </w:rPr>
        <w:t>‘partnership in name’ &lt;-------&gt; ‘partnership in practice’</w:t>
      </w:r>
    </w:p>
    <w:p w14:paraId="490BEDC8" w14:textId="77777777" w:rsidR="003C1678" w:rsidRPr="00FF62CC" w:rsidRDefault="003C1678" w:rsidP="00FF62CC">
      <w:pPr>
        <w:numPr>
          <w:ilvl w:val="0"/>
          <w:numId w:val="74"/>
        </w:numPr>
        <w:tabs>
          <w:tab w:val="clear" w:pos="720"/>
        </w:tabs>
        <w:ind w:left="1980"/>
        <w:contextualSpacing/>
        <w:rPr>
          <w:rFonts w:asciiTheme="minorHAnsi" w:eastAsia="Calibri" w:hAnsiTheme="minorHAnsi" w:cstheme="minorHAnsi"/>
          <w:color w:val="000000" w:themeColor="text1"/>
          <w:szCs w:val="21"/>
        </w:rPr>
      </w:pPr>
      <w:r w:rsidRPr="00FF62CC">
        <w:rPr>
          <w:rFonts w:asciiTheme="minorHAnsi" w:eastAsia="Calibri" w:hAnsiTheme="minorHAnsi" w:cstheme="minorHAnsi"/>
          <w:color w:val="000000" w:themeColor="text1"/>
          <w:szCs w:val="21"/>
        </w:rPr>
        <w:t>‘dependent’ &lt;-------&gt; ‘inter-dependent’ &lt;-------&gt; ‘independent’</w:t>
      </w:r>
    </w:p>
    <w:p w14:paraId="69ADFFA6" w14:textId="77777777" w:rsidR="003C1678" w:rsidRPr="00FF62CC" w:rsidRDefault="003C1678" w:rsidP="00FF62CC">
      <w:pPr>
        <w:numPr>
          <w:ilvl w:val="0"/>
          <w:numId w:val="74"/>
        </w:numPr>
        <w:tabs>
          <w:tab w:val="clear" w:pos="720"/>
        </w:tabs>
        <w:ind w:left="1980"/>
        <w:contextualSpacing/>
        <w:rPr>
          <w:rFonts w:asciiTheme="minorHAnsi" w:eastAsia="Calibri" w:hAnsiTheme="minorHAnsi" w:cstheme="minorHAnsi"/>
          <w:color w:val="000000" w:themeColor="text1"/>
          <w:szCs w:val="21"/>
        </w:rPr>
      </w:pPr>
      <w:r w:rsidRPr="00FF62CC">
        <w:rPr>
          <w:rFonts w:asciiTheme="minorHAnsi" w:eastAsia="Calibri" w:hAnsiTheme="minorHAnsi" w:cstheme="minorHAnsi"/>
          <w:color w:val="000000" w:themeColor="text1"/>
          <w:szCs w:val="21"/>
        </w:rPr>
        <w:t>‘what ought to be’ &lt;-------&gt; ‘what is’ (politically and contextually ‘smart’)</w:t>
      </w:r>
    </w:p>
    <w:p w14:paraId="53357605" w14:textId="77777777" w:rsidR="003C1678" w:rsidRPr="00FF62CC" w:rsidRDefault="003C1678" w:rsidP="00FF62CC">
      <w:pPr>
        <w:numPr>
          <w:ilvl w:val="0"/>
          <w:numId w:val="74"/>
        </w:numPr>
        <w:tabs>
          <w:tab w:val="clear" w:pos="720"/>
        </w:tabs>
        <w:ind w:left="1980"/>
        <w:contextualSpacing/>
        <w:rPr>
          <w:rFonts w:asciiTheme="minorHAnsi" w:eastAsia="Calibri" w:hAnsiTheme="minorHAnsi" w:cstheme="minorHAnsi"/>
          <w:color w:val="000000" w:themeColor="text1"/>
          <w:szCs w:val="21"/>
        </w:rPr>
      </w:pPr>
      <w:r w:rsidRPr="00FF62CC">
        <w:rPr>
          <w:rFonts w:asciiTheme="minorHAnsi" w:eastAsia="Calibri" w:hAnsiTheme="minorHAnsi" w:cstheme="minorHAnsi"/>
          <w:color w:val="000000" w:themeColor="text1"/>
          <w:szCs w:val="21"/>
        </w:rPr>
        <w:t>‘parallel’ &lt;-------&gt; ‘institution and systems strengthening’</w:t>
      </w:r>
    </w:p>
    <w:p w14:paraId="44FD7B2D" w14:textId="77777777" w:rsidR="003C1678" w:rsidRPr="00FF62CC" w:rsidRDefault="003C1678" w:rsidP="00FF62CC">
      <w:pPr>
        <w:numPr>
          <w:ilvl w:val="0"/>
          <w:numId w:val="74"/>
        </w:numPr>
        <w:tabs>
          <w:tab w:val="clear" w:pos="720"/>
        </w:tabs>
        <w:ind w:left="1980"/>
        <w:contextualSpacing/>
        <w:rPr>
          <w:rFonts w:asciiTheme="minorHAnsi" w:eastAsia="Calibri" w:hAnsiTheme="minorHAnsi" w:cstheme="minorHAnsi"/>
          <w:color w:val="000000" w:themeColor="text1"/>
          <w:szCs w:val="21"/>
        </w:rPr>
      </w:pPr>
      <w:r w:rsidRPr="00FF62CC">
        <w:rPr>
          <w:rFonts w:asciiTheme="minorHAnsi" w:eastAsia="Calibri" w:hAnsiTheme="minorHAnsi" w:cstheme="minorHAnsi"/>
          <w:color w:val="000000" w:themeColor="text1"/>
          <w:szCs w:val="21"/>
        </w:rPr>
        <w:t>‘pre-determined agenda’ &lt;-------&gt; ‘trusted adviser/critical friend’</w:t>
      </w:r>
    </w:p>
    <w:p w14:paraId="4B6B53A0" w14:textId="77777777" w:rsidR="003C1678" w:rsidRPr="00FF62CC" w:rsidRDefault="003C1678" w:rsidP="003C1678">
      <w:pPr>
        <w:pStyle w:val="ListParagraph"/>
        <w:rPr>
          <w:rFonts w:cstheme="minorHAnsi"/>
          <w:color w:val="000000" w:themeColor="text1"/>
          <w:sz w:val="21"/>
          <w:szCs w:val="21"/>
          <w:lang w:val="en-AU"/>
        </w:rPr>
      </w:pPr>
    </w:p>
    <w:p w14:paraId="6F73F8A4" w14:textId="77777777" w:rsidR="003C1678" w:rsidRPr="00FF62CC" w:rsidRDefault="003C1678" w:rsidP="00FF62CC">
      <w:pPr>
        <w:pStyle w:val="ListParagraph"/>
        <w:numPr>
          <w:ilvl w:val="0"/>
          <w:numId w:val="69"/>
        </w:numPr>
        <w:spacing w:after="240"/>
        <w:rPr>
          <w:rFonts w:cstheme="minorHAnsi"/>
          <w:sz w:val="21"/>
          <w:szCs w:val="21"/>
          <w:lang w:val="en-AU"/>
        </w:rPr>
      </w:pPr>
      <w:r w:rsidRPr="00FF62CC">
        <w:rPr>
          <w:rFonts w:cstheme="minorHAnsi"/>
          <w:sz w:val="21"/>
          <w:szCs w:val="21"/>
          <w:lang w:val="en-AU"/>
        </w:rPr>
        <w:t>General Findings and Observations:</w:t>
      </w:r>
    </w:p>
    <w:p w14:paraId="4F168B69" w14:textId="77777777" w:rsidR="003C1678" w:rsidRPr="00FF62CC" w:rsidRDefault="003C1678" w:rsidP="003C1678">
      <w:pPr>
        <w:pStyle w:val="ListParagraph"/>
        <w:rPr>
          <w:rFonts w:cstheme="minorHAnsi"/>
          <w:sz w:val="21"/>
          <w:szCs w:val="21"/>
          <w:lang w:val="en-AU"/>
        </w:rPr>
      </w:pPr>
    </w:p>
    <w:p w14:paraId="2EEF2146" w14:textId="77777777" w:rsidR="003C1678" w:rsidRPr="00FF62CC" w:rsidRDefault="003C1678" w:rsidP="00FF62CC">
      <w:pPr>
        <w:pStyle w:val="ListParagraph"/>
        <w:numPr>
          <w:ilvl w:val="0"/>
          <w:numId w:val="94"/>
        </w:numPr>
        <w:spacing w:after="240"/>
        <w:rPr>
          <w:rFonts w:cstheme="minorHAnsi"/>
          <w:sz w:val="21"/>
          <w:szCs w:val="21"/>
          <w:lang w:val="en-AU"/>
        </w:rPr>
      </w:pPr>
      <w:r w:rsidRPr="00FF62CC">
        <w:rPr>
          <w:rFonts w:cstheme="minorHAnsi"/>
          <w:sz w:val="21"/>
          <w:szCs w:val="21"/>
          <w:u w:val="single"/>
          <w:lang w:val="en-AU"/>
        </w:rPr>
        <w:t xml:space="preserve">A significant amount of work has been undertaken in a relatively short period of time. </w:t>
      </w:r>
      <w:r w:rsidRPr="00FF62CC">
        <w:rPr>
          <w:rFonts w:cstheme="minorHAnsi"/>
          <w:sz w:val="21"/>
          <w:szCs w:val="21"/>
          <w:lang w:val="en-AU"/>
        </w:rPr>
        <w:t xml:space="preserve">This has been remarkable, and is a credit to all concerned, but has also resulted in challenges to ensuring </w:t>
      </w:r>
      <w:r w:rsidRPr="00FF62CC">
        <w:rPr>
          <w:rFonts w:cstheme="minorHAnsi"/>
          <w:i/>
          <w:iCs/>
          <w:sz w:val="21"/>
          <w:szCs w:val="21"/>
          <w:lang w:val="en-AU"/>
        </w:rPr>
        <w:t>quality</w:t>
      </w:r>
      <w:r w:rsidRPr="00FF62CC">
        <w:rPr>
          <w:rFonts w:cstheme="minorHAnsi"/>
          <w:sz w:val="21"/>
          <w:szCs w:val="21"/>
          <w:lang w:val="en-AU"/>
        </w:rPr>
        <w:t>. It is noted that the original call for proposals requested proposals to “deliver one or more” of five results in the identified project area. It would appear that the consortia attempted to address as many of the result areas identified as possible.</w:t>
      </w:r>
    </w:p>
    <w:p w14:paraId="26DC4403" w14:textId="77777777" w:rsidR="003C1678" w:rsidRPr="00FF62CC" w:rsidRDefault="003C1678" w:rsidP="00FF62CC">
      <w:pPr>
        <w:pStyle w:val="ListParagraph"/>
        <w:numPr>
          <w:ilvl w:val="0"/>
          <w:numId w:val="94"/>
        </w:numPr>
        <w:spacing w:after="240"/>
        <w:rPr>
          <w:rFonts w:cstheme="minorHAnsi"/>
          <w:sz w:val="21"/>
          <w:szCs w:val="21"/>
          <w:lang w:val="en-AU"/>
        </w:rPr>
      </w:pPr>
      <w:r w:rsidRPr="00FF62CC">
        <w:rPr>
          <w:rFonts w:cstheme="minorHAnsi"/>
          <w:sz w:val="21"/>
          <w:szCs w:val="21"/>
          <w:u w:val="single"/>
          <w:lang w:val="en-AU"/>
        </w:rPr>
        <w:t>It is too early to make definitive assessments in many areas</w:t>
      </w:r>
      <w:r w:rsidRPr="00FF62CC">
        <w:rPr>
          <w:rFonts w:cstheme="minorHAnsi"/>
          <w:sz w:val="21"/>
          <w:szCs w:val="21"/>
          <w:lang w:val="en-AU"/>
        </w:rPr>
        <w:t xml:space="preserve"> due to the stage of implementation. For example, PKS has only recently introduced some interventions, and other consortia have introduced modifications to 2018 implementation strategies that are still being rolled out.</w:t>
      </w:r>
    </w:p>
    <w:p w14:paraId="6B29E8CD" w14:textId="77777777" w:rsidR="003C1678" w:rsidRPr="00FF62CC" w:rsidRDefault="003C1678" w:rsidP="00FF62CC">
      <w:pPr>
        <w:pStyle w:val="ListParagraph"/>
        <w:numPr>
          <w:ilvl w:val="0"/>
          <w:numId w:val="94"/>
        </w:numPr>
        <w:spacing w:after="240"/>
        <w:rPr>
          <w:rFonts w:cstheme="minorHAnsi"/>
          <w:sz w:val="21"/>
          <w:szCs w:val="21"/>
          <w:lang w:val="en-AU"/>
        </w:rPr>
      </w:pPr>
      <w:r w:rsidRPr="00FF62CC">
        <w:rPr>
          <w:rFonts w:cstheme="minorHAnsi"/>
          <w:sz w:val="21"/>
          <w:szCs w:val="21"/>
          <w:u w:val="single"/>
          <w:lang w:val="en-AU"/>
        </w:rPr>
        <w:t>It is challenging to provide comparable assessments of different interventions</w:t>
      </w:r>
      <w:r w:rsidRPr="00FF62CC">
        <w:rPr>
          <w:rFonts w:cstheme="minorHAnsi"/>
          <w:sz w:val="21"/>
          <w:szCs w:val="21"/>
          <w:lang w:val="en-AU"/>
        </w:rPr>
        <w:t xml:space="preserve"> due to the number of interventions and the range of variables that are affecting each intervention. Additional complexity has also been introduced during the course of implementation through adaptation/adjustments responding to different contexts and realities, and the decision to ‘treat’ the ‘control’ schools complicates the overall assessment of the impact of the interventions.</w:t>
      </w:r>
    </w:p>
    <w:p w14:paraId="41D4E5C7" w14:textId="77777777" w:rsidR="003C1678" w:rsidRPr="00FF62CC" w:rsidRDefault="003C1678" w:rsidP="00FF62CC">
      <w:pPr>
        <w:pStyle w:val="ListParagraph"/>
        <w:numPr>
          <w:ilvl w:val="0"/>
          <w:numId w:val="94"/>
        </w:numPr>
        <w:spacing w:after="240"/>
        <w:rPr>
          <w:rFonts w:cstheme="minorHAnsi"/>
          <w:sz w:val="21"/>
          <w:szCs w:val="21"/>
          <w:lang w:val="en-AU"/>
        </w:rPr>
      </w:pPr>
      <w:r w:rsidRPr="00FF62CC">
        <w:rPr>
          <w:rFonts w:cstheme="minorHAnsi"/>
          <w:sz w:val="21"/>
          <w:szCs w:val="21"/>
          <w:u w:val="single"/>
          <w:lang w:val="en-AU"/>
        </w:rPr>
        <w:t>Expectations at the provincial and district levels for more of the same</w:t>
      </w:r>
      <w:r w:rsidRPr="00FF62CC">
        <w:rPr>
          <w:rFonts w:cstheme="minorHAnsi"/>
          <w:sz w:val="21"/>
          <w:szCs w:val="21"/>
          <w:lang w:val="en-AU"/>
        </w:rPr>
        <w:t xml:space="preserve"> for schools that were not included are apparent, and these need to be carefully managed, and strategies for the blending of benefits with existing resources explored.</w:t>
      </w:r>
    </w:p>
    <w:p w14:paraId="1F7FCCF3" w14:textId="2F8D8234" w:rsidR="003C1678" w:rsidRPr="00FF62CC" w:rsidRDefault="003C1678" w:rsidP="00FF62CC">
      <w:pPr>
        <w:pStyle w:val="ListParagraph"/>
        <w:numPr>
          <w:ilvl w:val="0"/>
          <w:numId w:val="94"/>
        </w:numPr>
        <w:spacing w:after="240"/>
        <w:rPr>
          <w:rFonts w:cstheme="minorHAnsi"/>
          <w:sz w:val="21"/>
          <w:szCs w:val="21"/>
          <w:lang w:val="en-AU"/>
        </w:rPr>
      </w:pPr>
      <w:r w:rsidRPr="00FF62CC">
        <w:rPr>
          <w:rFonts w:cstheme="minorHAnsi"/>
          <w:sz w:val="21"/>
          <w:szCs w:val="21"/>
          <w:u w:val="single"/>
          <w:lang w:val="en-AU"/>
        </w:rPr>
        <w:t>There is a potential for diminished effect of the benefits and lessons of the investment</w:t>
      </w:r>
      <w:r w:rsidRPr="00FF62CC">
        <w:rPr>
          <w:rFonts w:cstheme="minorHAnsi"/>
          <w:sz w:val="21"/>
          <w:szCs w:val="21"/>
          <w:lang w:val="en-AU"/>
        </w:rPr>
        <w:t xml:space="preserve"> as a result of the process by which the grants were initiated, information is shared, and how progress is being monitored and reported. While there is a sincere level of interest in the nature, scope and contribution of activities being implemented through the grants, the sharing of benefits and lessons has at times been overshadowed by an unmet desire on the part of national level stakeholders in particular to be more fully engaged with the governance, oversight, monitoring and evaluation of this investment. While there is greater engagement at the Provincial level, this varies between the grants, and could be further enhanced through more deliberate engagement as well.</w:t>
      </w:r>
    </w:p>
    <w:p w14:paraId="04E64EF6" w14:textId="77777777" w:rsidR="003C1678" w:rsidRPr="00FF62CC" w:rsidRDefault="003C1678" w:rsidP="00FF62CC">
      <w:pPr>
        <w:pStyle w:val="ListParagraph"/>
        <w:numPr>
          <w:ilvl w:val="0"/>
          <w:numId w:val="94"/>
        </w:numPr>
        <w:spacing w:after="240"/>
        <w:rPr>
          <w:rFonts w:cstheme="minorHAnsi"/>
          <w:sz w:val="21"/>
          <w:szCs w:val="21"/>
          <w:lang w:val="en-AU"/>
        </w:rPr>
      </w:pPr>
      <w:r w:rsidRPr="00FF62CC">
        <w:rPr>
          <w:rFonts w:cstheme="minorHAnsi"/>
          <w:sz w:val="21"/>
          <w:szCs w:val="21"/>
          <w:u w:val="single"/>
          <w:lang w:val="en-AU"/>
        </w:rPr>
        <w:t>There is likely to be a limited level of government funding for education service delivery</w:t>
      </w:r>
      <w:r w:rsidRPr="00FF62CC">
        <w:rPr>
          <w:rFonts w:cstheme="minorHAnsi"/>
          <w:sz w:val="21"/>
          <w:szCs w:val="21"/>
          <w:lang w:val="en-AU"/>
        </w:rPr>
        <w:t xml:space="preserve"> in the short to medium term, thereby limiting the resourcing levels to schools, the ability of education system line agencies to perform their mandated functions, and the sustainability of the activities initiated by the grants.  </w:t>
      </w:r>
    </w:p>
    <w:p w14:paraId="126FEE30" w14:textId="7157B386" w:rsidR="003C1678" w:rsidRPr="00FF62CC" w:rsidRDefault="003C1678" w:rsidP="003C1678">
      <w:pPr>
        <w:pStyle w:val="ListParagraph"/>
        <w:spacing w:after="240"/>
        <w:rPr>
          <w:rFonts w:cstheme="minorHAnsi"/>
          <w:sz w:val="21"/>
          <w:szCs w:val="21"/>
          <w:lang w:val="en-AU"/>
        </w:rPr>
      </w:pPr>
    </w:p>
    <w:p w14:paraId="4C8F1B95" w14:textId="77777777" w:rsidR="00E81CC2" w:rsidRPr="00FF62CC" w:rsidRDefault="00E81CC2" w:rsidP="003C1678">
      <w:pPr>
        <w:pStyle w:val="ListParagraph"/>
        <w:spacing w:after="240"/>
        <w:rPr>
          <w:rFonts w:cstheme="minorHAnsi"/>
          <w:sz w:val="21"/>
          <w:szCs w:val="21"/>
          <w:lang w:val="en-AU"/>
        </w:rPr>
      </w:pPr>
    </w:p>
    <w:p w14:paraId="6B117177" w14:textId="77777777" w:rsidR="003C1678" w:rsidRPr="00FF62CC" w:rsidRDefault="003C1678" w:rsidP="00FF62CC">
      <w:pPr>
        <w:pStyle w:val="ListParagraph"/>
        <w:numPr>
          <w:ilvl w:val="0"/>
          <w:numId w:val="69"/>
        </w:numPr>
        <w:spacing w:after="240"/>
        <w:rPr>
          <w:rFonts w:cstheme="minorHAnsi"/>
          <w:sz w:val="21"/>
          <w:szCs w:val="21"/>
          <w:lang w:val="en-AU"/>
        </w:rPr>
      </w:pPr>
      <w:r w:rsidRPr="00FF62CC">
        <w:rPr>
          <w:rFonts w:cstheme="minorHAnsi"/>
          <w:sz w:val="21"/>
          <w:szCs w:val="21"/>
          <w:lang w:val="en-AU"/>
        </w:rPr>
        <w:t>Findings and Observations per Thematic Area:</w:t>
      </w:r>
    </w:p>
    <w:p w14:paraId="173ACDC1" w14:textId="77777777" w:rsidR="003C1678" w:rsidRPr="00FF62CC" w:rsidRDefault="003C1678" w:rsidP="003C1678">
      <w:pPr>
        <w:pStyle w:val="ListParagraph"/>
        <w:spacing w:after="240"/>
        <w:rPr>
          <w:rFonts w:cstheme="minorHAnsi"/>
          <w:sz w:val="21"/>
          <w:szCs w:val="21"/>
          <w:lang w:val="en-AU"/>
        </w:rPr>
      </w:pPr>
    </w:p>
    <w:p w14:paraId="45F431C4" w14:textId="77777777" w:rsidR="003C1678" w:rsidRPr="00FF62CC" w:rsidRDefault="003C1678" w:rsidP="00FF62CC">
      <w:pPr>
        <w:pStyle w:val="ListParagraph"/>
        <w:numPr>
          <w:ilvl w:val="0"/>
          <w:numId w:val="77"/>
        </w:numPr>
        <w:spacing w:after="240"/>
        <w:ind w:left="1260"/>
        <w:rPr>
          <w:rFonts w:cstheme="minorHAnsi"/>
          <w:b/>
          <w:bCs/>
          <w:sz w:val="21"/>
          <w:szCs w:val="21"/>
          <w:lang w:val="en-AU"/>
        </w:rPr>
      </w:pPr>
      <w:r w:rsidRPr="00FF62CC">
        <w:rPr>
          <w:rFonts w:cstheme="minorHAnsi"/>
          <w:b/>
          <w:bCs/>
          <w:sz w:val="21"/>
          <w:szCs w:val="21"/>
          <w:u w:val="single"/>
          <w:lang w:val="en-AU"/>
        </w:rPr>
        <w:t>Teacher Development</w:t>
      </w:r>
    </w:p>
    <w:p w14:paraId="4425FF13" w14:textId="77777777" w:rsidR="003C1678" w:rsidRPr="00FF62CC" w:rsidRDefault="003C1678" w:rsidP="00FF62CC">
      <w:pPr>
        <w:pStyle w:val="ListParagraph"/>
        <w:numPr>
          <w:ilvl w:val="0"/>
          <w:numId w:val="95"/>
        </w:numPr>
        <w:spacing w:after="240"/>
        <w:rPr>
          <w:rFonts w:cstheme="minorHAnsi"/>
          <w:sz w:val="21"/>
          <w:szCs w:val="21"/>
          <w:lang w:val="en-AU"/>
        </w:rPr>
      </w:pPr>
      <w:r w:rsidRPr="00FF62CC">
        <w:rPr>
          <w:rFonts w:cstheme="minorHAnsi"/>
          <w:sz w:val="21"/>
          <w:szCs w:val="21"/>
          <w:u w:val="single"/>
          <w:lang w:val="en-AU"/>
        </w:rPr>
        <w:t>Teacher training</w:t>
      </w:r>
      <w:r w:rsidRPr="00FF62CC">
        <w:rPr>
          <w:rFonts w:cstheme="minorHAnsi"/>
          <w:sz w:val="21"/>
          <w:szCs w:val="21"/>
          <w:lang w:val="en-AU"/>
        </w:rPr>
        <w:t>: The duration of training provided to teachers varied from approximately 100 hours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and WV) versus 60 hours provided by CARE. All training content appears to be anchored on/aligned, albeit to varying degrees, with the SBC. CARE training of teachers provides the strongest alignment. There is also variation in coverage, with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training 2-4 teachers per target school, WV reporting training of 1 teacher per school and </w:t>
      </w:r>
      <w:proofErr w:type="spellStart"/>
      <w:r w:rsidRPr="00FF62CC">
        <w:rPr>
          <w:rFonts w:cstheme="minorHAnsi"/>
          <w:sz w:val="21"/>
          <w:szCs w:val="21"/>
          <w:lang w:val="en-AU"/>
        </w:rPr>
        <w:t>ChildFund</w:t>
      </w:r>
      <w:proofErr w:type="spellEnd"/>
      <w:r w:rsidRPr="00FF62CC">
        <w:rPr>
          <w:rFonts w:cstheme="minorHAnsi"/>
          <w:sz w:val="21"/>
          <w:szCs w:val="21"/>
          <w:lang w:val="en-AU"/>
        </w:rPr>
        <w:t xml:space="preserve"> and CARE reporting that all teachers in targeted schools were trained. Significant variations in the provision of supplemental training materials were also noted – with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providing more than WV, and WV providing more than CARE.  Results of the mid-line data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and WV) and pre and post testing (CARE) indicate that there has been a significant increase in teacher knowledge, skills and practice, presumably the result of the training programs. It has not been possible to assess which dosage of training duration or supplemental materials contributed most to improvements.</w:t>
      </w:r>
    </w:p>
    <w:p w14:paraId="00B751B3" w14:textId="77777777" w:rsidR="003C1678" w:rsidRPr="00FF62CC" w:rsidRDefault="003C1678" w:rsidP="00FF62CC">
      <w:pPr>
        <w:pStyle w:val="ListParagraph"/>
        <w:numPr>
          <w:ilvl w:val="0"/>
          <w:numId w:val="95"/>
        </w:numPr>
        <w:spacing w:after="240"/>
        <w:rPr>
          <w:rFonts w:cstheme="minorHAnsi"/>
          <w:sz w:val="21"/>
          <w:szCs w:val="21"/>
          <w:lang w:val="en-AU"/>
        </w:rPr>
      </w:pPr>
      <w:r w:rsidRPr="00FF62CC">
        <w:rPr>
          <w:rFonts w:cstheme="minorHAnsi"/>
          <w:sz w:val="21"/>
          <w:szCs w:val="21"/>
          <w:u w:val="single"/>
          <w:lang w:val="en-AU"/>
        </w:rPr>
        <w:t>Inclusion of District/Provincial officials in training of teachers</w:t>
      </w:r>
      <w:r w:rsidRPr="00FF62CC">
        <w:rPr>
          <w:rFonts w:cstheme="minorHAnsi"/>
          <w:sz w:val="21"/>
          <w:szCs w:val="21"/>
          <w:lang w:val="en-AU"/>
        </w:rPr>
        <w:t xml:space="preserve">: The inclusion of district and provincial officials in the training of teachers varied - with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engaging the province to participate; WV engaging the district to participate and deliver certain aspects of the training (e.g. SLIP); and CARE being purposive in the training of district officials and selected school heads/</w:t>
      </w:r>
      <w:proofErr w:type="spellStart"/>
      <w:r w:rsidRPr="00FF62CC">
        <w:rPr>
          <w:rFonts w:cstheme="minorHAnsi"/>
          <w:sz w:val="21"/>
          <w:szCs w:val="21"/>
          <w:lang w:val="en-AU"/>
        </w:rPr>
        <w:t>TiCs</w:t>
      </w:r>
      <w:proofErr w:type="spellEnd"/>
      <w:r w:rsidRPr="00FF62CC">
        <w:rPr>
          <w:rFonts w:cstheme="minorHAnsi"/>
          <w:sz w:val="21"/>
          <w:szCs w:val="21"/>
          <w:lang w:val="en-AU"/>
        </w:rPr>
        <w:t xml:space="preserve"> to deliver training. District and provincial officials and school heads/</w:t>
      </w:r>
      <w:proofErr w:type="spellStart"/>
      <w:r w:rsidRPr="00FF62CC">
        <w:rPr>
          <w:rFonts w:cstheme="minorHAnsi"/>
          <w:sz w:val="21"/>
          <w:szCs w:val="21"/>
          <w:lang w:val="en-AU"/>
        </w:rPr>
        <w:t>TiCs</w:t>
      </w:r>
      <w:proofErr w:type="spellEnd"/>
      <w:r w:rsidRPr="00FF62CC">
        <w:rPr>
          <w:rFonts w:cstheme="minorHAnsi"/>
          <w:sz w:val="21"/>
          <w:szCs w:val="21"/>
          <w:lang w:val="en-AU"/>
        </w:rPr>
        <w:t xml:space="preserve"> interviewed were very positive about the training program and their inclusion.</w:t>
      </w:r>
    </w:p>
    <w:p w14:paraId="13C5F2AF" w14:textId="77777777" w:rsidR="003C1678" w:rsidRPr="00FF62CC" w:rsidRDefault="003C1678" w:rsidP="00FF62CC">
      <w:pPr>
        <w:pStyle w:val="ListParagraph"/>
        <w:numPr>
          <w:ilvl w:val="0"/>
          <w:numId w:val="95"/>
        </w:numPr>
        <w:spacing w:after="240"/>
        <w:rPr>
          <w:rFonts w:cstheme="minorHAnsi"/>
          <w:sz w:val="21"/>
          <w:szCs w:val="21"/>
          <w:lang w:val="en-AU"/>
        </w:rPr>
      </w:pPr>
      <w:r w:rsidRPr="00FF62CC">
        <w:rPr>
          <w:rFonts w:cstheme="minorHAnsi"/>
          <w:sz w:val="21"/>
          <w:szCs w:val="21"/>
          <w:u w:val="single"/>
          <w:lang w:val="en-AU"/>
        </w:rPr>
        <w:t xml:space="preserve">Early Childhood Education (ECE) </w:t>
      </w:r>
      <w:r w:rsidR="001A37A1" w:rsidRPr="00FF62CC">
        <w:rPr>
          <w:rFonts w:cstheme="minorHAnsi"/>
          <w:sz w:val="21"/>
          <w:szCs w:val="21"/>
          <w:u w:val="single"/>
          <w:lang w:val="en-AU"/>
        </w:rPr>
        <w:t>D</w:t>
      </w:r>
      <w:r w:rsidRPr="00FF62CC">
        <w:rPr>
          <w:rFonts w:cstheme="minorHAnsi"/>
          <w:sz w:val="21"/>
          <w:szCs w:val="21"/>
          <w:u w:val="single"/>
          <w:lang w:val="en-AU"/>
        </w:rPr>
        <w:t xml:space="preserve">iploma program for elementary teachers </w:t>
      </w:r>
      <w:r w:rsidRPr="00FF62CC">
        <w:rPr>
          <w:rFonts w:cstheme="minorHAnsi"/>
          <w:sz w:val="21"/>
          <w:szCs w:val="21"/>
          <w:lang w:val="en-AU"/>
        </w:rPr>
        <w:t>(University of Goroka. Sonoma unable to deliver): As participants are still undertaking their studies, it is too early to determine the effect of the diploma course on literacy and numeracy. It was noted that there is a high retention of participants, even though the diploma program is currently not government accredited.  Of particular note is the negotiated flexibility of the university to accept ‘under-qualified’ applicants to enrol in the program – in part due to their membership in the CARE consortium.</w:t>
      </w:r>
    </w:p>
    <w:p w14:paraId="2BFBCEF6" w14:textId="77777777" w:rsidR="003C1678" w:rsidRPr="00FF62CC" w:rsidRDefault="003C1678" w:rsidP="00FF62CC">
      <w:pPr>
        <w:pStyle w:val="ListParagraph"/>
        <w:numPr>
          <w:ilvl w:val="0"/>
          <w:numId w:val="95"/>
        </w:numPr>
        <w:spacing w:after="240"/>
        <w:rPr>
          <w:rFonts w:cstheme="minorHAnsi"/>
          <w:sz w:val="21"/>
          <w:szCs w:val="21"/>
          <w:lang w:val="en-AU"/>
        </w:rPr>
      </w:pPr>
      <w:r w:rsidRPr="00FF62CC">
        <w:rPr>
          <w:rFonts w:cstheme="minorHAnsi"/>
          <w:sz w:val="21"/>
          <w:szCs w:val="21"/>
          <w:u w:val="single"/>
          <w:lang w:val="en-AU"/>
        </w:rPr>
        <w:t xml:space="preserve">Teacher upgrading to Grade 12 (FODE): </w:t>
      </w:r>
      <w:r w:rsidRPr="00FF62CC">
        <w:rPr>
          <w:rFonts w:cstheme="minorHAnsi"/>
          <w:sz w:val="21"/>
          <w:szCs w:val="21"/>
          <w:lang w:val="en-AU"/>
        </w:rPr>
        <w:t>It is too early to determine results or effect on improved literacy and numeracy as the participants are still engaged in upgrading courses. Of the seven who have qualified, it is not known if this resulted in them being paid/enrolling in the Certificate in Elementary Teaching. Of note is the fact that 31 of the remaining 37 participants are female.</w:t>
      </w:r>
    </w:p>
    <w:p w14:paraId="763F78DC" w14:textId="77777777" w:rsidR="003C1678" w:rsidRPr="00FF62CC" w:rsidRDefault="003C1678" w:rsidP="00FF62CC">
      <w:pPr>
        <w:pStyle w:val="ListParagraph"/>
        <w:numPr>
          <w:ilvl w:val="0"/>
          <w:numId w:val="95"/>
        </w:numPr>
        <w:spacing w:after="240"/>
        <w:rPr>
          <w:rFonts w:cstheme="minorHAnsi"/>
          <w:sz w:val="21"/>
          <w:szCs w:val="21"/>
          <w:lang w:val="en-AU"/>
        </w:rPr>
      </w:pPr>
      <w:r w:rsidRPr="00FF62CC">
        <w:rPr>
          <w:rFonts w:cstheme="minorHAnsi"/>
          <w:sz w:val="21"/>
          <w:szCs w:val="21"/>
          <w:u w:val="single"/>
          <w:lang w:val="en-AU"/>
        </w:rPr>
        <w:t>ECCE Facilitators Training</w:t>
      </w:r>
      <w:r w:rsidRPr="00FF62CC">
        <w:rPr>
          <w:rFonts w:cstheme="minorHAnsi"/>
          <w:sz w:val="21"/>
          <w:szCs w:val="21"/>
          <w:lang w:val="en-AU"/>
        </w:rPr>
        <w:t>: It is unclear what the results are at this stage of implementation. The investment appears to have been driven in part by baseline findings that suggested children who had attended ECCE programs performed better at literacy and numeracy than children who had not. The results of the mid-line study have provided additional validation of the effect of attendance in ECCE programs on higher levels of literacy and numeracy – however this is also possibly the effect of socio-economic background (ECE centres are fee paying only). Another possible driver may have been early discussions about the government’s interest in supporting ECCD.</w:t>
      </w:r>
    </w:p>
    <w:p w14:paraId="7C0C8F09" w14:textId="77777777" w:rsidR="003C1678" w:rsidRPr="00FF62CC" w:rsidRDefault="003C1678" w:rsidP="00FF62CC">
      <w:pPr>
        <w:pStyle w:val="ListParagraph"/>
        <w:numPr>
          <w:ilvl w:val="0"/>
          <w:numId w:val="95"/>
        </w:numPr>
        <w:spacing w:after="240"/>
        <w:rPr>
          <w:rFonts w:cstheme="minorHAnsi"/>
          <w:sz w:val="21"/>
          <w:szCs w:val="21"/>
          <w:lang w:val="en-AU"/>
        </w:rPr>
      </w:pPr>
      <w:r w:rsidRPr="00FF62CC">
        <w:rPr>
          <w:rFonts w:cstheme="minorHAnsi"/>
          <w:sz w:val="21"/>
          <w:szCs w:val="21"/>
          <w:u w:val="single"/>
          <w:lang w:val="en-AU"/>
        </w:rPr>
        <w:t>Teacher Supervision and Classroom Observation (monitoring)</w:t>
      </w:r>
      <w:r w:rsidRPr="00FF62CC">
        <w:rPr>
          <w:rFonts w:cstheme="minorHAnsi"/>
          <w:sz w:val="21"/>
          <w:szCs w:val="21"/>
          <w:lang w:val="en-AU"/>
        </w:rPr>
        <w:t xml:space="preserve">: The competing demands of delivering training programs and other duties has not permitted adequate monitoring to take place, and in some instances, no monitoring/supervision has taken place for some of the more remote schools. Resource constraints of district and provincial officials have prevented many from performing their functions as school inspectors.  The projects have provided rare opportunities for officials to accompany the program staff and undertake official supervision. Of note is the recent (2018) decision by NDOE to allow district and </w:t>
      </w:r>
      <w:r w:rsidRPr="00FF62CC">
        <w:rPr>
          <w:rFonts w:cstheme="minorHAnsi"/>
          <w:sz w:val="21"/>
          <w:szCs w:val="21"/>
          <w:lang w:val="en-AU"/>
        </w:rPr>
        <w:lastRenderedPageBreak/>
        <w:t>provincial officials to delegate teacher supervision and classroom observation functions to school heads and teachers-in-charge.</w:t>
      </w:r>
    </w:p>
    <w:p w14:paraId="08D83F4A" w14:textId="77777777" w:rsidR="003C1678" w:rsidRPr="00FF62CC" w:rsidRDefault="003C1678" w:rsidP="00FF62CC">
      <w:pPr>
        <w:pStyle w:val="ListParagraph"/>
        <w:numPr>
          <w:ilvl w:val="0"/>
          <w:numId w:val="95"/>
        </w:numPr>
        <w:spacing w:after="240"/>
        <w:rPr>
          <w:rFonts w:cstheme="minorHAnsi"/>
          <w:sz w:val="21"/>
          <w:szCs w:val="21"/>
          <w:lang w:val="en-AU"/>
        </w:rPr>
      </w:pPr>
      <w:r w:rsidRPr="00FF62CC">
        <w:rPr>
          <w:rFonts w:cstheme="minorHAnsi"/>
          <w:sz w:val="21"/>
          <w:szCs w:val="21"/>
          <w:u w:val="single"/>
          <w:lang w:val="en-AU"/>
        </w:rPr>
        <w:t>Resource Teachers</w:t>
      </w:r>
      <w:r w:rsidRPr="00FF62CC">
        <w:rPr>
          <w:rFonts w:cstheme="minorHAnsi"/>
          <w:sz w:val="21"/>
          <w:szCs w:val="21"/>
          <w:lang w:val="en-AU"/>
        </w:rPr>
        <w:t xml:space="preserve"> (WV/</w:t>
      </w:r>
      <w:proofErr w:type="spellStart"/>
      <w:r w:rsidRPr="00FF62CC">
        <w:rPr>
          <w:rFonts w:cstheme="minorHAnsi"/>
          <w:sz w:val="21"/>
          <w:szCs w:val="21"/>
          <w:lang w:val="en-AU"/>
        </w:rPr>
        <w:t>ChildFund</w:t>
      </w:r>
      <w:proofErr w:type="spellEnd"/>
      <w:r w:rsidRPr="00FF62CC">
        <w:rPr>
          <w:rFonts w:cstheme="minorHAnsi"/>
          <w:sz w:val="21"/>
          <w:szCs w:val="21"/>
          <w:lang w:val="en-AU"/>
        </w:rPr>
        <w:t>): During the training of teachers, there is an effort to identify a teacher who has the potential to coach other teachers. While the concept is sound, there have been limited results to date, due to a combination of small ‘p’ political, structural and cultural issues which impede the intended coaching of other teachers in the same school or within a ‘cluster’ of schools despite their improved abilit</w:t>
      </w:r>
      <w:r w:rsidR="0064493A" w:rsidRPr="00FF62CC">
        <w:rPr>
          <w:rFonts w:cstheme="minorHAnsi"/>
          <w:sz w:val="21"/>
          <w:szCs w:val="21"/>
          <w:lang w:val="en-AU"/>
        </w:rPr>
        <w:t>ies</w:t>
      </w:r>
      <w:r w:rsidRPr="00FF62CC">
        <w:rPr>
          <w:rFonts w:cstheme="minorHAnsi"/>
          <w:sz w:val="21"/>
          <w:szCs w:val="21"/>
          <w:lang w:val="en-AU"/>
        </w:rPr>
        <w:t>.</w:t>
      </w:r>
    </w:p>
    <w:p w14:paraId="6B00A676" w14:textId="77777777" w:rsidR="003C1678" w:rsidRPr="00FF62CC" w:rsidRDefault="003C1678" w:rsidP="00FF62CC">
      <w:pPr>
        <w:pStyle w:val="ListParagraph"/>
        <w:numPr>
          <w:ilvl w:val="0"/>
          <w:numId w:val="95"/>
        </w:numPr>
        <w:spacing w:after="240"/>
        <w:rPr>
          <w:rFonts w:cstheme="minorHAnsi"/>
          <w:sz w:val="21"/>
          <w:szCs w:val="21"/>
          <w:lang w:val="en-AU"/>
        </w:rPr>
      </w:pPr>
      <w:r w:rsidRPr="00FF62CC">
        <w:rPr>
          <w:rFonts w:cstheme="minorHAnsi"/>
          <w:sz w:val="21"/>
          <w:szCs w:val="21"/>
          <w:u w:val="single"/>
          <w:lang w:val="en-AU"/>
        </w:rPr>
        <w:t>Peer (Professional) Learning Circles</w:t>
      </w:r>
      <w:r w:rsidRPr="00FF62CC">
        <w:rPr>
          <w:rFonts w:cstheme="minorHAnsi"/>
          <w:sz w:val="21"/>
          <w:szCs w:val="21"/>
          <w:lang w:val="en-AU"/>
        </w:rPr>
        <w:t xml:space="preserve"> (</w:t>
      </w:r>
      <w:proofErr w:type="spellStart"/>
      <w:r w:rsidRPr="00FF62CC">
        <w:rPr>
          <w:rFonts w:cstheme="minorHAnsi"/>
          <w:sz w:val="21"/>
          <w:szCs w:val="21"/>
          <w:lang w:val="en-AU"/>
        </w:rPr>
        <w:t>StC</w:t>
      </w:r>
      <w:proofErr w:type="spellEnd"/>
      <w:r w:rsidRPr="00FF62CC">
        <w:rPr>
          <w:rFonts w:cstheme="minorHAnsi"/>
          <w:sz w:val="21"/>
          <w:szCs w:val="21"/>
          <w:lang w:val="en-AU"/>
        </w:rPr>
        <w:t>): A strategy to help organize teachers to learn from other teachers within the same school. There are limited results to date – perhaps for reasons similar to why the Resource Teacher concept has not been adopted and practiced.</w:t>
      </w:r>
    </w:p>
    <w:p w14:paraId="12FEFFFF" w14:textId="77777777" w:rsidR="003C1678" w:rsidRPr="00FF62CC" w:rsidRDefault="003C1678" w:rsidP="003C1678">
      <w:pPr>
        <w:pStyle w:val="ListParagraph"/>
        <w:spacing w:after="240"/>
        <w:ind w:left="1620"/>
        <w:rPr>
          <w:rFonts w:cstheme="minorHAnsi"/>
          <w:sz w:val="21"/>
          <w:szCs w:val="21"/>
          <w:lang w:val="en-AU"/>
        </w:rPr>
      </w:pPr>
    </w:p>
    <w:p w14:paraId="5BAF8851" w14:textId="77777777" w:rsidR="003C1678" w:rsidRPr="00FF62CC" w:rsidRDefault="003C1678" w:rsidP="00FF62CC">
      <w:pPr>
        <w:pStyle w:val="ListParagraph"/>
        <w:numPr>
          <w:ilvl w:val="0"/>
          <w:numId w:val="77"/>
        </w:numPr>
        <w:spacing w:after="240"/>
        <w:ind w:left="1260"/>
        <w:rPr>
          <w:rFonts w:cstheme="minorHAnsi"/>
          <w:b/>
          <w:bCs/>
          <w:sz w:val="21"/>
          <w:szCs w:val="21"/>
          <w:lang w:val="en-AU"/>
        </w:rPr>
      </w:pPr>
      <w:r w:rsidRPr="00FF62CC">
        <w:rPr>
          <w:rFonts w:cstheme="minorHAnsi"/>
          <w:b/>
          <w:bCs/>
          <w:sz w:val="21"/>
          <w:szCs w:val="21"/>
          <w:u w:val="single"/>
          <w:lang w:val="en-AU"/>
        </w:rPr>
        <w:t>Teaching and Learning Resources</w:t>
      </w:r>
      <w:r w:rsidRPr="00FF62CC">
        <w:rPr>
          <w:rFonts w:cstheme="minorHAnsi"/>
          <w:b/>
          <w:bCs/>
          <w:sz w:val="21"/>
          <w:szCs w:val="21"/>
          <w:lang w:val="en-AU"/>
        </w:rPr>
        <w:t xml:space="preserve">: </w:t>
      </w:r>
    </w:p>
    <w:p w14:paraId="780D6B7B" w14:textId="77777777" w:rsidR="003C1678" w:rsidRPr="00FF62CC" w:rsidRDefault="003C1678" w:rsidP="00FF62CC">
      <w:pPr>
        <w:pStyle w:val="ListParagraph"/>
        <w:numPr>
          <w:ilvl w:val="0"/>
          <w:numId w:val="96"/>
        </w:numPr>
        <w:spacing w:after="240"/>
        <w:rPr>
          <w:rFonts w:cstheme="minorHAnsi"/>
          <w:sz w:val="21"/>
          <w:szCs w:val="21"/>
          <w:lang w:val="en-AU"/>
        </w:rPr>
      </w:pPr>
      <w:r w:rsidRPr="00FF62CC">
        <w:rPr>
          <w:rFonts w:cstheme="minorHAnsi"/>
          <w:sz w:val="21"/>
          <w:szCs w:val="21"/>
          <w:u w:val="single"/>
          <w:lang w:val="en-AU"/>
        </w:rPr>
        <w:t>SBC Teacher Guides</w:t>
      </w:r>
      <w:r w:rsidRPr="00FF62CC">
        <w:rPr>
          <w:rFonts w:cstheme="minorHAnsi"/>
          <w:sz w:val="21"/>
          <w:szCs w:val="21"/>
          <w:lang w:val="en-AU"/>
        </w:rPr>
        <w:t xml:space="preserve">: CARE provided SBC Teacher Guides as part of the teacher training program – partly the result of the baseline finding that many teachers did not have the Teacher Guides and partly to avoid training delivery challenges (if teachers did not bring their guides to the training). Teacher Guides for the STC have also been loaded onto SD cards and provided to teachers, but it is not yet known if these SD cards are being used. In the case of </w:t>
      </w:r>
      <w:proofErr w:type="spellStart"/>
      <w:r w:rsidRPr="00FF62CC">
        <w:rPr>
          <w:rFonts w:cstheme="minorHAnsi"/>
          <w:sz w:val="21"/>
          <w:szCs w:val="21"/>
          <w:lang w:val="en-AU"/>
        </w:rPr>
        <w:t>StC</w:t>
      </w:r>
      <w:proofErr w:type="spellEnd"/>
      <w:r w:rsidRPr="00FF62CC">
        <w:rPr>
          <w:rFonts w:cstheme="minorHAnsi"/>
          <w:sz w:val="21"/>
          <w:szCs w:val="21"/>
          <w:lang w:val="en-AU"/>
        </w:rPr>
        <w:t>, they had offered to distribute the Teacher Guides, but did not proceed as they were advised that they would have to pay the district to deliver them.</w:t>
      </w:r>
    </w:p>
    <w:p w14:paraId="35E148A4" w14:textId="77777777" w:rsidR="003C1678" w:rsidRPr="00FF62CC" w:rsidRDefault="003C1678" w:rsidP="00FF62CC">
      <w:pPr>
        <w:pStyle w:val="ListParagraph"/>
        <w:numPr>
          <w:ilvl w:val="0"/>
          <w:numId w:val="96"/>
        </w:numPr>
        <w:spacing w:after="240"/>
        <w:rPr>
          <w:rFonts w:cstheme="minorHAnsi"/>
          <w:sz w:val="21"/>
          <w:szCs w:val="21"/>
          <w:lang w:val="en-AU"/>
        </w:rPr>
      </w:pPr>
      <w:r w:rsidRPr="00FF62CC">
        <w:rPr>
          <w:rFonts w:cstheme="minorHAnsi"/>
          <w:sz w:val="21"/>
          <w:szCs w:val="21"/>
          <w:u w:val="single"/>
          <w:lang w:val="en-AU"/>
        </w:rPr>
        <w:t>Literacy/Numeracy Specific</w:t>
      </w:r>
      <w:r w:rsidRPr="00FF62CC">
        <w:rPr>
          <w:rFonts w:cstheme="minorHAnsi"/>
          <w:sz w:val="21"/>
          <w:szCs w:val="21"/>
          <w:lang w:val="en-AU"/>
        </w:rPr>
        <w:t xml:space="preserve">: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has had considerable experience with the Literacy and Numeracy Boost program and adapted this for the 2018 teacher training.  The program was further adapted for 2019. WV/</w:t>
      </w:r>
      <w:proofErr w:type="spellStart"/>
      <w:r w:rsidRPr="00FF62CC">
        <w:rPr>
          <w:rFonts w:cstheme="minorHAnsi"/>
          <w:sz w:val="21"/>
          <w:szCs w:val="21"/>
          <w:lang w:val="en-AU"/>
        </w:rPr>
        <w:t>ChildFund</w:t>
      </w:r>
      <w:proofErr w:type="spellEnd"/>
      <w:r w:rsidRPr="00FF62CC">
        <w:rPr>
          <w:rFonts w:cstheme="minorHAnsi"/>
          <w:sz w:val="21"/>
          <w:szCs w:val="21"/>
          <w:lang w:val="en-AU"/>
        </w:rPr>
        <w:t xml:space="preserve"> used ‘Literacy Unlocked’ – a modified version of Literacy Boost in the 2018 teacher training program, and revised it for the 2019 training of teachers - removing much of the content to align with the SBC. CARE provided no additional resources specific to improve literacy and numeracy – relying on the SBC Teacher Guides.</w:t>
      </w:r>
    </w:p>
    <w:p w14:paraId="1EAC9844" w14:textId="4E0A29A2" w:rsidR="003C1678" w:rsidRPr="00FF62CC" w:rsidRDefault="003C1678" w:rsidP="00FF62CC">
      <w:pPr>
        <w:pStyle w:val="ListParagraph"/>
        <w:numPr>
          <w:ilvl w:val="0"/>
          <w:numId w:val="96"/>
        </w:numPr>
        <w:spacing w:after="240"/>
        <w:rPr>
          <w:rFonts w:cstheme="minorHAnsi"/>
          <w:sz w:val="21"/>
          <w:szCs w:val="21"/>
          <w:lang w:val="en-AU"/>
        </w:rPr>
      </w:pPr>
      <w:proofErr w:type="spellStart"/>
      <w:r w:rsidRPr="00FF62CC">
        <w:rPr>
          <w:rFonts w:cstheme="minorHAnsi"/>
          <w:sz w:val="21"/>
          <w:szCs w:val="21"/>
          <w:u w:val="single"/>
          <w:lang w:val="en-AU"/>
        </w:rPr>
        <w:t>Bilum</w:t>
      </w:r>
      <w:proofErr w:type="spellEnd"/>
      <w:r w:rsidRPr="00FF62CC">
        <w:rPr>
          <w:rFonts w:cstheme="minorHAnsi"/>
          <w:sz w:val="21"/>
          <w:szCs w:val="21"/>
          <w:u w:val="single"/>
          <w:lang w:val="en-AU"/>
        </w:rPr>
        <w:t xml:space="preserve"> Books: </w:t>
      </w:r>
      <w:r w:rsidRPr="00FF62CC">
        <w:rPr>
          <w:rFonts w:cstheme="minorHAnsi"/>
          <w:sz w:val="21"/>
          <w:szCs w:val="21"/>
          <w:lang w:val="en-AU"/>
        </w:rPr>
        <w:t>These are good quality resources</w:t>
      </w:r>
      <w:r w:rsidR="00F2213E" w:rsidRPr="00FF62CC">
        <w:rPr>
          <w:rFonts w:cstheme="minorHAnsi"/>
          <w:sz w:val="21"/>
          <w:szCs w:val="21"/>
          <w:lang w:val="en-AU"/>
        </w:rPr>
        <w:t xml:space="preserve"> </w:t>
      </w:r>
      <w:r w:rsidRPr="00FF62CC">
        <w:rPr>
          <w:rFonts w:cstheme="minorHAnsi"/>
          <w:sz w:val="21"/>
          <w:szCs w:val="21"/>
          <w:lang w:val="en-AU"/>
        </w:rPr>
        <w:t xml:space="preserve">aligned with the SBC and approved by the NDOE Board of Studies. WV provide </w:t>
      </w:r>
      <w:proofErr w:type="spellStart"/>
      <w:r w:rsidRPr="00FF62CC">
        <w:rPr>
          <w:rFonts w:cstheme="minorHAnsi"/>
          <w:sz w:val="21"/>
          <w:szCs w:val="21"/>
          <w:lang w:val="en-AU"/>
        </w:rPr>
        <w:t>Bilum</w:t>
      </w:r>
      <w:proofErr w:type="spellEnd"/>
      <w:r w:rsidRPr="00FF62CC">
        <w:rPr>
          <w:rFonts w:cstheme="minorHAnsi"/>
          <w:sz w:val="21"/>
          <w:szCs w:val="21"/>
          <w:lang w:val="en-AU"/>
        </w:rPr>
        <w:t xml:space="preserve"> Books to teachers trained as part of their Teacher Resource Kit, and CARE is piloting their use in </w:t>
      </w:r>
      <w:r w:rsidR="00F2213E" w:rsidRPr="00FF62CC">
        <w:rPr>
          <w:rFonts w:cstheme="minorHAnsi"/>
          <w:sz w:val="21"/>
          <w:szCs w:val="21"/>
          <w:lang w:val="en-AU"/>
        </w:rPr>
        <w:t>two</w:t>
      </w:r>
      <w:r w:rsidRPr="00FF62CC">
        <w:rPr>
          <w:rFonts w:cstheme="minorHAnsi"/>
          <w:sz w:val="21"/>
          <w:szCs w:val="21"/>
          <w:lang w:val="en-AU"/>
        </w:rPr>
        <w:t xml:space="preserve"> sites in </w:t>
      </w:r>
      <w:proofErr w:type="spellStart"/>
      <w:r w:rsidRPr="00FF62CC">
        <w:rPr>
          <w:rFonts w:cstheme="minorHAnsi"/>
          <w:sz w:val="21"/>
          <w:szCs w:val="21"/>
          <w:lang w:val="en-AU"/>
        </w:rPr>
        <w:t>Simbu</w:t>
      </w:r>
      <w:proofErr w:type="spellEnd"/>
      <w:r w:rsidRPr="00FF62CC">
        <w:rPr>
          <w:rFonts w:cstheme="minorHAnsi"/>
          <w:sz w:val="21"/>
          <w:szCs w:val="21"/>
          <w:lang w:val="en-AU"/>
        </w:rPr>
        <w:t xml:space="preserve">. There has been positive feedback on these resources, with </w:t>
      </w:r>
      <w:proofErr w:type="spellStart"/>
      <w:r w:rsidRPr="00FF62CC">
        <w:rPr>
          <w:rFonts w:cstheme="minorHAnsi"/>
          <w:sz w:val="21"/>
          <w:szCs w:val="21"/>
          <w:lang w:val="en-AU"/>
        </w:rPr>
        <w:t>PDoE</w:t>
      </w:r>
      <w:proofErr w:type="spellEnd"/>
      <w:r w:rsidRPr="00FF62CC">
        <w:rPr>
          <w:rFonts w:cstheme="minorHAnsi"/>
          <w:sz w:val="21"/>
          <w:szCs w:val="21"/>
          <w:lang w:val="en-AU"/>
        </w:rPr>
        <w:t xml:space="preserve"> in Central Province expressing a desire to request more using provincial resources.</w:t>
      </w:r>
    </w:p>
    <w:p w14:paraId="5E5A36A1" w14:textId="77777777" w:rsidR="003C1678" w:rsidRPr="00FF62CC" w:rsidRDefault="003C1678" w:rsidP="00FF62CC">
      <w:pPr>
        <w:pStyle w:val="ListParagraph"/>
        <w:numPr>
          <w:ilvl w:val="0"/>
          <w:numId w:val="96"/>
        </w:numPr>
        <w:spacing w:after="240"/>
        <w:rPr>
          <w:rFonts w:cstheme="minorHAnsi"/>
          <w:sz w:val="21"/>
          <w:szCs w:val="21"/>
          <w:lang w:val="en-AU"/>
        </w:rPr>
      </w:pPr>
      <w:r w:rsidRPr="00FF62CC">
        <w:rPr>
          <w:rFonts w:cstheme="minorHAnsi"/>
          <w:sz w:val="21"/>
          <w:szCs w:val="21"/>
          <w:u w:val="single"/>
          <w:lang w:val="en-AU"/>
        </w:rPr>
        <w:t xml:space="preserve">Teacher training videos: </w:t>
      </w:r>
      <w:r w:rsidRPr="00FF62CC">
        <w:rPr>
          <w:rFonts w:cstheme="minorHAnsi"/>
          <w:sz w:val="21"/>
          <w:szCs w:val="21"/>
          <w:lang w:val="en-AU"/>
        </w:rPr>
        <w:t>on how to teach SBC have been produced, approved by Teacher Education Division of NDOE and distributed (on SD cards) by WV, however it is – not yet clear the extent to which they are utilised by teachers.</w:t>
      </w:r>
    </w:p>
    <w:p w14:paraId="45EE94BB" w14:textId="77777777" w:rsidR="003C1678" w:rsidRPr="00FF62CC" w:rsidRDefault="003C1678" w:rsidP="00FF62CC">
      <w:pPr>
        <w:pStyle w:val="ListParagraph"/>
        <w:numPr>
          <w:ilvl w:val="0"/>
          <w:numId w:val="96"/>
        </w:numPr>
        <w:spacing w:after="240"/>
        <w:rPr>
          <w:rFonts w:cstheme="minorHAnsi"/>
          <w:sz w:val="21"/>
          <w:szCs w:val="21"/>
          <w:lang w:val="en-AU"/>
        </w:rPr>
      </w:pPr>
      <w:r w:rsidRPr="00FF62CC">
        <w:rPr>
          <w:rFonts w:cstheme="minorHAnsi"/>
          <w:sz w:val="21"/>
          <w:szCs w:val="21"/>
          <w:u w:val="single"/>
          <w:lang w:val="en-AU"/>
        </w:rPr>
        <w:t>Education for Life</w:t>
      </w:r>
      <w:r w:rsidRPr="00FF62CC">
        <w:rPr>
          <w:rFonts w:cstheme="minorHAnsi"/>
          <w:sz w:val="21"/>
          <w:szCs w:val="21"/>
          <w:lang w:val="en-AU"/>
        </w:rPr>
        <w:t xml:space="preserve">: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worked with the Summer Institute of Linguistics (SIL) to implement 10 pilots of the Bloom Reader projector/solar panel kits in each of their three provinces.  While there have been some technical and ‘operator error’ issues, the pilots appear to have a high level of interest from students. Importantly, 50% of the stories in the Bloom Reader/Education for Life pilot are aligned with the weekly stories provided in the SBC.</w:t>
      </w:r>
    </w:p>
    <w:p w14:paraId="6CCCA665" w14:textId="77777777" w:rsidR="003C1678" w:rsidRPr="00FF62CC" w:rsidRDefault="003C1678" w:rsidP="00FF62CC">
      <w:pPr>
        <w:pStyle w:val="ListParagraph"/>
        <w:numPr>
          <w:ilvl w:val="0"/>
          <w:numId w:val="96"/>
        </w:numPr>
        <w:spacing w:after="240"/>
        <w:rPr>
          <w:rFonts w:cstheme="minorHAnsi"/>
          <w:sz w:val="21"/>
          <w:szCs w:val="21"/>
          <w:lang w:val="en-AU"/>
        </w:rPr>
      </w:pPr>
      <w:r w:rsidRPr="00FF62CC">
        <w:rPr>
          <w:rFonts w:cstheme="minorHAnsi"/>
          <w:sz w:val="21"/>
          <w:szCs w:val="21"/>
          <w:u w:val="single"/>
          <w:lang w:val="en-AU"/>
        </w:rPr>
        <w:t xml:space="preserve">Bloom Reader: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worked with SIL to utilise an app for providing reading material on mobile phones. While there is data on the uptake of the app, it is not yet known how well used the app is as the library is being transferred and used off line, reducing access to app use analytics. Good collaboration between consortia to develop voice application for visually impaired students and sign language application for deaf students has occurred, and this has been extended to the Library for All program (see below).</w:t>
      </w:r>
    </w:p>
    <w:p w14:paraId="02185014" w14:textId="77777777" w:rsidR="003C1678" w:rsidRPr="00FF62CC" w:rsidRDefault="003C1678" w:rsidP="00FF62CC">
      <w:pPr>
        <w:pStyle w:val="ListParagraph"/>
        <w:numPr>
          <w:ilvl w:val="0"/>
          <w:numId w:val="96"/>
        </w:numPr>
        <w:spacing w:after="240"/>
        <w:rPr>
          <w:rFonts w:cstheme="minorHAnsi"/>
          <w:sz w:val="21"/>
          <w:szCs w:val="21"/>
          <w:lang w:val="en-AU"/>
        </w:rPr>
      </w:pPr>
      <w:r w:rsidRPr="00FF62CC">
        <w:rPr>
          <w:rFonts w:cstheme="minorHAnsi"/>
          <w:sz w:val="21"/>
          <w:szCs w:val="21"/>
          <w:u w:val="single"/>
          <w:lang w:val="en-AU"/>
        </w:rPr>
        <w:t xml:space="preserve">Library for All </w:t>
      </w:r>
      <w:r w:rsidRPr="00FF62CC">
        <w:rPr>
          <w:rFonts w:cstheme="minorHAnsi"/>
          <w:sz w:val="21"/>
          <w:szCs w:val="21"/>
          <w:lang w:val="en-AU"/>
        </w:rPr>
        <w:t xml:space="preserve">(WV consortia): have produced over 500 locally written, high quality readers for early grades. They are not particularly aligned to the SBC but provide good exposure to books. They have been produced in both print and electronic form. The e-versions are being trialled in four sites per province (AUD 7700 per kit of 40 tablets – with multiple children using each tablet). The books in tablet form are potentially being underutilised in the </w:t>
      </w:r>
      <w:r w:rsidRPr="00FF62CC">
        <w:rPr>
          <w:rFonts w:cstheme="minorHAnsi"/>
          <w:sz w:val="21"/>
          <w:szCs w:val="21"/>
          <w:lang w:val="en-AU"/>
        </w:rPr>
        <w:lastRenderedPageBreak/>
        <w:t xml:space="preserve">schools due to lack of power for charging, teachers lack </w:t>
      </w:r>
      <w:r w:rsidR="00A07B4A" w:rsidRPr="00FF62CC">
        <w:rPr>
          <w:rFonts w:cstheme="minorHAnsi"/>
          <w:sz w:val="21"/>
          <w:szCs w:val="21"/>
          <w:lang w:val="en-AU"/>
        </w:rPr>
        <w:t>the abili</w:t>
      </w:r>
      <w:r w:rsidRPr="00FF62CC">
        <w:rPr>
          <w:rFonts w:cstheme="minorHAnsi"/>
          <w:sz w:val="21"/>
          <w:szCs w:val="21"/>
          <w:lang w:val="en-AU"/>
        </w:rPr>
        <w:t xml:space="preserve">ty to integrate it into the SBC curricula time allocation, and their failure to innovate with the resource (i.e. extra-curricular reading). 55,000 print books have been supplied to CARE for their Reading Corners, which were recently distributed following a one-day training for teachers. The </w:t>
      </w:r>
      <w:proofErr w:type="spellStart"/>
      <w:r w:rsidRPr="00FF62CC">
        <w:rPr>
          <w:rFonts w:cstheme="minorHAnsi"/>
          <w:sz w:val="21"/>
          <w:szCs w:val="21"/>
          <w:lang w:val="en-AU"/>
        </w:rPr>
        <w:t>LfA</w:t>
      </w:r>
      <w:proofErr w:type="spellEnd"/>
      <w:r w:rsidRPr="00FF62CC">
        <w:rPr>
          <w:rFonts w:cstheme="minorHAnsi"/>
          <w:sz w:val="21"/>
          <w:szCs w:val="21"/>
          <w:lang w:val="en-AU"/>
        </w:rPr>
        <w:t xml:space="preserve"> books have been attributed to higher English comprehension results in treatment schools at midline, though these findings cannot yet be correlated specifically to the e-versions.</w:t>
      </w:r>
    </w:p>
    <w:p w14:paraId="79C4CB94" w14:textId="77777777" w:rsidR="003C1678" w:rsidRPr="00FF62CC" w:rsidRDefault="003C1678" w:rsidP="00FF62CC">
      <w:pPr>
        <w:pStyle w:val="ListParagraph"/>
        <w:numPr>
          <w:ilvl w:val="0"/>
          <w:numId w:val="96"/>
        </w:numPr>
        <w:spacing w:after="240"/>
        <w:rPr>
          <w:rFonts w:cstheme="minorHAnsi"/>
          <w:sz w:val="21"/>
          <w:szCs w:val="21"/>
          <w:lang w:val="en-AU"/>
        </w:rPr>
      </w:pPr>
      <w:r w:rsidRPr="00FF62CC">
        <w:rPr>
          <w:rFonts w:cstheme="minorHAnsi"/>
          <w:sz w:val="21"/>
          <w:szCs w:val="21"/>
          <w:u w:val="single"/>
          <w:lang w:val="en-AU"/>
        </w:rPr>
        <w:t>ECCE materials</w:t>
      </w:r>
      <w:r w:rsidRPr="00FF62CC">
        <w:rPr>
          <w:rFonts w:cstheme="minorHAnsi"/>
          <w:sz w:val="21"/>
          <w:szCs w:val="21"/>
          <w:lang w:val="en-AU"/>
        </w:rPr>
        <w:t xml:space="preserve">: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produced and provided materials as part of their ECE training (unclear if these are modified Literacy and Numeracy Boost materials) and provided them to 90 ECE centres. The use and effects of these is not yet known as their International Development </w:t>
      </w:r>
      <w:r w:rsidR="00A0689C" w:rsidRPr="00FF62CC">
        <w:rPr>
          <w:rFonts w:cstheme="minorHAnsi"/>
          <w:sz w:val="21"/>
          <w:szCs w:val="21"/>
          <w:lang w:val="en-AU"/>
        </w:rPr>
        <w:t xml:space="preserve">and </w:t>
      </w:r>
      <w:r w:rsidRPr="00FF62CC">
        <w:rPr>
          <w:rFonts w:cstheme="minorHAnsi"/>
          <w:sz w:val="21"/>
          <w:szCs w:val="21"/>
          <w:lang w:val="en-AU"/>
        </w:rPr>
        <w:t>Early Learning Assessment (IDELA) data has not yet been collected at midline.</w:t>
      </w:r>
    </w:p>
    <w:p w14:paraId="0DC2F571" w14:textId="77777777" w:rsidR="003C1678" w:rsidRPr="00FF62CC" w:rsidRDefault="003C1678" w:rsidP="003C1678">
      <w:pPr>
        <w:pStyle w:val="ListParagraph"/>
        <w:spacing w:after="240"/>
        <w:ind w:left="1620"/>
        <w:rPr>
          <w:rFonts w:cstheme="minorHAnsi"/>
          <w:sz w:val="21"/>
          <w:szCs w:val="21"/>
          <w:lang w:val="en-AU"/>
        </w:rPr>
      </w:pPr>
    </w:p>
    <w:p w14:paraId="0B4EA03C" w14:textId="77777777" w:rsidR="003C1678" w:rsidRPr="00FF62CC" w:rsidRDefault="003C1678" w:rsidP="00FF62CC">
      <w:pPr>
        <w:pStyle w:val="ListParagraph"/>
        <w:numPr>
          <w:ilvl w:val="0"/>
          <w:numId w:val="77"/>
        </w:numPr>
        <w:spacing w:after="240"/>
        <w:ind w:left="1260"/>
        <w:rPr>
          <w:rFonts w:cstheme="minorHAnsi"/>
          <w:b/>
          <w:bCs/>
          <w:sz w:val="21"/>
          <w:szCs w:val="21"/>
          <w:lang w:val="en-AU"/>
        </w:rPr>
      </w:pPr>
      <w:r w:rsidRPr="00FF62CC">
        <w:rPr>
          <w:rFonts w:cstheme="minorHAnsi"/>
          <w:b/>
          <w:bCs/>
          <w:sz w:val="21"/>
          <w:szCs w:val="21"/>
          <w:u w:val="single"/>
          <w:lang w:val="en-AU"/>
        </w:rPr>
        <w:t>Inclusive Education</w:t>
      </w:r>
      <w:r w:rsidRPr="00FF62CC">
        <w:rPr>
          <w:rFonts w:cstheme="minorHAnsi"/>
          <w:b/>
          <w:bCs/>
          <w:sz w:val="21"/>
          <w:szCs w:val="21"/>
          <w:lang w:val="en-AU"/>
        </w:rPr>
        <w:t xml:space="preserve">: </w:t>
      </w:r>
    </w:p>
    <w:p w14:paraId="6265C967" w14:textId="77777777" w:rsidR="003C1678" w:rsidRPr="00FF62CC" w:rsidRDefault="003C1678" w:rsidP="00FF62CC">
      <w:pPr>
        <w:pStyle w:val="ListParagraph"/>
        <w:numPr>
          <w:ilvl w:val="0"/>
          <w:numId w:val="97"/>
        </w:numPr>
        <w:spacing w:after="240"/>
        <w:rPr>
          <w:rFonts w:cstheme="minorHAnsi"/>
          <w:sz w:val="21"/>
          <w:szCs w:val="21"/>
          <w:lang w:val="en-AU"/>
        </w:rPr>
      </w:pPr>
      <w:proofErr w:type="spellStart"/>
      <w:r w:rsidRPr="00FF62CC">
        <w:rPr>
          <w:rFonts w:cstheme="minorHAnsi"/>
          <w:sz w:val="21"/>
          <w:szCs w:val="21"/>
          <w:lang w:val="en-AU"/>
        </w:rPr>
        <w:t>StC</w:t>
      </w:r>
      <w:proofErr w:type="spellEnd"/>
      <w:r w:rsidRPr="00FF62CC">
        <w:rPr>
          <w:rFonts w:cstheme="minorHAnsi"/>
          <w:sz w:val="21"/>
          <w:szCs w:val="21"/>
          <w:lang w:val="en-AU"/>
        </w:rPr>
        <w:t xml:space="preserve">, based on information from the baseline that there was reasonable gender equity in the early grades and in consideration of the many issues affecting the education of girls, decided to shift their invention from girls’ education to targeting the inclusion of more children with a disability in mainstream elementary schools. Due to the complexity of dealing with children with disability, the indicator and the target will need to be revised. Callan Services, the consortia partners working with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noted that the efforts to increase awareness and understanding to encourage children with disability to go to school was ‘a blessing and a pain’ – a blessing in that there was now greater awareness and families were seeking their assistance, and a pain since the need was outstripping their ability to respond. There is a need to determine the intention of this intervention in relation to improved literacy and numeracy – although the Bloom Reader app can now reach learners with visual or hearing impairments. The Reach and Match kits, designed to enable the participation of children with various forms of disability in the game-oriented learning that helps prepare them for mainstream school seem to be well-received and used.</w:t>
      </w:r>
    </w:p>
    <w:p w14:paraId="75EC69AE" w14:textId="724DBD2B" w:rsidR="003C1678" w:rsidRPr="00FF62CC" w:rsidRDefault="003C1678" w:rsidP="00FF62CC">
      <w:pPr>
        <w:pStyle w:val="ListParagraph"/>
        <w:numPr>
          <w:ilvl w:val="0"/>
          <w:numId w:val="97"/>
        </w:numPr>
        <w:spacing w:after="240"/>
        <w:rPr>
          <w:rFonts w:cstheme="minorHAnsi"/>
          <w:sz w:val="21"/>
          <w:szCs w:val="21"/>
          <w:lang w:val="en-AU"/>
        </w:rPr>
      </w:pPr>
      <w:r w:rsidRPr="00FF62CC">
        <w:rPr>
          <w:rFonts w:cstheme="minorHAnsi"/>
          <w:sz w:val="21"/>
          <w:szCs w:val="21"/>
          <w:lang w:val="en-AU"/>
        </w:rPr>
        <w:t>CARE is working with 12 communities to provide leadership training to increase girls’ enrolment and participation in education. With only module one (of five) delivered, there is not yet evidence as to the effect of this training on supporting girls to go to school. Also noted is CARE’s support to 31 women (of 37) to upgrade their academic qualification for matriculation (see also section on Teacher Development above)</w:t>
      </w:r>
      <w:r w:rsidR="00F2213E" w:rsidRPr="00FF62CC">
        <w:rPr>
          <w:rFonts w:cstheme="minorHAnsi"/>
          <w:sz w:val="21"/>
          <w:szCs w:val="21"/>
          <w:lang w:val="en-AU"/>
        </w:rPr>
        <w:t>.</w:t>
      </w:r>
    </w:p>
    <w:p w14:paraId="099F1C52" w14:textId="77777777" w:rsidR="003C1678" w:rsidRPr="00FF62CC" w:rsidRDefault="003C1678" w:rsidP="00FF62CC">
      <w:pPr>
        <w:pStyle w:val="ListParagraph"/>
        <w:numPr>
          <w:ilvl w:val="0"/>
          <w:numId w:val="97"/>
        </w:numPr>
        <w:spacing w:after="240"/>
        <w:rPr>
          <w:rFonts w:cstheme="minorHAnsi"/>
          <w:sz w:val="21"/>
          <w:szCs w:val="21"/>
          <w:lang w:val="en-AU"/>
        </w:rPr>
      </w:pPr>
      <w:r w:rsidRPr="00FF62CC">
        <w:rPr>
          <w:rFonts w:cstheme="minorHAnsi"/>
          <w:sz w:val="21"/>
          <w:szCs w:val="21"/>
          <w:lang w:val="en-AU"/>
        </w:rPr>
        <w:t>All consortia have integrated inclusion of gender and disability as topics that are part of both teacher and leadership training, thus adopting an integrated mainstream approach to gender and disability inclusion.  There appears to be a need to revisit the indicators and targets that have been proposed for gender and disability in the various M&amp;E plans to determine if they are still meaningful based on a less direct, mainstream approach to achieving them.</w:t>
      </w:r>
    </w:p>
    <w:p w14:paraId="380E1CAD" w14:textId="77777777" w:rsidR="003C1678" w:rsidRPr="00FF62CC" w:rsidRDefault="003C1678" w:rsidP="003C1678">
      <w:pPr>
        <w:pStyle w:val="ListParagraph"/>
        <w:spacing w:after="240"/>
        <w:ind w:left="1260"/>
        <w:rPr>
          <w:rFonts w:cstheme="minorHAnsi"/>
          <w:b/>
          <w:bCs/>
          <w:sz w:val="21"/>
          <w:szCs w:val="21"/>
          <w:lang w:val="en-AU"/>
        </w:rPr>
      </w:pPr>
    </w:p>
    <w:p w14:paraId="106EFD1B" w14:textId="77777777" w:rsidR="003C1678" w:rsidRPr="00FF62CC" w:rsidRDefault="003C1678" w:rsidP="00FF62CC">
      <w:pPr>
        <w:pStyle w:val="ListParagraph"/>
        <w:numPr>
          <w:ilvl w:val="0"/>
          <w:numId w:val="77"/>
        </w:numPr>
        <w:spacing w:after="240"/>
        <w:ind w:left="1260"/>
        <w:rPr>
          <w:rFonts w:cstheme="minorHAnsi"/>
          <w:b/>
          <w:bCs/>
          <w:sz w:val="21"/>
          <w:szCs w:val="21"/>
          <w:lang w:val="en-AU"/>
        </w:rPr>
      </w:pPr>
      <w:r w:rsidRPr="00FF62CC">
        <w:rPr>
          <w:rFonts w:cstheme="minorHAnsi"/>
          <w:b/>
          <w:bCs/>
          <w:sz w:val="21"/>
          <w:szCs w:val="21"/>
          <w:u w:val="single"/>
          <w:lang w:val="en-AU"/>
        </w:rPr>
        <w:t>Community Outreach/Extra-curricular/Parent and caregiver involvement</w:t>
      </w:r>
      <w:r w:rsidRPr="00FF62CC">
        <w:rPr>
          <w:rFonts w:cstheme="minorHAnsi"/>
          <w:b/>
          <w:bCs/>
          <w:sz w:val="21"/>
          <w:szCs w:val="21"/>
          <w:lang w:val="en-AU"/>
        </w:rPr>
        <w:t xml:space="preserve">: </w:t>
      </w:r>
    </w:p>
    <w:p w14:paraId="0CF0A9A3" w14:textId="11487178" w:rsidR="003C1678" w:rsidRPr="00FF62CC" w:rsidRDefault="003C1678" w:rsidP="00FF62CC">
      <w:pPr>
        <w:pStyle w:val="ListParagraph"/>
        <w:numPr>
          <w:ilvl w:val="0"/>
          <w:numId w:val="98"/>
        </w:numPr>
        <w:spacing w:after="240"/>
        <w:rPr>
          <w:rFonts w:cstheme="minorHAnsi"/>
          <w:sz w:val="21"/>
          <w:szCs w:val="21"/>
          <w:lang w:val="en-AU"/>
        </w:rPr>
      </w:pPr>
      <w:r w:rsidRPr="00FF62CC">
        <w:rPr>
          <w:rFonts w:cstheme="minorHAnsi"/>
          <w:sz w:val="21"/>
          <w:szCs w:val="21"/>
          <w:u w:val="single"/>
          <w:lang w:val="en-AU"/>
        </w:rPr>
        <w:t xml:space="preserve">Community Literacy Volunteers (CLVs):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 some of the CLVs are school-based and some are community based.  There is an intention in moving the CLVs to being more school based to provide greater linkage with the children at the school, and also for security of the reading books. The loss of books is potentially a significant issue (it has not yet been adequately monitored), particularly for CLVs who serve more than one village, as books that are borrowed often do not get returned. One element of the CLVs work is the provision of Parent/Caregiver awareness training (7 modules). Limited results have been reported on this activity. Since CLVs are volunteers, there is no allowance provided which also results in inconsistency in performing the CLV function. Not all of the CLVs are functioning as envisioned and some have stopped providing services. </w:t>
      </w:r>
    </w:p>
    <w:p w14:paraId="07A887DE" w14:textId="77777777" w:rsidR="003C1678" w:rsidRPr="00FF62CC" w:rsidRDefault="003C1678" w:rsidP="00FF62CC">
      <w:pPr>
        <w:pStyle w:val="ListParagraph"/>
        <w:numPr>
          <w:ilvl w:val="0"/>
          <w:numId w:val="98"/>
        </w:numPr>
        <w:spacing w:after="240"/>
        <w:rPr>
          <w:rFonts w:cstheme="minorHAnsi"/>
          <w:sz w:val="21"/>
          <w:szCs w:val="21"/>
          <w:lang w:val="en-AU"/>
        </w:rPr>
      </w:pPr>
      <w:r w:rsidRPr="00FF62CC">
        <w:rPr>
          <w:rFonts w:cstheme="minorHAnsi"/>
          <w:sz w:val="21"/>
          <w:szCs w:val="21"/>
          <w:u w:val="single"/>
          <w:lang w:val="en-AU"/>
        </w:rPr>
        <w:lastRenderedPageBreak/>
        <w:t>Community Reading Clubs</w:t>
      </w:r>
      <w:r w:rsidRPr="00FF62CC">
        <w:rPr>
          <w:rFonts w:cstheme="minorHAnsi"/>
          <w:sz w:val="21"/>
          <w:szCs w:val="21"/>
          <w:lang w:val="en-AU"/>
        </w:rPr>
        <w:t xml:space="preserve">: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and WV have implemented reading clubs - some being school-based and some community based with an increasing effort to link the reading clubs with the school for reasons of providing guidance, oversight and security of the books. Issues faced are similar to those faced by the Community Literacy Volunteers initiative.</w:t>
      </w:r>
    </w:p>
    <w:p w14:paraId="67710538" w14:textId="77777777" w:rsidR="003C1678" w:rsidRPr="00FF62CC" w:rsidRDefault="003C1678" w:rsidP="00FF62CC">
      <w:pPr>
        <w:pStyle w:val="ListParagraph"/>
        <w:numPr>
          <w:ilvl w:val="0"/>
          <w:numId w:val="98"/>
        </w:numPr>
        <w:spacing w:after="240"/>
        <w:rPr>
          <w:rFonts w:cstheme="minorHAnsi"/>
          <w:sz w:val="21"/>
          <w:szCs w:val="21"/>
          <w:lang w:val="en-AU"/>
        </w:rPr>
      </w:pPr>
      <w:r w:rsidRPr="00FF62CC">
        <w:rPr>
          <w:rFonts w:cstheme="minorHAnsi"/>
          <w:sz w:val="21"/>
          <w:szCs w:val="21"/>
          <w:u w:val="single"/>
          <w:lang w:val="en-AU"/>
        </w:rPr>
        <w:t>Girls’ Education</w:t>
      </w:r>
      <w:r w:rsidRPr="00FF62CC">
        <w:rPr>
          <w:rFonts w:cstheme="minorHAnsi"/>
          <w:sz w:val="21"/>
          <w:szCs w:val="21"/>
          <w:lang w:val="en-AU"/>
        </w:rPr>
        <w:t>: As noted above, CARE is implementing pilots to engage 12 communities to support the education of girls.  Limited results to report as of the review.</w:t>
      </w:r>
    </w:p>
    <w:p w14:paraId="75E230AC" w14:textId="77777777" w:rsidR="003C1678" w:rsidRPr="00FF62CC" w:rsidRDefault="003C1678" w:rsidP="003C1678">
      <w:pPr>
        <w:pStyle w:val="ListParagraph"/>
        <w:spacing w:after="240"/>
        <w:ind w:left="1890"/>
        <w:rPr>
          <w:rFonts w:cstheme="minorHAnsi"/>
          <w:b/>
          <w:bCs/>
          <w:sz w:val="21"/>
          <w:szCs w:val="21"/>
          <w:lang w:val="en-AU"/>
        </w:rPr>
      </w:pPr>
    </w:p>
    <w:p w14:paraId="017235F1" w14:textId="77777777" w:rsidR="003C1678" w:rsidRPr="00FF62CC" w:rsidRDefault="003C1678" w:rsidP="00FF62CC">
      <w:pPr>
        <w:pStyle w:val="ListParagraph"/>
        <w:numPr>
          <w:ilvl w:val="0"/>
          <w:numId w:val="77"/>
        </w:numPr>
        <w:spacing w:after="240"/>
        <w:ind w:left="1260"/>
        <w:rPr>
          <w:rFonts w:cstheme="minorHAnsi"/>
          <w:b/>
          <w:bCs/>
          <w:sz w:val="21"/>
          <w:szCs w:val="21"/>
          <w:lang w:val="en-AU"/>
        </w:rPr>
      </w:pPr>
      <w:r w:rsidRPr="00FF62CC">
        <w:rPr>
          <w:rFonts w:cstheme="minorHAnsi"/>
          <w:b/>
          <w:bCs/>
          <w:sz w:val="21"/>
          <w:szCs w:val="21"/>
          <w:u w:val="single"/>
          <w:lang w:val="en-AU"/>
        </w:rPr>
        <w:t>Knowledge Sharing</w:t>
      </w:r>
      <w:r w:rsidRPr="00FF62CC">
        <w:rPr>
          <w:rFonts w:cstheme="minorHAnsi"/>
          <w:b/>
          <w:bCs/>
          <w:sz w:val="21"/>
          <w:szCs w:val="21"/>
          <w:lang w:val="en-AU"/>
        </w:rPr>
        <w:t xml:space="preserve">: </w:t>
      </w:r>
    </w:p>
    <w:p w14:paraId="158C10FB" w14:textId="77777777" w:rsidR="003C1678" w:rsidRPr="00FF62CC" w:rsidRDefault="003C1678" w:rsidP="00FF62CC">
      <w:pPr>
        <w:pStyle w:val="ListParagraph"/>
        <w:numPr>
          <w:ilvl w:val="0"/>
          <w:numId w:val="99"/>
        </w:numPr>
        <w:spacing w:after="240"/>
        <w:rPr>
          <w:rFonts w:cstheme="minorHAnsi"/>
          <w:sz w:val="21"/>
          <w:szCs w:val="21"/>
          <w:lang w:val="en-AU"/>
        </w:rPr>
      </w:pPr>
      <w:r w:rsidRPr="00FF62CC">
        <w:rPr>
          <w:rFonts w:cstheme="minorHAnsi"/>
          <w:sz w:val="21"/>
          <w:szCs w:val="21"/>
          <w:u w:val="single"/>
          <w:lang w:val="en-AU"/>
        </w:rPr>
        <w:t>Consultative Implementation and Monitoring Council (CIMC) fora:</w:t>
      </w:r>
      <w:r w:rsidRPr="00FF62CC">
        <w:rPr>
          <w:rFonts w:cstheme="minorHAnsi"/>
          <w:sz w:val="21"/>
          <w:szCs w:val="21"/>
          <w:lang w:val="en-AU"/>
        </w:rPr>
        <w:t xml:space="preserve"> WV intended for the CIMC to provide the knowledge sharing platform for possible changes to the T4E program. Fora on elementary literacy and numeracy have been conducted in each of the WV/</w:t>
      </w:r>
      <w:proofErr w:type="spellStart"/>
      <w:r w:rsidRPr="00FF62CC">
        <w:rPr>
          <w:rFonts w:cstheme="minorHAnsi"/>
          <w:sz w:val="21"/>
          <w:szCs w:val="21"/>
          <w:lang w:val="en-AU"/>
        </w:rPr>
        <w:t>ChildFund</w:t>
      </w:r>
      <w:proofErr w:type="spellEnd"/>
      <w:r w:rsidRPr="00FF62CC">
        <w:rPr>
          <w:rFonts w:cstheme="minorHAnsi"/>
          <w:sz w:val="21"/>
          <w:szCs w:val="21"/>
          <w:lang w:val="en-AU"/>
        </w:rPr>
        <w:t xml:space="preserve"> provinces with the assistance of the CIMC. CIMC is able to invite senior level political and government officials to attend and present on education issues. During one of the provincial fora, CARE was invited to participate and present on their work in relation to the PPF Education Grants.  On 28 November 2019, WV and CIMC will convene a national forum on Elementary Literacy and Numeracy and have enlisted the participation of the other two NGO consortia and the PPF Secretariat. CIMC is an independent agency funded by government with the Council Chair being the Secretary of the NDPM.  </w:t>
      </w:r>
    </w:p>
    <w:p w14:paraId="39742A07" w14:textId="77777777" w:rsidR="003C1678" w:rsidRPr="00FF62CC" w:rsidRDefault="003C1678" w:rsidP="00FF62CC">
      <w:pPr>
        <w:pStyle w:val="ListParagraph"/>
        <w:numPr>
          <w:ilvl w:val="0"/>
          <w:numId w:val="99"/>
        </w:numPr>
        <w:spacing w:after="240"/>
        <w:rPr>
          <w:rFonts w:cstheme="minorHAnsi"/>
          <w:sz w:val="21"/>
          <w:szCs w:val="21"/>
          <w:lang w:val="en-AU"/>
        </w:rPr>
      </w:pPr>
      <w:r w:rsidRPr="00FF62CC">
        <w:rPr>
          <w:rFonts w:cstheme="minorHAnsi"/>
          <w:sz w:val="21"/>
          <w:szCs w:val="21"/>
          <w:u w:val="single"/>
          <w:lang w:val="en-AU"/>
        </w:rPr>
        <w:t>Knowledge Hub</w:t>
      </w:r>
      <w:r w:rsidRPr="00FF62CC">
        <w:rPr>
          <w:rFonts w:cstheme="minorHAnsi"/>
          <w:sz w:val="21"/>
          <w:szCs w:val="21"/>
          <w:lang w:val="en-AU"/>
        </w:rPr>
        <w:t>: While an interesting concept, CARE is unable to launch the online resource to date. Technology constraints and challenges in establishing protocols for including and accessing information have been provided as explanations for the delays in implementation. If the Knowledge Hub is implemented, it has significant potential to be shared with others NGO consortia, and ultimately, the GoPNG.  Questions remain as to the sustainability of the initiative, including who will ‘take ownership’ of the hub once the PPF grants are concluded.</w:t>
      </w:r>
    </w:p>
    <w:p w14:paraId="387D2067" w14:textId="77777777" w:rsidR="003C1678" w:rsidRPr="00FF62CC" w:rsidRDefault="003C1678" w:rsidP="00FF62CC">
      <w:pPr>
        <w:pStyle w:val="ListParagraph"/>
        <w:numPr>
          <w:ilvl w:val="0"/>
          <w:numId w:val="99"/>
        </w:numPr>
        <w:spacing w:after="240"/>
        <w:rPr>
          <w:rFonts w:cstheme="minorHAnsi"/>
          <w:sz w:val="21"/>
          <w:szCs w:val="21"/>
          <w:lang w:val="en-AU"/>
        </w:rPr>
      </w:pPr>
      <w:r w:rsidRPr="00FF62CC">
        <w:rPr>
          <w:rFonts w:cstheme="minorHAnsi"/>
          <w:sz w:val="21"/>
          <w:szCs w:val="21"/>
          <w:u w:val="single"/>
          <w:lang w:val="en-AU"/>
        </w:rPr>
        <w:t>Sharing of information and ideas across all three NGOs:</w:t>
      </w:r>
      <w:r w:rsidRPr="00FF62CC">
        <w:rPr>
          <w:rFonts w:cstheme="minorHAnsi"/>
          <w:sz w:val="21"/>
          <w:szCs w:val="21"/>
          <w:lang w:val="en-AU"/>
        </w:rPr>
        <w:t xml:space="preserve"> There is some evidence of sharing between the NGO consortia (e.g. baseline data tools and the data analysis advisor from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have been shared with CARE and WV) and the PPF Secretariat has convened the three NGOs on baseline discussions. However, there does not appear to be a systematic or structured mechanism to encourage additional or meaningful sharing of information.</w:t>
      </w:r>
    </w:p>
    <w:p w14:paraId="3350E716" w14:textId="77777777" w:rsidR="003C1678" w:rsidRPr="00FF62CC" w:rsidRDefault="003C1678" w:rsidP="00FF62CC">
      <w:pPr>
        <w:pStyle w:val="ListParagraph"/>
        <w:numPr>
          <w:ilvl w:val="0"/>
          <w:numId w:val="99"/>
        </w:numPr>
        <w:spacing w:after="240"/>
        <w:rPr>
          <w:rFonts w:cstheme="minorHAnsi"/>
          <w:b/>
          <w:bCs/>
          <w:sz w:val="21"/>
          <w:szCs w:val="21"/>
          <w:lang w:val="en-AU"/>
        </w:rPr>
      </w:pPr>
      <w:r w:rsidRPr="00FF62CC">
        <w:rPr>
          <w:rFonts w:cstheme="minorHAnsi"/>
          <w:sz w:val="21"/>
          <w:szCs w:val="21"/>
          <w:u w:val="single"/>
          <w:lang w:val="en-AU"/>
        </w:rPr>
        <w:t>Sharing of information and ideas with NDOE</w:t>
      </w:r>
      <w:r w:rsidRPr="00FF62CC">
        <w:rPr>
          <w:rFonts w:cstheme="minorHAnsi"/>
          <w:sz w:val="21"/>
          <w:szCs w:val="21"/>
          <w:lang w:val="en-AU"/>
        </w:rPr>
        <w:t>: There is a high level of interest from NDOE officials in learning from the experience of the education grants, however, there is some frustration with the limited information that has been provided to date.  The protocols for communication between the NGO consortia and GoPNG seem to limit transparency and effective and timely communication and sharing of information.  These protocols should be reviewed – possibly by the PNG Partnership Fund National Oversight Committee.  Some NGO consortia members have resorted to utilizing informal channels to communicate with NDOE officials.</w:t>
      </w:r>
    </w:p>
    <w:p w14:paraId="41BDFE66" w14:textId="77777777" w:rsidR="003C1678" w:rsidRPr="00FF62CC" w:rsidRDefault="003C1678" w:rsidP="003C1678">
      <w:pPr>
        <w:pStyle w:val="ListParagraph"/>
        <w:spacing w:after="240"/>
        <w:ind w:left="1260"/>
        <w:rPr>
          <w:rFonts w:cstheme="minorHAnsi"/>
          <w:b/>
          <w:bCs/>
          <w:sz w:val="21"/>
          <w:szCs w:val="21"/>
          <w:lang w:val="en-AU"/>
        </w:rPr>
      </w:pPr>
    </w:p>
    <w:p w14:paraId="30D56CDE" w14:textId="77777777" w:rsidR="003C1678" w:rsidRPr="00FF62CC" w:rsidRDefault="003C1678" w:rsidP="00FF62CC">
      <w:pPr>
        <w:pStyle w:val="ListParagraph"/>
        <w:numPr>
          <w:ilvl w:val="0"/>
          <w:numId w:val="77"/>
        </w:numPr>
        <w:spacing w:after="240"/>
        <w:ind w:left="1260"/>
        <w:rPr>
          <w:rFonts w:cstheme="minorHAnsi"/>
          <w:b/>
          <w:bCs/>
          <w:sz w:val="21"/>
          <w:szCs w:val="21"/>
          <w:lang w:val="en-AU"/>
        </w:rPr>
      </w:pPr>
      <w:r w:rsidRPr="00FF62CC">
        <w:rPr>
          <w:rFonts w:cstheme="minorHAnsi"/>
          <w:b/>
          <w:bCs/>
          <w:sz w:val="21"/>
          <w:szCs w:val="21"/>
          <w:lang w:val="en-AU"/>
        </w:rPr>
        <w:t xml:space="preserve">Governance and Management: </w:t>
      </w:r>
    </w:p>
    <w:p w14:paraId="06BE4403" w14:textId="77777777" w:rsidR="003C1678" w:rsidRPr="00FF62CC" w:rsidRDefault="003C1678" w:rsidP="00FF62CC">
      <w:pPr>
        <w:pStyle w:val="ListParagraph"/>
        <w:numPr>
          <w:ilvl w:val="0"/>
          <w:numId w:val="100"/>
        </w:numPr>
        <w:spacing w:after="240"/>
        <w:rPr>
          <w:rFonts w:cstheme="minorHAnsi"/>
          <w:sz w:val="21"/>
          <w:szCs w:val="21"/>
          <w:lang w:val="en-AU"/>
        </w:rPr>
      </w:pPr>
      <w:r w:rsidRPr="00FF62CC">
        <w:rPr>
          <w:rFonts w:cstheme="minorHAnsi"/>
          <w:sz w:val="21"/>
          <w:szCs w:val="21"/>
          <w:u w:val="single"/>
          <w:lang w:val="en-AU"/>
        </w:rPr>
        <w:t>School Learning Improvement Plan (SLIP) Training</w:t>
      </w:r>
      <w:r w:rsidRPr="00FF62CC">
        <w:rPr>
          <w:rFonts w:cstheme="minorHAnsi"/>
          <w:sz w:val="21"/>
          <w:szCs w:val="21"/>
          <w:lang w:val="en-AU"/>
        </w:rPr>
        <w:t xml:space="preserve">: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has had no inputs to SLIP development; WV and CARE both provide for SLIP training and development, although they employ different models. WV provides for </w:t>
      </w:r>
      <w:proofErr w:type="spellStart"/>
      <w:r w:rsidRPr="00FF62CC">
        <w:rPr>
          <w:rFonts w:cstheme="minorHAnsi"/>
          <w:sz w:val="21"/>
          <w:szCs w:val="21"/>
          <w:lang w:val="en-AU"/>
        </w:rPr>
        <w:t>SBoM</w:t>
      </w:r>
      <w:proofErr w:type="spellEnd"/>
      <w:r w:rsidRPr="00FF62CC">
        <w:rPr>
          <w:rFonts w:cstheme="minorHAnsi"/>
          <w:sz w:val="21"/>
          <w:szCs w:val="21"/>
          <w:lang w:val="en-AU"/>
        </w:rPr>
        <w:t xml:space="preserve"> training which includes as its ‘core’ the training on SLIP development, and this is now delivered by district officials who have been certified by NDOE to deliver SLIP training (although it seems that the trainers did not have the most recent formats).The </w:t>
      </w:r>
      <w:proofErr w:type="spellStart"/>
      <w:r w:rsidRPr="00FF62CC">
        <w:rPr>
          <w:rFonts w:cstheme="minorHAnsi"/>
          <w:sz w:val="21"/>
          <w:szCs w:val="21"/>
          <w:lang w:val="en-AU"/>
        </w:rPr>
        <w:t>SBoM</w:t>
      </w:r>
      <w:proofErr w:type="spellEnd"/>
      <w:r w:rsidRPr="00FF62CC">
        <w:rPr>
          <w:rFonts w:cstheme="minorHAnsi"/>
          <w:sz w:val="21"/>
          <w:szCs w:val="21"/>
          <w:lang w:val="en-AU"/>
        </w:rPr>
        <w:t xml:space="preserve"> training includes cross-cutting issues delivered by WV trainers. CIMC also delivers a module on resource mapping to support more effective resource identification and mobilization. CARE provides for a more generic Educational Leadership and Management training with the central training being SLIP development. </w:t>
      </w:r>
      <w:r w:rsidRPr="00FF62CC">
        <w:rPr>
          <w:rFonts w:cstheme="minorHAnsi"/>
          <w:sz w:val="21"/>
          <w:szCs w:val="21"/>
          <w:lang w:val="en-AU"/>
        </w:rPr>
        <w:lastRenderedPageBreak/>
        <w:t xml:space="preserve">CARE followed government guidance on SLIP development more closely by involving district trainers from the outset, but the final content was not endorsed by NDOE. As of this review there has been limited follow-on coaching and monitoring of SLIP development. A question that might be asked is: What is an appropriate planning approach to guide schools and communities to make improvements to learning in their schools – given the wide variety of contexts and resource constrained settings? </w:t>
      </w:r>
    </w:p>
    <w:p w14:paraId="4C43E5E1" w14:textId="77777777" w:rsidR="003C1678" w:rsidRPr="00FF62CC" w:rsidRDefault="003C1678" w:rsidP="00FF62CC">
      <w:pPr>
        <w:pStyle w:val="ListParagraph"/>
        <w:numPr>
          <w:ilvl w:val="0"/>
          <w:numId w:val="100"/>
        </w:numPr>
        <w:spacing w:after="240"/>
        <w:rPr>
          <w:rFonts w:cstheme="minorHAnsi"/>
          <w:sz w:val="21"/>
          <w:szCs w:val="21"/>
          <w:lang w:val="en-AU"/>
        </w:rPr>
      </w:pPr>
      <w:r w:rsidRPr="00FF62CC">
        <w:rPr>
          <w:rFonts w:cstheme="minorHAnsi"/>
          <w:sz w:val="21"/>
          <w:szCs w:val="21"/>
          <w:u w:val="single"/>
          <w:lang w:val="en-AU"/>
        </w:rPr>
        <w:t>Inclusion of province and district officials in training and monitoring</w:t>
      </w:r>
      <w:r w:rsidRPr="00FF62CC">
        <w:rPr>
          <w:rFonts w:cstheme="minorHAnsi"/>
          <w:sz w:val="21"/>
          <w:szCs w:val="21"/>
          <w:lang w:val="en-AU"/>
        </w:rPr>
        <w:t xml:space="preserve"> of interventions to build awareness, understanding and abilities is varied: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has invited district officials but there has been limited participation, however, they have been able to engage at the provincial level. WV/</w:t>
      </w:r>
      <w:proofErr w:type="spellStart"/>
      <w:r w:rsidRPr="00FF62CC">
        <w:rPr>
          <w:rFonts w:cstheme="minorHAnsi"/>
          <w:sz w:val="21"/>
          <w:szCs w:val="21"/>
          <w:lang w:val="en-AU"/>
        </w:rPr>
        <w:t>ChildFund</w:t>
      </w:r>
      <w:proofErr w:type="spellEnd"/>
      <w:r w:rsidRPr="00FF62CC">
        <w:rPr>
          <w:rFonts w:cstheme="minorHAnsi"/>
          <w:sz w:val="21"/>
          <w:szCs w:val="21"/>
          <w:lang w:val="en-AU"/>
        </w:rPr>
        <w:t xml:space="preserve"> have invited district officials and they have attended training sessions for teachers and </w:t>
      </w:r>
      <w:proofErr w:type="spellStart"/>
      <w:r w:rsidRPr="00FF62CC">
        <w:rPr>
          <w:rFonts w:cstheme="minorHAnsi"/>
          <w:sz w:val="21"/>
          <w:szCs w:val="21"/>
          <w:lang w:val="en-AU"/>
        </w:rPr>
        <w:t>SBoM</w:t>
      </w:r>
      <w:proofErr w:type="spellEnd"/>
      <w:r w:rsidRPr="00FF62CC">
        <w:rPr>
          <w:rFonts w:cstheme="minorHAnsi"/>
          <w:sz w:val="21"/>
          <w:szCs w:val="21"/>
          <w:lang w:val="en-AU"/>
        </w:rPr>
        <w:t xml:space="preserve"> (delivering the SLIP sessions and some sessions on SBC) – these same officials have accompanied WV/</w:t>
      </w:r>
      <w:proofErr w:type="spellStart"/>
      <w:r w:rsidRPr="00FF62CC">
        <w:rPr>
          <w:rFonts w:cstheme="minorHAnsi"/>
          <w:sz w:val="21"/>
          <w:szCs w:val="21"/>
          <w:lang w:val="en-AU"/>
        </w:rPr>
        <w:t>ChildFund</w:t>
      </w:r>
      <w:proofErr w:type="spellEnd"/>
      <w:r w:rsidRPr="00FF62CC">
        <w:rPr>
          <w:rFonts w:cstheme="minorHAnsi"/>
          <w:sz w:val="21"/>
          <w:szCs w:val="21"/>
          <w:lang w:val="en-AU"/>
        </w:rPr>
        <w:t xml:space="preserve"> during monitoring visits; CARE has been purposive in including districts in both the training programs and monitoring. CARE has two different models of engagement: In </w:t>
      </w:r>
      <w:proofErr w:type="spellStart"/>
      <w:r w:rsidRPr="00FF62CC">
        <w:rPr>
          <w:rFonts w:cstheme="minorHAnsi"/>
          <w:sz w:val="21"/>
          <w:szCs w:val="21"/>
          <w:lang w:val="en-AU"/>
        </w:rPr>
        <w:t>Simbu</w:t>
      </w:r>
      <w:proofErr w:type="spellEnd"/>
      <w:r w:rsidRPr="00FF62CC">
        <w:rPr>
          <w:rFonts w:cstheme="minorHAnsi"/>
          <w:sz w:val="21"/>
          <w:szCs w:val="21"/>
          <w:lang w:val="en-AU"/>
        </w:rPr>
        <w:t xml:space="preserve"> and West New Britain, it is only the district officials that work with CARE. In Western Highlands and </w:t>
      </w:r>
      <w:proofErr w:type="spellStart"/>
      <w:r w:rsidRPr="00FF62CC">
        <w:rPr>
          <w:rFonts w:cstheme="minorHAnsi"/>
          <w:sz w:val="21"/>
          <w:szCs w:val="21"/>
          <w:lang w:val="en-AU"/>
        </w:rPr>
        <w:t>Jiwaka</w:t>
      </w:r>
      <w:proofErr w:type="spellEnd"/>
      <w:r w:rsidRPr="00FF62CC">
        <w:rPr>
          <w:rFonts w:cstheme="minorHAnsi"/>
          <w:sz w:val="21"/>
          <w:szCs w:val="21"/>
          <w:lang w:val="en-AU"/>
        </w:rPr>
        <w:t xml:space="preserve"> it is a combination of district officials and trainers selected from the schools.</w:t>
      </w:r>
    </w:p>
    <w:p w14:paraId="63D6CAD1" w14:textId="77777777" w:rsidR="003C1678" w:rsidRPr="00FF62CC" w:rsidRDefault="003C1678" w:rsidP="00FF62CC">
      <w:pPr>
        <w:pStyle w:val="ListParagraph"/>
        <w:numPr>
          <w:ilvl w:val="0"/>
          <w:numId w:val="100"/>
        </w:numPr>
        <w:spacing w:after="240"/>
        <w:rPr>
          <w:rFonts w:cstheme="minorHAnsi"/>
          <w:sz w:val="21"/>
          <w:szCs w:val="21"/>
          <w:lang w:val="en-AU"/>
        </w:rPr>
      </w:pPr>
      <w:r w:rsidRPr="00FF62CC">
        <w:rPr>
          <w:rFonts w:cstheme="minorHAnsi"/>
          <w:sz w:val="21"/>
          <w:szCs w:val="21"/>
          <w:u w:val="single"/>
          <w:lang w:val="en-AU"/>
        </w:rPr>
        <w:t>CIMC – Services Charter</w:t>
      </w:r>
      <w:r w:rsidRPr="00FF62CC">
        <w:rPr>
          <w:rFonts w:cstheme="minorHAnsi"/>
          <w:sz w:val="21"/>
          <w:szCs w:val="21"/>
          <w:lang w:val="en-AU"/>
        </w:rPr>
        <w:t xml:space="preserve"> (social contract) – although this work is not a formal part of SLIP training it is an attempt to support the attainment of government service delivery standards in education by facilitating a ‘social contract’ between the school, the LLG (Ward), districts and provinces, and other government agencies and institutions to collectively agree to support the delivery of basic education.</w:t>
      </w:r>
    </w:p>
    <w:p w14:paraId="422FAB36" w14:textId="77777777" w:rsidR="003C1678" w:rsidRPr="00FF62CC" w:rsidRDefault="003C1678" w:rsidP="00FF62CC">
      <w:pPr>
        <w:pStyle w:val="ListParagraph"/>
        <w:numPr>
          <w:ilvl w:val="0"/>
          <w:numId w:val="100"/>
        </w:numPr>
        <w:spacing w:after="240"/>
        <w:rPr>
          <w:rFonts w:cstheme="minorHAnsi"/>
          <w:sz w:val="21"/>
          <w:szCs w:val="21"/>
          <w:lang w:val="en-AU"/>
        </w:rPr>
      </w:pPr>
      <w:r w:rsidRPr="00FF62CC">
        <w:rPr>
          <w:rFonts w:cstheme="minorHAnsi"/>
          <w:sz w:val="21"/>
          <w:szCs w:val="21"/>
          <w:lang w:val="en-AU"/>
        </w:rPr>
        <w:t>The delayed establishment of the PNG Partnership Fund National Oversight Committee and the relatively recent signing of the MOU between the PPF Secretariat, the three NGO consortia leads and NDOE has resulted in some confusion and frustration as to how the program is being governed and implemented and how decisions are being made.</w:t>
      </w:r>
      <w:r w:rsidRPr="00FF62CC">
        <w:rPr>
          <w:rStyle w:val="FootnoteReference"/>
          <w:rFonts w:cstheme="minorHAnsi"/>
          <w:sz w:val="21"/>
          <w:szCs w:val="21"/>
          <w:lang w:val="en-AU"/>
        </w:rPr>
        <w:footnoteReference w:id="93"/>
      </w:r>
      <w:r w:rsidRPr="00FF62CC">
        <w:rPr>
          <w:rFonts w:cstheme="minorHAnsi"/>
          <w:sz w:val="21"/>
          <w:szCs w:val="21"/>
          <w:lang w:val="en-AU"/>
        </w:rPr>
        <w:t xml:space="preserve">  MOUs at the Provincial level (</w:t>
      </w:r>
      <w:proofErr w:type="spellStart"/>
      <w:r w:rsidRPr="00FF62CC">
        <w:rPr>
          <w:rFonts w:cstheme="minorHAnsi"/>
          <w:sz w:val="21"/>
          <w:szCs w:val="21"/>
          <w:lang w:val="en-AU"/>
        </w:rPr>
        <w:t>StC</w:t>
      </w:r>
      <w:proofErr w:type="spellEnd"/>
      <w:r w:rsidRPr="00FF62CC">
        <w:rPr>
          <w:rFonts w:cstheme="minorHAnsi"/>
          <w:sz w:val="21"/>
          <w:szCs w:val="21"/>
          <w:lang w:val="en-AU"/>
        </w:rPr>
        <w:t xml:space="preserve"> and CARE) were instituted prior to the MOU at the national level. World Vision and </w:t>
      </w:r>
      <w:proofErr w:type="spellStart"/>
      <w:r w:rsidRPr="00FF62CC">
        <w:rPr>
          <w:rFonts w:cstheme="minorHAnsi"/>
          <w:sz w:val="21"/>
          <w:szCs w:val="21"/>
          <w:lang w:val="en-AU"/>
        </w:rPr>
        <w:t>ChildFund</w:t>
      </w:r>
      <w:proofErr w:type="spellEnd"/>
      <w:r w:rsidRPr="00FF62CC">
        <w:rPr>
          <w:rFonts w:cstheme="minorHAnsi"/>
          <w:sz w:val="21"/>
          <w:szCs w:val="21"/>
          <w:lang w:val="en-AU"/>
        </w:rPr>
        <w:t xml:space="preserve"> were advised by an NDOE official not to proceed with provincial MOUs until the national MOU was approved. Requirements for communication/reporting have raised issues with government – as current guidance is for reporting to proceed from NGOs to PPF to AHC to GoPNG, which is proving unsatisfactory.</w:t>
      </w:r>
    </w:p>
    <w:p w14:paraId="39C8170D" w14:textId="77777777" w:rsidR="003C1678" w:rsidRPr="00FF62CC" w:rsidRDefault="003C1678" w:rsidP="00FF62CC">
      <w:pPr>
        <w:pStyle w:val="ListParagraph"/>
        <w:numPr>
          <w:ilvl w:val="0"/>
          <w:numId w:val="100"/>
        </w:numPr>
        <w:spacing w:after="240"/>
        <w:rPr>
          <w:rFonts w:cstheme="minorHAnsi"/>
          <w:sz w:val="21"/>
          <w:szCs w:val="21"/>
          <w:lang w:val="en-AU"/>
        </w:rPr>
      </w:pPr>
      <w:r w:rsidRPr="00FF62CC">
        <w:rPr>
          <w:rFonts w:cstheme="minorHAnsi"/>
          <w:sz w:val="21"/>
          <w:szCs w:val="21"/>
          <w:u w:val="single"/>
          <w:lang w:val="en-AU"/>
        </w:rPr>
        <w:t>PPF Secretariat</w:t>
      </w:r>
      <w:r w:rsidRPr="00FF62CC">
        <w:rPr>
          <w:rFonts w:cstheme="minorHAnsi"/>
          <w:sz w:val="21"/>
          <w:szCs w:val="21"/>
          <w:lang w:val="en-AU"/>
        </w:rPr>
        <w:t xml:space="preserve"> conduct of monitoring and quality assurance and the improved coordination/ collaboration with and between the three NGO consortia is appreciated by the NGO consortia and the AHC.  At the present time, it appears that an increased level of effort by the PPF Secretariat is required in this area – specifically in relation to reporting aggregated results to the AHC.</w:t>
      </w:r>
    </w:p>
    <w:p w14:paraId="4C291ECB" w14:textId="77777777" w:rsidR="003C1678" w:rsidRPr="00FF62CC" w:rsidRDefault="003C1678" w:rsidP="003C1678">
      <w:pPr>
        <w:pStyle w:val="ListParagraph"/>
        <w:spacing w:after="240"/>
        <w:rPr>
          <w:rFonts w:cstheme="minorHAnsi"/>
          <w:sz w:val="21"/>
          <w:szCs w:val="21"/>
          <w:lang w:val="en-AU"/>
        </w:rPr>
      </w:pPr>
    </w:p>
    <w:p w14:paraId="608F401D" w14:textId="77777777" w:rsidR="003C1678" w:rsidRPr="00FF62CC" w:rsidRDefault="003C1678" w:rsidP="00FF62CC">
      <w:pPr>
        <w:pStyle w:val="ListParagraph"/>
        <w:numPr>
          <w:ilvl w:val="0"/>
          <w:numId w:val="69"/>
        </w:numPr>
        <w:spacing w:after="240"/>
        <w:rPr>
          <w:rFonts w:cstheme="minorHAnsi"/>
          <w:sz w:val="21"/>
          <w:szCs w:val="21"/>
          <w:lang w:val="en-AU"/>
        </w:rPr>
      </w:pPr>
      <w:r w:rsidRPr="00FF62CC">
        <w:rPr>
          <w:rFonts w:cstheme="minorHAnsi"/>
          <w:sz w:val="21"/>
          <w:szCs w:val="21"/>
          <w:lang w:val="en-AU"/>
        </w:rPr>
        <w:t>Possible ways forward for the short-term:</w:t>
      </w:r>
    </w:p>
    <w:p w14:paraId="729B87BA" w14:textId="77777777" w:rsidR="003C1678" w:rsidRPr="00FF62CC" w:rsidRDefault="003C1678" w:rsidP="003C1678">
      <w:pPr>
        <w:pStyle w:val="ListParagraph"/>
        <w:spacing w:after="240"/>
        <w:rPr>
          <w:rFonts w:cstheme="minorHAnsi"/>
          <w:sz w:val="21"/>
          <w:szCs w:val="21"/>
          <w:lang w:val="en-AU"/>
        </w:rPr>
      </w:pPr>
    </w:p>
    <w:p w14:paraId="53B2D9B0" w14:textId="77777777" w:rsidR="003C1678" w:rsidRPr="00FF62CC" w:rsidRDefault="003C1678" w:rsidP="00FF62CC">
      <w:pPr>
        <w:pStyle w:val="ListParagraph"/>
        <w:numPr>
          <w:ilvl w:val="0"/>
          <w:numId w:val="76"/>
        </w:numPr>
        <w:spacing w:after="240"/>
        <w:ind w:left="1170"/>
        <w:rPr>
          <w:rFonts w:cstheme="minorHAnsi"/>
          <w:sz w:val="21"/>
          <w:szCs w:val="21"/>
          <w:lang w:val="en-AU"/>
        </w:rPr>
      </w:pPr>
      <w:r w:rsidRPr="00FF62CC">
        <w:rPr>
          <w:rFonts w:cstheme="minorHAnsi"/>
          <w:b/>
          <w:bCs/>
          <w:sz w:val="21"/>
          <w:szCs w:val="21"/>
          <w:u w:val="single"/>
          <w:lang w:val="en-AU"/>
        </w:rPr>
        <w:t>Strengthening the partnership between AHC and NDOE and between NGOs and NDOE</w:t>
      </w:r>
      <w:r w:rsidRPr="00FF62CC">
        <w:rPr>
          <w:rFonts w:cstheme="minorHAnsi"/>
          <w:sz w:val="21"/>
          <w:szCs w:val="21"/>
          <w:lang w:val="en-AU"/>
        </w:rPr>
        <w:t>: There is a need to improve the type and nature of communication and collaboration between and among the various stakeholders. An opportunity is being presented through the national MOU between the PPF Secretariat, NGO consortia and NDOE, as well as the approval to proceed with the PNG Partnership National Oversight Committee, which could provide effective oversight of the program and facilitate engagement on what will be done in the short-term and long-term. We now have information from initial implementation to inform how things should and could move forward.</w:t>
      </w:r>
    </w:p>
    <w:p w14:paraId="0F561D2B" w14:textId="77777777" w:rsidR="003C1678" w:rsidRPr="00FF62CC" w:rsidRDefault="003C1678" w:rsidP="00FF62CC">
      <w:pPr>
        <w:pStyle w:val="ListParagraph"/>
        <w:numPr>
          <w:ilvl w:val="0"/>
          <w:numId w:val="76"/>
        </w:numPr>
        <w:spacing w:after="240"/>
        <w:ind w:left="1170"/>
        <w:rPr>
          <w:rFonts w:cstheme="minorHAnsi"/>
          <w:sz w:val="21"/>
          <w:szCs w:val="21"/>
          <w:lang w:val="en-AU"/>
        </w:rPr>
      </w:pPr>
      <w:r w:rsidRPr="00FF62CC">
        <w:rPr>
          <w:rFonts w:cstheme="minorHAnsi"/>
          <w:b/>
          <w:bCs/>
          <w:sz w:val="21"/>
          <w:szCs w:val="21"/>
          <w:u w:val="single"/>
          <w:lang w:val="en-AU"/>
        </w:rPr>
        <w:lastRenderedPageBreak/>
        <w:t>Strengthen institutional engagement</w:t>
      </w:r>
      <w:r w:rsidRPr="00FF62CC">
        <w:rPr>
          <w:rFonts w:cstheme="minorHAnsi"/>
          <w:sz w:val="21"/>
          <w:szCs w:val="21"/>
          <w:lang w:val="en-AU"/>
        </w:rPr>
        <w:t>: particularly for NGOs at the province and district levels and for the AHC and PPF Secretariat at the national level.</w:t>
      </w:r>
    </w:p>
    <w:p w14:paraId="75A9A122" w14:textId="77777777" w:rsidR="003C1678" w:rsidRPr="00FF62CC" w:rsidRDefault="003C1678" w:rsidP="00FF62CC">
      <w:pPr>
        <w:pStyle w:val="ListParagraph"/>
        <w:numPr>
          <w:ilvl w:val="0"/>
          <w:numId w:val="76"/>
        </w:numPr>
        <w:spacing w:after="240"/>
        <w:ind w:left="1170"/>
        <w:rPr>
          <w:rFonts w:cstheme="minorHAnsi"/>
          <w:sz w:val="21"/>
          <w:szCs w:val="21"/>
          <w:lang w:val="en-AU"/>
        </w:rPr>
      </w:pPr>
      <w:r w:rsidRPr="00FF62CC">
        <w:rPr>
          <w:rFonts w:cstheme="minorHAnsi"/>
          <w:sz w:val="21"/>
          <w:szCs w:val="21"/>
          <w:lang w:val="en-AU"/>
        </w:rPr>
        <w:t xml:space="preserve">There may be a </w:t>
      </w:r>
      <w:r w:rsidRPr="00FF62CC">
        <w:rPr>
          <w:rFonts w:cstheme="minorHAnsi"/>
          <w:bCs/>
          <w:sz w:val="21"/>
          <w:szCs w:val="21"/>
          <w:u w:val="single"/>
          <w:lang w:val="en-AU"/>
        </w:rPr>
        <w:t>need to</w:t>
      </w:r>
      <w:r w:rsidRPr="00FF62CC">
        <w:rPr>
          <w:rFonts w:cstheme="minorHAnsi"/>
          <w:b/>
          <w:bCs/>
          <w:sz w:val="21"/>
          <w:szCs w:val="21"/>
          <w:u w:val="single"/>
          <w:lang w:val="en-AU"/>
        </w:rPr>
        <w:t xml:space="preserve"> expand/adjust the roles and functions of the PPF Secretariat</w:t>
      </w:r>
      <w:r w:rsidRPr="00FF62CC">
        <w:rPr>
          <w:rFonts w:cstheme="minorHAnsi"/>
          <w:sz w:val="21"/>
          <w:szCs w:val="21"/>
          <w:lang w:val="en-AU"/>
        </w:rPr>
        <w:t xml:space="preserve"> to achieve points (</w:t>
      </w:r>
      <w:proofErr w:type="spellStart"/>
      <w:r w:rsidRPr="00FF62CC">
        <w:rPr>
          <w:rFonts w:cstheme="minorHAnsi"/>
          <w:sz w:val="21"/>
          <w:szCs w:val="21"/>
          <w:lang w:val="en-AU"/>
        </w:rPr>
        <w:t>i</w:t>
      </w:r>
      <w:proofErr w:type="spellEnd"/>
      <w:r w:rsidRPr="00FF62CC">
        <w:rPr>
          <w:rFonts w:cstheme="minorHAnsi"/>
          <w:sz w:val="21"/>
          <w:szCs w:val="21"/>
          <w:lang w:val="en-AU"/>
        </w:rPr>
        <w:t>) and (ii) above.</w:t>
      </w:r>
      <w:r w:rsidRPr="00FF62CC">
        <w:rPr>
          <w:rStyle w:val="FootnoteReference"/>
          <w:rFonts w:cstheme="minorHAnsi"/>
          <w:sz w:val="21"/>
          <w:szCs w:val="21"/>
          <w:lang w:val="en-AU"/>
        </w:rPr>
        <w:footnoteReference w:id="94"/>
      </w:r>
      <w:r w:rsidRPr="00FF62CC">
        <w:rPr>
          <w:rFonts w:cstheme="minorHAnsi"/>
          <w:sz w:val="21"/>
          <w:szCs w:val="21"/>
          <w:lang w:val="en-AU"/>
        </w:rPr>
        <w:t xml:space="preserve"> </w:t>
      </w:r>
    </w:p>
    <w:p w14:paraId="07977D22" w14:textId="77777777" w:rsidR="003C1678" w:rsidRPr="00FF62CC" w:rsidRDefault="003C1678" w:rsidP="00FF62CC">
      <w:pPr>
        <w:pStyle w:val="ListParagraph"/>
        <w:numPr>
          <w:ilvl w:val="0"/>
          <w:numId w:val="76"/>
        </w:numPr>
        <w:spacing w:after="240"/>
        <w:ind w:left="1170"/>
        <w:rPr>
          <w:rFonts w:cstheme="minorHAnsi"/>
          <w:sz w:val="21"/>
          <w:szCs w:val="21"/>
          <w:lang w:val="en-AU"/>
        </w:rPr>
      </w:pPr>
      <w:r w:rsidRPr="00FF62CC">
        <w:rPr>
          <w:rFonts w:cstheme="minorHAnsi"/>
          <w:b/>
          <w:bCs/>
          <w:sz w:val="21"/>
          <w:szCs w:val="21"/>
          <w:u w:val="single"/>
          <w:lang w:val="en-AU"/>
        </w:rPr>
        <w:t>Consortia to work towards consolidation of interventions and wrap up</w:t>
      </w:r>
      <w:r w:rsidRPr="00FF62CC">
        <w:rPr>
          <w:rFonts w:cstheme="minorHAnsi"/>
          <w:sz w:val="21"/>
          <w:szCs w:val="21"/>
          <w:lang w:val="en-AU"/>
        </w:rPr>
        <w:t>: We do not recommend expansion to additional schools, districts or provinces at this time, as there is a prerequisite need to learn from what has been done and determine how things could have been improved. Continue coaching and monitoring of selected interventions that have been provided to gain additional effect and insights on what works and what does not – and why.</w:t>
      </w:r>
    </w:p>
    <w:p w14:paraId="59A8247E" w14:textId="5006F6DD" w:rsidR="003C1678" w:rsidRPr="00FF62CC" w:rsidRDefault="003C1678" w:rsidP="00FF62CC">
      <w:pPr>
        <w:pStyle w:val="ListParagraph"/>
        <w:numPr>
          <w:ilvl w:val="0"/>
          <w:numId w:val="76"/>
        </w:numPr>
        <w:spacing w:after="240"/>
        <w:ind w:left="1170"/>
        <w:rPr>
          <w:rFonts w:cstheme="minorHAnsi"/>
          <w:sz w:val="21"/>
          <w:szCs w:val="21"/>
          <w:lang w:val="en-AU"/>
        </w:rPr>
      </w:pPr>
      <w:r w:rsidRPr="00FF62CC">
        <w:rPr>
          <w:rFonts w:cstheme="minorHAnsi"/>
          <w:b/>
          <w:bCs/>
          <w:sz w:val="21"/>
          <w:szCs w:val="21"/>
          <w:u w:val="single"/>
          <w:lang w:val="en-AU"/>
        </w:rPr>
        <w:t>Increase/strengthen analysis and knowledge acquisition and sharing</w:t>
      </w:r>
      <w:r w:rsidRPr="00FF62CC">
        <w:rPr>
          <w:rFonts w:cstheme="minorHAnsi"/>
          <w:sz w:val="21"/>
          <w:szCs w:val="21"/>
          <w:lang w:val="en-AU"/>
        </w:rPr>
        <w:t xml:space="preserve">: Probe further the results of the mid-line and undertake additional analysis of the first </w:t>
      </w:r>
      <w:r w:rsidR="00FA288E" w:rsidRPr="00FF62CC">
        <w:rPr>
          <w:rFonts w:cstheme="minorHAnsi"/>
          <w:sz w:val="21"/>
          <w:szCs w:val="21"/>
          <w:lang w:val="en-AU"/>
        </w:rPr>
        <w:t>end line</w:t>
      </w:r>
      <w:r w:rsidRPr="00FF62CC">
        <w:rPr>
          <w:rFonts w:cstheme="minorHAnsi"/>
          <w:sz w:val="21"/>
          <w:szCs w:val="21"/>
          <w:lang w:val="en-AU"/>
        </w:rPr>
        <w:t xml:space="preserve"> (now the 2</w:t>
      </w:r>
      <w:r w:rsidRPr="00FF62CC">
        <w:rPr>
          <w:rFonts w:cstheme="minorHAnsi"/>
          <w:sz w:val="21"/>
          <w:szCs w:val="21"/>
          <w:vertAlign w:val="superscript"/>
          <w:lang w:val="en-AU"/>
        </w:rPr>
        <w:t>nd</w:t>
      </w:r>
      <w:r w:rsidRPr="00FF62CC">
        <w:rPr>
          <w:rFonts w:cstheme="minorHAnsi"/>
          <w:sz w:val="21"/>
          <w:szCs w:val="21"/>
          <w:lang w:val="en-AU"/>
        </w:rPr>
        <w:t xml:space="preserve"> mid-line?) to look for correlations to help explain the results. Identify targeted research activities to understand better why and how certain things happened – a positive/negative deviance model may be useful to target further inquiry and analysis.  Ensure there are adequate funds set aside for the ‘new’ </w:t>
      </w:r>
      <w:r w:rsidR="00FA288E" w:rsidRPr="00FF62CC">
        <w:rPr>
          <w:rFonts w:cstheme="minorHAnsi"/>
          <w:sz w:val="21"/>
          <w:szCs w:val="21"/>
          <w:lang w:val="en-AU"/>
        </w:rPr>
        <w:t>end line</w:t>
      </w:r>
      <w:r w:rsidRPr="00FF62CC">
        <w:rPr>
          <w:rFonts w:cstheme="minorHAnsi"/>
          <w:sz w:val="21"/>
          <w:szCs w:val="21"/>
          <w:lang w:val="en-AU"/>
        </w:rPr>
        <w:t xml:space="preserve"> at the end of 2021. Utilize additional mechanisms, including NDOE - Research and Planning Unit and CIMC, to share and communicate findings – negative and positive.</w:t>
      </w:r>
    </w:p>
    <w:p w14:paraId="228CD6E2" w14:textId="77777777" w:rsidR="003C1678" w:rsidRPr="00FF62CC" w:rsidRDefault="003C1678" w:rsidP="00FF62CC">
      <w:pPr>
        <w:pStyle w:val="ListParagraph"/>
        <w:numPr>
          <w:ilvl w:val="0"/>
          <w:numId w:val="76"/>
        </w:numPr>
        <w:spacing w:after="240"/>
        <w:ind w:left="1170"/>
        <w:rPr>
          <w:rFonts w:cstheme="minorHAnsi"/>
          <w:sz w:val="21"/>
          <w:szCs w:val="21"/>
          <w:lang w:val="en-AU"/>
        </w:rPr>
      </w:pPr>
      <w:r w:rsidRPr="00FF62CC">
        <w:rPr>
          <w:rFonts w:cstheme="minorHAnsi"/>
          <w:b/>
          <w:bCs/>
          <w:sz w:val="21"/>
          <w:szCs w:val="21"/>
          <w:u w:val="single"/>
          <w:lang w:val="en-AU"/>
        </w:rPr>
        <w:t>ECCD</w:t>
      </w:r>
      <w:r w:rsidRPr="00FF62CC">
        <w:rPr>
          <w:rFonts w:cstheme="minorHAnsi"/>
          <w:sz w:val="21"/>
          <w:szCs w:val="21"/>
          <w:lang w:val="en-AU"/>
        </w:rPr>
        <w:t xml:space="preserve"> – before proceeding with additional investments, there needs to be a discussion within AHC to determine what the ‘end-game’ is for this investment – considering the current status and stated interest of GoPNG in moving to support ECCD. This should help determine the legacy of the current work on ECCE under PPF.</w:t>
      </w:r>
    </w:p>
    <w:p w14:paraId="101C5F2A" w14:textId="77777777" w:rsidR="003C1678" w:rsidRPr="00FF62CC" w:rsidRDefault="003C1678" w:rsidP="003C1678">
      <w:pPr>
        <w:pStyle w:val="ListParagraph"/>
        <w:spacing w:after="240"/>
        <w:rPr>
          <w:rFonts w:cstheme="minorHAnsi"/>
          <w:sz w:val="21"/>
          <w:szCs w:val="21"/>
          <w:lang w:val="en-AU"/>
        </w:rPr>
      </w:pPr>
    </w:p>
    <w:p w14:paraId="2B7B978A" w14:textId="77777777" w:rsidR="003C1678" w:rsidRPr="00FF62CC" w:rsidRDefault="003C1678" w:rsidP="00FF62CC">
      <w:pPr>
        <w:pStyle w:val="ListParagraph"/>
        <w:numPr>
          <w:ilvl w:val="0"/>
          <w:numId w:val="69"/>
        </w:numPr>
        <w:spacing w:after="240"/>
        <w:rPr>
          <w:rFonts w:cstheme="minorHAnsi"/>
          <w:sz w:val="21"/>
          <w:szCs w:val="21"/>
          <w:lang w:val="en-AU"/>
        </w:rPr>
      </w:pPr>
      <w:r w:rsidRPr="00FF62CC">
        <w:rPr>
          <w:rFonts w:cstheme="minorHAnsi"/>
          <w:sz w:val="21"/>
          <w:szCs w:val="21"/>
          <w:lang w:val="en-AU"/>
        </w:rPr>
        <w:t>Potential ways forward for the longer-term:</w:t>
      </w:r>
    </w:p>
    <w:p w14:paraId="3F715556" w14:textId="77777777" w:rsidR="003C1678" w:rsidRPr="00FF62CC" w:rsidRDefault="003C1678" w:rsidP="003C1678">
      <w:pPr>
        <w:pStyle w:val="ListParagraph"/>
        <w:rPr>
          <w:rFonts w:cstheme="minorHAnsi"/>
          <w:sz w:val="21"/>
          <w:szCs w:val="21"/>
          <w:lang w:val="en-AU"/>
        </w:rPr>
      </w:pPr>
    </w:p>
    <w:p w14:paraId="79E393AA" w14:textId="77777777" w:rsidR="003C1678" w:rsidRPr="00FF62CC" w:rsidRDefault="003C1678" w:rsidP="00FF62CC">
      <w:pPr>
        <w:pStyle w:val="ListParagraph"/>
        <w:numPr>
          <w:ilvl w:val="0"/>
          <w:numId w:val="71"/>
        </w:numPr>
        <w:spacing w:after="240"/>
        <w:ind w:left="1170"/>
        <w:rPr>
          <w:rFonts w:cstheme="minorHAnsi"/>
          <w:sz w:val="21"/>
          <w:szCs w:val="21"/>
          <w:lang w:val="en-AU"/>
        </w:rPr>
      </w:pPr>
      <w:r w:rsidRPr="00FF62CC">
        <w:rPr>
          <w:rFonts w:cstheme="minorHAnsi"/>
          <w:sz w:val="21"/>
          <w:szCs w:val="21"/>
          <w:u w:val="single"/>
          <w:lang w:val="en-AU"/>
        </w:rPr>
        <w:t>Continue Australia’s support to and investment in improving the quality of basic education</w:t>
      </w:r>
      <w:r w:rsidRPr="00FF62CC">
        <w:rPr>
          <w:rFonts w:cstheme="minorHAnsi"/>
          <w:sz w:val="21"/>
          <w:szCs w:val="21"/>
          <w:lang w:val="en-AU"/>
        </w:rPr>
        <w:t xml:space="preserve"> – specifically related to early grade literacy and numeracy. The considerations that will need to be taken into account in planning for a continuation of support will need to include:</w:t>
      </w:r>
    </w:p>
    <w:p w14:paraId="2AA4CF47" w14:textId="77777777" w:rsidR="003C1678" w:rsidRPr="00FF62CC" w:rsidRDefault="003C1678" w:rsidP="00FF62CC">
      <w:pPr>
        <w:pStyle w:val="ListParagraph"/>
        <w:numPr>
          <w:ilvl w:val="0"/>
          <w:numId w:val="101"/>
        </w:numPr>
        <w:spacing w:after="240"/>
        <w:rPr>
          <w:rFonts w:cstheme="minorHAnsi"/>
          <w:sz w:val="21"/>
          <w:szCs w:val="21"/>
          <w:lang w:val="en-AU"/>
        </w:rPr>
      </w:pPr>
      <w:r w:rsidRPr="00FF62CC">
        <w:rPr>
          <w:rFonts w:cstheme="minorHAnsi"/>
          <w:sz w:val="21"/>
          <w:szCs w:val="21"/>
          <w:lang w:val="en-AU"/>
        </w:rPr>
        <w:t>Alignment with the GoPNG Medium-Term Development Plan – in particular those geographic areas identified by GoPNG as ‘under-performing’.</w:t>
      </w:r>
    </w:p>
    <w:p w14:paraId="0FB0ADA3" w14:textId="77777777" w:rsidR="003C1678" w:rsidRPr="00FF62CC" w:rsidRDefault="003C1678" w:rsidP="00FF62CC">
      <w:pPr>
        <w:pStyle w:val="ListParagraph"/>
        <w:numPr>
          <w:ilvl w:val="0"/>
          <w:numId w:val="101"/>
        </w:numPr>
        <w:spacing w:after="240"/>
        <w:rPr>
          <w:rFonts w:cstheme="minorHAnsi"/>
          <w:sz w:val="21"/>
          <w:szCs w:val="21"/>
          <w:lang w:val="en-AU"/>
        </w:rPr>
      </w:pPr>
      <w:r w:rsidRPr="00FF62CC">
        <w:rPr>
          <w:rFonts w:cstheme="minorHAnsi"/>
          <w:sz w:val="21"/>
          <w:szCs w:val="21"/>
          <w:lang w:val="en-AU"/>
        </w:rPr>
        <w:t>Alignment with the new National Education Plan (NEP)</w:t>
      </w:r>
      <w:r w:rsidR="00F23E3A" w:rsidRPr="00FF62CC">
        <w:rPr>
          <w:rFonts w:cstheme="minorHAnsi"/>
          <w:sz w:val="21"/>
          <w:szCs w:val="21"/>
          <w:lang w:val="en-AU"/>
        </w:rPr>
        <w:t xml:space="preserve"> 2020-2029</w:t>
      </w:r>
      <w:r w:rsidRPr="00FF62CC">
        <w:rPr>
          <w:rFonts w:cstheme="minorHAnsi"/>
          <w:sz w:val="21"/>
          <w:szCs w:val="21"/>
          <w:lang w:val="en-AU"/>
        </w:rPr>
        <w:t>, including positioning support aligned with the implementation of the 1-6-6 grade structure.  Any future support from Australia to education should be revisited and adjusted to align with and reflect the priorities of the most recent NEP.</w:t>
      </w:r>
    </w:p>
    <w:p w14:paraId="08020DB3" w14:textId="77777777" w:rsidR="003C1678" w:rsidRPr="00FF62CC" w:rsidRDefault="003C1678" w:rsidP="00FF62CC">
      <w:pPr>
        <w:pStyle w:val="ListParagraph"/>
        <w:numPr>
          <w:ilvl w:val="0"/>
          <w:numId w:val="101"/>
        </w:numPr>
        <w:spacing w:after="240"/>
        <w:rPr>
          <w:rFonts w:cstheme="minorHAnsi"/>
          <w:sz w:val="21"/>
          <w:szCs w:val="21"/>
          <w:lang w:val="en-AU"/>
        </w:rPr>
      </w:pPr>
      <w:r w:rsidRPr="00FF62CC">
        <w:rPr>
          <w:rFonts w:cstheme="minorHAnsi"/>
          <w:sz w:val="21"/>
          <w:szCs w:val="21"/>
          <w:lang w:val="en-AU"/>
        </w:rPr>
        <w:t>Coherence and alignment with the AHC strategy related to sub-national support (under development).</w:t>
      </w:r>
    </w:p>
    <w:p w14:paraId="51D44A71" w14:textId="77777777" w:rsidR="003C1678" w:rsidRPr="00FF62CC" w:rsidRDefault="003C1678" w:rsidP="00FF62CC">
      <w:pPr>
        <w:pStyle w:val="ListParagraph"/>
        <w:numPr>
          <w:ilvl w:val="0"/>
          <w:numId w:val="101"/>
        </w:numPr>
        <w:spacing w:after="240"/>
        <w:rPr>
          <w:rFonts w:cstheme="minorHAnsi"/>
          <w:sz w:val="21"/>
          <w:szCs w:val="21"/>
          <w:lang w:val="en-AU"/>
        </w:rPr>
      </w:pPr>
      <w:r w:rsidRPr="00FF62CC">
        <w:rPr>
          <w:rFonts w:cstheme="minorHAnsi"/>
          <w:sz w:val="21"/>
          <w:szCs w:val="21"/>
          <w:lang w:val="en-AU"/>
        </w:rPr>
        <w:t>Early establishment of governance and ‘ways of working’ arrangements between the AHC and GoPNG to guide the design, implementation and oversight of the support provided.</w:t>
      </w:r>
    </w:p>
    <w:p w14:paraId="5838B6A7" w14:textId="77777777" w:rsidR="003C1678" w:rsidRPr="00FF62CC" w:rsidRDefault="003C1678" w:rsidP="00FF62CC">
      <w:pPr>
        <w:pStyle w:val="ListParagraph"/>
        <w:numPr>
          <w:ilvl w:val="0"/>
          <w:numId w:val="101"/>
        </w:numPr>
        <w:spacing w:after="240"/>
        <w:rPr>
          <w:rFonts w:cstheme="minorHAnsi"/>
          <w:sz w:val="21"/>
          <w:szCs w:val="21"/>
          <w:lang w:val="en-AU"/>
        </w:rPr>
      </w:pPr>
      <w:r w:rsidRPr="00FF62CC">
        <w:rPr>
          <w:rFonts w:cstheme="minorHAnsi"/>
          <w:sz w:val="21"/>
          <w:szCs w:val="21"/>
          <w:lang w:val="en-AU"/>
        </w:rPr>
        <w:t>As part of the design process, conduct and apply the findings of targeted political economy analysis in areas proposed for support.</w:t>
      </w:r>
    </w:p>
    <w:p w14:paraId="12C40A33" w14:textId="77777777" w:rsidR="003C1678" w:rsidRPr="00FF62CC" w:rsidRDefault="003C1678" w:rsidP="003C1678">
      <w:pPr>
        <w:pStyle w:val="ListParagraph"/>
        <w:spacing w:after="240"/>
        <w:ind w:left="1890"/>
        <w:rPr>
          <w:rFonts w:cstheme="minorHAnsi"/>
          <w:sz w:val="21"/>
          <w:szCs w:val="21"/>
          <w:lang w:val="en-AU"/>
        </w:rPr>
      </w:pPr>
    </w:p>
    <w:p w14:paraId="05C7FEBA" w14:textId="77777777" w:rsidR="003C1678" w:rsidRPr="00FF62CC" w:rsidRDefault="003C1678" w:rsidP="00FF62CC">
      <w:pPr>
        <w:pStyle w:val="ListParagraph"/>
        <w:numPr>
          <w:ilvl w:val="0"/>
          <w:numId w:val="71"/>
        </w:numPr>
        <w:spacing w:after="240"/>
        <w:ind w:left="1170"/>
        <w:rPr>
          <w:rFonts w:cstheme="minorHAnsi"/>
          <w:sz w:val="21"/>
          <w:szCs w:val="21"/>
          <w:lang w:val="en-AU"/>
        </w:rPr>
      </w:pPr>
      <w:r w:rsidRPr="00FF62CC">
        <w:rPr>
          <w:rFonts w:cstheme="minorHAnsi"/>
          <w:sz w:val="21"/>
          <w:szCs w:val="21"/>
          <w:u w:val="single"/>
          <w:lang w:val="en-AU"/>
        </w:rPr>
        <w:t>Structure technical assistance and delivery support to and through the government institutions</w:t>
      </w:r>
      <w:r w:rsidRPr="00FF62CC">
        <w:rPr>
          <w:rFonts w:cstheme="minorHAnsi"/>
          <w:sz w:val="21"/>
          <w:szCs w:val="21"/>
          <w:lang w:val="en-AU"/>
        </w:rPr>
        <w:t xml:space="preserve"> that have the responsibility and accountability for supporting the delivery of quality basic education, specifically at the district level in target areas, including:</w:t>
      </w:r>
    </w:p>
    <w:p w14:paraId="6483E1E3" w14:textId="77777777" w:rsidR="003C1678" w:rsidRPr="00FF62CC" w:rsidRDefault="003C1678" w:rsidP="00FF62CC">
      <w:pPr>
        <w:pStyle w:val="ListParagraph"/>
        <w:numPr>
          <w:ilvl w:val="0"/>
          <w:numId w:val="102"/>
        </w:numPr>
        <w:spacing w:after="240"/>
        <w:rPr>
          <w:rFonts w:cstheme="minorHAnsi"/>
          <w:sz w:val="21"/>
          <w:szCs w:val="21"/>
          <w:lang w:val="en-AU"/>
        </w:rPr>
      </w:pPr>
      <w:r w:rsidRPr="00FF62CC">
        <w:rPr>
          <w:rFonts w:cstheme="minorHAnsi"/>
          <w:sz w:val="21"/>
          <w:szCs w:val="21"/>
          <w:lang w:val="en-AU"/>
        </w:rPr>
        <w:t>Support for the application of the ‘cluster’ concept as a low-cost mechanism to support improved teaching practice.</w:t>
      </w:r>
    </w:p>
    <w:p w14:paraId="327DA3C6" w14:textId="77777777" w:rsidR="003C1678" w:rsidRPr="00FF62CC" w:rsidRDefault="003C1678" w:rsidP="00FF62CC">
      <w:pPr>
        <w:pStyle w:val="ListParagraph"/>
        <w:numPr>
          <w:ilvl w:val="0"/>
          <w:numId w:val="102"/>
        </w:numPr>
        <w:spacing w:after="240"/>
        <w:rPr>
          <w:rFonts w:cstheme="minorHAnsi"/>
          <w:sz w:val="21"/>
          <w:szCs w:val="21"/>
          <w:lang w:val="en-AU"/>
        </w:rPr>
      </w:pPr>
      <w:r w:rsidRPr="00FF62CC">
        <w:rPr>
          <w:rFonts w:cstheme="minorHAnsi"/>
          <w:sz w:val="21"/>
          <w:szCs w:val="21"/>
          <w:lang w:val="en-AU"/>
        </w:rPr>
        <w:lastRenderedPageBreak/>
        <w:t>‘In-line’ funding of district education technical positions to work and facilitate change ‘from within’ the educational system.</w:t>
      </w:r>
    </w:p>
    <w:p w14:paraId="1900A266" w14:textId="77777777" w:rsidR="003C1678" w:rsidRPr="00FF62CC" w:rsidRDefault="003C1678" w:rsidP="00FF62CC">
      <w:pPr>
        <w:spacing w:after="240"/>
        <w:rPr>
          <w:rFonts w:asciiTheme="minorHAnsi" w:hAnsiTheme="minorHAnsi" w:cstheme="minorHAnsi"/>
          <w:szCs w:val="21"/>
        </w:rPr>
      </w:pPr>
      <w:r w:rsidRPr="00FF62CC">
        <w:rPr>
          <w:rFonts w:asciiTheme="minorHAnsi" w:hAnsiTheme="minorHAnsi" w:cstheme="minorHAnsi"/>
          <w:szCs w:val="21"/>
        </w:rPr>
        <w:t>At the provincial and district levels in target areas, consider provision of technical support for strategic planning and management to facilitate the equitable distribution of limited resources for education. At the national level, ensure engagement of senior government officials to strengthen evidence-informed decisions and policy development.</w:t>
      </w:r>
    </w:p>
    <w:p w14:paraId="4862D0C3" w14:textId="77777777" w:rsidR="003C1678" w:rsidRPr="00FF62CC" w:rsidRDefault="003C1678" w:rsidP="003C1678">
      <w:pPr>
        <w:pStyle w:val="ListParagraph"/>
        <w:spacing w:after="240"/>
        <w:ind w:left="1170"/>
        <w:rPr>
          <w:rFonts w:cstheme="minorHAnsi"/>
          <w:sz w:val="21"/>
          <w:szCs w:val="21"/>
          <w:lang w:val="en-AU"/>
        </w:rPr>
      </w:pPr>
    </w:p>
    <w:p w14:paraId="11EF9B0A" w14:textId="77777777" w:rsidR="003C1678" w:rsidRPr="00FF62CC" w:rsidRDefault="003C1678" w:rsidP="003C1678">
      <w:pPr>
        <w:pStyle w:val="ListParagraph"/>
        <w:spacing w:after="240"/>
        <w:ind w:left="1170"/>
        <w:rPr>
          <w:rFonts w:cstheme="minorHAnsi"/>
          <w:sz w:val="21"/>
          <w:szCs w:val="21"/>
          <w:lang w:val="en-AU"/>
        </w:rPr>
      </w:pPr>
    </w:p>
    <w:p w14:paraId="301B8C13" w14:textId="77777777" w:rsidR="003C1678" w:rsidRPr="00FF62CC" w:rsidRDefault="003C1678" w:rsidP="00FF62CC">
      <w:pPr>
        <w:pStyle w:val="ListParagraph"/>
        <w:numPr>
          <w:ilvl w:val="0"/>
          <w:numId w:val="71"/>
        </w:numPr>
        <w:spacing w:after="240"/>
        <w:ind w:left="1170"/>
        <w:rPr>
          <w:rFonts w:cstheme="minorHAnsi"/>
          <w:sz w:val="21"/>
          <w:szCs w:val="21"/>
          <w:lang w:val="en-AU"/>
        </w:rPr>
      </w:pPr>
      <w:r w:rsidRPr="00FF62CC">
        <w:rPr>
          <w:rFonts w:cstheme="minorHAnsi"/>
          <w:sz w:val="21"/>
          <w:szCs w:val="21"/>
          <w:u w:val="single"/>
          <w:lang w:val="en-AU"/>
        </w:rPr>
        <w:t>Focus future support</w:t>
      </w:r>
      <w:r w:rsidRPr="00FF62CC">
        <w:rPr>
          <w:rFonts w:cstheme="minorHAnsi"/>
          <w:sz w:val="21"/>
          <w:szCs w:val="21"/>
          <w:lang w:val="en-AU"/>
        </w:rPr>
        <w:t xml:space="preserve"> in four targeted areas based on lessons from the PPF Education Grants to date:</w:t>
      </w:r>
    </w:p>
    <w:p w14:paraId="2BD98CA5" w14:textId="77777777" w:rsidR="003C1678" w:rsidRPr="00FF62CC" w:rsidRDefault="003C1678" w:rsidP="003C1678">
      <w:pPr>
        <w:pStyle w:val="ListParagraph"/>
        <w:spacing w:after="240"/>
        <w:ind w:left="1170"/>
        <w:rPr>
          <w:rFonts w:cstheme="minorHAnsi"/>
          <w:sz w:val="21"/>
          <w:szCs w:val="21"/>
          <w:lang w:val="en-AU"/>
        </w:rPr>
      </w:pPr>
    </w:p>
    <w:p w14:paraId="53F56451" w14:textId="77777777" w:rsidR="003C1678" w:rsidRPr="00FF62CC" w:rsidRDefault="003C1678" w:rsidP="00FF62CC">
      <w:pPr>
        <w:pStyle w:val="ListParagraph"/>
        <w:numPr>
          <w:ilvl w:val="0"/>
          <w:numId w:val="103"/>
        </w:numPr>
        <w:spacing w:after="240"/>
        <w:rPr>
          <w:rFonts w:cstheme="minorHAnsi"/>
          <w:sz w:val="21"/>
          <w:szCs w:val="21"/>
          <w:lang w:val="en-AU"/>
        </w:rPr>
      </w:pPr>
      <w:r w:rsidRPr="00FF62CC">
        <w:rPr>
          <w:rFonts w:cstheme="minorHAnsi"/>
          <w:sz w:val="21"/>
          <w:szCs w:val="21"/>
          <w:u w:val="single"/>
          <w:lang w:val="en-AU"/>
        </w:rPr>
        <w:t>Teacher development</w:t>
      </w:r>
      <w:r w:rsidRPr="00FF62CC">
        <w:rPr>
          <w:rFonts w:cstheme="minorHAnsi"/>
          <w:sz w:val="21"/>
          <w:szCs w:val="21"/>
          <w:lang w:val="en-AU"/>
        </w:rPr>
        <w:t xml:space="preserve"> – both in content knowledge as well as teaching strategies.</w:t>
      </w:r>
      <w:r w:rsidRPr="00FF62CC">
        <w:rPr>
          <w:rStyle w:val="FootnoteReference"/>
          <w:rFonts w:cstheme="minorHAnsi"/>
          <w:sz w:val="21"/>
          <w:szCs w:val="21"/>
          <w:lang w:val="en-AU"/>
        </w:rPr>
        <w:footnoteReference w:id="95"/>
      </w:r>
      <w:r w:rsidRPr="00FF62CC">
        <w:rPr>
          <w:rFonts w:cstheme="minorHAnsi"/>
          <w:sz w:val="21"/>
          <w:szCs w:val="21"/>
          <w:lang w:val="en-AU"/>
        </w:rPr>
        <w:t xml:space="preserve">  Align teacher development support to ensure the core requirements of delivering the Standards-Based Curriculum (SBC) are met. Teacher training should, in the first instance, support the delivery of the SBC. Continue to include cross-cutting issues in teacher development initiatives (i.e. gender and disability inclusion). Continue to explore the innovative application of technology to provide information and demonstration lessons to teachers to reduce, but not replace, the provision of face-to-face coaching and supervision (videos on SD cards, social media platforms e.g. Facebook).</w:t>
      </w:r>
    </w:p>
    <w:p w14:paraId="0816511E" w14:textId="77777777" w:rsidR="003C1678" w:rsidRPr="00FF62CC" w:rsidRDefault="003C1678" w:rsidP="00FF62CC">
      <w:pPr>
        <w:pStyle w:val="ListParagraph"/>
        <w:numPr>
          <w:ilvl w:val="0"/>
          <w:numId w:val="103"/>
        </w:numPr>
        <w:spacing w:after="240"/>
        <w:rPr>
          <w:rFonts w:cstheme="minorHAnsi"/>
          <w:sz w:val="21"/>
          <w:szCs w:val="21"/>
          <w:lang w:val="en-AU"/>
        </w:rPr>
      </w:pPr>
      <w:r w:rsidRPr="00FF62CC">
        <w:rPr>
          <w:rFonts w:cstheme="minorHAnsi"/>
          <w:sz w:val="21"/>
          <w:szCs w:val="21"/>
          <w:u w:val="single"/>
          <w:lang w:val="en-AU"/>
        </w:rPr>
        <w:t>Teacher supervision, coaching and support</w:t>
      </w:r>
      <w:r w:rsidRPr="00FF62CC">
        <w:rPr>
          <w:rFonts w:cstheme="minorHAnsi"/>
          <w:sz w:val="21"/>
          <w:szCs w:val="21"/>
          <w:lang w:val="en-AU"/>
        </w:rPr>
        <w:t xml:space="preserve"> – to ensure teacher development initiatives result in application in the classroom. This requires development of </w:t>
      </w:r>
      <w:r w:rsidR="0064493A" w:rsidRPr="00FF62CC">
        <w:rPr>
          <w:rFonts w:cstheme="minorHAnsi"/>
          <w:sz w:val="21"/>
          <w:szCs w:val="21"/>
          <w:lang w:val="en-AU"/>
        </w:rPr>
        <w:t xml:space="preserve">the </w:t>
      </w:r>
      <w:r w:rsidRPr="00FF62CC">
        <w:rPr>
          <w:rFonts w:cstheme="minorHAnsi"/>
          <w:sz w:val="21"/>
          <w:szCs w:val="21"/>
          <w:lang w:val="en-AU"/>
        </w:rPr>
        <w:t xml:space="preserve">abilities of individuals responsible for these functions.  With the recent delegation of classroom observation and teacher supervision to school heads and teachers-in-charge, attention needs to be given to improving their </w:t>
      </w:r>
      <w:r w:rsidR="00A07B4A" w:rsidRPr="00FF62CC">
        <w:rPr>
          <w:rFonts w:cstheme="minorHAnsi"/>
          <w:sz w:val="21"/>
          <w:szCs w:val="21"/>
          <w:lang w:val="en-AU"/>
        </w:rPr>
        <w:t>abil</w:t>
      </w:r>
      <w:r w:rsidRPr="00FF62CC">
        <w:rPr>
          <w:rFonts w:cstheme="minorHAnsi"/>
          <w:sz w:val="21"/>
          <w:szCs w:val="21"/>
          <w:lang w:val="en-AU"/>
        </w:rPr>
        <w:t>it</w:t>
      </w:r>
      <w:r w:rsidR="00A07B4A" w:rsidRPr="00FF62CC">
        <w:rPr>
          <w:rFonts w:cstheme="minorHAnsi"/>
          <w:sz w:val="21"/>
          <w:szCs w:val="21"/>
          <w:lang w:val="en-AU"/>
        </w:rPr>
        <w:t>ies</w:t>
      </w:r>
      <w:r w:rsidRPr="00FF62CC">
        <w:rPr>
          <w:rFonts w:cstheme="minorHAnsi"/>
          <w:sz w:val="21"/>
          <w:szCs w:val="21"/>
          <w:lang w:val="en-AU"/>
        </w:rPr>
        <w:t xml:space="preserve"> and exercising their authority to perform these functions.  Continue to explore and enhance the concept of a ‘cluster’ or school-based resource teacher – perhaps operating as a team - as well as the ‘Peer/Professional Learning Circle’ approach.</w:t>
      </w:r>
    </w:p>
    <w:p w14:paraId="5B32AFA2" w14:textId="77777777" w:rsidR="003C1678" w:rsidRPr="00FF62CC" w:rsidRDefault="003C1678" w:rsidP="00FF62CC">
      <w:pPr>
        <w:pStyle w:val="ListParagraph"/>
        <w:numPr>
          <w:ilvl w:val="0"/>
          <w:numId w:val="103"/>
        </w:numPr>
        <w:spacing w:after="240"/>
        <w:rPr>
          <w:rFonts w:cstheme="minorHAnsi"/>
          <w:sz w:val="21"/>
          <w:szCs w:val="21"/>
          <w:lang w:val="en-AU"/>
        </w:rPr>
      </w:pPr>
      <w:r w:rsidRPr="00FF62CC">
        <w:rPr>
          <w:rFonts w:cstheme="minorHAnsi"/>
          <w:sz w:val="21"/>
          <w:szCs w:val="21"/>
          <w:u w:val="single"/>
          <w:lang w:val="en-AU"/>
        </w:rPr>
        <w:t>Supplementary learning resources</w:t>
      </w:r>
      <w:r w:rsidRPr="00FF62CC">
        <w:rPr>
          <w:rFonts w:cstheme="minorHAnsi"/>
          <w:sz w:val="21"/>
          <w:szCs w:val="21"/>
          <w:lang w:val="en-AU"/>
        </w:rPr>
        <w:t xml:space="preserve"> – need to align with the SBC and be approved by the Board of Studies. Continue to explore the innovative delivery of learning resources through technology, in particular the approaches being taken by Library for All, Bloom Reader/Education for Life. For targeted areas where the application of technology may be delayed or not feasible, printed resources will remain a priority. Consider also low-cost learning resources such as newsprint readers or ‘Big Books’.</w:t>
      </w:r>
    </w:p>
    <w:p w14:paraId="4288BB7C" w14:textId="1485AE71" w:rsidR="003C1678" w:rsidRPr="00FF62CC" w:rsidRDefault="003C1678" w:rsidP="00FF62CC">
      <w:pPr>
        <w:pStyle w:val="ListParagraph"/>
        <w:numPr>
          <w:ilvl w:val="0"/>
          <w:numId w:val="103"/>
        </w:numPr>
        <w:spacing w:after="240"/>
        <w:rPr>
          <w:rFonts w:cstheme="minorHAnsi"/>
          <w:sz w:val="21"/>
          <w:szCs w:val="21"/>
          <w:lang w:val="en-AU"/>
        </w:rPr>
      </w:pPr>
      <w:r w:rsidRPr="00FF62CC">
        <w:rPr>
          <w:rFonts w:cstheme="minorHAnsi"/>
          <w:sz w:val="21"/>
          <w:szCs w:val="21"/>
          <w:u w:val="single"/>
          <w:lang w:val="en-AU"/>
        </w:rPr>
        <w:t>School development</w:t>
      </w:r>
      <w:r w:rsidRPr="00FF62CC">
        <w:rPr>
          <w:rFonts w:cstheme="minorHAnsi"/>
          <w:sz w:val="21"/>
          <w:szCs w:val="21"/>
          <w:lang w:val="en-AU"/>
        </w:rPr>
        <w:t xml:space="preserve"> – as the unit responsible for the direct delivery and management of education, additional effort should be dedicated to ensuring schools are more effectively and efficiently managed and led. Enhancing the knowledge and skills of school heads/teachers-in-charge and SBOMs is required to assist them to perform appropriate functions related to their mandate.  Introduce, test and facilitate the adoption of whole school development approaches that exercise bottom-up planning and support from the school and community – regardless of government or external funding</w:t>
      </w:r>
      <w:r w:rsidR="00FF62CC" w:rsidRPr="00FF62CC">
        <w:rPr>
          <w:rFonts w:cstheme="minorHAnsi"/>
          <w:sz w:val="21"/>
          <w:szCs w:val="21"/>
          <w:lang w:val="en-AU"/>
        </w:rPr>
        <w:t>.</w:t>
      </w:r>
      <w:r w:rsidRPr="00FF62CC">
        <w:rPr>
          <w:rStyle w:val="FootnoteReference"/>
          <w:rFonts w:cstheme="minorHAnsi"/>
          <w:sz w:val="21"/>
          <w:szCs w:val="21"/>
          <w:lang w:val="en-AU"/>
        </w:rPr>
        <w:footnoteReference w:id="96"/>
      </w:r>
    </w:p>
    <w:p w14:paraId="128D5187" w14:textId="77777777" w:rsidR="003C1678" w:rsidRPr="00FF62CC" w:rsidRDefault="003C1678" w:rsidP="003C1678">
      <w:pPr>
        <w:pStyle w:val="ListParagraph"/>
        <w:spacing w:after="240"/>
        <w:ind w:left="1440"/>
        <w:rPr>
          <w:rFonts w:cstheme="minorHAnsi"/>
          <w:sz w:val="21"/>
          <w:szCs w:val="21"/>
          <w:lang w:val="en-AU"/>
        </w:rPr>
      </w:pPr>
    </w:p>
    <w:p w14:paraId="527D547A" w14:textId="77777777" w:rsidR="003C1678" w:rsidRPr="00FF62CC" w:rsidRDefault="003C1678" w:rsidP="00FF62CC">
      <w:pPr>
        <w:pStyle w:val="ListParagraph"/>
        <w:numPr>
          <w:ilvl w:val="0"/>
          <w:numId w:val="71"/>
        </w:numPr>
        <w:spacing w:after="240"/>
        <w:ind w:left="1170"/>
        <w:rPr>
          <w:rFonts w:cstheme="minorHAnsi"/>
          <w:sz w:val="21"/>
          <w:szCs w:val="21"/>
          <w:lang w:val="en-AU"/>
        </w:rPr>
      </w:pPr>
      <w:r w:rsidRPr="00FF62CC">
        <w:rPr>
          <w:rFonts w:cstheme="minorHAnsi"/>
          <w:sz w:val="21"/>
          <w:szCs w:val="21"/>
          <w:u w:val="single"/>
          <w:lang w:val="en-AU"/>
        </w:rPr>
        <w:lastRenderedPageBreak/>
        <w:t>The implementation modality</w:t>
      </w:r>
      <w:r w:rsidRPr="00FF62CC">
        <w:rPr>
          <w:rFonts w:cstheme="minorHAnsi"/>
          <w:sz w:val="21"/>
          <w:szCs w:val="21"/>
          <w:lang w:val="en-AU"/>
        </w:rPr>
        <w:t xml:space="preserve"> of future support – should reflect the lessons learned from the implementation of the PPF Education Grants and previous programming. While the imperative of establishing early governance and ‘ways of working’ arrangements has been noted above, other considerations include:</w:t>
      </w:r>
    </w:p>
    <w:p w14:paraId="2D1E9B25" w14:textId="77777777" w:rsidR="003C1678" w:rsidRPr="00FF62CC" w:rsidRDefault="003C1678" w:rsidP="00FF62CC">
      <w:pPr>
        <w:pStyle w:val="ListParagraph"/>
        <w:numPr>
          <w:ilvl w:val="0"/>
          <w:numId w:val="104"/>
        </w:numPr>
        <w:spacing w:after="240"/>
        <w:rPr>
          <w:rFonts w:cstheme="minorHAnsi"/>
          <w:sz w:val="21"/>
          <w:szCs w:val="21"/>
          <w:lang w:val="en-AU"/>
        </w:rPr>
      </w:pPr>
      <w:r w:rsidRPr="00FF62CC">
        <w:rPr>
          <w:rFonts w:cstheme="minorHAnsi"/>
          <w:sz w:val="21"/>
          <w:szCs w:val="21"/>
          <w:lang w:val="en-AU"/>
        </w:rPr>
        <w:t>The ability of INGOs to mobilize efficiently and effectively in sub-national areas where they have previous or ongoing relationships. Longer lead-times are required if implementers do not have previous understanding of the contexts and challenges or do not have professional ‘connections’ to facilitate initial entry.</w:t>
      </w:r>
    </w:p>
    <w:p w14:paraId="0A32B795" w14:textId="77777777" w:rsidR="003C1678" w:rsidRPr="00FF62CC" w:rsidRDefault="003C1678" w:rsidP="00FF62CC">
      <w:pPr>
        <w:pStyle w:val="ListParagraph"/>
        <w:numPr>
          <w:ilvl w:val="0"/>
          <w:numId w:val="104"/>
        </w:numPr>
        <w:spacing w:after="240"/>
        <w:rPr>
          <w:rFonts w:cstheme="minorHAnsi"/>
          <w:sz w:val="21"/>
          <w:szCs w:val="21"/>
          <w:lang w:val="en-AU"/>
        </w:rPr>
      </w:pPr>
      <w:r w:rsidRPr="00FF62CC">
        <w:rPr>
          <w:rFonts w:cstheme="minorHAnsi"/>
          <w:sz w:val="21"/>
          <w:szCs w:val="21"/>
          <w:lang w:val="en-AU"/>
        </w:rPr>
        <w:t>The ‘added-value’ brought by the diverse knowledge and skills of consortia to enhance and implement activities.</w:t>
      </w:r>
    </w:p>
    <w:p w14:paraId="56B97A23" w14:textId="77777777" w:rsidR="003C1678" w:rsidRPr="00FF62CC" w:rsidRDefault="003C1678" w:rsidP="00FF62CC">
      <w:pPr>
        <w:pStyle w:val="ListParagraph"/>
        <w:numPr>
          <w:ilvl w:val="0"/>
          <w:numId w:val="104"/>
        </w:numPr>
        <w:spacing w:after="240"/>
        <w:rPr>
          <w:rFonts w:cstheme="minorHAnsi"/>
          <w:sz w:val="21"/>
          <w:szCs w:val="21"/>
          <w:lang w:val="en-AU"/>
        </w:rPr>
      </w:pPr>
      <w:r w:rsidRPr="00FF62CC">
        <w:rPr>
          <w:rFonts w:cstheme="minorHAnsi"/>
          <w:sz w:val="21"/>
          <w:szCs w:val="21"/>
          <w:lang w:val="en-AU"/>
        </w:rPr>
        <w:t xml:space="preserve">The potential for greater coherence in programming and reporting of overall aggregated lessons/results, while still encouraging innovation and adaptation to localised challenges and opportunities </w:t>
      </w:r>
    </w:p>
    <w:p w14:paraId="248F7499" w14:textId="77777777" w:rsidR="003C1678" w:rsidRPr="00FF62CC" w:rsidRDefault="003C1678" w:rsidP="00FF62CC">
      <w:pPr>
        <w:pStyle w:val="ListParagraph"/>
        <w:numPr>
          <w:ilvl w:val="0"/>
          <w:numId w:val="104"/>
        </w:numPr>
        <w:spacing w:after="240"/>
        <w:rPr>
          <w:rFonts w:cstheme="minorHAnsi"/>
          <w:sz w:val="21"/>
          <w:szCs w:val="21"/>
          <w:lang w:val="en-AU"/>
        </w:rPr>
      </w:pPr>
      <w:r w:rsidRPr="00FF62CC">
        <w:rPr>
          <w:rFonts w:cstheme="minorHAnsi"/>
          <w:sz w:val="21"/>
          <w:szCs w:val="21"/>
          <w:lang w:val="en-AU"/>
        </w:rPr>
        <w:t>The need for an independent oversight, coordination and collaboration function to guide implementation strategies and to enhance utilisation of collective results for informing decision-making by GoPNG and AHC.</w:t>
      </w:r>
    </w:p>
    <w:p w14:paraId="2E78C9EE" w14:textId="77777777" w:rsidR="003C1678" w:rsidRPr="00FF62CC" w:rsidRDefault="003C1678" w:rsidP="00FF62CC">
      <w:pPr>
        <w:spacing w:after="240"/>
        <w:rPr>
          <w:rFonts w:asciiTheme="minorHAnsi" w:hAnsiTheme="minorHAnsi" w:cstheme="minorHAnsi"/>
          <w:szCs w:val="21"/>
        </w:rPr>
      </w:pPr>
      <w:r w:rsidRPr="00FF62CC">
        <w:rPr>
          <w:rFonts w:asciiTheme="minorHAnsi" w:hAnsiTheme="minorHAnsi" w:cstheme="minorHAnsi"/>
          <w:szCs w:val="21"/>
        </w:rPr>
        <w:t>Strong consideration should be given to applying the PPF Education Grants modality to a longer-term investment by Australia to support basic education, with INGO consortia responsible for working with districts and provinces in targeted areas.  The INGO consortia would be guided strategically by GoPNG and AHC through a Managing Contractor mechanism that would be responsible for management oversight, quality assurance, plan coherence, monitoring/evaluation and reporting. The Managing Contractor, with guidance from and working in collaboration with AHC, would be required to provide strategy and policy assistance to the NDOE as noted above.</w:t>
      </w:r>
    </w:p>
    <w:p w14:paraId="6AE779B6" w14:textId="77777777" w:rsidR="003C1678" w:rsidRPr="00FF62CC" w:rsidRDefault="003C1678" w:rsidP="00FF62CC">
      <w:pPr>
        <w:pStyle w:val="ListParagraph"/>
        <w:numPr>
          <w:ilvl w:val="0"/>
          <w:numId w:val="69"/>
        </w:numPr>
        <w:spacing w:after="240"/>
        <w:rPr>
          <w:rFonts w:cstheme="minorHAnsi"/>
          <w:sz w:val="21"/>
          <w:szCs w:val="21"/>
          <w:lang w:val="en-AU"/>
        </w:rPr>
      </w:pPr>
      <w:r w:rsidRPr="00FF62CC">
        <w:rPr>
          <w:rFonts w:cstheme="minorHAnsi"/>
          <w:sz w:val="21"/>
          <w:szCs w:val="21"/>
          <w:lang w:val="en-AU"/>
        </w:rPr>
        <w:t>Next Steps</w:t>
      </w:r>
    </w:p>
    <w:p w14:paraId="4D353B8B" w14:textId="77777777" w:rsidR="003C1678" w:rsidRPr="00FF62CC" w:rsidRDefault="003C1678" w:rsidP="003C1678">
      <w:pPr>
        <w:pStyle w:val="ListParagraph"/>
        <w:spacing w:after="240"/>
        <w:rPr>
          <w:rFonts w:cstheme="minorHAnsi"/>
          <w:sz w:val="21"/>
          <w:szCs w:val="21"/>
          <w:lang w:val="en-AU"/>
        </w:rPr>
      </w:pPr>
    </w:p>
    <w:p w14:paraId="0E3A2A3A" w14:textId="52E021D2" w:rsidR="003C1678" w:rsidRPr="00FF62CC" w:rsidRDefault="003C1678" w:rsidP="00FF62CC">
      <w:pPr>
        <w:pStyle w:val="ListParagraph"/>
        <w:numPr>
          <w:ilvl w:val="0"/>
          <w:numId w:val="75"/>
        </w:numPr>
        <w:spacing w:after="240"/>
        <w:ind w:left="1170"/>
        <w:rPr>
          <w:rFonts w:cstheme="minorHAnsi"/>
          <w:sz w:val="21"/>
          <w:szCs w:val="21"/>
          <w:lang w:val="en-AU"/>
        </w:rPr>
      </w:pPr>
      <w:r w:rsidRPr="00FF62CC">
        <w:rPr>
          <w:rFonts w:cstheme="minorHAnsi"/>
          <w:sz w:val="21"/>
          <w:szCs w:val="21"/>
          <w:lang w:val="en-AU"/>
        </w:rPr>
        <w:t xml:space="preserve">Allow time for the GoPNG, AHC, PPF Secretariat and the three NGO consortia to ‘digest’ the findings of the review and incorporate information from the current progress of the PPF Education Grants. Ideally, this would include preliminary findings from the current </w:t>
      </w:r>
      <w:r w:rsidR="00FA288E" w:rsidRPr="00FF62CC">
        <w:rPr>
          <w:rFonts w:cstheme="minorHAnsi"/>
          <w:sz w:val="21"/>
          <w:szCs w:val="21"/>
          <w:lang w:val="en-AU"/>
        </w:rPr>
        <w:t>end line</w:t>
      </w:r>
      <w:r w:rsidRPr="00FF62CC">
        <w:rPr>
          <w:rFonts w:cstheme="minorHAnsi"/>
          <w:sz w:val="21"/>
          <w:szCs w:val="21"/>
          <w:lang w:val="en-AU"/>
        </w:rPr>
        <w:t xml:space="preserve"> studies and the Annual progress reports (due by year’s end).</w:t>
      </w:r>
    </w:p>
    <w:p w14:paraId="6872A7AB" w14:textId="77777777" w:rsidR="003C1678" w:rsidRPr="00FF62CC" w:rsidRDefault="003C1678" w:rsidP="00FF62CC">
      <w:pPr>
        <w:pStyle w:val="ListParagraph"/>
        <w:numPr>
          <w:ilvl w:val="0"/>
          <w:numId w:val="75"/>
        </w:numPr>
        <w:spacing w:after="240"/>
        <w:ind w:left="1170"/>
        <w:rPr>
          <w:rFonts w:cstheme="minorHAnsi"/>
          <w:sz w:val="21"/>
          <w:szCs w:val="21"/>
          <w:lang w:val="en-AU"/>
        </w:rPr>
      </w:pPr>
      <w:r w:rsidRPr="00FF62CC">
        <w:rPr>
          <w:rFonts w:cstheme="minorHAnsi"/>
          <w:sz w:val="21"/>
          <w:szCs w:val="21"/>
          <w:lang w:val="en-AU"/>
        </w:rPr>
        <w:t xml:space="preserve">Conduct a PPF Education Grants workshop in early 2020 to provide the opportunity to collaborate on the design and content of the proposed extension to December 2021 as well as a more integrated results framework. The forum would include NDOE, DNPM (other GoPNG officials as observers), AHC, PPF Secretariat, and NGO consortia members. It is recommended that this forum be facilitated by the PPF Secretariat and CIMC.  The agenda would focus on the findings/observations of the PPF Education Grants Review as informed by more recent evidence from progress reports and studies. </w:t>
      </w:r>
    </w:p>
    <w:p w14:paraId="11973898" w14:textId="77777777" w:rsidR="003C1678" w:rsidRPr="00FF62CC" w:rsidRDefault="003C1678" w:rsidP="00FF62CC">
      <w:pPr>
        <w:pStyle w:val="ListParagraph"/>
        <w:numPr>
          <w:ilvl w:val="0"/>
          <w:numId w:val="75"/>
        </w:numPr>
        <w:spacing w:after="240"/>
        <w:ind w:left="1170"/>
        <w:rPr>
          <w:rFonts w:cstheme="minorHAnsi"/>
          <w:sz w:val="21"/>
          <w:szCs w:val="21"/>
          <w:lang w:val="en-AU"/>
        </w:rPr>
      </w:pPr>
      <w:r w:rsidRPr="00FF62CC">
        <w:rPr>
          <w:rFonts w:cstheme="minorHAnsi"/>
          <w:sz w:val="21"/>
          <w:szCs w:val="21"/>
          <w:lang w:val="en-AU"/>
        </w:rPr>
        <w:t>The results of the PPF Education Grants forum should be endorsed by the GoPNG and AHC – ideally through the PNG Partnership Fund National Oversight Committee.</w:t>
      </w:r>
    </w:p>
    <w:p w14:paraId="7162E127" w14:textId="77777777" w:rsidR="003C1678" w:rsidRPr="00FA288E" w:rsidRDefault="003C1678" w:rsidP="00D0036D">
      <w:pPr>
        <w:pStyle w:val="Heading1"/>
        <w:numPr>
          <w:ilvl w:val="0"/>
          <w:numId w:val="0"/>
        </w:numPr>
        <w:sectPr w:rsidR="003C1678" w:rsidRPr="00FA288E" w:rsidSect="008E376C">
          <w:pgSz w:w="11906" w:h="16838"/>
          <w:pgMar w:top="1418" w:right="1009" w:bottom="1009" w:left="1151" w:header="720" w:footer="720" w:gutter="0"/>
          <w:cols w:space="720"/>
          <w:docGrid w:linePitch="360"/>
        </w:sectPr>
      </w:pPr>
    </w:p>
    <w:p w14:paraId="79648F5F" w14:textId="77777777" w:rsidR="00D0036D" w:rsidRPr="00FA288E" w:rsidRDefault="00D0036D" w:rsidP="00D0036D">
      <w:pPr>
        <w:pStyle w:val="Heading1"/>
        <w:numPr>
          <w:ilvl w:val="0"/>
          <w:numId w:val="0"/>
        </w:numPr>
      </w:pPr>
      <w:bookmarkStart w:id="121" w:name="_Annex_D:_Consortia"/>
      <w:bookmarkStart w:id="122" w:name="_Toc31625603"/>
      <w:bookmarkStart w:id="123" w:name="_Toc42075983"/>
      <w:bookmarkEnd w:id="121"/>
      <w:r w:rsidRPr="00FA288E">
        <w:lastRenderedPageBreak/>
        <w:t xml:space="preserve">Annex </w:t>
      </w:r>
      <w:r w:rsidR="003C1678" w:rsidRPr="00FA288E">
        <w:t>D</w:t>
      </w:r>
      <w:r w:rsidRPr="00FA288E">
        <w:t>: Consortia Leads and Partners, Budget Allocations and Implementation Areas</w:t>
      </w:r>
      <w:bookmarkEnd w:id="122"/>
      <w:bookmarkEnd w:id="123"/>
    </w:p>
    <w:p w14:paraId="21DD399B" w14:textId="77777777" w:rsidR="00397FF6" w:rsidRPr="00FA288E" w:rsidRDefault="00D0036D" w:rsidP="00397FF6">
      <w:pPr>
        <w:spacing w:before="120" w:after="240" w:line="216" w:lineRule="auto"/>
        <w:jc w:val="both"/>
        <w:rPr>
          <w:rFonts w:cs="Calibri"/>
          <w:szCs w:val="21"/>
        </w:rPr>
      </w:pPr>
      <w:r w:rsidRPr="00FA288E">
        <w:rPr>
          <w:sz w:val="22"/>
          <w:szCs w:val="22"/>
        </w:rPr>
        <w:t xml:space="preserve">The PPF </w:t>
      </w:r>
      <w:bookmarkEnd w:id="117"/>
      <w:r w:rsidR="00397FF6" w:rsidRPr="00FA288E">
        <w:rPr>
          <w:rFonts w:cs="Calibri"/>
          <w:szCs w:val="21"/>
        </w:rPr>
        <w:t xml:space="preserve">Education </w:t>
      </w:r>
      <w:r w:rsidRPr="00FA288E">
        <w:rPr>
          <w:rFonts w:cs="Calibri"/>
          <w:szCs w:val="21"/>
        </w:rPr>
        <w:t>G</w:t>
      </w:r>
      <w:r w:rsidR="00397FF6" w:rsidRPr="00FA288E">
        <w:rPr>
          <w:rFonts w:cs="Calibri"/>
          <w:szCs w:val="21"/>
        </w:rPr>
        <w:t xml:space="preserve">rants are </w:t>
      </w:r>
      <w:r w:rsidRPr="00FA288E">
        <w:rPr>
          <w:rFonts w:cs="Calibri"/>
          <w:szCs w:val="21"/>
        </w:rPr>
        <w:t>implemented</w:t>
      </w:r>
      <w:r w:rsidR="00397FF6" w:rsidRPr="00FA288E">
        <w:rPr>
          <w:rFonts w:cs="Calibri"/>
          <w:szCs w:val="21"/>
        </w:rPr>
        <w:t xml:space="preserve"> by three consortia</w:t>
      </w:r>
      <w:r w:rsidRPr="00FA288E">
        <w:rPr>
          <w:rFonts w:cs="Calibri"/>
          <w:szCs w:val="21"/>
        </w:rPr>
        <w:t xml:space="preserve"> led by Care Australia, Save the Children and World Vision. The budget allocation and consortia partners for each lead agency are as follows:</w:t>
      </w:r>
    </w:p>
    <w:p w14:paraId="3EF7C028" w14:textId="77777777" w:rsidR="00397FF6" w:rsidRPr="00FA288E" w:rsidRDefault="00397FF6" w:rsidP="00FF62CC">
      <w:pPr>
        <w:spacing w:before="120" w:after="240" w:line="216" w:lineRule="auto"/>
        <w:jc w:val="both"/>
        <w:rPr>
          <w:rFonts w:cs="Calibri"/>
          <w:b/>
          <w:szCs w:val="21"/>
        </w:rPr>
      </w:pPr>
      <w:r w:rsidRPr="00FA288E">
        <w:rPr>
          <w:rFonts w:cs="Calibri"/>
          <w:b/>
          <w:szCs w:val="21"/>
        </w:rPr>
        <w:t>Care Australia</w:t>
      </w:r>
      <w:r w:rsidR="00D0036D" w:rsidRPr="00FA288E">
        <w:rPr>
          <w:rFonts w:cs="Calibri"/>
          <w:b/>
          <w:szCs w:val="21"/>
        </w:rPr>
        <w:t xml:space="preserve"> (CARE)</w:t>
      </w:r>
      <w:r w:rsidRPr="00FA288E">
        <w:rPr>
          <w:rFonts w:cs="Calibri"/>
          <w:b/>
          <w:szCs w:val="21"/>
        </w:rPr>
        <w:t xml:space="preserve">: </w:t>
      </w:r>
      <w:proofErr w:type="spellStart"/>
      <w:r w:rsidRPr="00FA288E">
        <w:rPr>
          <w:rFonts w:cs="Calibri"/>
          <w:szCs w:val="21"/>
        </w:rPr>
        <w:t>Pikinini</w:t>
      </w:r>
      <w:proofErr w:type="spellEnd"/>
      <w:r w:rsidRPr="00FA288E">
        <w:rPr>
          <w:rFonts w:cs="Calibri"/>
          <w:szCs w:val="21"/>
        </w:rPr>
        <w:t xml:space="preserve"> </w:t>
      </w:r>
      <w:proofErr w:type="spellStart"/>
      <w:r w:rsidRPr="00FA288E">
        <w:rPr>
          <w:rFonts w:cs="Calibri"/>
          <w:szCs w:val="21"/>
        </w:rPr>
        <w:t>Kisim</w:t>
      </w:r>
      <w:proofErr w:type="spellEnd"/>
      <w:r w:rsidRPr="00FA288E">
        <w:rPr>
          <w:rFonts w:cs="Calibri"/>
          <w:szCs w:val="21"/>
        </w:rPr>
        <w:t xml:space="preserve"> Save (PKS)</w:t>
      </w:r>
      <w:r w:rsidR="00F70A4A" w:rsidRPr="00FA288E">
        <w:rPr>
          <w:rFonts w:cs="Calibri"/>
          <w:szCs w:val="21"/>
        </w:rPr>
        <w:t xml:space="preserve"> Project</w:t>
      </w:r>
      <w:r w:rsidRPr="00FA288E">
        <w:rPr>
          <w:rFonts w:cs="Calibri"/>
          <w:szCs w:val="21"/>
        </w:rPr>
        <w:t>,</w:t>
      </w:r>
      <w:r w:rsidRPr="00FA288E">
        <w:rPr>
          <w:rFonts w:cs="Calibri"/>
          <w:b/>
          <w:szCs w:val="21"/>
        </w:rPr>
        <w:t xml:space="preserve"> </w:t>
      </w:r>
      <w:r w:rsidRPr="00FA288E">
        <w:rPr>
          <w:rFonts w:cs="Calibri"/>
          <w:szCs w:val="21"/>
        </w:rPr>
        <w:t xml:space="preserve">AU$15,429,400 to end </w:t>
      </w:r>
      <w:r w:rsidR="008C75DB" w:rsidRPr="00FA288E">
        <w:rPr>
          <w:rFonts w:cs="Calibri"/>
          <w:szCs w:val="21"/>
        </w:rPr>
        <w:t>June</w:t>
      </w:r>
      <w:r w:rsidRPr="00FA288E">
        <w:rPr>
          <w:rFonts w:cs="Calibri"/>
          <w:szCs w:val="21"/>
        </w:rPr>
        <w:t xml:space="preserve"> 2020</w:t>
      </w:r>
      <w:r w:rsidR="008C75DB" w:rsidRPr="00FA288E">
        <w:rPr>
          <w:rFonts w:cs="Calibri"/>
          <w:szCs w:val="21"/>
        </w:rPr>
        <w:t xml:space="preserve"> (extended from April 2020)</w:t>
      </w:r>
      <w:r w:rsidRPr="00FA288E">
        <w:rPr>
          <w:rFonts w:cs="Calibri"/>
          <w:szCs w:val="21"/>
        </w:rPr>
        <w:t>. Consortia Partners: ADRA PNG, University of Goroka, Queensland University of Technology, Sonoma Adventist College.</w:t>
      </w:r>
      <w:r w:rsidRPr="00FA288E">
        <w:rPr>
          <w:rFonts w:cs="Calibri"/>
          <w:b/>
          <w:szCs w:val="21"/>
        </w:rPr>
        <w:t xml:space="preserve"> </w:t>
      </w:r>
      <w:r w:rsidRPr="00FA288E">
        <w:rPr>
          <w:rFonts w:cs="Calibri"/>
          <w:szCs w:val="21"/>
        </w:rPr>
        <w:t>Grant awarded March 2018</w:t>
      </w:r>
      <w:r w:rsidR="00A512DF" w:rsidRPr="00FA288E">
        <w:rPr>
          <w:rFonts w:cs="Calibri"/>
          <w:szCs w:val="21"/>
        </w:rPr>
        <w:t xml:space="preserve"> with </w:t>
      </w:r>
      <w:r w:rsidR="006166CC" w:rsidRPr="00FA288E">
        <w:rPr>
          <w:rFonts w:cs="Calibri"/>
          <w:szCs w:val="21"/>
        </w:rPr>
        <w:t>i</w:t>
      </w:r>
      <w:r w:rsidRPr="00FA288E">
        <w:rPr>
          <w:rFonts w:cs="Calibri"/>
          <w:szCs w:val="21"/>
        </w:rPr>
        <w:t xml:space="preserve">mplementation </w:t>
      </w:r>
      <w:r w:rsidR="006166CC" w:rsidRPr="00FA288E">
        <w:rPr>
          <w:rFonts w:cs="Calibri"/>
          <w:szCs w:val="21"/>
        </w:rPr>
        <w:t>commenc</w:t>
      </w:r>
      <w:r w:rsidR="00A512DF" w:rsidRPr="00FA288E">
        <w:rPr>
          <w:rFonts w:cs="Calibri"/>
          <w:szCs w:val="21"/>
        </w:rPr>
        <w:t>ing</w:t>
      </w:r>
      <w:r w:rsidRPr="00FA288E">
        <w:rPr>
          <w:rFonts w:cs="Calibri"/>
          <w:szCs w:val="21"/>
        </w:rPr>
        <w:t xml:space="preserve"> September 2018.</w:t>
      </w:r>
      <w:r w:rsidRPr="00FA288E">
        <w:rPr>
          <w:rFonts w:cs="Calibri"/>
          <w:b/>
          <w:szCs w:val="21"/>
        </w:rPr>
        <w:t xml:space="preserve"> </w:t>
      </w:r>
    </w:p>
    <w:p w14:paraId="419397FF" w14:textId="77777777" w:rsidR="00397FF6" w:rsidRPr="00FA288E" w:rsidRDefault="00397FF6" w:rsidP="00FF62CC">
      <w:pPr>
        <w:spacing w:before="120" w:after="240" w:line="216" w:lineRule="auto"/>
        <w:jc w:val="both"/>
        <w:rPr>
          <w:rFonts w:cs="Calibri"/>
          <w:szCs w:val="21"/>
        </w:rPr>
      </w:pPr>
      <w:r w:rsidRPr="00FA288E">
        <w:rPr>
          <w:rFonts w:cs="Calibri"/>
          <w:b/>
          <w:szCs w:val="21"/>
        </w:rPr>
        <w:t>Save the Children (</w:t>
      </w:r>
      <w:proofErr w:type="spellStart"/>
      <w:r w:rsidRPr="00FA288E">
        <w:rPr>
          <w:rFonts w:cs="Calibri"/>
          <w:b/>
          <w:szCs w:val="21"/>
        </w:rPr>
        <w:t>StC</w:t>
      </w:r>
      <w:proofErr w:type="spellEnd"/>
      <w:r w:rsidRPr="00FA288E">
        <w:rPr>
          <w:rFonts w:cs="Calibri"/>
          <w:b/>
          <w:szCs w:val="21"/>
        </w:rPr>
        <w:t xml:space="preserve">): </w:t>
      </w:r>
      <w:r w:rsidRPr="00FA288E">
        <w:rPr>
          <w:rFonts w:cs="Calibri"/>
          <w:szCs w:val="21"/>
        </w:rPr>
        <w:t>Rapidly Improving Standards in Elementary Education (RISE)</w:t>
      </w:r>
      <w:r w:rsidR="00F70A4A" w:rsidRPr="00FA288E">
        <w:rPr>
          <w:rFonts w:cs="Calibri"/>
          <w:szCs w:val="21"/>
        </w:rPr>
        <w:t xml:space="preserve"> Project</w:t>
      </w:r>
      <w:r w:rsidRPr="00FA288E">
        <w:rPr>
          <w:rFonts w:cs="Calibri"/>
          <w:szCs w:val="21"/>
        </w:rPr>
        <w:t xml:space="preserve">, AU$18,039,129 to end </w:t>
      </w:r>
      <w:r w:rsidR="008C75DB" w:rsidRPr="00FA288E">
        <w:rPr>
          <w:rFonts w:cs="Calibri"/>
          <w:szCs w:val="21"/>
        </w:rPr>
        <w:t>June</w:t>
      </w:r>
      <w:r w:rsidRPr="00FA288E">
        <w:rPr>
          <w:rFonts w:cs="Calibri"/>
          <w:szCs w:val="21"/>
        </w:rPr>
        <w:t xml:space="preserve"> 2020</w:t>
      </w:r>
      <w:r w:rsidR="008C75DB" w:rsidRPr="00FA288E">
        <w:rPr>
          <w:rFonts w:cs="Calibri"/>
          <w:szCs w:val="21"/>
        </w:rPr>
        <w:t xml:space="preserve"> (extended from April 2020)</w:t>
      </w:r>
      <w:r w:rsidRPr="00FA288E">
        <w:rPr>
          <w:rFonts w:cs="Calibri"/>
          <w:szCs w:val="21"/>
        </w:rPr>
        <w:t xml:space="preserve">. Consortia Partners: Summer Institute of Linguistics; Callan Services. </w:t>
      </w:r>
      <w:r w:rsidR="00763200" w:rsidRPr="00FA288E">
        <w:rPr>
          <w:rFonts w:cs="Calibri"/>
          <w:szCs w:val="21"/>
        </w:rPr>
        <w:t>Grant awarded end June 2017</w:t>
      </w:r>
      <w:r w:rsidR="00A512DF" w:rsidRPr="00FA288E">
        <w:rPr>
          <w:rFonts w:cs="Calibri"/>
          <w:szCs w:val="21"/>
        </w:rPr>
        <w:t xml:space="preserve"> with</w:t>
      </w:r>
      <w:r w:rsidR="00763200" w:rsidRPr="00FA288E">
        <w:rPr>
          <w:rFonts w:cs="Calibri"/>
          <w:szCs w:val="21"/>
        </w:rPr>
        <w:t xml:space="preserve"> implementation commenc</w:t>
      </w:r>
      <w:r w:rsidR="00A512DF" w:rsidRPr="00FA288E">
        <w:rPr>
          <w:rFonts w:cs="Calibri"/>
          <w:szCs w:val="21"/>
        </w:rPr>
        <w:t>ing</w:t>
      </w:r>
      <w:r w:rsidR="00763200" w:rsidRPr="00FA288E">
        <w:rPr>
          <w:rFonts w:cs="Calibri"/>
          <w:szCs w:val="21"/>
        </w:rPr>
        <w:t xml:space="preserve"> January 2018.</w:t>
      </w:r>
    </w:p>
    <w:p w14:paraId="563AE6D4" w14:textId="77777777" w:rsidR="00397FF6" w:rsidRPr="00FA288E" w:rsidRDefault="00397FF6" w:rsidP="00FF62CC">
      <w:pPr>
        <w:spacing w:before="120" w:after="240" w:line="216" w:lineRule="auto"/>
        <w:jc w:val="both"/>
        <w:rPr>
          <w:rFonts w:cs="Calibri"/>
          <w:szCs w:val="21"/>
        </w:rPr>
      </w:pPr>
      <w:r w:rsidRPr="00FA288E">
        <w:rPr>
          <w:rFonts w:cs="Calibri"/>
          <w:b/>
          <w:szCs w:val="21"/>
        </w:rPr>
        <w:t xml:space="preserve">World Vision </w:t>
      </w:r>
      <w:r w:rsidR="00D0036D" w:rsidRPr="00FA288E">
        <w:rPr>
          <w:rFonts w:cs="Calibri"/>
          <w:b/>
          <w:szCs w:val="21"/>
        </w:rPr>
        <w:t>(WV)</w:t>
      </w:r>
      <w:r w:rsidRPr="00FA288E">
        <w:rPr>
          <w:rFonts w:cs="Calibri"/>
          <w:szCs w:val="21"/>
        </w:rPr>
        <w:t>: Together for Education (T4E)</w:t>
      </w:r>
      <w:r w:rsidR="00F70A4A" w:rsidRPr="00FA288E">
        <w:rPr>
          <w:rFonts w:cs="Calibri"/>
          <w:szCs w:val="21"/>
        </w:rPr>
        <w:t xml:space="preserve"> Project</w:t>
      </w:r>
      <w:r w:rsidRPr="00FA288E">
        <w:rPr>
          <w:rFonts w:cs="Calibri"/>
          <w:szCs w:val="21"/>
        </w:rPr>
        <w:t xml:space="preserve">: Enhancing Access to Quality Elementary Education for Girls &amp; Boys in PNG, AU$14,095,995 to </w:t>
      </w:r>
      <w:r w:rsidR="006166CC" w:rsidRPr="00FA288E">
        <w:rPr>
          <w:rFonts w:cs="Calibri"/>
          <w:szCs w:val="21"/>
        </w:rPr>
        <w:t xml:space="preserve">end </w:t>
      </w:r>
      <w:r w:rsidR="008C75DB" w:rsidRPr="00FA288E">
        <w:rPr>
          <w:rFonts w:cs="Calibri"/>
          <w:szCs w:val="21"/>
        </w:rPr>
        <w:t>June</w:t>
      </w:r>
      <w:r w:rsidRPr="00FA288E">
        <w:rPr>
          <w:rFonts w:cs="Calibri"/>
          <w:szCs w:val="21"/>
        </w:rPr>
        <w:t xml:space="preserve"> 2020</w:t>
      </w:r>
      <w:r w:rsidR="008C75DB" w:rsidRPr="00FA288E">
        <w:rPr>
          <w:rFonts w:cs="Calibri"/>
          <w:szCs w:val="21"/>
        </w:rPr>
        <w:t xml:space="preserve"> (extended from April 2020)</w:t>
      </w:r>
      <w:r w:rsidRPr="00FA288E">
        <w:rPr>
          <w:rFonts w:cs="Calibri"/>
          <w:szCs w:val="21"/>
        </w:rPr>
        <w:t>. Consortia Partners: Child Fund, Library for All, Consultative Implementation and Monitoring Council, Australia Institute of Sustainable Communities at University of Canberra.</w:t>
      </w:r>
      <w:r w:rsidR="00763200" w:rsidRPr="00FA288E">
        <w:rPr>
          <w:rFonts w:cs="Calibri"/>
          <w:szCs w:val="21"/>
        </w:rPr>
        <w:t xml:space="preserve"> Grant awarded end June 2017</w:t>
      </w:r>
      <w:r w:rsidR="00A512DF" w:rsidRPr="00FA288E">
        <w:rPr>
          <w:rFonts w:cs="Calibri"/>
          <w:szCs w:val="21"/>
        </w:rPr>
        <w:t xml:space="preserve"> with</w:t>
      </w:r>
      <w:r w:rsidR="00763200" w:rsidRPr="00FA288E">
        <w:rPr>
          <w:rFonts w:cs="Calibri"/>
          <w:szCs w:val="21"/>
        </w:rPr>
        <w:t xml:space="preserve"> implementation commenc</w:t>
      </w:r>
      <w:r w:rsidR="00A512DF" w:rsidRPr="00FA288E">
        <w:rPr>
          <w:rFonts w:cs="Calibri"/>
          <w:szCs w:val="21"/>
        </w:rPr>
        <w:t>ing</w:t>
      </w:r>
      <w:r w:rsidR="00763200" w:rsidRPr="00FA288E">
        <w:rPr>
          <w:rFonts w:cs="Calibri"/>
          <w:szCs w:val="21"/>
        </w:rPr>
        <w:t xml:space="preserve"> January 2018.</w:t>
      </w:r>
    </w:p>
    <w:tbl>
      <w:tblPr>
        <w:tblStyle w:val="TableGrid"/>
        <w:tblW w:w="0" w:type="auto"/>
        <w:tblInd w:w="-95" w:type="dxa"/>
        <w:tblLook w:val="04A0" w:firstRow="1" w:lastRow="0" w:firstColumn="1" w:lastColumn="0" w:noHBand="0" w:noVBand="1"/>
        <w:tblCaption w:val="Consortia leads and partners, budgets and locations"/>
        <w:tblDescription w:val="The Rapidly Improving Standards in Education (RISE) project is led by Save the Children, at a value of AUD18039129. Consortium partners include Summer Institute of Linguistics and Callan Services. Implementation provinces include: Autonomous Region of Bougainville; East Sepik; and Eastern Highlands&#10;Together for Education (T4E) project is led by World Vision, at a value of AUD14095995. Consortium partners include Child Fund; Consultative Implementation and Monitoring Council (CIMC); University of Canberra; and Library for All (LfA). It is implemented in Central, Madang and Morobe.&#10;Pikinini Kisim Save (PKS) project is led by CARE Australia at a value of AUD15000000. Consortium partners include Adventist Development and Relief Agency (ADRA); University of Goroka; Queensland University of Technology; and Church Education Agencies. It is implemented in West New Britain; Simbu; Jiawaka and Western Highlands.  "/>
      </w:tblPr>
      <w:tblGrid>
        <w:gridCol w:w="2188"/>
        <w:gridCol w:w="2410"/>
        <w:gridCol w:w="1842"/>
        <w:gridCol w:w="2853"/>
      </w:tblGrid>
      <w:tr w:rsidR="00436FDA" w:rsidRPr="00FA288E" w14:paraId="74FD58BF" w14:textId="77777777" w:rsidTr="00AE259C">
        <w:trPr>
          <w:tblHeader/>
        </w:trPr>
        <w:tc>
          <w:tcPr>
            <w:tcW w:w="2188" w:type="dxa"/>
            <w:shd w:val="clear" w:color="auto" w:fill="262626" w:themeFill="text1" w:themeFillTint="D9"/>
          </w:tcPr>
          <w:p w14:paraId="2CB64103" w14:textId="77777777" w:rsidR="00436FDA" w:rsidRPr="003B2316" w:rsidRDefault="00436FDA" w:rsidP="007076BD">
            <w:pPr>
              <w:jc w:val="center"/>
              <w:rPr>
                <w:rFonts w:cs="Calibri"/>
                <w:b/>
                <w:bCs/>
                <w:sz w:val="20"/>
                <w:szCs w:val="20"/>
                <w:lang w:val="en-AU"/>
              </w:rPr>
            </w:pPr>
            <w:r w:rsidRPr="003B2316">
              <w:rPr>
                <w:rFonts w:cs="Calibri"/>
                <w:b/>
                <w:bCs/>
                <w:sz w:val="20"/>
                <w:szCs w:val="20"/>
                <w:lang w:val="en-AU"/>
              </w:rPr>
              <w:t>Project, Lead INGO and value</w:t>
            </w:r>
          </w:p>
        </w:tc>
        <w:tc>
          <w:tcPr>
            <w:tcW w:w="2410" w:type="dxa"/>
            <w:shd w:val="clear" w:color="auto" w:fill="262626" w:themeFill="text1" w:themeFillTint="D9"/>
          </w:tcPr>
          <w:p w14:paraId="66E8DC71" w14:textId="77777777" w:rsidR="00436FDA" w:rsidRPr="003B2316" w:rsidRDefault="00436FDA" w:rsidP="007076BD">
            <w:pPr>
              <w:jc w:val="center"/>
              <w:rPr>
                <w:rFonts w:cs="Calibri"/>
                <w:b/>
                <w:bCs/>
                <w:sz w:val="20"/>
                <w:szCs w:val="20"/>
                <w:lang w:val="en-AU"/>
              </w:rPr>
            </w:pPr>
            <w:r w:rsidRPr="003B2316">
              <w:rPr>
                <w:rFonts w:cs="Calibri"/>
                <w:b/>
                <w:bCs/>
                <w:sz w:val="20"/>
                <w:szCs w:val="20"/>
                <w:lang w:val="en-AU"/>
              </w:rPr>
              <w:t>Consortium Partners</w:t>
            </w:r>
          </w:p>
        </w:tc>
        <w:tc>
          <w:tcPr>
            <w:tcW w:w="1842" w:type="dxa"/>
            <w:shd w:val="clear" w:color="auto" w:fill="262626" w:themeFill="text1" w:themeFillTint="D9"/>
          </w:tcPr>
          <w:p w14:paraId="0E5DB86A" w14:textId="77777777" w:rsidR="00436FDA" w:rsidRPr="003B2316" w:rsidRDefault="00436FDA" w:rsidP="007076BD">
            <w:pPr>
              <w:jc w:val="center"/>
              <w:rPr>
                <w:rFonts w:cs="Calibri"/>
                <w:b/>
                <w:bCs/>
                <w:sz w:val="20"/>
                <w:szCs w:val="20"/>
                <w:lang w:val="en-AU"/>
              </w:rPr>
            </w:pPr>
            <w:r w:rsidRPr="003B2316">
              <w:rPr>
                <w:rFonts w:cs="Calibri"/>
                <w:b/>
                <w:bCs/>
                <w:sz w:val="20"/>
                <w:szCs w:val="20"/>
                <w:lang w:val="en-AU"/>
              </w:rPr>
              <w:t>Implementation Provinces</w:t>
            </w:r>
          </w:p>
        </w:tc>
        <w:tc>
          <w:tcPr>
            <w:tcW w:w="2853" w:type="dxa"/>
            <w:shd w:val="clear" w:color="auto" w:fill="262626" w:themeFill="text1" w:themeFillTint="D9"/>
          </w:tcPr>
          <w:p w14:paraId="3C787A6C" w14:textId="77777777" w:rsidR="00436FDA" w:rsidRPr="003B2316" w:rsidRDefault="00436FDA" w:rsidP="007076BD">
            <w:pPr>
              <w:jc w:val="center"/>
              <w:rPr>
                <w:rFonts w:cs="Calibri"/>
                <w:b/>
                <w:bCs/>
                <w:sz w:val="20"/>
                <w:szCs w:val="20"/>
                <w:lang w:val="en-AU"/>
              </w:rPr>
            </w:pPr>
            <w:r w:rsidRPr="003B2316">
              <w:rPr>
                <w:rFonts w:cs="Calibri"/>
                <w:b/>
                <w:bCs/>
                <w:sz w:val="20"/>
                <w:szCs w:val="20"/>
                <w:lang w:val="en-AU"/>
              </w:rPr>
              <w:t>Implementation Districts</w:t>
            </w:r>
          </w:p>
        </w:tc>
      </w:tr>
      <w:tr w:rsidR="003E146B" w:rsidRPr="00FA288E" w14:paraId="40EF9D58" w14:textId="77777777" w:rsidTr="00436FDA">
        <w:tc>
          <w:tcPr>
            <w:tcW w:w="2188" w:type="dxa"/>
            <w:shd w:val="clear" w:color="auto" w:fill="262626" w:themeFill="text1" w:themeFillTint="D9"/>
            <w:vAlign w:val="center"/>
          </w:tcPr>
          <w:p w14:paraId="0715B920" w14:textId="77777777" w:rsidR="003E146B" w:rsidRPr="00FA288E" w:rsidRDefault="003E146B" w:rsidP="003E146B">
            <w:pPr>
              <w:jc w:val="center"/>
              <w:rPr>
                <w:rFonts w:cs="Calibri"/>
                <w:sz w:val="20"/>
                <w:szCs w:val="20"/>
                <w:lang w:val="en-AU"/>
              </w:rPr>
            </w:pPr>
            <w:r w:rsidRPr="00FA288E">
              <w:rPr>
                <w:rFonts w:cs="Calibri"/>
                <w:sz w:val="20"/>
                <w:szCs w:val="20"/>
                <w:lang w:val="en-AU"/>
              </w:rPr>
              <w:t>Rapidly Improving Standards in Education (RISE)</w:t>
            </w:r>
          </w:p>
          <w:p w14:paraId="676BA603" w14:textId="77777777" w:rsidR="003E146B" w:rsidRPr="00FA288E" w:rsidRDefault="003E146B" w:rsidP="003E146B">
            <w:pPr>
              <w:jc w:val="center"/>
              <w:rPr>
                <w:rFonts w:cs="Calibri"/>
                <w:sz w:val="20"/>
                <w:szCs w:val="20"/>
                <w:lang w:val="en-AU"/>
              </w:rPr>
            </w:pPr>
          </w:p>
          <w:p w14:paraId="27CCB36F" w14:textId="77777777" w:rsidR="003E146B" w:rsidRPr="00FA288E" w:rsidRDefault="003E146B" w:rsidP="003E146B">
            <w:pPr>
              <w:jc w:val="center"/>
              <w:rPr>
                <w:rFonts w:cs="Calibri"/>
                <w:sz w:val="20"/>
                <w:szCs w:val="20"/>
                <w:lang w:val="en-AU"/>
              </w:rPr>
            </w:pPr>
            <w:r w:rsidRPr="00FA288E">
              <w:rPr>
                <w:rFonts w:cs="Calibri"/>
                <w:sz w:val="20"/>
                <w:szCs w:val="20"/>
                <w:lang w:val="en-AU"/>
              </w:rPr>
              <w:t>Save the Children (</w:t>
            </w:r>
            <w:proofErr w:type="spellStart"/>
            <w:r w:rsidRPr="00FA288E">
              <w:rPr>
                <w:rFonts w:cs="Calibri"/>
                <w:sz w:val="20"/>
                <w:szCs w:val="20"/>
                <w:lang w:val="en-AU"/>
              </w:rPr>
              <w:t>StC</w:t>
            </w:r>
            <w:proofErr w:type="spellEnd"/>
            <w:r w:rsidRPr="00FA288E">
              <w:rPr>
                <w:rFonts w:cs="Calibri"/>
                <w:sz w:val="20"/>
                <w:szCs w:val="20"/>
                <w:lang w:val="en-AU"/>
              </w:rPr>
              <w:t>)</w:t>
            </w:r>
          </w:p>
          <w:p w14:paraId="31A23249" w14:textId="730C63D7" w:rsidR="003E146B" w:rsidRPr="00FA288E" w:rsidRDefault="003E146B" w:rsidP="003E146B">
            <w:pPr>
              <w:jc w:val="center"/>
              <w:rPr>
                <w:rFonts w:cs="Calibri"/>
                <w:sz w:val="20"/>
                <w:szCs w:val="20"/>
              </w:rPr>
            </w:pPr>
            <w:r w:rsidRPr="00FA288E">
              <w:rPr>
                <w:rFonts w:cs="Calibri"/>
                <w:sz w:val="20"/>
                <w:szCs w:val="20"/>
                <w:lang w:val="en-AU"/>
              </w:rPr>
              <w:t>(AUD 18,039,129,  June 2017 to June 2020</w:t>
            </w:r>
          </w:p>
        </w:tc>
        <w:tc>
          <w:tcPr>
            <w:tcW w:w="2410" w:type="dxa"/>
            <w:vAlign w:val="center"/>
          </w:tcPr>
          <w:p w14:paraId="29D6FBFF" w14:textId="77777777" w:rsidR="003E146B" w:rsidRPr="00FA288E" w:rsidRDefault="003E146B" w:rsidP="003E146B">
            <w:pPr>
              <w:jc w:val="left"/>
              <w:rPr>
                <w:rFonts w:cs="Calibri"/>
                <w:sz w:val="20"/>
                <w:szCs w:val="20"/>
                <w:lang w:val="en-AU"/>
              </w:rPr>
            </w:pPr>
            <w:r w:rsidRPr="00FA288E">
              <w:rPr>
                <w:rFonts w:cs="Calibri"/>
                <w:sz w:val="20"/>
                <w:szCs w:val="20"/>
                <w:lang w:val="en-AU"/>
              </w:rPr>
              <w:t>Summer Institute of Linguistics (SIL)</w:t>
            </w:r>
          </w:p>
          <w:p w14:paraId="378E36C9" w14:textId="77777777" w:rsidR="003E146B" w:rsidRPr="00FA288E" w:rsidRDefault="003E146B" w:rsidP="003E146B">
            <w:pPr>
              <w:jc w:val="left"/>
              <w:rPr>
                <w:rFonts w:cs="Calibri"/>
                <w:sz w:val="20"/>
                <w:szCs w:val="20"/>
                <w:lang w:val="en-AU"/>
              </w:rPr>
            </w:pPr>
          </w:p>
          <w:p w14:paraId="366FDB2F" w14:textId="65D88BFE" w:rsidR="003E146B" w:rsidRPr="00FA288E" w:rsidRDefault="003E146B" w:rsidP="003E146B">
            <w:pPr>
              <w:rPr>
                <w:rFonts w:cs="Calibri"/>
                <w:sz w:val="20"/>
                <w:szCs w:val="20"/>
              </w:rPr>
            </w:pPr>
            <w:r w:rsidRPr="00FA288E">
              <w:rPr>
                <w:rFonts w:cs="Calibri"/>
                <w:sz w:val="20"/>
                <w:szCs w:val="20"/>
                <w:lang w:val="en-AU"/>
              </w:rPr>
              <w:t>Callan Services</w:t>
            </w:r>
          </w:p>
        </w:tc>
        <w:tc>
          <w:tcPr>
            <w:tcW w:w="1842" w:type="dxa"/>
            <w:vAlign w:val="center"/>
          </w:tcPr>
          <w:p w14:paraId="531DE001" w14:textId="7EE2DD4F" w:rsidR="003E146B" w:rsidRDefault="003E146B" w:rsidP="003E146B">
            <w:pPr>
              <w:jc w:val="left"/>
              <w:rPr>
                <w:rFonts w:cs="Calibri"/>
                <w:sz w:val="20"/>
                <w:szCs w:val="20"/>
                <w:lang w:val="en-AU"/>
              </w:rPr>
            </w:pPr>
            <w:r w:rsidRPr="00FA288E">
              <w:rPr>
                <w:rFonts w:cs="Calibri"/>
                <w:sz w:val="20"/>
                <w:szCs w:val="20"/>
                <w:lang w:val="en-AU"/>
              </w:rPr>
              <w:t>Autonomous</w:t>
            </w:r>
            <w:r w:rsidR="00FE1401">
              <w:rPr>
                <w:rFonts w:cs="Calibri"/>
                <w:sz w:val="20"/>
                <w:szCs w:val="20"/>
                <w:lang w:val="en-AU"/>
              </w:rPr>
              <w:t xml:space="preserve"> </w:t>
            </w:r>
            <w:r w:rsidRPr="00FA288E">
              <w:rPr>
                <w:rFonts w:cs="Calibri"/>
                <w:sz w:val="20"/>
                <w:szCs w:val="20"/>
                <w:lang w:val="en-AU"/>
              </w:rPr>
              <w:t>Region</w:t>
            </w:r>
            <w:r>
              <w:rPr>
                <w:rFonts w:cs="Calibri"/>
                <w:sz w:val="20"/>
                <w:szCs w:val="20"/>
                <w:lang w:val="en-AU"/>
              </w:rPr>
              <w:t xml:space="preserve"> </w:t>
            </w:r>
            <w:r w:rsidRPr="00FA288E">
              <w:rPr>
                <w:rFonts w:cs="Calibri"/>
                <w:sz w:val="20"/>
                <w:szCs w:val="20"/>
                <w:lang w:val="en-AU"/>
              </w:rPr>
              <w:t>of Bougainville</w:t>
            </w:r>
          </w:p>
          <w:p w14:paraId="4EC7AF5F" w14:textId="77777777" w:rsidR="003E146B" w:rsidRDefault="003E146B" w:rsidP="003E146B">
            <w:pPr>
              <w:jc w:val="left"/>
              <w:rPr>
                <w:rFonts w:cs="Calibri"/>
                <w:sz w:val="20"/>
                <w:szCs w:val="20"/>
              </w:rPr>
            </w:pPr>
          </w:p>
          <w:p w14:paraId="4CEAD83C" w14:textId="77777777" w:rsidR="003E146B" w:rsidRDefault="003E146B" w:rsidP="003E146B">
            <w:pPr>
              <w:jc w:val="left"/>
              <w:rPr>
                <w:rFonts w:cs="Calibri"/>
                <w:sz w:val="20"/>
                <w:szCs w:val="20"/>
              </w:rPr>
            </w:pPr>
            <w:r>
              <w:rPr>
                <w:rFonts w:cs="Calibri"/>
                <w:sz w:val="20"/>
                <w:szCs w:val="20"/>
              </w:rPr>
              <w:t>East Sepik</w:t>
            </w:r>
          </w:p>
          <w:p w14:paraId="1E5B4C12" w14:textId="77777777" w:rsidR="003E146B" w:rsidRDefault="003E146B" w:rsidP="003E146B">
            <w:pPr>
              <w:jc w:val="left"/>
              <w:rPr>
                <w:rFonts w:cs="Calibri"/>
                <w:sz w:val="20"/>
                <w:szCs w:val="20"/>
              </w:rPr>
            </w:pPr>
          </w:p>
          <w:p w14:paraId="7C386A8B" w14:textId="5DEB76BF" w:rsidR="003E146B" w:rsidRPr="00FA288E" w:rsidRDefault="003E146B" w:rsidP="003E146B">
            <w:pPr>
              <w:jc w:val="left"/>
              <w:rPr>
                <w:rFonts w:cs="Calibri"/>
                <w:sz w:val="20"/>
                <w:szCs w:val="20"/>
              </w:rPr>
            </w:pPr>
            <w:r>
              <w:rPr>
                <w:rFonts w:cs="Calibri"/>
                <w:sz w:val="20"/>
                <w:szCs w:val="20"/>
              </w:rPr>
              <w:t>Eastern Highlands</w:t>
            </w:r>
          </w:p>
        </w:tc>
        <w:tc>
          <w:tcPr>
            <w:tcW w:w="2853" w:type="dxa"/>
          </w:tcPr>
          <w:p w14:paraId="4A9D25C4" w14:textId="6B3D7A97" w:rsidR="003E146B" w:rsidRDefault="003E146B" w:rsidP="003E146B">
            <w:pPr>
              <w:rPr>
                <w:rFonts w:cs="Calibri"/>
                <w:sz w:val="20"/>
                <w:szCs w:val="20"/>
              </w:rPr>
            </w:pPr>
            <w:r>
              <w:rPr>
                <w:rFonts w:cs="Calibri"/>
                <w:sz w:val="20"/>
                <w:szCs w:val="20"/>
              </w:rPr>
              <w:t>North Bougainville, Central Bougainville, South Bougainville</w:t>
            </w:r>
          </w:p>
          <w:p w14:paraId="708E90AF" w14:textId="77777777" w:rsidR="003E146B" w:rsidRDefault="003E146B" w:rsidP="003E146B">
            <w:pPr>
              <w:rPr>
                <w:rFonts w:cs="Calibri"/>
                <w:sz w:val="20"/>
                <w:szCs w:val="20"/>
              </w:rPr>
            </w:pPr>
          </w:p>
          <w:p w14:paraId="5BC061CC" w14:textId="77777777" w:rsidR="003E146B" w:rsidRDefault="003E146B" w:rsidP="003E146B">
            <w:pPr>
              <w:rPr>
                <w:rFonts w:cs="Calibri"/>
                <w:sz w:val="20"/>
                <w:szCs w:val="20"/>
              </w:rPr>
            </w:pPr>
          </w:p>
          <w:p w14:paraId="0F491412" w14:textId="77777777" w:rsidR="003E146B" w:rsidRDefault="003E146B" w:rsidP="003E146B">
            <w:pPr>
              <w:rPr>
                <w:rFonts w:cs="Calibri"/>
                <w:sz w:val="20"/>
                <w:szCs w:val="20"/>
              </w:rPr>
            </w:pPr>
            <w:r>
              <w:rPr>
                <w:rFonts w:cs="Calibri"/>
                <w:sz w:val="20"/>
                <w:szCs w:val="20"/>
              </w:rPr>
              <w:t xml:space="preserve">Wewak, Angora, </w:t>
            </w:r>
            <w:proofErr w:type="spellStart"/>
            <w:r>
              <w:rPr>
                <w:rFonts w:cs="Calibri"/>
                <w:sz w:val="20"/>
                <w:szCs w:val="20"/>
              </w:rPr>
              <w:t>Yangoru</w:t>
            </w:r>
            <w:proofErr w:type="spellEnd"/>
            <w:r>
              <w:rPr>
                <w:rFonts w:cs="Calibri"/>
                <w:sz w:val="20"/>
                <w:szCs w:val="20"/>
              </w:rPr>
              <w:t xml:space="preserve"> </w:t>
            </w:r>
            <w:proofErr w:type="spellStart"/>
            <w:r>
              <w:rPr>
                <w:rFonts w:cs="Calibri"/>
                <w:sz w:val="20"/>
                <w:szCs w:val="20"/>
              </w:rPr>
              <w:t>Saussia</w:t>
            </w:r>
            <w:proofErr w:type="spellEnd"/>
          </w:p>
          <w:p w14:paraId="1A301EA5" w14:textId="77777777" w:rsidR="003E146B" w:rsidRDefault="003E146B" w:rsidP="003E146B">
            <w:pPr>
              <w:rPr>
                <w:rFonts w:cs="Calibri"/>
                <w:sz w:val="20"/>
                <w:szCs w:val="20"/>
              </w:rPr>
            </w:pPr>
          </w:p>
          <w:p w14:paraId="1B5C59D9" w14:textId="41D2E41D" w:rsidR="003E146B" w:rsidRPr="00FA288E" w:rsidRDefault="00FE1401" w:rsidP="003E146B">
            <w:pPr>
              <w:rPr>
                <w:rFonts w:cs="Calibri"/>
                <w:sz w:val="20"/>
                <w:szCs w:val="20"/>
              </w:rPr>
            </w:pPr>
            <w:r>
              <w:rPr>
                <w:rFonts w:cs="Calibri"/>
                <w:sz w:val="20"/>
                <w:szCs w:val="20"/>
              </w:rPr>
              <w:t xml:space="preserve">Goroka, </w:t>
            </w:r>
            <w:proofErr w:type="spellStart"/>
            <w:r>
              <w:rPr>
                <w:rFonts w:cs="Calibri"/>
                <w:sz w:val="20"/>
                <w:szCs w:val="20"/>
              </w:rPr>
              <w:t>Kainantu</w:t>
            </w:r>
            <w:proofErr w:type="spellEnd"/>
            <w:r>
              <w:rPr>
                <w:rFonts w:cs="Calibri"/>
                <w:sz w:val="20"/>
                <w:szCs w:val="20"/>
              </w:rPr>
              <w:t xml:space="preserve">, </w:t>
            </w:r>
            <w:proofErr w:type="spellStart"/>
            <w:r>
              <w:rPr>
                <w:rFonts w:cs="Calibri"/>
                <w:sz w:val="20"/>
                <w:szCs w:val="20"/>
              </w:rPr>
              <w:t>Unggai</w:t>
            </w:r>
            <w:proofErr w:type="spellEnd"/>
            <w:r>
              <w:rPr>
                <w:rFonts w:cs="Calibri"/>
                <w:sz w:val="20"/>
                <w:szCs w:val="20"/>
              </w:rPr>
              <w:t xml:space="preserve">, </w:t>
            </w:r>
            <w:proofErr w:type="spellStart"/>
            <w:r>
              <w:rPr>
                <w:rFonts w:cs="Calibri"/>
                <w:sz w:val="20"/>
                <w:szCs w:val="20"/>
              </w:rPr>
              <w:t>Benna</w:t>
            </w:r>
            <w:proofErr w:type="spellEnd"/>
            <w:r>
              <w:rPr>
                <w:rFonts w:cs="Calibri"/>
                <w:sz w:val="20"/>
                <w:szCs w:val="20"/>
              </w:rPr>
              <w:t xml:space="preserve">, </w:t>
            </w:r>
            <w:proofErr w:type="spellStart"/>
            <w:r>
              <w:rPr>
                <w:rFonts w:cs="Calibri"/>
                <w:sz w:val="20"/>
                <w:szCs w:val="20"/>
              </w:rPr>
              <w:t>Hengenofi</w:t>
            </w:r>
            <w:proofErr w:type="spellEnd"/>
            <w:r>
              <w:rPr>
                <w:rFonts w:cs="Calibri"/>
                <w:sz w:val="20"/>
                <w:szCs w:val="20"/>
              </w:rPr>
              <w:t xml:space="preserve">, </w:t>
            </w:r>
            <w:proofErr w:type="spellStart"/>
            <w:r>
              <w:rPr>
                <w:rFonts w:cs="Calibri"/>
                <w:sz w:val="20"/>
                <w:szCs w:val="20"/>
              </w:rPr>
              <w:t>Obura</w:t>
            </w:r>
            <w:proofErr w:type="spellEnd"/>
            <w:r>
              <w:rPr>
                <w:rFonts w:cs="Calibri"/>
                <w:sz w:val="20"/>
                <w:szCs w:val="20"/>
              </w:rPr>
              <w:t xml:space="preserve"> </w:t>
            </w:r>
            <w:proofErr w:type="spellStart"/>
            <w:r>
              <w:rPr>
                <w:rFonts w:cs="Calibri"/>
                <w:sz w:val="20"/>
                <w:szCs w:val="20"/>
              </w:rPr>
              <w:t>Wonernara</w:t>
            </w:r>
            <w:proofErr w:type="spellEnd"/>
            <w:r>
              <w:rPr>
                <w:rFonts w:cs="Calibri"/>
                <w:sz w:val="20"/>
                <w:szCs w:val="20"/>
              </w:rPr>
              <w:t xml:space="preserve"> </w:t>
            </w:r>
          </w:p>
        </w:tc>
      </w:tr>
      <w:tr w:rsidR="00FE1401" w:rsidRPr="00FA288E" w14:paraId="39FACE50" w14:textId="77777777" w:rsidTr="00436FDA">
        <w:trPr>
          <w:trHeight w:val="498"/>
        </w:trPr>
        <w:tc>
          <w:tcPr>
            <w:tcW w:w="2188" w:type="dxa"/>
            <w:shd w:val="clear" w:color="auto" w:fill="262626" w:themeFill="text1" w:themeFillTint="D9"/>
            <w:vAlign w:val="center"/>
          </w:tcPr>
          <w:p w14:paraId="7AC8D239" w14:textId="77777777" w:rsidR="00FE1401" w:rsidRPr="00FA288E" w:rsidRDefault="00FE1401" w:rsidP="00FE1401">
            <w:pPr>
              <w:jc w:val="center"/>
              <w:rPr>
                <w:rFonts w:cs="Calibri"/>
                <w:sz w:val="20"/>
                <w:szCs w:val="20"/>
                <w:lang w:val="en-AU"/>
              </w:rPr>
            </w:pPr>
            <w:r w:rsidRPr="00FA288E">
              <w:rPr>
                <w:rFonts w:cs="Calibri"/>
                <w:sz w:val="20"/>
                <w:szCs w:val="20"/>
                <w:lang w:val="en-AU"/>
              </w:rPr>
              <w:t>Together for Education (T4E)</w:t>
            </w:r>
          </w:p>
          <w:p w14:paraId="0535BF09" w14:textId="77777777" w:rsidR="00FE1401" w:rsidRPr="00FA288E" w:rsidRDefault="00FE1401" w:rsidP="00FE1401">
            <w:pPr>
              <w:jc w:val="center"/>
              <w:rPr>
                <w:rFonts w:cs="Calibri"/>
                <w:sz w:val="20"/>
                <w:szCs w:val="20"/>
                <w:lang w:val="en-AU"/>
              </w:rPr>
            </w:pPr>
          </w:p>
          <w:p w14:paraId="79EE6627" w14:textId="77777777" w:rsidR="00FE1401" w:rsidRPr="00FA288E" w:rsidRDefault="00FE1401" w:rsidP="00FE1401">
            <w:pPr>
              <w:jc w:val="center"/>
              <w:rPr>
                <w:rFonts w:cs="Calibri"/>
                <w:sz w:val="20"/>
                <w:szCs w:val="20"/>
                <w:lang w:val="en-AU"/>
              </w:rPr>
            </w:pPr>
            <w:r w:rsidRPr="00FA288E">
              <w:rPr>
                <w:rFonts w:cs="Calibri"/>
                <w:sz w:val="20"/>
                <w:szCs w:val="20"/>
                <w:lang w:val="en-AU"/>
              </w:rPr>
              <w:t>World Vision (WV)</w:t>
            </w:r>
          </w:p>
          <w:p w14:paraId="0C98C5F7" w14:textId="49D1D49D" w:rsidR="00FE1401" w:rsidRPr="00FA288E" w:rsidRDefault="00FE1401" w:rsidP="00FE1401">
            <w:pPr>
              <w:jc w:val="center"/>
              <w:rPr>
                <w:rFonts w:cs="Calibri"/>
                <w:sz w:val="20"/>
                <w:szCs w:val="20"/>
              </w:rPr>
            </w:pPr>
            <w:r w:rsidRPr="00FA288E">
              <w:rPr>
                <w:rFonts w:cs="Calibri"/>
                <w:sz w:val="20"/>
                <w:szCs w:val="20"/>
                <w:lang w:val="en-AU"/>
              </w:rPr>
              <w:t>(AUD 14,095,995, June 2017 to June2020)</w:t>
            </w:r>
          </w:p>
        </w:tc>
        <w:tc>
          <w:tcPr>
            <w:tcW w:w="2410" w:type="dxa"/>
            <w:vAlign w:val="center"/>
          </w:tcPr>
          <w:p w14:paraId="59BDC8A0" w14:textId="77777777" w:rsidR="00FE1401" w:rsidRPr="00FA288E" w:rsidRDefault="00FE1401" w:rsidP="00FE1401">
            <w:pPr>
              <w:jc w:val="left"/>
              <w:rPr>
                <w:rFonts w:cs="Calibri"/>
                <w:sz w:val="20"/>
                <w:szCs w:val="20"/>
                <w:lang w:val="en-AU"/>
              </w:rPr>
            </w:pPr>
            <w:r w:rsidRPr="00FA288E">
              <w:rPr>
                <w:rFonts w:cs="Calibri"/>
                <w:sz w:val="20"/>
                <w:szCs w:val="20"/>
                <w:lang w:val="en-AU"/>
              </w:rPr>
              <w:t>Child Fund</w:t>
            </w:r>
          </w:p>
          <w:p w14:paraId="60C69B35" w14:textId="77777777" w:rsidR="00FE1401" w:rsidRPr="00FA288E" w:rsidRDefault="00FE1401" w:rsidP="00FE1401">
            <w:pPr>
              <w:jc w:val="left"/>
              <w:rPr>
                <w:rFonts w:cs="Calibri"/>
                <w:sz w:val="20"/>
                <w:szCs w:val="20"/>
                <w:lang w:val="en-AU"/>
              </w:rPr>
            </w:pPr>
          </w:p>
          <w:p w14:paraId="3E3D2E79" w14:textId="77777777" w:rsidR="00FE1401" w:rsidRPr="00FA288E" w:rsidRDefault="00FE1401" w:rsidP="00FE1401">
            <w:pPr>
              <w:jc w:val="left"/>
              <w:rPr>
                <w:rFonts w:cs="Calibri"/>
                <w:sz w:val="20"/>
                <w:szCs w:val="20"/>
                <w:lang w:val="en-AU"/>
              </w:rPr>
            </w:pPr>
            <w:r w:rsidRPr="00FA288E">
              <w:rPr>
                <w:rFonts w:cs="Calibri"/>
                <w:sz w:val="20"/>
                <w:szCs w:val="20"/>
                <w:lang w:val="en-AU"/>
              </w:rPr>
              <w:t>Consultative Implementation and Monitoring Council (CIMC)</w:t>
            </w:r>
          </w:p>
          <w:p w14:paraId="4C2CB937" w14:textId="77777777" w:rsidR="00FE1401" w:rsidRPr="00FA288E" w:rsidRDefault="00FE1401" w:rsidP="00FE1401">
            <w:pPr>
              <w:jc w:val="left"/>
              <w:rPr>
                <w:rFonts w:cs="Calibri"/>
                <w:sz w:val="20"/>
                <w:szCs w:val="20"/>
                <w:lang w:val="en-AU"/>
              </w:rPr>
            </w:pPr>
          </w:p>
          <w:p w14:paraId="6ACA43FA" w14:textId="77777777" w:rsidR="00FE1401" w:rsidRPr="00FA288E" w:rsidRDefault="00FE1401" w:rsidP="00FE1401">
            <w:pPr>
              <w:jc w:val="left"/>
              <w:rPr>
                <w:rFonts w:cs="Calibri"/>
                <w:sz w:val="20"/>
                <w:szCs w:val="20"/>
                <w:lang w:val="en-AU"/>
              </w:rPr>
            </w:pPr>
            <w:r w:rsidRPr="00FA288E">
              <w:rPr>
                <w:rFonts w:cs="Calibri"/>
                <w:sz w:val="20"/>
                <w:szCs w:val="20"/>
                <w:lang w:val="en-AU"/>
              </w:rPr>
              <w:t>University of Canberra</w:t>
            </w:r>
          </w:p>
          <w:p w14:paraId="6C9EB538" w14:textId="77777777" w:rsidR="00FE1401" w:rsidRPr="00FA288E" w:rsidRDefault="00FE1401" w:rsidP="00FE1401">
            <w:pPr>
              <w:jc w:val="left"/>
              <w:rPr>
                <w:rFonts w:cs="Calibri"/>
                <w:sz w:val="20"/>
                <w:szCs w:val="20"/>
                <w:lang w:val="en-AU"/>
              </w:rPr>
            </w:pPr>
          </w:p>
          <w:p w14:paraId="5BEF5A90" w14:textId="1F9B18A9" w:rsidR="00FE1401" w:rsidRPr="00FA288E" w:rsidRDefault="00FE1401" w:rsidP="00FE1401">
            <w:pPr>
              <w:rPr>
                <w:rFonts w:cs="Calibri"/>
                <w:sz w:val="20"/>
                <w:szCs w:val="20"/>
              </w:rPr>
            </w:pPr>
            <w:r w:rsidRPr="00FA288E">
              <w:rPr>
                <w:rFonts w:cs="Calibri"/>
                <w:sz w:val="20"/>
                <w:szCs w:val="20"/>
                <w:lang w:val="en-AU"/>
              </w:rPr>
              <w:t>Library for All (</w:t>
            </w:r>
            <w:proofErr w:type="spellStart"/>
            <w:r w:rsidRPr="00FA288E">
              <w:rPr>
                <w:rFonts w:cs="Calibri"/>
                <w:sz w:val="20"/>
                <w:szCs w:val="20"/>
                <w:lang w:val="en-AU"/>
              </w:rPr>
              <w:t>LfA</w:t>
            </w:r>
            <w:proofErr w:type="spellEnd"/>
            <w:r w:rsidRPr="00FA288E">
              <w:rPr>
                <w:rFonts w:cs="Calibri"/>
                <w:sz w:val="20"/>
                <w:szCs w:val="20"/>
                <w:lang w:val="en-AU"/>
              </w:rPr>
              <w:t>)</w:t>
            </w:r>
          </w:p>
        </w:tc>
        <w:tc>
          <w:tcPr>
            <w:tcW w:w="1842" w:type="dxa"/>
            <w:vAlign w:val="center"/>
          </w:tcPr>
          <w:p w14:paraId="086006CD" w14:textId="77777777" w:rsidR="00FE1401" w:rsidRDefault="00FE1401" w:rsidP="00FE1401">
            <w:pPr>
              <w:rPr>
                <w:rFonts w:cs="Calibri"/>
                <w:sz w:val="20"/>
                <w:szCs w:val="20"/>
              </w:rPr>
            </w:pPr>
            <w:r>
              <w:rPr>
                <w:rFonts w:cs="Calibri"/>
                <w:sz w:val="20"/>
                <w:szCs w:val="20"/>
              </w:rPr>
              <w:t>Central (Child Fund)</w:t>
            </w:r>
          </w:p>
          <w:p w14:paraId="5E69886A" w14:textId="77777777" w:rsidR="00FE1401" w:rsidRDefault="00FE1401" w:rsidP="00FE1401">
            <w:pPr>
              <w:rPr>
                <w:rFonts w:cs="Calibri"/>
                <w:sz w:val="20"/>
                <w:szCs w:val="20"/>
              </w:rPr>
            </w:pPr>
          </w:p>
          <w:p w14:paraId="52DA7FB4" w14:textId="77777777" w:rsidR="00FE1401" w:rsidRDefault="00FE1401" w:rsidP="00FE1401">
            <w:pPr>
              <w:rPr>
                <w:rFonts w:cs="Calibri"/>
                <w:sz w:val="20"/>
                <w:szCs w:val="20"/>
              </w:rPr>
            </w:pPr>
            <w:r>
              <w:rPr>
                <w:rFonts w:cs="Calibri"/>
                <w:sz w:val="20"/>
                <w:szCs w:val="20"/>
              </w:rPr>
              <w:t>Madang</w:t>
            </w:r>
          </w:p>
          <w:p w14:paraId="0349636A" w14:textId="77777777" w:rsidR="00FE1401" w:rsidRDefault="00FE1401" w:rsidP="00FE1401">
            <w:pPr>
              <w:rPr>
                <w:rFonts w:cs="Calibri"/>
                <w:sz w:val="20"/>
                <w:szCs w:val="20"/>
              </w:rPr>
            </w:pPr>
          </w:p>
          <w:p w14:paraId="08722B3F" w14:textId="6DE31237" w:rsidR="00FE1401" w:rsidRPr="00FA288E" w:rsidRDefault="00FE1401" w:rsidP="00FE1401">
            <w:pPr>
              <w:rPr>
                <w:rFonts w:cs="Calibri"/>
                <w:sz w:val="20"/>
                <w:szCs w:val="20"/>
              </w:rPr>
            </w:pPr>
            <w:proofErr w:type="spellStart"/>
            <w:r>
              <w:rPr>
                <w:rFonts w:cs="Calibri"/>
                <w:sz w:val="20"/>
                <w:szCs w:val="20"/>
              </w:rPr>
              <w:t>Morobe</w:t>
            </w:r>
            <w:proofErr w:type="spellEnd"/>
          </w:p>
        </w:tc>
        <w:tc>
          <w:tcPr>
            <w:tcW w:w="2853" w:type="dxa"/>
            <w:vAlign w:val="center"/>
          </w:tcPr>
          <w:p w14:paraId="6F88801D" w14:textId="77777777" w:rsidR="00FE1401" w:rsidRDefault="00FE1401" w:rsidP="00FE1401">
            <w:pPr>
              <w:rPr>
                <w:rFonts w:cs="Calibri"/>
                <w:sz w:val="20"/>
                <w:szCs w:val="20"/>
              </w:rPr>
            </w:pPr>
            <w:proofErr w:type="spellStart"/>
            <w:r>
              <w:rPr>
                <w:rFonts w:cs="Calibri"/>
                <w:sz w:val="20"/>
                <w:szCs w:val="20"/>
              </w:rPr>
              <w:t>Rigo</w:t>
            </w:r>
            <w:proofErr w:type="spellEnd"/>
            <w:r>
              <w:rPr>
                <w:rFonts w:cs="Calibri"/>
                <w:sz w:val="20"/>
                <w:szCs w:val="20"/>
              </w:rPr>
              <w:t xml:space="preserve">, </w:t>
            </w:r>
            <w:proofErr w:type="spellStart"/>
            <w:r>
              <w:rPr>
                <w:rFonts w:cs="Calibri"/>
                <w:sz w:val="20"/>
                <w:szCs w:val="20"/>
              </w:rPr>
              <w:t>Kairuku</w:t>
            </w:r>
            <w:proofErr w:type="spellEnd"/>
          </w:p>
          <w:p w14:paraId="2F61DA01" w14:textId="77777777" w:rsidR="00FE1401" w:rsidRDefault="00FE1401" w:rsidP="00FE1401">
            <w:pPr>
              <w:rPr>
                <w:rFonts w:cs="Calibri"/>
                <w:sz w:val="20"/>
                <w:szCs w:val="20"/>
              </w:rPr>
            </w:pPr>
          </w:p>
          <w:p w14:paraId="20F19258" w14:textId="77777777" w:rsidR="00256804" w:rsidRDefault="00256804" w:rsidP="00FE1401">
            <w:pPr>
              <w:rPr>
                <w:rFonts w:cs="Calibri"/>
                <w:sz w:val="20"/>
                <w:szCs w:val="20"/>
              </w:rPr>
            </w:pPr>
            <w:r>
              <w:rPr>
                <w:rFonts w:cs="Calibri"/>
                <w:sz w:val="20"/>
                <w:szCs w:val="20"/>
              </w:rPr>
              <w:t xml:space="preserve">Madang, Middle </w:t>
            </w:r>
            <w:proofErr w:type="spellStart"/>
            <w:r>
              <w:rPr>
                <w:rFonts w:cs="Calibri"/>
                <w:sz w:val="20"/>
                <w:szCs w:val="20"/>
              </w:rPr>
              <w:t>Ramu</w:t>
            </w:r>
            <w:proofErr w:type="spellEnd"/>
            <w:r>
              <w:rPr>
                <w:rFonts w:cs="Calibri"/>
                <w:sz w:val="20"/>
                <w:szCs w:val="20"/>
              </w:rPr>
              <w:t xml:space="preserve">, </w:t>
            </w:r>
            <w:proofErr w:type="spellStart"/>
            <w:r>
              <w:rPr>
                <w:rFonts w:cs="Calibri"/>
                <w:sz w:val="20"/>
                <w:szCs w:val="20"/>
              </w:rPr>
              <w:t>Usino</w:t>
            </w:r>
            <w:proofErr w:type="spellEnd"/>
            <w:r>
              <w:rPr>
                <w:rFonts w:cs="Calibri"/>
                <w:sz w:val="20"/>
                <w:szCs w:val="20"/>
              </w:rPr>
              <w:t xml:space="preserve"> </w:t>
            </w:r>
            <w:proofErr w:type="spellStart"/>
            <w:r>
              <w:rPr>
                <w:rFonts w:cs="Calibri"/>
                <w:sz w:val="20"/>
                <w:szCs w:val="20"/>
              </w:rPr>
              <w:t>Bundi</w:t>
            </w:r>
            <w:proofErr w:type="spellEnd"/>
          </w:p>
          <w:p w14:paraId="73C07123" w14:textId="77777777" w:rsidR="00256804" w:rsidRDefault="00256804" w:rsidP="00FE1401">
            <w:pPr>
              <w:rPr>
                <w:rFonts w:cs="Calibri"/>
                <w:sz w:val="20"/>
                <w:szCs w:val="20"/>
              </w:rPr>
            </w:pPr>
          </w:p>
          <w:p w14:paraId="1EF1B6B4" w14:textId="05F423C2" w:rsidR="00256804" w:rsidRPr="00FA288E" w:rsidRDefault="00256804" w:rsidP="00FE1401">
            <w:pPr>
              <w:rPr>
                <w:rFonts w:cs="Calibri"/>
                <w:sz w:val="20"/>
                <w:szCs w:val="20"/>
              </w:rPr>
            </w:pPr>
            <w:r>
              <w:rPr>
                <w:rFonts w:cs="Calibri"/>
                <w:sz w:val="20"/>
                <w:szCs w:val="20"/>
              </w:rPr>
              <w:t xml:space="preserve">Markham, </w:t>
            </w:r>
            <w:proofErr w:type="spellStart"/>
            <w:r>
              <w:rPr>
                <w:rFonts w:cs="Calibri"/>
                <w:sz w:val="20"/>
                <w:szCs w:val="20"/>
              </w:rPr>
              <w:t>Nawaeb</w:t>
            </w:r>
            <w:proofErr w:type="spellEnd"/>
          </w:p>
        </w:tc>
      </w:tr>
      <w:tr w:rsidR="00B04C25" w:rsidRPr="00FA288E" w14:paraId="75138487" w14:textId="77777777" w:rsidTr="00436FDA">
        <w:trPr>
          <w:trHeight w:val="498"/>
        </w:trPr>
        <w:tc>
          <w:tcPr>
            <w:tcW w:w="2188" w:type="dxa"/>
            <w:shd w:val="clear" w:color="auto" w:fill="262626" w:themeFill="text1" w:themeFillTint="D9"/>
            <w:vAlign w:val="center"/>
          </w:tcPr>
          <w:p w14:paraId="2F38BEE4" w14:textId="77777777" w:rsidR="00B04C25" w:rsidRPr="00FA288E" w:rsidRDefault="00B04C25" w:rsidP="00B04C25">
            <w:pPr>
              <w:jc w:val="center"/>
              <w:rPr>
                <w:rFonts w:cs="Calibri"/>
                <w:sz w:val="20"/>
                <w:szCs w:val="20"/>
                <w:lang w:val="en-AU"/>
              </w:rPr>
            </w:pPr>
            <w:proofErr w:type="spellStart"/>
            <w:r w:rsidRPr="00FA288E">
              <w:rPr>
                <w:rFonts w:cs="Calibri"/>
                <w:sz w:val="20"/>
                <w:szCs w:val="20"/>
                <w:lang w:val="en-AU"/>
              </w:rPr>
              <w:t>Pikinini</w:t>
            </w:r>
            <w:proofErr w:type="spellEnd"/>
            <w:r w:rsidRPr="00FA288E">
              <w:rPr>
                <w:rFonts w:cs="Calibri"/>
                <w:sz w:val="20"/>
                <w:szCs w:val="20"/>
                <w:lang w:val="en-AU"/>
              </w:rPr>
              <w:t xml:space="preserve"> </w:t>
            </w:r>
            <w:proofErr w:type="spellStart"/>
            <w:r w:rsidRPr="00FA288E">
              <w:rPr>
                <w:rFonts w:cs="Calibri"/>
                <w:sz w:val="20"/>
                <w:szCs w:val="20"/>
                <w:lang w:val="en-AU"/>
              </w:rPr>
              <w:t>Kisim</w:t>
            </w:r>
            <w:proofErr w:type="spellEnd"/>
            <w:r w:rsidRPr="00FA288E">
              <w:rPr>
                <w:rFonts w:cs="Calibri"/>
                <w:sz w:val="20"/>
                <w:szCs w:val="20"/>
                <w:lang w:val="en-AU"/>
              </w:rPr>
              <w:t xml:space="preserve"> Save (PKS)</w:t>
            </w:r>
          </w:p>
          <w:p w14:paraId="2F0009EB" w14:textId="77777777" w:rsidR="00B04C25" w:rsidRPr="00FA288E" w:rsidRDefault="00B04C25" w:rsidP="00B04C25">
            <w:pPr>
              <w:jc w:val="center"/>
              <w:rPr>
                <w:rFonts w:cs="Calibri"/>
                <w:sz w:val="20"/>
                <w:szCs w:val="20"/>
                <w:lang w:val="en-AU"/>
              </w:rPr>
            </w:pPr>
          </w:p>
          <w:p w14:paraId="2F895516" w14:textId="77777777" w:rsidR="00B04C25" w:rsidRPr="00FA288E" w:rsidRDefault="00B04C25" w:rsidP="00B04C25">
            <w:pPr>
              <w:jc w:val="center"/>
              <w:rPr>
                <w:rFonts w:cs="Calibri"/>
                <w:sz w:val="20"/>
                <w:szCs w:val="20"/>
                <w:lang w:val="en-AU"/>
              </w:rPr>
            </w:pPr>
            <w:r w:rsidRPr="00FA288E">
              <w:rPr>
                <w:rFonts w:cs="Calibri"/>
                <w:sz w:val="20"/>
                <w:szCs w:val="20"/>
                <w:lang w:val="en-AU"/>
              </w:rPr>
              <w:t>CARE – Australia</w:t>
            </w:r>
          </w:p>
          <w:p w14:paraId="4292093B" w14:textId="77777777" w:rsidR="00B04C25" w:rsidRPr="00FA288E" w:rsidRDefault="00B04C25" w:rsidP="00B04C25">
            <w:pPr>
              <w:jc w:val="center"/>
              <w:rPr>
                <w:rFonts w:cs="Calibri"/>
                <w:sz w:val="20"/>
                <w:szCs w:val="20"/>
                <w:lang w:val="en-AU"/>
              </w:rPr>
            </w:pPr>
            <w:r w:rsidRPr="00FA288E">
              <w:rPr>
                <w:rFonts w:cs="Calibri"/>
                <w:sz w:val="20"/>
                <w:szCs w:val="20"/>
                <w:lang w:val="en-AU"/>
              </w:rPr>
              <w:t>(CARE)</w:t>
            </w:r>
          </w:p>
          <w:p w14:paraId="4917B889" w14:textId="7778E6E9" w:rsidR="00B04C25" w:rsidRPr="00FA288E" w:rsidRDefault="00B04C25" w:rsidP="00B04C25">
            <w:pPr>
              <w:jc w:val="center"/>
              <w:rPr>
                <w:rFonts w:cs="Calibri"/>
                <w:sz w:val="20"/>
                <w:szCs w:val="20"/>
              </w:rPr>
            </w:pPr>
            <w:r w:rsidRPr="00FA288E">
              <w:rPr>
                <w:rFonts w:cs="Calibri"/>
                <w:sz w:val="20"/>
                <w:szCs w:val="20"/>
                <w:lang w:val="en-AU"/>
              </w:rPr>
              <w:t>(AUD 15,000,000, March 2018 to June 2020)</w:t>
            </w:r>
          </w:p>
        </w:tc>
        <w:tc>
          <w:tcPr>
            <w:tcW w:w="2410" w:type="dxa"/>
            <w:vAlign w:val="center"/>
          </w:tcPr>
          <w:p w14:paraId="276D6F5D" w14:textId="77777777" w:rsidR="00B04C25" w:rsidRPr="00FA288E" w:rsidRDefault="00B04C25" w:rsidP="00B04C25">
            <w:pPr>
              <w:jc w:val="left"/>
              <w:rPr>
                <w:rFonts w:cs="Calibri"/>
                <w:sz w:val="20"/>
                <w:szCs w:val="20"/>
                <w:lang w:val="en-AU"/>
              </w:rPr>
            </w:pPr>
            <w:r w:rsidRPr="00FA288E">
              <w:rPr>
                <w:rFonts w:cs="Calibri"/>
                <w:sz w:val="20"/>
                <w:szCs w:val="20"/>
                <w:lang w:val="en-AU"/>
              </w:rPr>
              <w:t>Adventist Development and Relief Agency (ADRA)</w:t>
            </w:r>
          </w:p>
          <w:p w14:paraId="2C55F8A9" w14:textId="77777777" w:rsidR="00B04C25" w:rsidRPr="00FA288E" w:rsidRDefault="00B04C25" w:rsidP="00B04C25">
            <w:pPr>
              <w:jc w:val="left"/>
              <w:rPr>
                <w:rFonts w:cs="Calibri"/>
                <w:sz w:val="20"/>
                <w:szCs w:val="20"/>
                <w:lang w:val="en-AU"/>
              </w:rPr>
            </w:pPr>
          </w:p>
          <w:p w14:paraId="793135DF" w14:textId="77777777" w:rsidR="00B04C25" w:rsidRPr="00FA288E" w:rsidRDefault="00B04C25" w:rsidP="00B04C25">
            <w:pPr>
              <w:jc w:val="left"/>
              <w:rPr>
                <w:rFonts w:cs="Calibri"/>
                <w:sz w:val="20"/>
                <w:szCs w:val="20"/>
                <w:lang w:val="en-AU"/>
              </w:rPr>
            </w:pPr>
            <w:r w:rsidRPr="00FA288E">
              <w:rPr>
                <w:rFonts w:cs="Calibri"/>
                <w:sz w:val="20"/>
                <w:szCs w:val="20"/>
                <w:lang w:val="en-AU"/>
              </w:rPr>
              <w:t>University of Goroka</w:t>
            </w:r>
          </w:p>
          <w:p w14:paraId="6FEC9AFA" w14:textId="77777777" w:rsidR="00B04C25" w:rsidRPr="00FA288E" w:rsidRDefault="00B04C25" w:rsidP="00B04C25">
            <w:pPr>
              <w:jc w:val="left"/>
              <w:rPr>
                <w:rFonts w:cs="Calibri"/>
                <w:sz w:val="20"/>
                <w:szCs w:val="20"/>
                <w:lang w:val="en-AU"/>
              </w:rPr>
            </w:pPr>
          </w:p>
          <w:p w14:paraId="63026978" w14:textId="77777777" w:rsidR="00B04C25" w:rsidRPr="00FA288E" w:rsidRDefault="00B04C25" w:rsidP="00B04C25">
            <w:pPr>
              <w:jc w:val="left"/>
              <w:rPr>
                <w:rFonts w:cs="Calibri"/>
                <w:sz w:val="20"/>
                <w:szCs w:val="20"/>
                <w:lang w:val="en-AU"/>
              </w:rPr>
            </w:pPr>
            <w:r w:rsidRPr="00FA288E">
              <w:rPr>
                <w:rFonts w:cs="Calibri"/>
                <w:sz w:val="20"/>
                <w:szCs w:val="20"/>
                <w:lang w:val="en-AU"/>
              </w:rPr>
              <w:t>Queensland University of Technology</w:t>
            </w:r>
          </w:p>
          <w:p w14:paraId="6E951C26" w14:textId="77777777" w:rsidR="00B04C25" w:rsidRPr="00FA288E" w:rsidRDefault="00B04C25" w:rsidP="00B04C25">
            <w:pPr>
              <w:jc w:val="left"/>
              <w:rPr>
                <w:rFonts w:cs="Calibri"/>
                <w:sz w:val="20"/>
                <w:szCs w:val="20"/>
                <w:lang w:val="en-AU"/>
              </w:rPr>
            </w:pPr>
          </w:p>
          <w:p w14:paraId="2E0F3111" w14:textId="6965CBCC" w:rsidR="00B04C25" w:rsidRPr="00FA288E" w:rsidRDefault="00B04C25" w:rsidP="00B04C25">
            <w:pPr>
              <w:rPr>
                <w:rFonts w:cs="Calibri"/>
                <w:sz w:val="20"/>
                <w:szCs w:val="20"/>
              </w:rPr>
            </w:pPr>
            <w:r w:rsidRPr="00FA288E">
              <w:rPr>
                <w:rFonts w:cs="Calibri"/>
                <w:sz w:val="20"/>
                <w:szCs w:val="20"/>
                <w:lang w:val="en-AU"/>
              </w:rPr>
              <w:t>Church Education Agencies</w:t>
            </w:r>
          </w:p>
        </w:tc>
        <w:tc>
          <w:tcPr>
            <w:tcW w:w="1842" w:type="dxa"/>
            <w:vAlign w:val="center"/>
          </w:tcPr>
          <w:p w14:paraId="040F3DCF" w14:textId="4C0D8FDB" w:rsidR="00B04C25" w:rsidRDefault="00B04C25" w:rsidP="00FE1401">
            <w:pPr>
              <w:rPr>
                <w:rFonts w:cs="Calibri"/>
                <w:sz w:val="20"/>
                <w:szCs w:val="20"/>
              </w:rPr>
            </w:pPr>
            <w:r>
              <w:rPr>
                <w:rFonts w:cs="Calibri"/>
                <w:sz w:val="20"/>
                <w:szCs w:val="20"/>
              </w:rPr>
              <w:t>West New Britain (ADRA)</w:t>
            </w:r>
          </w:p>
          <w:p w14:paraId="6C18E758" w14:textId="77777777" w:rsidR="00B04C25" w:rsidRDefault="00B04C25" w:rsidP="00FE1401">
            <w:pPr>
              <w:rPr>
                <w:rFonts w:cs="Calibri"/>
                <w:sz w:val="20"/>
                <w:szCs w:val="20"/>
              </w:rPr>
            </w:pPr>
          </w:p>
          <w:p w14:paraId="05725F7D" w14:textId="37FF5E5C" w:rsidR="00B04C25" w:rsidRDefault="00B04C25" w:rsidP="00FE1401">
            <w:pPr>
              <w:rPr>
                <w:rFonts w:cs="Calibri"/>
                <w:sz w:val="20"/>
                <w:szCs w:val="20"/>
              </w:rPr>
            </w:pPr>
            <w:proofErr w:type="spellStart"/>
            <w:r>
              <w:rPr>
                <w:rFonts w:cs="Calibri"/>
                <w:sz w:val="20"/>
                <w:szCs w:val="20"/>
              </w:rPr>
              <w:t>Simbu</w:t>
            </w:r>
            <w:proofErr w:type="spellEnd"/>
          </w:p>
          <w:p w14:paraId="5AD3B6AD" w14:textId="77777777" w:rsidR="00AB4F4E" w:rsidRDefault="00AB4F4E" w:rsidP="00FE1401">
            <w:pPr>
              <w:rPr>
                <w:rFonts w:cs="Calibri"/>
                <w:sz w:val="20"/>
                <w:szCs w:val="20"/>
              </w:rPr>
            </w:pPr>
          </w:p>
          <w:p w14:paraId="367BE16B" w14:textId="77777777" w:rsidR="00B04C25" w:rsidRDefault="00B04C25" w:rsidP="00FE1401">
            <w:pPr>
              <w:rPr>
                <w:rFonts w:cs="Calibri"/>
                <w:sz w:val="20"/>
                <w:szCs w:val="20"/>
              </w:rPr>
            </w:pPr>
          </w:p>
          <w:p w14:paraId="5ABE4D7B" w14:textId="77777777" w:rsidR="00B04C25" w:rsidRDefault="00B04C25" w:rsidP="00FE1401">
            <w:pPr>
              <w:rPr>
                <w:rFonts w:cs="Calibri"/>
                <w:sz w:val="20"/>
                <w:szCs w:val="20"/>
              </w:rPr>
            </w:pPr>
            <w:proofErr w:type="spellStart"/>
            <w:r>
              <w:rPr>
                <w:rFonts w:cs="Calibri"/>
                <w:sz w:val="20"/>
                <w:szCs w:val="20"/>
              </w:rPr>
              <w:t>Jiwaka</w:t>
            </w:r>
            <w:proofErr w:type="spellEnd"/>
          </w:p>
          <w:p w14:paraId="4BADE0A3" w14:textId="77777777" w:rsidR="00B04C25" w:rsidRDefault="00B04C25" w:rsidP="00FE1401">
            <w:pPr>
              <w:rPr>
                <w:rFonts w:cs="Calibri"/>
                <w:sz w:val="20"/>
                <w:szCs w:val="20"/>
              </w:rPr>
            </w:pPr>
          </w:p>
          <w:p w14:paraId="17DA3617" w14:textId="56A8586F" w:rsidR="00B04C25" w:rsidRDefault="00B04C25" w:rsidP="00FE1401">
            <w:pPr>
              <w:rPr>
                <w:rFonts w:cs="Calibri"/>
                <w:sz w:val="20"/>
                <w:szCs w:val="20"/>
              </w:rPr>
            </w:pPr>
            <w:r>
              <w:rPr>
                <w:rFonts w:cs="Calibri"/>
                <w:sz w:val="20"/>
                <w:szCs w:val="20"/>
              </w:rPr>
              <w:t>Western Highlands</w:t>
            </w:r>
          </w:p>
        </w:tc>
        <w:tc>
          <w:tcPr>
            <w:tcW w:w="2853" w:type="dxa"/>
            <w:vAlign w:val="center"/>
          </w:tcPr>
          <w:p w14:paraId="4C66908F" w14:textId="77777777" w:rsidR="0074646C" w:rsidRDefault="0074646C" w:rsidP="00FE1401">
            <w:pPr>
              <w:rPr>
                <w:rFonts w:cs="Calibri"/>
                <w:sz w:val="20"/>
                <w:szCs w:val="20"/>
                <w:lang w:val="en-AU"/>
              </w:rPr>
            </w:pPr>
          </w:p>
          <w:p w14:paraId="5FD5EA55" w14:textId="15C49BFD" w:rsidR="00B04C25" w:rsidRDefault="00B04C25" w:rsidP="00FE1401">
            <w:pPr>
              <w:rPr>
                <w:rFonts w:cs="Calibri"/>
                <w:sz w:val="20"/>
                <w:szCs w:val="20"/>
                <w:lang w:val="en-AU"/>
              </w:rPr>
            </w:pPr>
            <w:proofErr w:type="spellStart"/>
            <w:r w:rsidRPr="00FA288E">
              <w:rPr>
                <w:rFonts w:cs="Calibri"/>
                <w:sz w:val="20"/>
                <w:szCs w:val="20"/>
                <w:lang w:val="en-AU"/>
              </w:rPr>
              <w:t>Kandrian</w:t>
            </w:r>
            <w:proofErr w:type="spellEnd"/>
            <w:r w:rsidRPr="00FA288E">
              <w:rPr>
                <w:rFonts w:cs="Calibri"/>
                <w:sz w:val="20"/>
                <w:szCs w:val="20"/>
                <w:lang w:val="en-AU"/>
              </w:rPr>
              <w:t xml:space="preserve"> Gloucester, </w:t>
            </w:r>
            <w:proofErr w:type="spellStart"/>
            <w:r w:rsidRPr="00FA288E">
              <w:rPr>
                <w:rFonts w:cs="Calibri"/>
                <w:sz w:val="20"/>
                <w:szCs w:val="20"/>
                <w:lang w:val="en-AU"/>
              </w:rPr>
              <w:t>Talasea</w:t>
            </w:r>
            <w:proofErr w:type="spellEnd"/>
          </w:p>
          <w:p w14:paraId="055FBAA3" w14:textId="77777777" w:rsidR="00B04C25" w:rsidRDefault="00B04C25" w:rsidP="00FE1401">
            <w:pPr>
              <w:rPr>
                <w:rFonts w:cs="Calibri"/>
                <w:sz w:val="20"/>
                <w:szCs w:val="20"/>
              </w:rPr>
            </w:pPr>
          </w:p>
          <w:p w14:paraId="605F1AAE" w14:textId="7333909A" w:rsidR="00B04C25" w:rsidRDefault="00B04C25" w:rsidP="00FE1401">
            <w:pPr>
              <w:rPr>
                <w:rFonts w:cs="Calibri"/>
                <w:sz w:val="20"/>
                <w:szCs w:val="20"/>
                <w:lang w:val="en-AU"/>
              </w:rPr>
            </w:pPr>
            <w:proofErr w:type="spellStart"/>
            <w:r w:rsidRPr="00FA288E">
              <w:rPr>
                <w:rFonts w:cs="Calibri"/>
                <w:sz w:val="20"/>
                <w:szCs w:val="20"/>
                <w:lang w:val="en-AU"/>
              </w:rPr>
              <w:t>Gumine</w:t>
            </w:r>
            <w:proofErr w:type="spellEnd"/>
            <w:r w:rsidRPr="00FA288E">
              <w:rPr>
                <w:rFonts w:cs="Calibri"/>
                <w:sz w:val="20"/>
                <w:szCs w:val="20"/>
                <w:lang w:val="en-AU"/>
              </w:rPr>
              <w:t xml:space="preserve">, </w:t>
            </w:r>
            <w:proofErr w:type="spellStart"/>
            <w:r w:rsidRPr="00FA288E">
              <w:rPr>
                <w:rFonts w:cs="Calibri"/>
                <w:sz w:val="20"/>
                <w:szCs w:val="20"/>
                <w:lang w:val="en-AU"/>
              </w:rPr>
              <w:t>Karamui-Nomane</w:t>
            </w:r>
            <w:proofErr w:type="spellEnd"/>
            <w:r w:rsidRPr="00FA288E">
              <w:rPr>
                <w:rFonts w:cs="Calibri"/>
                <w:sz w:val="20"/>
                <w:szCs w:val="20"/>
                <w:lang w:val="en-AU"/>
              </w:rPr>
              <w:t xml:space="preserve">, </w:t>
            </w:r>
            <w:proofErr w:type="spellStart"/>
            <w:r w:rsidRPr="00FA288E">
              <w:rPr>
                <w:rFonts w:cs="Calibri"/>
                <w:sz w:val="20"/>
                <w:szCs w:val="20"/>
                <w:lang w:val="en-AU"/>
              </w:rPr>
              <w:t>Kerowagi</w:t>
            </w:r>
            <w:proofErr w:type="spellEnd"/>
            <w:r w:rsidRPr="00FA288E">
              <w:rPr>
                <w:rFonts w:cs="Calibri"/>
                <w:sz w:val="20"/>
                <w:szCs w:val="20"/>
                <w:lang w:val="en-AU"/>
              </w:rPr>
              <w:t xml:space="preserve">, </w:t>
            </w:r>
            <w:proofErr w:type="spellStart"/>
            <w:r w:rsidRPr="00FA288E">
              <w:rPr>
                <w:rFonts w:cs="Calibri"/>
                <w:sz w:val="20"/>
                <w:szCs w:val="20"/>
                <w:lang w:val="en-AU"/>
              </w:rPr>
              <w:t>Sinasina-Yonggomugi</w:t>
            </w:r>
            <w:proofErr w:type="spellEnd"/>
          </w:p>
          <w:p w14:paraId="1C3F5A42" w14:textId="341C756C" w:rsidR="0090297E" w:rsidRDefault="0090297E" w:rsidP="00FE1401">
            <w:pPr>
              <w:rPr>
                <w:rFonts w:cs="Calibri"/>
                <w:sz w:val="20"/>
                <w:szCs w:val="20"/>
                <w:lang w:val="en-AU"/>
              </w:rPr>
            </w:pPr>
          </w:p>
          <w:p w14:paraId="42D16FB3" w14:textId="41A56347" w:rsidR="0074646C" w:rsidRDefault="0074646C" w:rsidP="00FE1401">
            <w:pPr>
              <w:rPr>
                <w:rFonts w:cs="Calibri"/>
                <w:sz w:val="20"/>
                <w:szCs w:val="20"/>
                <w:lang w:val="en-AU"/>
              </w:rPr>
            </w:pPr>
            <w:proofErr w:type="spellStart"/>
            <w:r w:rsidRPr="00FA288E">
              <w:rPr>
                <w:rFonts w:cs="Calibri"/>
                <w:sz w:val="20"/>
                <w:szCs w:val="20"/>
                <w:lang w:val="en-AU"/>
              </w:rPr>
              <w:t>Anglimp</w:t>
            </w:r>
            <w:proofErr w:type="spellEnd"/>
            <w:r w:rsidRPr="00FA288E">
              <w:rPr>
                <w:rFonts w:cs="Calibri"/>
                <w:sz w:val="20"/>
                <w:szCs w:val="20"/>
                <w:lang w:val="en-AU"/>
              </w:rPr>
              <w:t xml:space="preserve"> South </w:t>
            </w:r>
            <w:proofErr w:type="spellStart"/>
            <w:r w:rsidRPr="00FA288E">
              <w:rPr>
                <w:rFonts w:cs="Calibri"/>
                <w:sz w:val="20"/>
                <w:szCs w:val="20"/>
                <w:lang w:val="en-AU"/>
              </w:rPr>
              <w:t>Waghi</w:t>
            </w:r>
            <w:proofErr w:type="spellEnd"/>
            <w:r w:rsidRPr="00FA288E">
              <w:rPr>
                <w:rFonts w:cs="Calibri"/>
                <w:sz w:val="20"/>
                <w:szCs w:val="20"/>
                <w:lang w:val="en-AU"/>
              </w:rPr>
              <w:t xml:space="preserve">, North </w:t>
            </w:r>
            <w:proofErr w:type="spellStart"/>
            <w:r w:rsidRPr="00FA288E">
              <w:rPr>
                <w:rFonts w:cs="Calibri"/>
                <w:sz w:val="20"/>
                <w:szCs w:val="20"/>
                <w:lang w:val="en-AU"/>
              </w:rPr>
              <w:t>Waghi</w:t>
            </w:r>
            <w:proofErr w:type="spellEnd"/>
            <w:r w:rsidRPr="00FA288E">
              <w:rPr>
                <w:rFonts w:cs="Calibri"/>
                <w:sz w:val="20"/>
                <w:szCs w:val="20"/>
                <w:lang w:val="en-AU"/>
              </w:rPr>
              <w:t>, Jimi</w:t>
            </w:r>
          </w:p>
          <w:p w14:paraId="00DE7EAD" w14:textId="72AE6B31" w:rsidR="0074646C" w:rsidRDefault="0074646C" w:rsidP="00FE1401">
            <w:pPr>
              <w:rPr>
                <w:rFonts w:cs="Calibri"/>
                <w:sz w:val="20"/>
                <w:szCs w:val="20"/>
                <w:lang w:val="en-AU"/>
              </w:rPr>
            </w:pPr>
          </w:p>
          <w:p w14:paraId="2853276C" w14:textId="1B3A0980" w:rsidR="0074646C" w:rsidRDefault="0074646C" w:rsidP="00FE1401">
            <w:pPr>
              <w:rPr>
                <w:rFonts w:cs="Calibri"/>
                <w:sz w:val="20"/>
                <w:szCs w:val="20"/>
                <w:lang w:val="en-AU"/>
              </w:rPr>
            </w:pPr>
            <w:r w:rsidRPr="00FA288E">
              <w:rPr>
                <w:rFonts w:cs="Calibri"/>
                <w:sz w:val="20"/>
                <w:szCs w:val="20"/>
                <w:lang w:val="es-419"/>
              </w:rPr>
              <w:t xml:space="preserve">Hagen Central, </w:t>
            </w:r>
            <w:proofErr w:type="spellStart"/>
            <w:r w:rsidRPr="00FA288E">
              <w:rPr>
                <w:rFonts w:cs="Calibri"/>
                <w:sz w:val="20"/>
                <w:szCs w:val="20"/>
                <w:lang w:val="es-419"/>
              </w:rPr>
              <w:t>Mul</w:t>
            </w:r>
            <w:proofErr w:type="spellEnd"/>
            <w:r w:rsidRPr="00FA288E">
              <w:rPr>
                <w:rFonts w:cs="Calibri"/>
                <w:sz w:val="20"/>
                <w:szCs w:val="20"/>
                <w:lang w:val="es-419"/>
              </w:rPr>
              <w:t xml:space="preserve"> </w:t>
            </w:r>
            <w:proofErr w:type="spellStart"/>
            <w:r w:rsidRPr="00FA288E">
              <w:rPr>
                <w:rFonts w:cs="Calibri"/>
                <w:sz w:val="20"/>
                <w:szCs w:val="20"/>
                <w:lang w:val="es-419"/>
              </w:rPr>
              <w:t>Baiyer</w:t>
            </w:r>
            <w:proofErr w:type="spellEnd"/>
            <w:r w:rsidRPr="00FA288E">
              <w:rPr>
                <w:rFonts w:cs="Calibri"/>
                <w:sz w:val="20"/>
                <w:szCs w:val="20"/>
                <w:lang w:val="es-419"/>
              </w:rPr>
              <w:t xml:space="preserve">, </w:t>
            </w:r>
            <w:proofErr w:type="spellStart"/>
            <w:r w:rsidRPr="00FA288E">
              <w:rPr>
                <w:rFonts w:cs="Calibri"/>
                <w:sz w:val="20"/>
                <w:szCs w:val="20"/>
                <w:lang w:val="es-419"/>
              </w:rPr>
              <w:t>Tambul</w:t>
            </w:r>
            <w:proofErr w:type="spellEnd"/>
            <w:r w:rsidRPr="00FA288E">
              <w:rPr>
                <w:rFonts w:cs="Calibri"/>
                <w:sz w:val="20"/>
                <w:szCs w:val="20"/>
                <w:lang w:val="es-419"/>
              </w:rPr>
              <w:t xml:space="preserve"> </w:t>
            </w:r>
            <w:proofErr w:type="spellStart"/>
            <w:r w:rsidRPr="00FA288E">
              <w:rPr>
                <w:rFonts w:cs="Calibri"/>
                <w:sz w:val="20"/>
                <w:szCs w:val="20"/>
                <w:lang w:val="es-419"/>
              </w:rPr>
              <w:t>Nebilyer</w:t>
            </w:r>
            <w:proofErr w:type="spellEnd"/>
          </w:p>
          <w:p w14:paraId="2959CCD3" w14:textId="3B8F765A" w:rsidR="00B04C25" w:rsidRDefault="00B04C25" w:rsidP="00FE1401">
            <w:pPr>
              <w:rPr>
                <w:rFonts w:cs="Calibri"/>
                <w:sz w:val="20"/>
                <w:szCs w:val="20"/>
              </w:rPr>
            </w:pPr>
          </w:p>
        </w:tc>
      </w:tr>
    </w:tbl>
    <w:p w14:paraId="78546A44" w14:textId="77777777" w:rsidR="00436FDA" w:rsidRPr="00FA288E" w:rsidRDefault="00436FDA" w:rsidP="00436FDA">
      <w:pPr>
        <w:spacing w:line="216" w:lineRule="auto"/>
        <w:rPr>
          <w:rFonts w:cs="Calibri"/>
          <w:sz w:val="20"/>
          <w:szCs w:val="20"/>
          <w:lang w:val="es-419"/>
        </w:rPr>
      </w:pPr>
    </w:p>
    <w:p w14:paraId="597DB17B" w14:textId="0D3A4C7E" w:rsidR="00436FDA" w:rsidRPr="00FA288E" w:rsidRDefault="00436FDA" w:rsidP="00436FDA">
      <w:pPr>
        <w:rPr>
          <w:rFonts w:eastAsiaTheme="majorEastAsia" w:cs="Calibri"/>
          <w:color w:val="BC1D43"/>
          <w:sz w:val="20"/>
          <w:szCs w:val="20"/>
          <w:lang w:val="es-419"/>
        </w:rPr>
      </w:pPr>
    </w:p>
    <w:p w14:paraId="460EA269" w14:textId="77777777" w:rsidR="003E1E3E" w:rsidRPr="00FA288E" w:rsidRDefault="003E1E3E" w:rsidP="003E1E3E">
      <w:pPr>
        <w:pStyle w:val="Heading1"/>
        <w:numPr>
          <w:ilvl w:val="0"/>
          <w:numId w:val="0"/>
        </w:numPr>
        <w:ind w:left="432"/>
      </w:pPr>
      <w:bookmarkStart w:id="124" w:name="_Annex_E:_List"/>
      <w:bookmarkStart w:id="125" w:name="_Toc31625604"/>
      <w:bookmarkStart w:id="126" w:name="_Toc42075984"/>
      <w:bookmarkEnd w:id="124"/>
      <w:r w:rsidRPr="00FA288E">
        <w:lastRenderedPageBreak/>
        <w:t>Annex E: List of Individuals Interviewed/Consulted</w:t>
      </w:r>
      <w:bookmarkEnd w:id="125"/>
      <w:bookmarkEnd w:id="126"/>
    </w:p>
    <w:tbl>
      <w:tblPr>
        <w:tblStyle w:val="PlainTable5"/>
        <w:tblW w:w="9242" w:type="dxa"/>
        <w:tblLook w:val="04A0" w:firstRow="1" w:lastRow="0" w:firstColumn="1" w:lastColumn="0" w:noHBand="0" w:noVBand="1"/>
        <w:tblCaption w:val="Stakeholders consulted with"/>
        <w:tblDescription w:val="At the Australian High Commission: Andrew Egan, Minister Counsellor; Janelle Denton, Acting Counsellor, Education and Leadership Section; Michael Quinn, Acting First Secretary, Foundations Team; Grace Heaoa, Program Manager, Portfolio Strategy and Effectiveness Team; Nicola Simpson, Second Secretary, Foundations Team; Lydia Butut-Dori, Senior Program manager, Foundations Team; Delilah Konaka, Assistant Program Manager, Foundations Team; Steve Burns, Sub-National Governance.&#10;Within the Government of PNG: Peter Kants, First Assistant Secretary, Policy &amp; Research, (NDOE); Regina Mabia, Aid Coordination, NDOE; Annemarie Kona, First Assistant Secretary, NDOE; Allan Jim, Assistant Secretary, Teacher Development, NDOE; Philippa Dairu, PCO, NDOE; Colette Modagai, National Curriculum Coordinator, NDOE; Paul Ainui, Acting Assistant Secretary, NDOE; Andrew Ape, Elementary Training Officer, NDOE; Geoff Gibaru, Director, Schools Inspectorate, NDOE; Gandhi Lavaki (and staff), Director, Curriculum; Simon Yiannis (and staff), National Office of Child and Family Services; James Ruru, Principal Aid Coordinator, Department of National Planning and Monitoring (DNPM); Gima Kana, Public Investment Program, General Education, DNPM; Debbie Kamaso, Policy and Budgets; Aust Aid Branch Health and Education, DNPM; Chiharu Sai'I, Aid Coordination Team; Aust Aid Branch Health and Education, DNPM; Raymond Bakavi, Provincial DoE Elementary Education Advisor (East Sepik); Philip Inambari, Provincial DoE Elementary Education Coordinators (East Sepik); Bill Bau, Provincial Superintendent (East Sepik); Kerowin Tau, Riga District Education Superintendent (Central); Sere Raka, Riga District Coordinator (Central).&#10;Within Abt, the managing contractor and PPF Secretariat: Darian Clark, Program Manager, PPF Secretariat; Shedrick Singip, M&amp;E Coordinator, PPF Secretariat; Catherine Johnston, Education Specialist, PPF Secretariat.&#10;Within the T4E partnership: Imelda Ochavillo, World Vision, Program Director; Tyson Malken, M&amp;E coordinator, World Vision; Anisha Namete, Social Behaviour Change Communication Specialist, World Vision; Rebecca McDonald, Director, Library for all; Ellisha Heppner, Library for all; Gretel Matawan, Country Program Coordinator, Library for all; Richard Greeves, Education Adviser, Child Fund; Bridgit Thorold, Director, Child Fund; Ebony Holland, Education Team Leader, Child Fund; Dulcie Wefin, Rigo District Coordinator, Child Fund; Pricilla Pyakalua, Kairuku District Coordinator, Child Fund; Bruce Sagata, Project Officer, Child Fund; Elizabeth Wunatoro, Teacher Trainer, Child Fund; Celine Vavana, Teacher Trainer, Child Fund; Esther Yambuki, Teacher Trainer, Child Fund; Valentine Gelah, Teacher Trainer, Child Fund; Helen Haro, Training Quality Coordinator, Child Fund; Hercules Jim, Project Coordination Officer, Consultative Implementation and Monitoring Council.&#10;Within the RISE consortium:  Joy Wong, Education Program Manager, Save the Children; Donny Kupamu, Area Manager, Save the Children; Rose Sabub, Project Coordinator, Save the Children; Jennifer El-Sibabi, Regional Director, Save the Children; Jasper Selby, Community Engagement Officer, Save the Children; Jeremiah Hairoku, Community Engagement Officer, Save the Children; Brian Yause, Community Engagement Officer / Inclusive Education Officer, Save the Children; Wayaki Bongi, MEAL Coordinator, Save the Children; Alois Ralai, MEAL Coordinator, Save the Children; Willie Manuwi, Teacher Trainer, Save the Children; Lyn Jimmily, Teacher Trainer, Save the Children; Cathy Warren, Teacher Trainer, Save the Children; Chris Yafanduo, Teacher Trainer, Save the Children; Kabira Namit, MEAL Adviser (to all three grantees); Ruth, Community Literacy Volunteer, Handara Elementary; Justin, Community Literacy Volunteer, Handara Elementary; Br. Kevin Ryan, Director, Callan Services National Unit; Benson Hahambu, Deputy Director, Callan Services National Unit; Carol Kiange, Wewak Inclusive Education Resource Centre coordinator; Alice Junais, Callan Services National Unit/Wewak Inclusive Education Resource Centre; Gloria Hugh, Manager, Wewak Inclusive Education Resource Centre clinic; Kelia, Callan Services National Unit/Wewak Inclusive Education Resource Centre&#10;Within PKS consortium: Marleen Knijff, Program Manager, Care; Eva Inamuka, MEL coordinator, Care; Katie Robinson, MEL adviser, Care.&#10;Various teachers and parents.&#10;Oscar Onam, EMIS Adviser, Education Capacity Development Facility; Andrew Kibblewhite, M&amp;E Adviser, Education Capacity Development Facility; Simon Jan Molendijk, Chief of Education, UNICEF. "/>
      </w:tblPr>
      <w:tblGrid>
        <w:gridCol w:w="1638"/>
        <w:gridCol w:w="2032"/>
        <w:gridCol w:w="5572"/>
      </w:tblGrid>
      <w:tr w:rsidR="003E1E3E" w:rsidRPr="00FA288E" w14:paraId="2835FE91" w14:textId="77777777" w:rsidTr="00AE259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1638" w:type="dxa"/>
            <w:shd w:val="clear" w:color="auto" w:fill="262626" w:themeFill="text1" w:themeFillTint="D9"/>
          </w:tcPr>
          <w:p w14:paraId="3A79711C" w14:textId="77777777" w:rsidR="003E1E3E" w:rsidRPr="00FA288E" w:rsidRDefault="003E1E3E" w:rsidP="006464C1">
            <w:pPr>
              <w:spacing w:after="120"/>
              <w:jc w:val="center"/>
              <w:rPr>
                <w:rFonts w:eastAsia="Calibri" w:cs="Calibri"/>
                <w:sz w:val="20"/>
                <w:szCs w:val="20"/>
              </w:rPr>
            </w:pPr>
            <w:r w:rsidRPr="00FA288E">
              <w:rPr>
                <w:rFonts w:eastAsia="Calibri" w:cs="Calibri"/>
                <w:sz w:val="20"/>
                <w:szCs w:val="20"/>
              </w:rPr>
              <w:t>STAKEHOLDER GROUP</w:t>
            </w:r>
          </w:p>
        </w:tc>
        <w:tc>
          <w:tcPr>
            <w:tcW w:w="2032" w:type="dxa"/>
            <w:shd w:val="clear" w:color="auto" w:fill="262626" w:themeFill="text1" w:themeFillTint="D9"/>
          </w:tcPr>
          <w:p w14:paraId="5FF50647" w14:textId="77777777" w:rsidR="003E1E3E" w:rsidRPr="00FA288E" w:rsidRDefault="003E1E3E" w:rsidP="006464C1">
            <w:pPr>
              <w:spacing w:after="120"/>
              <w:jc w:val="center"/>
              <w:cnfStyle w:val="100000000000" w:firstRow="1"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Name</w:t>
            </w:r>
          </w:p>
        </w:tc>
        <w:tc>
          <w:tcPr>
            <w:tcW w:w="5572" w:type="dxa"/>
            <w:shd w:val="clear" w:color="auto" w:fill="262626" w:themeFill="text1" w:themeFillTint="D9"/>
          </w:tcPr>
          <w:p w14:paraId="55FEBA18" w14:textId="77777777" w:rsidR="003E1E3E" w:rsidRPr="00FA288E" w:rsidRDefault="003E1E3E" w:rsidP="006464C1">
            <w:pPr>
              <w:spacing w:after="120"/>
              <w:jc w:val="center"/>
              <w:cnfStyle w:val="100000000000" w:firstRow="1"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Role/Position</w:t>
            </w:r>
          </w:p>
        </w:tc>
      </w:tr>
      <w:tr w:rsidR="000B0717" w:rsidRPr="00FA288E" w14:paraId="5F6042EC"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3A73BDF8" w14:textId="77777777" w:rsidR="000B0717" w:rsidRPr="00FA288E" w:rsidRDefault="000B0717" w:rsidP="006464C1">
            <w:pPr>
              <w:spacing w:after="120"/>
              <w:rPr>
                <w:rFonts w:eastAsia="Calibri" w:cs="Calibri"/>
                <w:sz w:val="20"/>
                <w:szCs w:val="20"/>
              </w:rPr>
            </w:pPr>
            <w:r w:rsidRPr="00FA288E">
              <w:rPr>
                <w:rFonts w:eastAsia="Calibri" w:cs="Calibri"/>
                <w:sz w:val="20"/>
                <w:szCs w:val="20"/>
              </w:rPr>
              <w:t>Australian High Commission</w:t>
            </w:r>
          </w:p>
        </w:tc>
        <w:tc>
          <w:tcPr>
            <w:tcW w:w="2032" w:type="dxa"/>
          </w:tcPr>
          <w:p w14:paraId="054B9CE7" w14:textId="77777777" w:rsidR="000B0717" w:rsidRPr="00FA288E" w:rsidRDefault="000B0717"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Andrew Egan</w:t>
            </w:r>
          </w:p>
        </w:tc>
        <w:tc>
          <w:tcPr>
            <w:tcW w:w="5572" w:type="dxa"/>
          </w:tcPr>
          <w:p w14:paraId="40CEFA2C" w14:textId="77777777" w:rsidR="000B0717" w:rsidRPr="00FA288E" w:rsidRDefault="000B0717"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Minister Counsellor</w:t>
            </w:r>
          </w:p>
        </w:tc>
      </w:tr>
      <w:tr w:rsidR="000B0717" w:rsidRPr="00FA288E" w14:paraId="158B7A89"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0AF448E1" w14:textId="77777777" w:rsidR="000B0717" w:rsidRPr="00FA288E" w:rsidRDefault="000B0717" w:rsidP="006464C1">
            <w:pPr>
              <w:spacing w:after="120"/>
              <w:rPr>
                <w:rFonts w:eastAsia="Calibri" w:cs="Calibri"/>
                <w:sz w:val="20"/>
                <w:szCs w:val="20"/>
              </w:rPr>
            </w:pPr>
          </w:p>
        </w:tc>
        <w:tc>
          <w:tcPr>
            <w:tcW w:w="2032" w:type="dxa"/>
          </w:tcPr>
          <w:p w14:paraId="589C9DDA" w14:textId="77777777" w:rsidR="000B0717" w:rsidRPr="00FA288E" w:rsidRDefault="000B0717"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Janelle Denton</w:t>
            </w:r>
          </w:p>
        </w:tc>
        <w:tc>
          <w:tcPr>
            <w:tcW w:w="5572" w:type="dxa"/>
          </w:tcPr>
          <w:p w14:paraId="0B60A44B" w14:textId="77777777" w:rsidR="000B0717" w:rsidRPr="00FA288E" w:rsidRDefault="000B0717"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Acting Counsellor, Education and Leadership Section</w:t>
            </w:r>
          </w:p>
        </w:tc>
      </w:tr>
      <w:tr w:rsidR="000B0717" w:rsidRPr="00FA288E" w14:paraId="1FCFAE8D"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22E89078" w14:textId="77777777" w:rsidR="000B0717" w:rsidRPr="00FA288E" w:rsidRDefault="000B0717" w:rsidP="006464C1">
            <w:pPr>
              <w:spacing w:after="120"/>
              <w:rPr>
                <w:rFonts w:eastAsia="Calibri" w:cs="Calibri"/>
                <w:sz w:val="20"/>
                <w:szCs w:val="20"/>
              </w:rPr>
            </w:pPr>
          </w:p>
        </w:tc>
        <w:tc>
          <w:tcPr>
            <w:tcW w:w="2032" w:type="dxa"/>
          </w:tcPr>
          <w:p w14:paraId="4EFB15FF" w14:textId="77777777" w:rsidR="000B0717" w:rsidRPr="00FA288E" w:rsidRDefault="000B0717"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Michael Quinn</w:t>
            </w:r>
          </w:p>
        </w:tc>
        <w:tc>
          <w:tcPr>
            <w:tcW w:w="5572" w:type="dxa"/>
          </w:tcPr>
          <w:p w14:paraId="1187BFA4" w14:textId="77777777" w:rsidR="000B0717" w:rsidRPr="00FA288E" w:rsidRDefault="000B0717"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Acting First Secretary, Foundations Team</w:t>
            </w:r>
          </w:p>
        </w:tc>
      </w:tr>
      <w:tr w:rsidR="000B0717" w:rsidRPr="00FA288E" w14:paraId="4CBF2023"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7D6824FF" w14:textId="77777777" w:rsidR="000B0717" w:rsidRPr="00FA288E" w:rsidRDefault="000B0717" w:rsidP="006464C1">
            <w:pPr>
              <w:spacing w:after="120"/>
              <w:rPr>
                <w:rFonts w:eastAsia="Calibri" w:cs="Calibri"/>
                <w:sz w:val="20"/>
                <w:szCs w:val="20"/>
              </w:rPr>
            </w:pPr>
          </w:p>
        </w:tc>
        <w:tc>
          <w:tcPr>
            <w:tcW w:w="2032" w:type="dxa"/>
          </w:tcPr>
          <w:p w14:paraId="1F60394F" w14:textId="77777777" w:rsidR="000B0717" w:rsidRPr="00FA288E" w:rsidRDefault="000B0717"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Grace Heaoa</w:t>
            </w:r>
          </w:p>
        </w:tc>
        <w:tc>
          <w:tcPr>
            <w:tcW w:w="5572" w:type="dxa"/>
          </w:tcPr>
          <w:p w14:paraId="49834A1D" w14:textId="77777777" w:rsidR="000B0717" w:rsidRPr="00FA288E" w:rsidRDefault="000B0717"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Program Manager, Portfolio Strategy and Effectiveness Team</w:t>
            </w:r>
          </w:p>
        </w:tc>
      </w:tr>
      <w:tr w:rsidR="000B0717" w:rsidRPr="00FA288E" w14:paraId="762AA601"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5B40C43E" w14:textId="77777777" w:rsidR="000B0717" w:rsidRPr="00FA288E" w:rsidRDefault="000B0717" w:rsidP="006464C1">
            <w:pPr>
              <w:spacing w:after="120"/>
              <w:rPr>
                <w:rFonts w:eastAsia="Calibri" w:cs="Calibri"/>
                <w:sz w:val="20"/>
                <w:szCs w:val="20"/>
              </w:rPr>
            </w:pPr>
          </w:p>
        </w:tc>
        <w:tc>
          <w:tcPr>
            <w:tcW w:w="2032" w:type="dxa"/>
          </w:tcPr>
          <w:p w14:paraId="5EB55D15" w14:textId="77777777" w:rsidR="000B0717" w:rsidRPr="00FA288E" w:rsidRDefault="000B0717"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Nicola Simpson</w:t>
            </w:r>
          </w:p>
        </w:tc>
        <w:tc>
          <w:tcPr>
            <w:tcW w:w="5572" w:type="dxa"/>
          </w:tcPr>
          <w:p w14:paraId="6EC0D14F" w14:textId="77777777" w:rsidR="000B0717" w:rsidRPr="00FA288E" w:rsidRDefault="000B0717"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Second Secretary, Foundations Team</w:t>
            </w:r>
          </w:p>
        </w:tc>
      </w:tr>
      <w:tr w:rsidR="000B0717" w:rsidRPr="00FA288E" w14:paraId="0006ED1A"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5D2F5A30" w14:textId="77777777" w:rsidR="000B0717" w:rsidRPr="00FA288E" w:rsidRDefault="000B0717" w:rsidP="006464C1">
            <w:pPr>
              <w:spacing w:after="120"/>
              <w:rPr>
                <w:rFonts w:eastAsia="Calibri" w:cs="Calibri"/>
                <w:sz w:val="20"/>
                <w:szCs w:val="20"/>
              </w:rPr>
            </w:pPr>
          </w:p>
        </w:tc>
        <w:tc>
          <w:tcPr>
            <w:tcW w:w="2032" w:type="dxa"/>
          </w:tcPr>
          <w:p w14:paraId="7CA3DDF1" w14:textId="77777777" w:rsidR="000B0717" w:rsidRPr="00FA288E" w:rsidRDefault="000B0717"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Lydia Butut-Dori</w:t>
            </w:r>
          </w:p>
        </w:tc>
        <w:tc>
          <w:tcPr>
            <w:tcW w:w="5572" w:type="dxa"/>
          </w:tcPr>
          <w:p w14:paraId="35866614" w14:textId="77777777" w:rsidR="000B0717" w:rsidRPr="00FA288E" w:rsidRDefault="000B0717"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Senior Program manager, Foundations Team</w:t>
            </w:r>
          </w:p>
        </w:tc>
      </w:tr>
      <w:tr w:rsidR="000B0717" w:rsidRPr="00FA288E" w14:paraId="7A214EB8"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24C2BE23" w14:textId="77777777" w:rsidR="000B0717" w:rsidRPr="00FA288E" w:rsidRDefault="000B0717" w:rsidP="006464C1">
            <w:pPr>
              <w:spacing w:after="120"/>
              <w:rPr>
                <w:rFonts w:eastAsia="Calibri" w:cs="Calibri"/>
                <w:sz w:val="20"/>
                <w:szCs w:val="20"/>
              </w:rPr>
            </w:pPr>
          </w:p>
        </w:tc>
        <w:tc>
          <w:tcPr>
            <w:tcW w:w="2032" w:type="dxa"/>
          </w:tcPr>
          <w:p w14:paraId="5E050753" w14:textId="77777777" w:rsidR="000B0717" w:rsidRPr="00FA288E" w:rsidRDefault="000B0717"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Delilah Konaka</w:t>
            </w:r>
          </w:p>
        </w:tc>
        <w:tc>
          <w:tcPr>
            <w:tcW w:w="5572" w:type="dxa"/>
          </w:tcPr>
          <w:p w14:paraId="01F6F4FD" w14:textId="77777777" w:rsidR="000B0717" w:rsidRPr="00FA288E" w:rsidRDefault="000B0717"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Assistant Program Manager, Foundations Team</w:t>
            </w:r>
          </w:p>
        </w:tc>
      </w:tr>
      <w:tr w:rsidR="000B0717" w:rsidRPr="00FA288E" w14:paraId="25398B66"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6AD5ED9E" w14:textId="77777777" w:rsidR="000B0717" w:rsidRPr="00FA288E" w:rsidRDefault="000B0717" w:rsidP="006464C1">
            <w:pPr>
              <w:spacing w:after="120"/>
              <w:rPr>
                <w:rFonts w:eastAsia="Calibri" w:cs="Calibri"/>
                <w:sz w:val="20"/>
                <w:szCs w:val="20"/>
              </w:rPr>
            </w:pPr>
          </w:p>
        </w:tc>
        <w:tc>
          <w:tcPr>
            <w:tcW w:w="2032" w:type="dxa"/>
          </w:tcPr>
          <w:p w14:paraId="2C09B239" w14:textId="77777777" w:rsidR="000B0717" w:rsidRPr="00FA288E" w:rsidRDefault="000B0717"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Steve Burns</w:t>
            </w:r>
          </w:p>
        </w:tc>
        <w:tc>
          <w:tcPr>
            <w:tcW w:w="5572" w:type="dxa"/>
          </w:tcPr>
          <w:p w14:paraId="0B06F6DF" w14:textId="77777777" w:rsidR="000B0717" w:rsidRPr="00FA288E" w:rsidRDefault="000B0717"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Sub-National Governance</w:t>
            </w:r>
          </w:p>
        </w:tc>
      </w:tr>
      <w:tr w:rsidR="00AD6C5A" w:rsidRPr="00FA288E" w14:paraId="5280A62E"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2BA59F59" w14:textId="77777777" w:rsidR="00AD6C5A" w:rsidRPr="00FA288E" w:rsidRDefault="00AD6C5A" w:rsidP="006464C1">
            <w:pPr>
              <w:spacing w:after="120"/>
              <w:rPr>
                <w:rFonts w:eastAsia="Calibri" w:cs="Calibri"/>
                <w:sz w:val="20"/>
                <w:szCs w:val="20"/>
              </w:rPr>
            </w:pPr>
            <w:r w:rsidRPr="00FA288E">
              <w:rPr>
                <w:rFonts w:eastAsia="Calibri" w:cs="Calibri"/>
                <w:sz w:val="20"/>
                <w:szCs w:val="20"/>
              </w:rPr>
              <w:t>GoPNG government departments (National)</w:t>
            </w:r>
          </w:p>
        </w:tc>
        <w:tc>
          <w:tcPr>
            <w:tcW w:w="2032" w:type="dxa"/>
          </w:tcPr>
          <w:p w14:paraId="0BDEE444" w14:textId="77777777" w:rsidR="00AD6C5A" w:rsidRPr="00FA288E" w:rsidRDefault="00AD6C5A"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Peter </w:t>
            </w:r>
            <w:proofErr w:type="spellStart"/>
            <w:r w:rsidRPr="00FA288E">
              <w:rPr>
                <w:rFonts w:eastAsia="Calibri" w:cs="Calibri"/>
                <w:sz w:val="20"/>
                <w:szCs w:val="20"/>
              </w:rPr>
              <w:t>Kants</w:t>
            </w:r>
            <w:proofErr w:type="spellEnd"/>
          </w:p>
        </w:tc>
        <w:tc>
          <w:tcPr>
            <w:tcW w:w="5572" w:type="dxa"/>
          </w:tcPr>
          <w:p w14:paraId="00E7AA65" w14:textId="77777777" w:rsidR="00AD6C5A" w:rsidRPr="00FA288E" w:rsidRDefault="00AD6C5A"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First Assistant Secretary, Policy &amp; Research, (NDOE)</w:t>
            </w:r>
          </w:p>
        </w:tc>
      </w:tr>
      <w:tr w:rsidR="00AD6C5A" w:rsidRPr="00FA288E" w14:paraId="1AFC7214"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2C74031D" w14:textId="77777777" w:rsidR="00AD6C5A" w:rsidRPr="00FA288E" w:rsidRDefault="00AD6C5A" w:rsidP="006464C1">
            <w:pPr>
              <w:spacing w:after="120"/>
              <w:rPr>
                <w:rFonts w:eastAsia="Calibri" w:cs="Calibri"/>
                <w:sz w:val="20"/>
                <w:szCs w:val="20"/>
              </w:rPr>
            </w:pPr>
          </w:p>
        </w:tc>
        <w:tc>
          <w:tcPr>
            <w:tcW w:w="2032" w:type="dxa"/>
          </w:tcPr>
          <w:p w14:paraId="79A82AA6" w14:textId="77777777" w:rsidR="00AD6C5A" w:rsidRPr="00FA288E" w:rsidRDefault="00AD6C5A"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Regina </w:t>
            </w:r>
            <w:proofErr w:type="spellStart"/>
            <w:r w:rsidRPr="00FA288E">
              <w:rPr>
                <w:rFonts w:eastAsia="Calibri" w:cs="Calibri"/>
                <w:sz w:val="20"/>
                <w:szCs w:val="20"/>
              </w:rPr>
              <w:t>Mabia</w:t>
            </w:r>
            <w:proofErr w:type="spellEnd"/>
          </w:p>
        </w:tc>
        <w:tc>
          <w:tcPr>
            <w:tcW w:w="5572" w:type="dxa"/>
          </w:tcPr>
          <w:p w14:paraId="43792E92" w14:textId="77777777" w:rsidR="00AD6C5A" w:rsidRPr="00FA288E" w:rsidRDefault="00AD6C5A"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Aid Coordination, NDOE</w:t>
            </w:r>
          </w:p>
        </w:tc>
      </w:tr>
      <w:tr w:rsidR="00AD6C5A" w:rsidRPr="00FA288E" w14:paraId="4884734B"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61B13757" w14:textId="77777777" w:rsidR="00AD6C5A" w:rsidRPr="00FA288E" w:rsidRDefault="00AD6C5A" w:rsidP="006464C1">
            <w:pPr>
              <w:spacing w:after="120"/>
              <w:rPr>
                <w:rFonts w:eastAsia="Calibri" w:cs="Calibri"/>
                <w:sz w:val="20"/>
                <w:szCs w:val="20"/>
              </w:rPr>
            </w:pPr>
          </w:p>
        </w:tc>
        <w:tc>
          <w:tcPr>
            <w:tcW w:w="2032" w:type="dxa"/>
          </w:tcPr>
          <w:p w14:paraId="66A4E8C8" w14:textId="77777777" w:rsidR="00AD6C5A" w:rsidRPr="00FA288E" w:rsidRDefault="00AD6C5A"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Annemarie Kona</w:t>
            </w:r>
          </w:p>
        </w:tc>
        <w:tc>
          <w:tcPr>
            <w:tcW w:w="5572" w:type="dxa"/>
          </w:tcPr>
          <w:p w14:paraId="5F833B3D" w14:textId="77777777" w:rsidR="00AD6C5A" w:rsidRPr="00FA288E" w:rsidRDefault="00AD6C5A"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First Assistant Secretary, NDOE</w:t>
            </w:r>
          </w:p>
        </w:tc>
      </w:tr>
      <w:tr w:rsidR="00AD6C5A" w:rsidRPr="00FA288E" w14:paraId="6912F6B1"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1C47DFD0" w14:textId="77777777" w:rsidR="00AD6C5A" w:rsidRPr="00FA288E" w:rsidRDefault="00AD6C5A" w:rsidP="006464C1">
            <w:pPr>
              <w:spacing w:after="120"/>
              <w:rPr>
                <w:rFonts w:eastAsia="Calibri" w:cs="Calibri"/>
                <w:sz w:val="20"/>
                <w:szCs w:val="20"/>
              </w:rPr>
            </w:pPr>
          </w:p>
        </w:tc>
        <w:tc>
          <w:tcPr>
            <w:tcW w:w="2032" w:type="dxa"/>
          </w:tcPr>
          <w:p w14:paraId="0C61E0B1" w14:textId="77777777" w:rsidR="00AD6C5A" w:rsidRPr="00FA288E" w:rsidRDefault="00AD6C5A"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Allan Jim</w:t>
            </w:r>
          </w:p>
        </w:tc>
        <w:tc>
          <w:tcPr>
            <w:tcW w:w="5572" w:type="dxa"/>
          </w:tcPr>
          <w:p w14:paraId="21F5ADA2" w14:textId="77777777" w:rsidR="00AD6C5A" w:rsidRPr="00FA288E" w:rsidRDefault="00AD6C5A"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Assistant Secretary, Teacher Development, NDOE</w:t>
            </w:r>
          </w:p>
        </w:tc>
      </w:tr>
      <w:tr w:rsidR="00AD6C5A" w:rsidRPr="00FA288E" w14:paraId="28C6B872"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178ED226" w14:textId="77777777" w:rsidR="00AD6C5A" w:rsidRPr="00FA288E" w:rsidRDefault="00AD6C5A" w:rsidP="006464C1">
            <w:pPr>
              <w:spacing w:after="120"/>
              <w:rPr>
                <w:rFonts w:eastAsia="Calibri" w:cs="Calibri"/>
                <w:sz w:val="20"/>
                <w:szCs w:val="20"/>
              </w:rPr>
            </w:pPr>
          </w:p>
        </w:tc>
        <w:tc>
          <w:tcPr>
            <w:tcW w:w="2032" w:type="dxa"/>
          </w:tcPr>
          <w:p w14:paraId="5D20BA38" w14:textId="77777777" w:rsidR="00AD6C5A" w:rsidRPr="00FA288E" w:rsidRDefault="00AD6C5A"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Philippa </w:t>
            </w:r>
            <w:proofErr w:type="spellStart"/>
            <w:r w:rsidRPr="00FA288E">
              <w:rPr>
                <w:rFonts w:eastAsia="Calibri" w:cs="Calibri"/>
                <w:sz w:val="20"/>
                <w:szCs w:val="20"/>
              </w:rPr>
              <w:t>Dairu</w:t>
            </w:r>
            <w:proofErr w:type="spellEnd"/>
          </w:p>
        </w:tc>
        <w:tc>
          <w:tcPr>
            <w:tcW w:w="5572" w:type="dxa"/>
          </w:tcPr>
          <w:p w14:paraId="4B94DBF2" w14:textId="77777777" w:rsidR="00AD6C5A" w:rsidRPr="00FA288E" w:rsidRDefault="00AD6C5A"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PCO, NDOE</w:t>
            </w:r>
          </w:p>
        </w:tc>
      </w:tr>
      <w:tr w:rsidR="00AD6C5A" w:rsidRPr="00FA288E" w14:paraId="74AC3CD3"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6A9EA59C" w14:textId="77777777" w:rsidR="00AD6C5A" w:rsidRPr="00FA288E" w:rsidRDefault="00AD6C5A" w:rsidP="006464C1">
            <w:pPr>
              <w:spacing w:after="120"/>
              <w:rPr>
                <w:rFonts w:eastAsia="Calibri" w:cs="Calibri"/>
                <w:sz w:val="20"/>
                <w:szCs w:val="20"/>
              </w:rPr>
            </w:pPr>
          </w:p>
        </w:tc>
        <w:tc>
          <w:tcPr>
            <w:tcW w:w="2032" w:type="dxa"/>
          </w:tcPr>
          <w:p w14:paraId="6344345A" w14:textId="77777777" w:rsidR="00AD6C5A" w:rsidRPr="00FA288E" w:rsidRDefault="00AD6C5A"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Colette </w:t>
            </w:r>
            <w:proofErr w:type="spellStart"/>
            <w:r w:rsidRPr="00FA288E">
              <w:rPr>
                <w:rFonts w:eastAsia="Calibri" w:cs="Calibri"/>
                <w:sz w:val="20"/>
                <w:szCs w:val="20"/>
              </w:rPr>
              <w:t>Modagai</w:t>
            </w:r>
            <w:proofErr w:type="spellEnd"/>
          </w:p>
        </w:tc>
        <w:tc>
          <w:tcPr>
            <w:tcW w:w="5572" w:type="dxa"/>
          </w:tcPr>
          <w:p w14:paraId="4A994300" w14:textId="77777777" w:rsidR="00AD6C5A" w:rsidRPr="00FA288E" w:rsidRDefault="00AD6C5A"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National Curriculum Coordinator, NDOE</w:t>
            </w:r>
          </w:p>
        </w:tc>
      </w:tr>
      <w:tr w:rsidR="00AD6C5A" w:rsidRPr="00FA288E" w14:paraId="58021E0B"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0EA66517" w14:textId="77777777" w:rsidR="00AD6C5A" w:rsidRPr="00FA288E" w:rsidRDefault="00AD6C5A" w:rsidP="006464C1">
            <w:pPr>
              <w:spacing w:after="120"/>
              <w:rPr>
                <w:rFonts w:eastAsia="Calibri" w:cs="Calibri"/>
                <w:sz w:val="20"/>
                <w:szCs w:val="20"/>
              </w:rPr>
            </w:pPr>
          </w:p>
        </w:tc>
        <w:tc>
          <w:tcPr>
            <w:tcW w:w="2032" w:type="dxa"/>
          </w:tcPr>
          <w:p w14:paraId="2080CF57" w14:textId="77777777" w:rsidR="00AD6C5A" w:rsidRPr="00FA288E" w:rsidRDefault="00AD6C5A"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Paul </w:t>
            </w:r>
            <w:proofErr w:type="spellStart"/>
            <w:r w:rsidRPr="00FA288E">
              <w:rPr>
                <w:rFonts w:eastAsia="Calibri" w:cs="Calibri"/>
                <w:sz w:val="20"/>
                <w:szCs w:val="20"/>
              </w:rPr>
              <w:t>Ainui</w:t>
            </w:r>
            <w:proofErr w:type="spellEnd"/>
          </w:p>
        </w:tc>
        <w:tc>
          <w:tcPr>
            <w:tcW w:w="5572" w:type="dxa"/>
          </w:tcPr>
          <w:p w14:paraId="089F07FD" w14:textId="77777777" w:rsidR="00AD6C5A" w:rsidRPr="00FA288E" w:rsidRDefault="00AD6C5A"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Acting Assistant Secretary, NDOE</w:t>
            </w:r>
          </w:p>
        </w:tc>
      </w:tr>
      <w:tr w:rsidR="00AD6C5A" w:rsidRPr="00FA288E" w14:paraId="4B83039A"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6447817B" w14:textId="77777777" w:rsidR="00AD6C5A" w:rsidRPr="00FA288E" w:rsidRDefault="00AD6C5A" w:rsidP="006464C1">
            <w:pPr>
              <w:spacing w:after="120"/>
              <w:rPr>
                <w:rFonts w:eastAsia="Calibri" w:cs="Calibri"/>
                <w:sz w:val="20"/>
                <w:szCs w:val="20"/>
              </w:rPr>
            </w:pPr>
          </w:p>
        </w:tc>
        <w:tc>
          <w:tcPr>
            <w:tcW w:w="2032" w:type="dxa"/>
          </w:tcPr>
          <w:p w14:paraId="263F44B2" w14:textId="77777777" w:rsidR="00AD6C5A" w:rsidRPr="00FA288E" w:rsidRDefault="00AD6C5A"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Andrew Ape</w:t>
            </w:r>
          </w:p>
        </w:tc>
        <w:tc>
          <w:tcPr>
            <w:tcW w:w="5572" w:type="dxa"/>
          </w:tcPr>
          <w:p w14:paraId="643B218D" w14:textId="77777777" w:rsidR="00AD6C5A" w:rsidRPr="00FA288E" w:rsidRDefault="00AD6C5A"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Elementary Training Officer, NDOE</w:t>
            </w:r>
          </w:p>
        </w:tc>
      </w:tr>
      <w:tr w:rsidR="00AD6C5A" w:rsidRPr="00FA288E" w14:paraId="7ED3B274"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7C2DFB91" w14:textId="77777777" w:rsidR="00AD6C5A" w:rsidRPr="00FA288E" w:rsidRDefault="00AD6C5A" w:rsidP="006464C1">
            <w:pPr>
              <w:spacing w:after="120"/>
              <w:rPr>
                <w:rFonts w:eastAsia="Calibri" w:cs="Calibri"/>
                <w:sz w:val="20"/>
                <w:szCs w:val="20"/>
              </w:rPr>
            </w:pPr>
          </w:p>
        </w:tc>
        <w:tc>
          <w:tcPr>
            <w:tcW w:w="2032" w:type="dxa"/>
          </w:tcPr>
          <w:p w14:paraId="0B18D49A" w14:textId="77777777" w:rsidR="00AD6C5A" w:rsidRPr="00FA288E" w:rsidRDefault="00AD6C5A"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Geoff </w:t>
            </w:r>
            <w:proofErr w:type="spellStart"/>
            <w:r w:rsidRPr="00FA288E">
              <w:rPr>
                <w:rFonts w:eastAsia="Calibri" w:cs="Calibri"/>
                <w:sz w:val="20"/>
                <w:szCs w:val="20"/>
              </w:rPr>
              <w:t>Gibaru</w:t>
            </w:r>
            <w:proofErr w:type="spellEnd"/>
          </w:p>
        </w:tc>
        <w:tc>
          <w:tcPr>
            <w:tcW w:w="5572" w:type="dxa"/>
          </w:tcPr>
          <w:p w14:paraId="52A0D336" w14:textId="77777777" w:rsidR="00AD6C5A" w:rsidRPr="00FA288E" w:rsidRDefault="00AD6C5A"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Director, Schools Inspectorate, NDOE</w:t>
            </w:r>
          </w:p>
        </w:tc>
      </w:tr>
      <w:tr w:rsidR="00AD6C5A" w:rsidRPr="00FA288E" w14:paraId="78D53025"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1A72054D" w14:textId="77777777" w:rsidR="00AD6C5A" w:rsidRPr="00FA288E" w:rsidRDefault="00AD6C5A" w:rsidP="006464C1">
            <w:pPr>
              <w:spacing w:after="120"/>
              <w:rPr>
                <w:rFonts w:eastAsia="Calibri" w:cs="Calibri"/>
                <w:sz w:val="20"/>
                <w:szCs w:val="20"/>
              </w:rPr>
            </w:pPr>
          </w:p>
        </w:tc>
        <w:tc>
          <w:tcPr>
            <w:tcW w:w="2032" w:type="dxa"/>
          </w:tcPr>
          <w:p w14:paraId="234229E0" w14:textId="77777777" w:rsidR="00AD6C5A" w:rsidRPr="00FA288E" w:rsidRDefault="00AD6C5A"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Gandhi </w:t>
            </w:r>
            <w:proofErr w:type="spellStart"/>
            <w:r w:rsidRPr="00FA288E">
              <w:rPr>
                <w:rFonts w:eastAsia="Calibri" w:cs="Calibri"/>
                <w:sz w:val="20"/>
                <w:szCs w:val="20"/>
              </w:rPr>
              <w:t>Lavaki</w:t>
            </w:r>
            <w:proofErr w:type="spellEnd"/>
            <w:r w:rsidRPr="00FA288E">
              <w:rPr>
                <w:rFonts w:eastAsia="Calibri" w:cs="Calibri"/>
                <w:sz w:val="20"/>
                <w:szCs w:val="20"/>
              </w:rPr>
              <w:t xml:space="preserve"> (and staff)</w:t>
            </w:r>
          </w:p>
        </w:tc>
        <w:tc>
          <w:tcPr>
            <w:tcW w:w="5572" w:type="dxa"/>
          </w:tcPr>
          <w:p w14:paraId="3C4D341E" w14:textId="77777777" w:rsidR="00AD6C5A" w:rsidRPr="00FA288E" w:rsidRDefault="00AD6C5A"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Director, Curriculum</w:t>
            </w:r>
          </w:p>
        </w:tc>
      </w:tr>
      <w:tr w:rsidR="00AD6C5A" w:rsidRPr="00FA288E" w14:paraId="42FA6DCA"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25A50610" w14:textId="77777777" w:rsidR="00AD6C5A" w:rsidRPr="00FA288E" w:rsidRDefault="00AD6C5A" w:rsidP="006464C1">
            <w:pPr>
              <w:spacing w:after="120"/>
              <w:rPr>
                <w:rFonts w:eastAsia="Calibri" w:cs="Calibri"/>
                <w:sz w:val="20"/>
                <w:szCs w:val="20"/>
              </w:rPr>
            </w:pPr>
          </w:p>
        </w:tc>
        <w:tc>
          <w:tcPr>
            <w:tcW w:w="2032" w:type="dxa"/>
          </w:tcPr>
          <w:p w14:paraId="46E648C9" w14:textId="77777777" w:rsidR="00AD6C5A" w:rsidRPr="00FA288E" w:rsidRDefault="00AD6C5A"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Simon Yiannis (and staff)</w:t>
            </w:r>
          </w:p>
        </w:tc>
        <w:tc>
          <w:tcPr>
            <w:tcW w:w="5572" w:type="dxa"/>
          </w:tcPr>
          <w:p w14:paraId="0B8330F9" w14:textId="77777777" w:rsidR="00AD6C5A" w:rsidRPr="00FA288E" w:rsidRDefault="00AD6C5A"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National Office of Child and Family Services </w:t>
            </w:r>
          </w:p>
        </w:tc>
      </w:tr>
      <w:tr w:rsidR="00AD6C5A" w:rsidRPr="00FA288E" w14:paraId="514D218F"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1C52B41A" w14:textId="77777777" w:rsidR="00AD6C5A" w:rsidRPr="00FA288E" w:rsidRDefault="00AD6C5A" w:rsidP="006464C1">
            <w:pPr>
              <w:spacing w:after="120"/>
              <w:rPr>
                <w:rFonts w:eastAsia="Calibri" w:cs="Calibri"/>
                <w:sz w:val="20"/>
                <w:szCs w:val="20"/>
              </w:rPr>
            </w:pPr>
          </w:p>
        </w:tc>
        <w:tc>
          <w:tcPr>
            <w:tcW w:w="2032" w:type="dxa"/>
          </w:tcPr>
          <w:p w14:paraId="2BD41B7E" w14:textId="77777777" w:rsidR="00AD6C5A" w:rsidRPr="00FA288E" w:rsidRDefault="00AD6C5A"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James Ruru</w:t>
            </w:r>
          </w:p>
        </w:tc>
        <w:tc>
          <w:tcPr>
            <w:tcW w:w="5572" w:type="dxa"/>
          </w:tcPr>
          <w:p w14:paraId="032F86A5" w14:textId="77777777" w:rsidR="00AD6C5A" w:rsidRPr="00FA288E" w:rsidRDefault="00AD6C5A"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Principal Aid Coordinator, Department of National Planning and Monitoring (DNPM)</w:t>
            </w:r>
          </w:p>
        </w:tc>
      </w:tr>
      <w:tr w:rsidR="00AD6C5A" w:rsidRPr="00FA288E" w14:paraId="34E36783"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170D5EF2" w14:textId="77777777" w:rsidR="00AD6C5A" w:rsidRPr="00FA288E" w:rsidRDefault="00AD6C5A" w:rsidP="006464C1">
            <w:pPr>
              <w:spacing w:after="120"/>
              <w:rPr>
                <w:rFonts w:eastAsia="Calibri" w:cs="Calibri"/>
                <w:sz w:val="20"/>
                <w:szCs w:val="20"/>
              </w:rPr>
            </w:pPr>
          </w:p>
        </w:tc>
        <w:tc>
          <w:tcPr>
            <w:tcW w:w="2032" w:type="dxa"/>
          </w:tcPr>
          <w:p w14:paraId="770014EB" w14:textId="77777777" w:rsidR="00AD6C5A" w:rsidRPr="00FA288E" w:rsidRDefault="00AD6C5A"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Gima</w:t>
            </w:r>
            <w:proofErr w:type="spellEnd"/>
            <w:r w:rsidRPr="00FA288E">
              <w:rPr>
                <w:rFonts w:eastAsia="Calibri" w:cs="Calibri"/>
                <w:sz w:val="20"/>
                <w:szCs w:val="20"/>
              </w:rPr>
              <w:t xml:space="preserve"> Kana</w:t>
            </w:r>
          </w:p>
        </w:tc>
        <w:tc>
          <w:tcPr>
            <w:tcW w:w="5572" w:type="dxa"/>
          </w:tcPr>
          <w:p w14:paraId="592F859D" w14:textId="77777777" w:rsidR="00AD6C5A" w:rsidRPr="00FA288E" w:rsidRDefault="00AD6C5A"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Public Investment Program, General Education, DNPM</w:t>
            </w:r>
          </w:p>
          <w:p w14:paraId="0F25B6D3" w14:textId="77777777" w:rsidR="00AD6C5A" w:rsidRPr="00FA288E" w:rsidRDefault="00AD6C5A"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
        </w:tc>
      </w:tr>
      <w:tr w:rsidR="00AD6C5A" w:rsidRPr="00FA288E" w14:paraId="027F6135"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1306E289" w14:textId="77777777" w:rsidR="00AD6C5A" w:rsidRPr="00FA288E" w:rsidRDefault="00AD6C5A" w:rsidP="006464C1">
            <w:pPr>
              <w:spacing w:after="120"/>
              <w:rPr>
                <w:rFonts w:eastAsia="Calibri" w:cs="Calibri"/>
                <w:sz w:val="20"/>
                <w:szCs w:val="20"/>
              </w:rPr>
            </w:pPr>
          </w:p>
        </w:tc>
        <w:tc>
          <w:tcPr>
            <w:tcW w:w="2032" w:type="dxa"/>
          </w:tcPr>
          <w:p w14:paraId="0A2D625D" w14:textId="77777777" w:rsidR="00AD6C5A" w:rsidRPr="00FA288E" w:rsidRDefault="00AD6C5A"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Debbie Kamaso</w:t>
            </w:r>
          </w:p>
        </w:tc>
        <w:tc>
          <w:tcPr>
            <w:tcW w:w="5572" w:type="dxa"/>
          </w:tcPr>
          <w:p w14:paraId="0A232CEE" w14:textId="77777777" w:rsidR="00AD6C5A" w:rsidRPr="00FA288E" w:rsidRDefault="00AD6C5A"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Policy and Budgets; Aust Aid Branch Health and Education, DNPM</w:t>
            </w:r>
          </w:p>
        </w:tc>
      </w:tr>
      <w:tr w:rsidR="00AD6C5A" w:rsidRPr="00FA288E" w14:paraId="23E33E99"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6BC0F150" w14:textId="77777777" w:rsidR="00AD6C5A" w:rsidRPr="00FA288E" w:rsidRDefault="00AD6C5A" w:rsidP="006464C1">
            <w:pPr>
              <w:spacing w:after="120"/>
              <w:rPr>
                <w:rFonts w:eastAsia="Calibri" w:cs="Calibri"/>
                <w:sz w:val="20"/>
                <w:szCs w:val="20"/>
              </w:rPr>
            </w:pPr>
          </w:p>
        </w:tc>
        <w:tc>
          <w:tcPr>
            <w:tcW w:w="2032" w:type="dxa"/>
          </w:tcPr>
          <w:p w14:paraId="63F679B5" w14:textId="77777777" w:rsidR="00AD6C5A" w:rsidRPr="00FA288E" w:rsidRDefault="00AD6C5A"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shd w:val="clear" w:color="auto" w:fill="FFFFFF"/>
              </w:rPr>
              <w:t xml:space="preserve">Chiharu </w:t>
            </w:r>
            <w:proofErr w:type="spellStart"/>
            <w:r w:rsidRPr="00FA288E">
              <w:rPr>
                <w:rFonts w:eastAsia="Calibri" w:cs="Calibri"/>
                <w:sz w:val="20"/>
                <w:szCs w:val="20"/>
                <w:shd w:val="clear" w:color="auto" w:fill="FFFFFF"/>
              </w:rPr>
              <w:t>Sai'i</w:t>
            </w:r>
            <w:proofErr w:type="spellEnd"/>
          </w:p>
        </w:tc>
        <w:tc>
          <w:tcPr>
            <w:tcW w:w="5572" w:type="dxa"/>
          </w:tcPr>
          <w:p w14:paraId="01A7F80A" w14:textId="77777777" w:rsidR="00AD6C5A" w:rsidRPr="00FA288E" w:rsidRDefault="00AD6C5A"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Aid Coordination Team; Aust Aid Branch Health and Education, DNPM</w:t>
            </w:r>
          </w:p>
        </w:tc>
      </w:tr>
      <w:tr w:rsidR="003E1E3E" w:rsidRPr="00FA288E" w14:paraId="3DE77438"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5FE53871" w14:textId="77777777" w:rsidR="003E1E3E" w:rsidRPr="00FA288E" w:rsidRDefault="003E1E3E" w:rsidP="006464C1">
            <w:pPr>
              <w:spacing w:after="120"/>
              <w:rPr>
                <w:rFonts w:eastAsia="Calibri" w:cs="Calibri"/>
                <w:sz w:val="20"/>
                <w:szCs w:val="20"/>
              </w:rPr>
            </w:pPr>
            <w:r w:rsidRPr="00FA288E">
              <w:rPr>
                <w:rFonts w:eastAsia="Calibri" w:cs="Calibri"/>
                <w:sz w:val="20"/>
                <w:szCs w:val="20"/>
              </w:rPr>
              <w:t>GoPNG Provincial and District</w:t>
            </w:r>
          </w:p>
        </w:tc>
        <w:tc>
          <w:tcPr>
            <w:tcW w:w="2032" w:type="dxa"/>
          </w:tcPr>
          <w:p w14:paraId="77B3299E"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Raymond </w:t>
            </w:r>
            <w:proofErr w:type="spellStart"/>
            <w:r w:rsidRPr="00FA288E">
              <w:rPr>
                <w:rFonts w:eastAsia="Calibri" w:cs="Calibri"/>
                <w:sz w:val="20"/>
                <w:szCs w:val="20"/>
              </w:rPr>
              <w:t>Bakavi</w:t>
            </w:r>
            <w:proofErr w:type="spellEnd"/>
          </w:p>
        </w:tc>
        <w:tc>
          <w:tcPr>
            <w:tcW w:w="5572" w:type="dxa"/>
          </w:tcPr>
          <w:p w14:paraId="2F507D66"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Provincial DoE Elementary Education Advisor (East Sepik)</w:t>
            </w:r>
          </w:p>
        </w:tc>
      </w:tr>
      <w:tr w:rsidR="003E1E3E" w:rsidRPr="00FA288E" w14:paraId="0C3FAEED"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73624ABA" w14:textId="77777777" w:rsidR="003E1E3E" w:rsidRPr="00FA288E" w:rsidRDefault="003E1E3E" w:rsidP="006464C1">
            <w:pPr>
              <w:spacing w:after="120"/>
              <w:rPr>
                <w:rFonts w:eastAsia="Calibri" w:cs="Calibri"/>
                <w:sz w:val="20"/>
                <w:szCs w:val="20"/>
              </w:rPr>
            </w:pPr>
          </w:p>
        </w:tc>
        <w:tc>
          <w:tcPr>
            <w:tcW w:w="2032" w:type="dxa"/>
          </w:tcPr>
          <w:p w14:paraId="1CD9BF3A"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Philip </w:t>
            </w:r>
            <w:proofErr w:type="spellStart"/>
            <w:r w:rsidRPr="00FA288E">
              <w:rPr>
                <w:rFonts w:eastAsia="Calibri" w:cs="Calibri"/>
                <w:sz w:val="20"/>
                <w:szCs w:val="20"/>
              </w:rPr>
              <w:t>Inambari</w:t>
            </w:r>
            <w:proofErr w:type="spellEnd"/>
          </w:p>
        </w:tc>
        <w:tc>
          <w:tcPr>
            <w:tcW w:w="5572" w:type="dxa"/>
          </w:tcPr>
          <w:p w14:paraId="6889DF12"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Provincial DoE Elementary Education Coordinators (East Sepik)</w:t>
            </w:r>
          </w:p>
        </w:tc>
      </w:tr>
      <w:tr w:rsidR="003E1E3E" w:rsidRPr="00FA288E" w14:paraId="4E0AA93D"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02267778" w14:textId="77777777" w:rsidR="003E1E3E" w:rsidRPr="00FA288E" w:rsidRDefault="003E1E3E" w:rsidP="006464C1">
            <w:pPr>
              <w:spacing w:after="120"/>
              <w:rPr>
                <w:rFonts w:eastAsia="Calibri" w:cs="Calibri"/>
                <w:sz w:val="20"/>
                <w:szCs w:val="20"/>
              </w:rPr>
            </w:pPr>
          </w:p>
        </w:tc>
        <w:tc>
          <w:tcPr>
            <w:tcW w:w="2032" w:type="dxa"/>
          </w:tcPr>
          <w:p w14:paraId="18C1E102"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1 man</w:t>
            </w:r>
          </w:p>
        </w:tc>
        <w:tc>
          <w:tcPr>
            <w:tcW w:w="5572" w:type="dxa"/>
          </w:tcPr>
          <w:p w14:paraId="60E1B5DC"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Provincial Superintendent (East Sepik)</w:t>
            </w:r>
          </w:p>
        </w:tc>
      </w:tr>
      <w:tr w:rsidR="003E1E3E" w:rsidRPr="00FA288E" w14:paraId="5E5EF798"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0A0B6DB8" w14:textId="77777777" w:rsidR="003E1E3E" w:rsidRPr="00FA288E" w:rsidRDefault="003E1E3E" w:rsidP="006464C1">
            <w:pPr>
              <w:spacing w:after="120"/>
              <w:rPr>
                <w:rFonts w:eastAsia="Calibri" w:cs="Calibri"/>
                <w:sz w:val="20"/>
                <w:szCs w:val="20"/>
              </w:rPr>
            </w:pPr>
          </w:p>
        </w:tc>
        <w:tc>
          <w:tcPr>
            <w:tcW w:w="2032" w:type="dxa"/>
          </w:tcPr>
          <w:p w14:paraId="737CD62D"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Bill </w:t>
            </w:r>
            <w:proofErr w:type="spellStart"/>
            <w:r w:rsidRPr="00FA288E">
              <w:rPr>
                <w:rFonts w:eastAsia="Calibri" w:cs="Calibri"/>
                <w:sz w:val="20"/>
                <w:szCs w:val="20"/>
              </w:rPr>
              <w:t>Bau</w:t>
            </w:r>
            <w:proofErr w:type="spellEnd"/>
          </w:p>
        </w:tc>
        <w:tc>
          <w:tcPr>
            <w:tcW w:w="5572" w:type="dxa"/>
          </w:tcPr>
          <w:p w14:paraId="17316E3E"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Provincial Elementary Coordinator (Central)</w:t>
            </w:r>
          </w:p>
        </w:tc>
      </w:tr>
      <w:tr w:rsidR="003E1E3E" w:rsidRPr="00FA288E" w14:paraId="1E30C448"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7C4D6F76" w14:textId="77777777" w:rsidR="003E1E3E" w:rsidRPr="00FA288E" w:rsidRDefault="003E1E3E" w:rsidP="006464C1">
            <w:pPr>
              <w:spacing w:after="120"/>
              <w:rPr>
                <w:rFonts w:eastAsia="Calibri" w:cs="Calibri"/>
                <w:sz w:val="20"/>
                <w:szCs w:val="20"/>
              </w:rPr>
            </w:pPr>
          </w:p>
        </w:tc>
        <w:tc>
          <w:tcPr>
            <w:tcW w:w="2032" w:type="dxa"/>
          </w:tcPr>
          <w:p w14:paraId="41B9FBA0"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roofErr w:type="spellStart"/>
            <w:r w:rsidRPr="00FA288E">
              <w:rPr>
                <w:rFonts w:cs="Calibri"/>
                <w:sz w:val="20"/>
                <w:szCs w:val="20"/>
              </w:rPr>
              <w:t>Kerowin</w:t>
            </w:r>
            <w:proofErr w:type="spellEnd"/>
            <w:r w:rsidRPr="00FA288E">
              <w:rPr>
                <w:rFonts w:cs="Calibri"/>
                <w:sz w:val="20"/>
                <w:szCs w:val="20"/>
              </w:rPr>
              <w:t xml:space="preserve"> Tau</w:t>
            </w:r>
          </w:p>
        </w:tc>
        <w:tc>
          <w:tcPr>
            <w:tcW w:w="5572" w:type="dxa"/>
          </w:tcPr>
          <w:p w14:paraId="16F70969"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cs="Calibri"/>
                <w:sz w:val="20"/>
                <w:szCs w:val="20"/>
              </w:rPr>
              <w:t>Riga District Education Superintendent (Central)</w:t>
            </w:r>
          </w:p>
        </w:tc>
      </w:tr>
      <w:tr w:rsidR="003E1E3E" w:rsidRPr="00FA288E" w14:paraId="137391A1"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4FE6CE67" w14:textId="77777777" w:rsidR="003E1E3E" w:rsidRPr="00FA288E" w:rsidRDefault="003E1E3E" w:rsidP="006464C1">
            <w:pPr>
              <w:spacing w:after="120"/>
              <w:rPr>
                <w:rFonts w:eastAsia="Calibri" w:cs="Calibri"/>
                <w:sz w:val="20"/>
                <w:szCs w:val="20"/>
              </w:rPr>
            </w:pPr>
          </w:p>
        </w:tc>
        <w:tc>
          <w:tcPr>
            <w:tcW w:w="2032" w:type="dxa"/>
          </w:tcPr>
          <w:p w14:paraId="648933DC"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cs="Calibri"/>
                <w:sz w:val="20"/>
                <w:szCs w:val="20"/>
              </w:rPr>
              <w:t xml:space="preserve">Sere </w:t>
            </w:r>
            <w:proofErr w:type="spellStart"/>
            <w:r w:rsidRPr="00FA288E">
              <w:rPr>
                <w:rFonts w:cs="Calibri"/>
                <w:sz w:val="20"/>
                <w:szCs w:val="20"/>
              </w:rPr>
              <w:t>Raka</w:t>
            </w:r>
            <w:proofErr w:type="spellEnd"/>
          </w:p>
        </w:tc>
        <w:tc>
          <w:tcPr>
            <w:tcW w:w="5572" w:type="dxa"/>
          </w:tcPr>
          <w:p w14:paraId="7E977515"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Riga </w:t>
            </w:r>
            <w:r w:rsidRPr="00FA288E">
              <w:rPr>
                <w:rFonts w:cs="Calibri"/>
                <w:sz w:val="20"/>
                <w:szCs w:val="20"/>
              </w:rPr>
              <w:t>District Coordinator (Central)</w:t>
            </w:r>
          </w:p>
        </w:tc>
      </w:tr>
      <w:tr w:rsidR="003E1E3E" w:rsidRPr="00FA288E" w14:paraId="7331202A"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53A68FA6" w14:textId="77777777" w:rsidR="003E1E3E" w:rsidRPr="00FA288E" w:rsidRDefault="003E1E3E" w:rsidP="006464C1">
            <w:pPr>
              <w:spacing w:after="120"/>
              <w:rPr>
                <w:rFonts w:eastAsia="Calibri" w:cs="Calibri"/>
                <w:sz w:val="20"/>
                <w:szCs w:val="20"/>
              </w:rPr>
            </w:pPr>
          </w:p>
        </w:tc>
        <w:tc>
          <w:tcPr>
            <w:tcW w:w="2032" w:type="dxa"/>
          </w:tcPr>
          <w:p w14:paraId="37E1BC0E"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2 women, 8 men</w:t>
            </w:r>
          </w:p>
        </w:tc>
        <w:tc>
          <w:tcPr>
            <w:tcW w:w="5572" w:type="dxa"/>
          </w:tcPr>
          <w:p w14:paraId="69F83C60"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Requested names and positions from CARE</w:t>
            </w:r>
          </w:p>
        </w:tc>
      </w:tr>
      <w:tr w:rsidR="000B0717" w:rsidRPr="00FA288E" w14:paraId="092BC97D"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3EABDDAC" w14:textId="77777777" w:rsidR="000B0717" w:rsidRPr="00FA288E" w:rsidRDefault="000B0717" w:rsidP="006464C1">
            <w:pPr>
              <w:spacing w:after="120"/>
              <w:rPr>
                <w:rFonts w:eastAsia="Calibri" w:cs="Calibri"/>
                <w:sz w:val="20"/>
                <w:szCs w:val="20"/>
              </w:rPr>
            </w:pPr>
            <w:proofErr w:type="spellStart"/>
            <w:r w:rsidRPr="00FA288E">
              <w:rPr>
                <w:rFonts w:eastAsia="Calibri" w:cs="Calibri"/>
                <w:sz w:val="20"/>
                <w:szCs w:val="20"/>
              </w:rPr>
              <w:t>Abt</w:t>
            </w:r>
            <w:proofErr w:type="spellEnd"/>
            <w:r w:rsidRPr="00FA288E">
              <w:rPr>
                <w:rFonts w:eastAsia="Calibri" w:cs="Calibri"/>
                <w:sz w:val="20"/>
                <w:szCs w:val="20"/>
              </w:rPr>
              <w:t xml:space="preserve"> – managing contractor / PPF Secretariat</w:t>
            </w:r>
          </w:p>
        </w:tc>
        <w:tc>
          <w:tcPr>
            <w:tcW w:w="2032" w:type="dxa"/>
          </w:tcPr>
          <w:p w14:paraId="6263F768" w14:textId="77777777" w:rsidR="000B0717" w:rsidRPr="00FA288E" w:rsidRDefault="000B0717"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Darian Clark</w:t>
            </w:r>
          </w:p>
        </w:tc>
        <w:tc>
          <w:tcPr>
            <w:tcW w:w="5572" w:type="dxa"/>
          </w:tcPr>
          <w:p w14:paraId="30174E83" w14:textId="77777777" w:rsidR="000B0717" w:rsidRPr="00FA288E" w:rsidRDefault="000B0717"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Program Manager, PPF Secretariat</w:t>
            </w:r>
          </w:p>
        </w:tc>
      </w:tr>
      <w:tr w:rsidR="000B0717" w:rsidRPr="00FA288E" w14:paraId="34873E43"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6FDD8857" w14:textId="77777777" w:rsidR="000B0717" w:rsidRPr="00FA288E" w:rsidRDefault="000B0717" w:rsidP="006464C1">
            <w:pPr>
              <w:spacing w:after="120"/>
              <w:rPr>
                <w:rFonts w:eastAsia="Calibri" w:cs="Calibri"/>
                <w:sz w:val="20"/>
                <w:szCs w:val="20"/>
              </w:rPr>
            </w:pPr>
          </w:p>
        </w:tc>
        <w:tc>
          <w:tcPr>
            <w:tcW w:w="2032" w:type="dxa"/>
          </w:tcPr>
          <w:p w14:paraId="20C459D5" w14:textId="77777777" w:rsidR="000B0717" w:rsidRPr="00FA288E" w:rsidRDefault="000B0717"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Shedrick</w:t>
            </w:r>
            <w:proofErr w:type="spellEnd"/>
            <w:r w:rsidRPr="00FA288E">
              <w:rPr>
                <w:rFonts w:eastAsia="Calibri" w:cs="Calibri"/>
                <w:sz w:val="20"/>
                <w:szCs w:val="20"/>
              </w:rPr>
              <w:t xml:space="preserve"> </w:t>
            </w:r>
            <w:proofErr w:type="spellStart"/>
            <w:r w:rsidRPr="00FA288E">
              <w:rPr>
                <w:rFonts w:eastAsia="Calibri" w:cs="Calibri"/>
                <w:sz w:val="20"/>
                <w:szCs w:val="20"/>
              </w:rPr>
              <w:t>Singip</w:t>
            </w:r>
            <w:proofErr w:type="spellEnd"/>
          </w:p>
        </w:tc>
        <w:tc>
          <w:tcPr>
            <w:tcW w:w="5572" w:type="dxa"/>
          </w:tcPr>
          <w:p w14:paraId="27B70D55" w14:textId="77777777" w:rsidR="000B0717" w:rsidRPr="00FA288E" w:rsidRDefault="000B0717"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M&amp;E Coordinator, PPF Secretariat </w:t>
            </w:r>
          </w:p>
        </w:tc>
      </w:tr>
      <w:tr w:rsidR="000B0717" w:rsidRPr="00FA288E" w14:paraId="7E7B66F0" w14:textId="77777777" w:rsidTr="001D72A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38" w:type="dxa"/>
          </w:tcPr>
          <w:p w14:paraId="436C55A6" w14:textId="77777777" w:rsidR="000B0717" w:rsidRPr="00FA288E" w:rsidRDefault="000B0717" w:rsidP="006464C1">
            <w:pPr>
              <w:spacing w:after="120"/>
              <w:rPr>
                <w:rFonts w:eastAsia="Calibri" w:cs="Calibri"/>
                <w:sz w:val="20"/>
                <w:szCs w:val="20"/>
              </w:rPr>
            </w:pPr>
          </w:p>
        </w:tc>
        <w:tc>
          <w:tcPr>
            <w:tcW w:w="2032" w:type="dxa"/>
          </w:tcPr>
          <w:p w14:paraId="2E1E9BD2" w14:textId="77777777" w:rsidR="000B0717" w:rsidRPr="00FA288E" w:rsidRDefault="000B0717"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Catherine Johnston</w:t>
            </w:r>
          </w:p>
        </w:tc>
        <w:tc>
          <w:tcPr>
            <w:tcW w:w="5572" w:type="dxa"/>
          </w:tcPr>
          <w:p w14:paraId="674C8AF2" w14:textId="77777777" w:rsidR="000B0717" w:rsidRPr="00FA288E" w:rsidRDefault="000B0717"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Education Specialist, PPF Secretariat</w:t>
            </w:r>
          </w:p>
        </w:tc>
      </w:tr>
      <w:tr w:rsidR="003E1E3E" w:rsidRPr="00FA288E" w14:paraId="63186A23"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5F28FD25" w14:textId="77777777" w:rsidR="003E1E3E" w:rsidRPr="00FA288E" w:rsidRDefault="003E1E3E" w:rsidP="006464C1">
            <w:pPr>
              <w:spacing w:after="120"/>
              <w:rPr>
                <w:rFonts w:eastAsia="Calibri" w:cs="Calibri"/>
                <w:sz w:val="20"/>
                <w:szCs w:val="20"/>
              </w:rPr>
            </w:pPr>
            <w:r w:rsidRPr="00FA288E">
              <w:rPr>
                <w:rFonts w:eastAsia="Calibri" w:cs="Calibri"/>
                <w:sz w:val="20"/>
                <w:szCs w:val="20"/>
              </w:rPr>
              <w:t>T4E Lead and Consortium Members</w:t>
            </w:r>
          </w:p>
        </w:tc>
        <w:tc>
          <w:tcPr>
            <w:tcW w:w="2032" w:type="dxa"/>
          </w:tcPr>
          <w:p w14:paraId="42846D4D"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Imelda </w:t>
            </w:r>
            <w:proofErr w:type="spellStart"/>
            <w:r w:rsidRPr="00FA288E">
              <w:rPr>
                <w:rFonts w:eastAsia="Calibri" w:cs="Calibri"/>
                <w:sz w:val="20"/>
                <w:szCs w:val="20"/>
              </w:rPr>
              <w:t>Ochavillo</w:t>
            </w:r>
            <w:proofErr w:type="spellEnd"/>
          </w:p>
        </w:tc>
        <w:tc>
          <w:tcPr>
            <w:tcW w:w="5572" w:type="dxa"/>
          </w:tcPr>
          <w:p w14:paraId="6D61FC49" w14:textId="20C47E7F"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World Vision, Program Director</w:t>
            </w:r>
          </w:p>
        </w:tc>
      </w:tr>
      <w:tr w:rsidR="003E1E3E" w:rsidRPr="00FA288E" w14:paraId="449C3D6D"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3AACB707" w14:textId="77777777" w:rsidR="003E1E3E" w:rsidRPr="00FA288E" w:rsidRDefault="003E1E3E" w:rsidP="006464C1">
            <w:pPr>
              <w:spacing w:after="120"/>
              <w:rPr>
                <w:rFonts w:eastAsia="Calibri" w:cs="Calibri"/>
                <w:sz w:val="20"/>
                <w:szCs w:val="20"/>
              </w:rPr>
            </w:pPr>
          </w:p>
        </w:tc>
        <w:tc>
          <w:tcPr>
            <w:tcW w:w="2032" w:type="dxa"/>
          </w:tcPr>
          <w:p w14:paraId="0EF65A1E"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Tyson </w:t>
            </w:r>
            <w:proofErr w:type="spellStart"/>
            <w:r w:rsidRPr="00FA288E">
              <w:rPr>
                <w:rFonts w:eastAsia="Calibri" w:cs="Calibri"/>
                <w:sz w:val="20"/>
                <w:szCs w:val="20"/>
              </w:rPr>
              <w:t>Malken</w:t>
            </w:r>
            <w:proofErr w:type="spellEnd"/>
          </w:p>
        </w:tc>
        <w:tc>
          <w:tcPr>
            <w:tcW w:w="5572" w:type="dxa"/>
          </w:tcPr>
          <w:p w14:paraId="1BEBEAD2"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M&amp;E coordinator, World Vision</w:t>
            </w:r>
          </w:p>
        </w:tc>
      </w:tr>
      <w:tr w:rsidR="003E1E3E" w:rsidRPr="00FA288E" w14:paraId="5E0F5BD6"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38ED4ED9" w14:textId="77777777" w:rsidR="003E1E3E" w:rsidRPr="00FA288E" w:rsidRDefault="003E1E3E" w:rsidP="006464C1">
            <w:pPr>
              <w:spacing w:after="120"/>
              <w:rPr>
                <w:rFonts w:eastAsia="Calibri" w:cs="Calibri"/>
                <w:sz w:val="20"/>
                <w:szCs w:val="20"/>
              </w:rPr>
            </w:pPr>
          </w:p>
        </w:tc>
        <w:tc>
          <w:tcPr>
            <w:tcW w:w="2032" w:type="dxa"/>
          </w:tcPr>
          <w:p w14:paraId="02F6A2EB"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Anisha </w:t>
            </w:r>
            <w:proofErr w:type="spellStart"/>
            <w:r w:rsidRPr="00FA288E">
              <w:rPr>
                <w:rFonts w:eastAsia="Calibri" w:cs="Calibri"/>
                <w:sz w:val="20"/>
                <w:szCs w:val="20"/>
              </w:rPr>
              <w:t>Namete</w:t>
            </w:r>
            <w:proofErr w:type="spellEnd"/>
          </w:p>
        </w:tc>
        <w:tc>
          <w:tcPr>
            <w:tcW w:w="5572" w:type="dxa"/>
          </w:tcPr>
          <w:p w14:paraId="4AD4BACE"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Social Behaviour Change Communication Specialist, World Vision</w:t>
            </w:r>
          </w:p>
        </w:tc>
      </w:tr>
      <w:tr w:rsidR="003E1E3E" w:rsidRPr="00FA288E" w14:paraId="5860B6AF"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0E42F9E9" w14:textId="77777777" w:rsidR="003E1E3E" w:rsidRPr="00FA288E" w:rsidRDefault="003E1E3E" w:rsidP="006464C1">
            <w:pPr>
              <w:spacing w:after="120"/>
              <w:rPr>
                <w:rFonts w:eastAsia="Calibri" w:cs="Calibri"/>
                <w:sz w:val="20"/>
                <w:szCs w:val="20"/>
              </w:rPr>
            </w:pPr>
          </w:p>
        </w:tc>
        <w:tc>
          <w:tcPr>
            <w:tcW w:w="2032" w:type="dxa"/>
          </w:tcPr>
          <w:p w14:paraId="3A7A18F7"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1 man</w:t>
            </w:r>
          </w:p>
        </w:tc>
        <w:tc>
          <w:tcPr>
            <w:tcW w:w="5572" w:type="dxa"/>
          </w:tcPr>
          <w:p w14:paraId="791C93D8"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Reading Club Volunteer, </w:t>
            </w:r>
            <w:proofErr w:type="spellStart"/>
            <w:r w:rsidRPr="00FA288E">
              <w:rPr>
                <w:rFonts w:eastAsia="Calibri" w:cs="Calibri"/>
                <w:sz w:val="20"/>
                <w:szCs w:val="20"/>
              </w:rPr>
              <w:t>Gabagaba</w:t>
            </w:r>
            <w:proofErr w:type="spellEnd"/>
            <w:r w:rsidRPr="00FA288E">
              <w:rPr>
                <w:rFonts w:eastAsia="Calibri" w:cs="Calibri"/>
                <w:sz w:val="20"/>
                <w:szCs w:val="20"/>
              </w:rPr>
              <w:t xml:space="preserve"> Elementary School</w:t>
            </w:r>
          </w:p>
        </w:tc>
      </w:tr>
      <w:tr w:rsidR="003E1E3E" w:rsidRPr="00FA288E" w14:paraId="3801F286"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114D4319" w14:textId="77777777" w:rsidR="003E1E3E" w:rsidRPr="00FA288E" w:rsidRDefault="003E1E3E" w:rsidP="006464C1">
            <w:pPr>
              <w:spacing w:after="120"/>
              <w:rPr>
                <w:rFonts w:eastAsia="Calibri" w:cs="Calibri"/>
                <w:sz w:val="20"/>
                <w:szCs w:val="20"/>
              </w:rPr>
            </w:pPr>
          </w:p>
        </w:tc>
        <w:tc>
          <w:tcPr>
            <w:tcW w:w="2032" w:type="dxa"/>
          </w:tcPr>
          <w:p w14:paraId="5C13E2A8"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Rebecca McDonald</w:t>
            </w:r>
          </w:p>
        </w:tc>
        <w:tc>
          <w:tcPr>
            <w:tcW w:w="5572" w:type="dxa"/>
          </w:tcPr>
          <w:p w14:paraId="01EB394D"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Director, Library for all</w:t>
            </w:r>
          </w:p>
        </w:tc>
      </w:tr>
      <w:tr w:rsidR="003E1E3E" w:rsidRPr="00FA288E" w14:paraId="37695763"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3DC1D753" w14:textId="77777777" w:rsidR="003E1E3E" w:rsidRPr="00FA288E" w:rsidRDefault="003E1E3E" w:rsidP="006464C1">
            <w:pPr>
              <w:spacing w:after="120"/>
              <w:rPr>
                <w:rFonts w:eastAsia="Calibri" w:cs="Calibri"/>
                <w:sz w:val="20"/>
                <w:szCs w:val="20"/>
              </w:rPr>
            </w:pPr>
          </w:p>
        </w:tc>
        <w:tc>
          <w:tcPr>
            <w:tcW w:w="2032" w:type="dxa"/>
          </w:tcPr>
          <w:p w14:paraId="506E510F"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Ellisha</w:t>
            </w:r>
            <w:proofErr w:type="spellEnd"/>
            <w:r w:rsidRPr="00FA288E">
              <w:rPr>
                <w:rFonts w:eastAsia="Calibri" w:cs="Calibri"/>
                <w:sz w:val="20"/>
                <w:szCs w:val="20"/>
              </w:rPr>
              <w:t xml:space="preserve"> Heppner</w:t>
            </w:r>
          </w:p>
        </w:tc>
        <w:tc>
          <w:tcPr>
            <w:tcW w:w="5572" w:type="dxa"/>
          </w:tcPr>
          <w:p w14:paraId="33289859"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Library for all</w:t>
            </w:r>
          </w:p>
        </w:tc>
      </w:tr>
      <w:tr w:rsidR="003E1E3E" w:rsidRPr="00FA288E" w14:paraId="350F9BF7"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5F4A4EA0" w14:textId="77777777" w:rsidR="003E1E3E" w:rsidRPr="00FA288E" w:rsidRDefault="003E1E3E" w:rsidP="006464C1">
            <w:pPr>
              <w:spacing w:after="120"/>
              <w:rPr>
                <w:rFonts w:eastAsia="Calibri" w:cs="Calibri"/>
                <w:sz w:val="20"/>
                <w:szCs w:val="20"/>
              </w:rPr>
            </w:pPr>
          </w:p>
        </w:tc>
        <w:tc>
          <w:tcPr>
            <w:tcW w:w="2032" w:type="dxa"/>
          </w:tcPr>
          <w:p w14:paraId="40B72BEA"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Gretel Matawan</w:t>
            </w:r>
          </w:p>
        </w:tc>
        <w:tc>
          <w:tcPr>
            <w:tcW w:w="5572" w:type="dxa"/>
          </w:tcPr>
          <w:p w14:paraId="4E1C770A"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Country Program Coordinator, Library for all </w:t>
            </w:r>
          </w:p>
        </w:tc>
      </w:tr>
      <w:tr w:rsidR="003E1E3E" w:rsidRPr="00FA288E" w14:paraId="713D5561"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32DF2AB3" w14:textId="77777777" w:rsidR="003E1E3E" w:rsidRPr="00FA288E" w:rsidRDefault="003E1E3E" w:rsidP="006464C1">
            <w:pPr>
              <w:spacing w:after="120"/>
              <w:rPr>
                <w:rFonts w:eastAsia="Calibri" w:cs="Calibri"/>
                <w:sz w:val="20"/>
                <w:szCs w:val="20"/>
              </w:rPr>
            </w:pPr>
          </w:p>
        </w:tc>
        <w:tc>
          <w:tcPr>
            <w:tcW w:w="2032" w:type="dxa"/>
          </w:tcPr>
          <w:p w14:paraId="3675D1F2"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Richard Greeves</w:t>
            </w:r>
          </w:p>
        </w:tc>
        <w:tc>
          <w:tcPr>
            <w:tcW w:w="5572" w:type="dxa"/>
          </w:tcPr>
          <w:p w14:paraId="6103FE3D"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Education Adviser, Child Fund</w:t>
            </w:r>
          </w:p>
        </w:tc>
      </w:tr>
      <w:tr w:rsidR="003E1E3E" w:rsidRPr="00FA288E" w14:paraId="1804D417"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590167AB" w14:textId="77777777" w:rsidR="003E1E3E" w:rsidRPr="00FA288E" w:rsidRDefault="003E1E3E" w:rsidP="006464C1">
            <w:pPr>
              <w:spacing w:after="120"/>
              <w:rPr>
                <w:rFonts w:eastAsia="Calibri" w:cs="Calibri"/>
                <w:sz w:val="20"/>
                <w:szCs w:val="20"/>
              </w:rPr>
            </w:pPr>
          </w:p>
        </w:tc>
        <w:tc>
          <w:tcPr>
            <w:tcW w:w="2032" w:type="dxa"/>
          </w:tcPr>
          <w:p w14:paraId="25F2E7A9"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Bridgit Thorold</w:t>
            </w:r>
          </w:p>
        </w:tc>
        <w:tc>
          <w:tcPr>
            <w:tcW w:w="5572" w:type="dxa"/>
          </w:tcPr>
          <w:p w14:paraId="72ADFE61"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Director, Child Fund </w:t>
            </w:r>
          </w:p>
        </w:tc>
      </w:tr>
      <w:tr w:rsidR="003E1E3E" w:rsidRPr="00FA288E" w14:paraId="08989A1C"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0C492BC8" w14:textId="77777777" w:rsidR="003E1E3E" w:rsidRPr="00FA288E" w:rsidRDefault="003E1E3E" w:rsidP="006464C1">
            <w:pPr>
              <w:spacing w:after="120"/>
              <w:rPr>
                <w:rFonts w:eastAsia="Calibri" w:cs="Calibri"/>
                <w:sz w:val="20"/>
                <w:szCs w:val="20"/>
              </w:rPr>
            </w:pPr>
          </w:p>
        </w:tc>
        <w:tc>
          <w:tcPr>
            <w:tcW w:w="2032" w:type="dxa"/>
          </w:tcPr>
          <w:p w14:paraId="6E215EB0"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Ebony Holland</w:t>
            </w:r>
          </w:p>
        </w:tc>
        <w:tc>
          <w:tcPr>
            <w:tcW w:w="5572" w:type="dxa"/>
          </w:tcPr>
          <w:p w14:paraId="113A6746"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Education Team Leader, Child Fund</w:t>
            </w:r>
          </w:p>
        </w:tc>
      </w:tr>
      <w:tr w:rsidR="003E1E3E" w:rsidRPr="00FA288E" w14:paraId="1D91BE40"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615CE80E" w14:textId="77777777" w:rsidR="003E1E3E" w:rsidRPr="00FA288E" w:rsidRDefault="003E1E3E" w:rsidP="006464C1">
            <w:pPr>
              <w:spacing w:after="120"/>
              <w:rPr>
                <w:rFonts w:eastAsia="Calibri" w:cs="Calibri"/>
                <w:sz w:val="20"/>
                <w:szCs w:val="20"/>
              </w:rPr>
            </w:pPr>
          </w:p>
        </w:tc>
        <w:tc>
          <w:tcPr>
            <w:tcW w:w="2032" w:type="dxa"/>
          </w:tcPr>
          <w:p w14:paraId="443F50A7"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Dulcie </w:t>
            </w:r>
            <w:proofErr w:type="spellStart"/>
            <w:r w:rsidRPr="00FA288E">
              <w:rPr>
                <w:rFonts w:eastAsia="Calibri" w:cs="Calibri"/>
                <w:sz w:val="20"/>
                <w:szCs w:val="20"/>
              </w:rPr>
              <w:t>Wefin</w:t>
            </w:r>
            <w:proofErr w:type="spellEnd"/>
          </w:p>
        </w:tc>
        <w:tc>
          <w:tcPr>
            <w:tcW w:w="5572" w:type="dxa"/>
          </w:tcPr>
          <w:p w14:paraId="4C060244"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Rigo</w:t>
            </w:r>
            <w:proofErr w:type="spellEnd"/>
            <w:r w:rsidRPr="00FA288E">
              <w:rPr>
                <w:rFonts w:eastAsia="Calibri" w:cs="Calibri"/>
                <w:sz w:val="20"/>
                <w:szCs w:val="20"/>
              </w:rPr>
              <w:t xml:space="preserve"> District Coordinator, Child Fund</w:t>
            </w:r>
          </w:p>
        </w:tc>
      </w:tr>
      <w:tr w:rsidR="003E1E3E" w:rsidRPr="00FA288E" w14:paraId="1C85E60E"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7B3C6507" w14:textId="77777777" w:rsidR="003E1E3E" w:rsidRPr="00FA288E" w:rsidRDefault="003E1E3E" w:rsidP="006464C1">
            <w:pPr>
              <w:spacing w:after="120"/>
              <w:rPr>
                <w:rFonts w:eastAsia="Calibri" w:cs="Calibri"/>
                <w:sz w:val="20"/>
                <w:szCs w:val="20"/>
              </w:rPr>
            </w:pPr>
          </w:p>
        </w:tc>
        <w:tc>
          <w:tcPr>
            <w:tcW w:w="2032" w:type="dxa"/>
          </w:tcPr>
          <w:p w14:paraId="56FCBE32"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iCs/>
                <w:sz w:val="20"/>
                <w:szCs w:val="20"/>
              </w:rPr>
              <w:t xml:space="preserve">Pricilla </w:t>
            </w:r>
            <w:proofErr w:type="spellStart"/>
            <w:r w:rsidRPr="00FA288E">
              <w:rPr>
                <w:rFonts w:eastAsia="Calibri" w:cs="Calibri"/>
                <w:iCs/>
                <w:sz w:val="20"/>
                <w:szCs w:val="20"/>
              </w:rPr>
              <w:t>Pyakalua</w:t>
            </w:r>
            <w:proofErr w:type="spellEnd"/>
          </w:p>
        </w:tc>
        <w:tc>
          <w:tcPr>
            <w:tcW w:w="5572" w:type="dxa"/>
          </w:tcPr>
          <w:p w14:paraId="3919595C"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roofErr w:type="spellStart"/>
            <w:r w:rsidRPr="00FA288E">
              <w:rPr>
                <w:rFonts w:eastAsia="Calibri" w:cs="Calibri"/>
                <w:iCs/>
                <w:sz w:val="20"/>
                <w:szCs w:val="20"/>
              </w:rPr>
              <w:t>Kairuku</w:t>
            </w:r>
            <w:proofErr w:type="spellEnd"/>
            <w:r w:rsidRPr="00FA288E">
              <w:rPr>
                <w:rFonts w:eastAsia="Calibri" w:cs="Calibri"/>
                <w:iCs/>
                <w:sz w:val="20"/>
                <w:szCs w:val="20"/>
              </w:rPr>
              <w:t xml:space="preserve"> District Coordinator, </w:t>
            </w:r>
            <w:r w:rsidRPr="00FA288E">
              <w:rPr>
                <w:rFonts w:eastAsia="Calibri" w:cs="Calibri"/>
                <w:sz w:val="20"/>
                <w:szCs w:val="20"/>
              </w:rPr>
              <w:t>Child Fund</w:t>
            </w:r>
          </w:p>
        </w:tc>
      </w:tr>
      <w:tr w:rsidR="003E1E3E" w:rsidRPr="00FA288E" w14:paraId="77CA83CE"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57D77370" w14:textId="77777777" w:rsidR="003E1E3E" w:rsidRPr="00FA288E" w:rsidRDefault="003E1E3E" w:rsidP="006464C1">
            <w:pPr>
              <w:spacing w:after="120"/>
              <w:rPr>
                <w:rFonts w:eastAsia="Calibri" w:cs="Calibri"/>
                <w:sz w:val="20"/>
                <w:szCs w:val="20"/>
              </w:rPr>
            </w:pPr>
          </w:p>
        </w:tc>
        <w:tc>
          <w:tcPr>
            <w:tcW w:w="2032" w:type="dxa"/>
          </w:tcPr>
          <w:p w14:paraId="7F746D0B"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iCs/>
                <w:sz w:val="20"/>
                <w:szCs w:val="20"/>
              </w:rPr>
              <w:t xml:space="preserve">Bruce </w:t>
            </w:r>
            <w:proofErr w:type="spellStart"/>
            <w:r w:rsidRPr="00FA288E">
              <w:rPr>
                <w:rFonts w:eastAsia="Calibri" w:cs="Calibri"/>
                <w:iCs/>
                <w:sz w:val="20"/>
                <w:szCs w:val="20"/>
              </w:rPr>
              <w:t>Sagata</w:t>
            </w:r>
            <w:proofErr w:type="spellEnd"/>
          </w:p>
        </w:tc>
        <w:tc>
          <w:tcPr>
            <w:tcW w:w="5572" w:type="dxa"/>
          </w:tcPr>
          <w:p w14:paraId="30884BA3"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iCs/>
                <w:sz w:val="20"/>
                <w:szCs w:val="20"/>
              </w:rPr>
            </w:pPr>
            <w:r w:rsidRPr="00FA288E">
              <w:rPr>
                <w:rFonts w:eastAsia="Calibri" w:cs="Calibri"/>
                <w:iCs/>
                <w:sz w:val="20"/>
                <w:szCs w:val="20"/>
              </w:rPr>
              <w:t xml:space="preserve">Project Officer, </w:t>
            </w:r>
            <w:r w:rsidRPr="00FA288E">
              <w:rPr>
                <w:rFonts w:eastAsia="Calibri" w:cs="Calibri"/>
                <w:sz w:val="20"/>
                <w:szCs w:val="20"/>
              </w:rPr>
              <w:t>Child Fund</w:t>
            </w:r>
          </w:p>
        </w:tc>
      </w:tr>
      <w:tr w:rsidR="003E1E3E" w:rsidRPr="00FA288E" w14:paraId="3A82250F"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2F2F5CA4" w14:textId="77777777" w:rsidR="003E1E3E" w:rsidRPr="00FA288E" w:rsidRDefault="003E1E3E" w:rsidP="006464C1">
            <w:pPr>
              <w:spacing w:after="120"/>
              <w:rPr>
                <w:rFonts w:eastAsia="Calibri" w:cs="Calibri"/>
                <w:sz w:val="20"/>
                <w:szCs w:val="20"/>
              </w:rPr>
            </w:pPr>
          </w:p>
        </w:tc>
        <w:tc>
          <w:tcPr>
            <w:tcW w:w="2032" w:type="dxa"/>
          </w:tcPr>
          <w:p w14:paraId="4701BB25"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iCs/>
                <w:sz w:val="20"/>
                <w:szCs w:val="20"/>
              </w:rPr>
              <w:t xml:space="preserve">Elizabeth </w:t>
            </w:r>
            <w:proofErr w:type="spellStart"/>
            <w:r w:rsidRPr="00FA288E">
              <w:rPr>
                <w:rFonts w:eastAsia="Calibri" w:cs="Calibri"/>
                <w:iCs/>
                <w:sz w:val="20"/>
                <w:szCs w:val="20"/>
              </w:rPr>
              <w:t>Wunatoro</w:t>
            </w:r>
            <w:proofErr w:type="spellEnd"/>
          </w:p>
        </w:tc>
        <w:tc>
          <w:tcPr>
            <w:tcW w:w="5572" w:type="dxa"/>
          </w:tcPr>
          <w:p w14:paraId="287563CB"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iCs/>
                <w:sz w:val="20"/>
                <w:szCs w:val="20"/>
              </w:rPr>
              <w:t xml:space="preserve">Teacher Trainer, </w:t>
            </w:r>
            <w:r w:rsidRPr="00FA288E">
              <w:rPr>
                <w:rFonts w:eastAsia="Calibri" w:cs="Calibri"/>
                <w:sz w:val="20"/>
                <w:szCs w:val="20"/>
              </w:rPr>
              <w:t>Child Fund</w:t>
            </w:r>
          </w:p>
        </w:tc>
      </w:tr>
      <w:tr w:rsidR="003E1E3E" w:rsidRPr="00FA288E" w14:paraId="177FF54C"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2DD480C6" w14:textId="77777777" w:rsidR="003E1E3E" w:rsidRPr="00FA288E" w:rsidRDefault="003E1E3E" w:rsidP="006464C1">
            <w:pPr>
              <w:spacing w:after="120"/>
              <w:rPr>
                <w:rFonts w:eastAsia="Calibri" w:cs="Calibri"/>
                <w:sz w:val="20"/>
                <w:szCs w:val="20"/>
              </w:rPr>
            </w:pPr>
          </w:p>
        </w:tc>
        <w:tc>
          <w:tcPr>
            <w:tcW w:w="2032" w:type="dxa"/>
          </w:tcPr>
          <w:p w14:paraId="4C5CFAFB"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iCs/>
                <w:sz w:val="20"/>
                <w:szCs w:val="20"/>
              </w:rPr>
              <w:t xml:space="preserve">Celine </w:t>
            </w:r>
            <w:proofErr w:type="spellStart"/>
            <w:r w:rsidRPr="00FA288E">
              <w:rPr>
                <w:rFonts w:eastAsia="Calibri" w:cs="Calibri"/>
                <w:iCs/>
                <w:sz w:val="20"/>
                <w:szCs w:val="20"/>
              </w:rPr>
              <w:t>Vavana</w:t>
            </w:r>
            <w:proofErr w:type="spellEnd"/>
          </w:p>
        </w:tc>
        <w:tc>
          <w:tcPr>
            <w:tcW w:w="5572" w:type="dxa"/>
          </w:tcPr>
          <w:p w14:paraId="26153ADD"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iCs/>
                <w:sz w:val="20"/>
                <w:szCs w:val="20"/>
              </w:rPr>
              <w:t xml:space="preserve">Teacher Trainer, </w:t>
            </w:r>
            <w:r w:rsidRPr="00FA288E">
              <w:rPr>
                <w:rFonts w:eastAsia="Calibri" w:cs="Calibri"/>
                <w:sz w:val="20"/>
                <w:szCs w:val="20"/>
              </w:rPr>
              <w:t>Child Fund</w:t>
            </w:r>
          </w:p>
        </w:tc>
      </w:tr>
      <w:tr w:rsidR="003E1E3E" w:rsidRPr="00FA288E" w14:paraId="7545923D"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22F22340" w14:textId="77777777" w:rsidR="003E1E3E" w:rsidRPr="00FA288E" w:rsidRDefault="003E1E3E" w:rsidP="006464C1">
            <w:pPr>
              <w:spacing w:after="120"/>
              <w:rPr>
                <w:rFonts w:eastAsia="Calibri" w:cs="Calibri"/>
                <w:sz w:val="20"/>
                <w:szCs w:val="20"/>
              </w:rPr>
            </w:pPr>
          </w:p>
        </w:tc>
        <w:tc>
          <w:tcPr>
            <w:tcW w:w="2032" w:type="dxa"/>
          </w:tcPr>
          <w:p w14:paraId="3E3F2265"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iCs/>
                <w:sz w:val="20"/>
                <w:szCs w:val="20"/>
              </w:rPr>
              <w:t xml:space="preserve">Esther </w:t>
            </w:r>
            <w:proofErr w:type="spellStart"/>
            <w:r w:rsidRPr="00FA288E">
              <w:rPr>
                <w:rFonts w:eastAsia="Calibri" w:cs="Calibri"/>
                <w:iCs/>
                <w:sz w:val="20"/>
                <w:szCs w:val="20"/>
              </w:rPr>
              <w:t>Yambuki</w:t>
            </w:r>
            <w:proofErr w:type="spellEnd"/>
          </w:p>
        </w:tc>
        <w:tc>
          <w:tcPr>
            <w:tcW w:w="5572" w:type="dxa"/>
          </w:tcPr>
          <w:p w14:paraId="171755DC"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iCs/>
                <w:sz w:val="20"/>
                <w:szCs w:val="20"/>
              </w:rPr>
              <w:t xml:space="preserve">Teacher Trainer, </w:t>
            </w:r>
            <w:r w:rsidRPr="00FA288E">
              <w:rPr>
                <w:rFonts w:eastAsia="Calibri" w:cs="Calibri"/>
                <w:sz w:val="20"/>
                <w:szCs w:val="20"/>
              </w:rPr>
              <w:t>Child Fund</w:t>
            </w:r>
          </w:p>
        </w:tc>
      </w:tr>
      <w:tr w:rsidR="003E1E3E" w:rsidRPr="00FA288E" w14:paraId="2E5A96C1"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09082CA5" w14:textId="77777777" w:rsidR="003E1E3E" w:rsidRPr="00FA288E" w:rsidRDefault="003E1E3E" w:rsidP="006464C1">
            <w:pPr>
              <w:spacing w:after="120"/>
              <w:rPr>
                <w:rFonts w:eastAsia="Calibri" w:cs="Calibri"/>
                <w:sz w:val="20"/>
                <w:szCs w:val="20"/>
              </w:rPr>
            </w:pPr>
          </w:p>
        </w:tc>
        <w:tc>
          <w:tcPr>
            <w:tcW w:w="2032" w:type="dxa"/>
          </w:tcPr>
          <w:p w14:paraId="19A55A6F"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iCs/>
                <w:sz w:val="20"/>
                <w:szCs w:val="20"/>
              </w:rPr>
              <w:t xml:space="preserve">Valentine </w:t>
            </w:r>
            <w:proofErr w:type="spellStart"/>
            <w:r w:rsidRPr="00FA288E">
              <w:rPr>
                <w:rFonts w:eastAsia="Calibri" w:cs="Calibri"/>
                <w:iCs/>
                <w:sz w:val="20"/>
                <w:szCs w:val="20"/>
              </w:rPr>
              <w:t>Gelah</w:t>
            </w:r>
            <w:proofErr w:type="spellEnd"/>
          </w:p>
        </w:tc>
        <w:tc>
          <w:tcPr>
            <w:tcW w:w="5572" w:type="dxa"/>
          </w:tcPr>
          <w:p w14:paraId="778B1968"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iCs/>
                <w:sz w:val="20"/>
                <w:szCs w:val="20"/>
              </w:rPr>
              <w:t xml:space="preserve">Teacher Trainer, </w:t>
            </w:r>
            <w:r w:rsidRPr="00FA288E">
              <w:rPr>
                <w:rFonts w:eastAsia="Calibri" w:cs="Calibri"/>
                <w:sz w:val="20"/>
                <w:szCs w:val="20"/>
              </w:rPr>
              <w:t>Child Fund</w:t>
            </w:r>
          </w:p>
        </w:tc>
      </w:tr>
      <w:tr w:rsidR="003E1E3E" w:rsidRPr="00FA288E" w14:paraId="764E7501"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64563A36" w14:textId="77777777" w:rsidR="003E1E3E" w:rsidRPr="00FA288E" w:rsidRDefault="003E1E3E" w:rsidP="006464C1">
            <w:pPr>
              <w:spacing w:after="120"/>
              <w:rPr>
                <w:rFonts w:eastAsia="Calibri" w:cs="Calibri"/>
                <w:sz w:val="20"/>
                <w:szCs w:val="20"/>
              </w:rPr>
            </w:pPr>
          </w:p>
        </w:tc>
        <w:tc>
          <w:tcPr>
            <w:tcW w:w="2032" w:type="dxa"/>
          </w:tcPr>
          <w:p w14:paraId="5B040A20"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Helen </w:t>
            </w:r>
            <w:proofErr w:type="spellStart"/>
            <w:r w:rsidRPr="00FA288E">
              <w:rPr>
                <w:rFonts w:eastAsia="Calibri" w:cs="Calibri"/>
                <w:sz w:val="20"/>
                <w:szCs w:val="20"/>
              </w:rPr>
              <w:t>Haro</w:t>
            </w:r>
            <w:proofErr w:type="spellEnd"/>
          </w:p>
        </w:tc>
        <w:tc>
          <w:tcPr>
            <w:tcW w:w="5572" w:type="dxa"/>
          </w:tcPr>
          <w:p w14:paraId="450545AA"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iCs/>
                <w:sz w:val="20"/>
                <w:szCs w:val="20"/>
              </w:rPr>
              <w:t xml:space="preserve">Training Quality Coordinator, </w:t>
            </w:r>
            <w:r w:rsidRPr="00FA288E">
              <w:rPr>
                <w:rFonts w:eastAsia="Calibri" w:cs="Calibri"/>
                <w:sz w:val="20"/>
                <w:szCs w:val="20"/>
              </w:rPr>
              <w:t>Child Fund</w:t>
            </w:r>
          </w:p>
        </w:tc>
      </w:tr>
      <w:tr w:rsidR="003E1E3E" w:rsidRPr="00FA288E" w14:paraId="124CA650"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3AEB96EF" w14:textId="77777777" w:rsidR="003E1E3E" w:rsidRPr="00FA288E" w:rsidRDefault="003E1E3E" w:rsidP="006464C1">
            <w:pPr>
              <w:spacing w:after="120"/>
              <w:rPr>
                <w:rFonts w:eastAsia="Calibri" w:cs="Calibri"/>
                <w:sz w:val="20"/>
                <w:szCs w:val="20"/>
              </w:rPr>
            </w:pPr>
          </w:p>
        </w:tc>
        <w:tc>
          <w:tcPr>
            <w:tcW w:w="2032" w:type="dxa"/>
          </w:tcPr>
          <w:p w14:paraId="7B0A1421"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Hercules Jim</w:t>
            </w:r>
          </w:p>
        </w:tc>
        <w:tc>
          <w:tcPr>
            <w:tcW w:w="5572" w:type="dxa"/>
          </w:tcPr>
          <w:p w14:paraId="4CB336DD"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Project Coordination Officer, Consultative Implementation and Monitoring Council</w:t>
            </w:r>
          </w:p>
        </w:tc>
      </w:tr>
      <w:tr w:rsidR="003E1E3E" w:rsidRPr="00FA288E" w14:paraId="2F4991A0"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4CE97638" w14:textId="77777777" w:rsidR="003E1E3E" w:rsidRPr="00FA288E" w:rsidRDefault="003E1E3E" w:rsidP="006464C1">
            <w:pPr>
              <w:spacing w:after="120"/>
              <w:rPr>
                <w:rFonts w:eastAsia="Calibri" w:cs="Calibri"/>
                <w:sz w:val="20"/>
                <w:szCs w:val="20"/>
              </w:rPr>
            </w:pPr>
            <w:r w:rsidRPr="00FA288E">
              <w:rPr>
                <w:rFonts w:eastAsia="Calibri" w:cs="Calibri"/>
                <w:sz w:val="20"/>
                <w:szCs w:val="20"/>
              </w:rPr>
              <w:t>RISE Lead and Consortium Members</w:t>
            </w:r>
          </w:p>
        </w:tc>
        <w:tc>
          <w:tcPr>
            <w:tcW w:w="2032" w:type="dxa"/>
          </w:tcPr>
          <w:p w14:paraId="336923D4"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Joy Wong</w:t>
            </w:r>
          </w:p>
        </w:tc>
        <w:tc>
          <w:tcPr>
            <w:tcW w:w="5572" w:type="dxa"/>
          </w:tcPr>
          <w:p w14:paraId="63903B8E"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Education Program Manager, Save the Children </w:t>
            </w:r>
          </w:p>
        </w:tc>
      </w:tr>
      <w:tr w:rsidR="003E1E3E" w:rsidRPr="00FA288E" w14:paraId="3AAC8897"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34647534" w14:textId="77777777" w:rsidR="003E1E3E" w:rsidRPr="00FA288E" w:rsidRDefault="003E1E3E" w:rsidP="006464C1">
            <w:pPr>
              <w:spacing w:after="120"/>
              <w:rPr>
                <w:rFonts w:eastAsia="Calibri" w:cs="Calibri"/>
                <w:sz w:val="20"/>
                <w:szCs w:val="20"/>
              </w:rPr>
            </w:pPr>
          </w:p>
        </w:tc>
        <w:tc>
          <w:tcPr>
            <w:tcW w:w="2032" w:type="dxa"/>
          </w:tcPr>
          <w:p w14:paraId="0CF109B6"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Donny </w:t>
            </w:r>
            <w:proofErr w:type="spellStart"/>
            <w:r w:rsidRPr="00FA288E">
              <w:rPr>
                <w:rFonts w:eastAsia="Calibri" w:cs="Calibri"/>
                <w:sz w:val="20"/>
                <w:szCs w:val="20"/>
              </w:rPr>
              <w:t>Kupamu</w:t>
            </w:r>
            <w:proofErr w:type="spellEnd"/>
          </w:p>
        </w:tc>
        <w:tc>
          <w:tcPr>
            <w:tcW w:w="5572" w:type="dxa"/>
          </w:tcPr>
          <w:p w14:paraId="160E38FA"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Area Manager, Save the Children </w:t>
            </w:r>
          </w:p>
        </w:tc>
      </w:tr>
      <w:tr w:rsidR="003E1E3E" w:rsidRPr="00FA288E" w14:paraId="2BDDEDBE"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0800E46C" w14:textId="77777777" w:rsidR="003E1E3E" w:rsidRPr="00FA288E" w:rsidRDefault="003E1E3E" w:rsidP="006464C1">
            <w:pPr>
              <w:spacing w:after="120"/>
              <w:rPr>
                <w:rFonts w:eastAsia="Calibri" w:cs="Calibri"/>
                <w:sz w:val="20"/>
                <w:szCs w:val="20"/>
              </w:rPr>
            </w:pPr>
          </w:p>
        </w:tc>
        <w:tc>
          <w:tcPr>
            <w:tcW w:w="2032" w:type="dxa"/>
          </w:tcPr>
          <w:p w14:paraId="2547B55D"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Rose </w:t>
            </w:r>
            <w:proofErr w:type="spellStart"/>
            <w:r w:rsidRPr="00FA288E">
              <w:rPr>
                <w:rFonts w:eastAsia="Calibri" w:cs="Calibri"/>
                <w:sz w:val="20"/>
                <w:szCs w:val="20"/>
              </w:rPr>
              <w:t>Sabub</w:t>
            </w:r>
            <w:proofErr w:type="spellEnd"/>
          </w:p>
        </w:tc>
        <w:tc>
          <w:tcPr>
            <w:tcW w:w="5572" w:type="dxa"/>
          </w:tcPr>
          <w:p w14:paraId="4B05781E"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Project Coordinator, Save the Children </w:t>
            </w:r>
          </w:p>
        </w:tc>
      </w:tr>
      <w:tr w:rsidR="003E1E3E" w:rsidRPr="00FA288E" w14:paraId="61631D1C"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7BF65980" w14:textId="77777777" w:rsidR="003E1E3E" w:rsidRPr="00FA288E" w:rsidRDefault="003E1E3E" w:rsidP="006464C1">
            <w:pPr>
              <w:spacing w:after="120"/>
              <w:rPr>
                <w:rFonts w:eastAsia="Calibri" w:cs="Calibri"/>
                <w:sz w:val="20"/>
                <w:szCs w:val="20"/>
              </w:rPr>
            </w:pPr>
          </w:p>
        </w:tc>
        <w:tc>
          <w:tcPr>
            <w:tcW w:w="2032" w:type="dxa"/>
          </w:tcPr>
          <w:p w14:paraId="34D48EA5"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Jennifer El-</w:t>
            </w:r>
            <w:proofErr w:type="spellStart"/>
            <w:r w:rsidRPr="00FA288E">
              <w:rPr>
                <w:rFonts w:eastAsia="Calibri" w:cs="Calibri"/>
                <w:sz w:val="20"/>
                <w:szCs w:val="20"/>
              </w:rPr>
              <w:t>Sibabi</w:t>
            </w:r>
            <w:proofErr w:type="spellEnd"/>
          </w:p>
        </w:tc>
        <w:tc>
          <w:tcPr>
            <w:tcW w:w="5572" w:type="dxa"/>
          </w:tcPr>
          <w:p w14:paraId="59710F41"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Regional Director, Save the Children</w:t>
            </w:r>
          </w:p>
        </w:tc>
      </w:tr>
      <w:tr w:rsidR="003E1E3E" w:rsidRPr="00FA288E" w14:paraId="5655FE48"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3260959D" w14:textId="77777777" w:rsidR="003E1E3E" w:rsidRPr="00FA288E" w:rsidRDefault="003E1E3E" w:rsidP="006464C1">
            <w:pPr>
              <w:spacing w:after="120"/>
              <w:rPr>
                <w:rFonts w:eastAsia="Calibri" w:cs="Calibri"/>
                <w:sz w:val="20"/>
                <w:szCs w:val="20"/>
              </w:rPr>
            </w:pPr>
          </w:p>
        </w:tc>
        <w:tc>
          <w:tcPr>
            <w:tcW w:w="2032" w:type="dxa"/>
          </w:tcPr>
          <w:p w14:paraId="3E5864BA"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Jasper Selby</w:t>
            </w:r>
          </w:p>
        </w:tc>
        <w:tc>
          <w:tcPr>
            <w:tcW w:w="5572" w:type="dxa"/>
          </w:tcPr>
          <w:p w14:paraId="601D125A"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Community Engagement Officer, Save the Children </w:t>
            </w:r>
          </w:p>
        </w:tc>
      </w:tr>
      <w:tr w:rsidR="003E1E3E" w:rsidRPr="00FA288E" w14:paraId="1ED5BB0A"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3C08E619" w14:textId="77777777" w:rsidR="003E1E3E" w:rsidRPr="00FA288E" w:rsidRDefault="003E1E3E" w:rsidP="006464C1">
            <w:pPr>
              <w:spacing w:after="120"/>
              <w:rPr>
                <w:rFonts w:eastAsia="Calibri" w:cs="Calibri"/>
                <w:sz w:val="20"/>
                <w:szCs w:val="20"/>
              </w:rPr>
            </w:pPr>
          </w:p>
        </w:tc>
        <w:tc>
          <w:tcPr>
            <w:tcW w:w="2032" w:type="dxa"/>
          </w:tcPr>
          <w:p w14:paraId="3C703409"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Jeremiah </w:t>
            </w:r>
            <w:proofErr w:type="spellStart"/>
            <w:r w:rsidRPr="00FA288E">
              <w:rPr>
                <w:rFonts w:eastAsia="Calibri" w:cs="Calibri"/>
                <w:sz w:val="20"/>
                <w:szCs w:val="20"/>
              </w:rPr>
              <w:t>Hairoku</w:t>
            </w:r>
            <w:proofErr w:type="spellEnd"/>
          </w:p>
        </w:tc>
        <w:tc>
          <w:tcPr>
            <w:tcW w:w="5572" w:type="dxa"/>
          </w:tcPr>
          <w:p w14:paraId="378906C6"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Community Engagement Officer, Save the Children </w:t>
            </w:r>
          </w:p>
        </w:tc>
      </w:tr>
      <w:tr w:rsidR="003E1E3E" w:rsidRPr="00FA288E" w14:paraId="1E31F053"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087531B3" w14:textId="77777777" w:rsidR="003E1E3E" w:rsidRPr="00FA288E" w:rsidRDefault="003E1E3E" w:rsidP="006464C1">
            <w:pPr>
              <w:spacing w:after="120"/>
              <w:rPr>
                <w:rFonts w:eastAsia="Calibri" w:cs="Calibri"/>
                <w:sz w:val="20"/>
                <w:szCs w:val="20"/>
              </w:rPr>
            </w:pPr>
          </w:p>
        </w:tc>
        <w:tc>
          <w:tcPr>
            <w:tcW w:w="2032" w:type="dxa"/>
          </w:tcPr>
          <w:p w14:paraId="130042F2"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Brian </w:t>
            </w:r>
            <w:proofErr w:type="spellStart"/>
            <w:r w:rsidRPr="00FA288E">
              <w:rPr>
                <w:rFonts w:eastAsia="Calibri" w:cs="Calibri"/>
                <w:sz w:val="20"/>
                <w:szCs w:val="20"/>
              </w:rPr>
              <w:t>Yause</w:t>
            </w:r>
            <w:proofErr w:type="spellEnd"/>
          </w:p>
        </w:tc>
        <w:tc>
          <w:tcPr>
            <w:tcW w:w="5572" w:type="dxa"/>
          </w:tcPr>
          <w:p w14:paraId="0C150A1F"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Community Engagement Officer / Inclusive Education Officer, Save the Children </w:t>
            </w:r>
          </w:p>
        </w:tc>
      </w:tr>
      <w:tr w:rsidR="003E1E3E" w:rsidRPr="00FA288E" w14:paraId="37D4DD73"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7CDD684E" w14:textId="77777777" w:rsidR="003E1E3E" w:rsidRPr="00FA288E" w:rsidRDefault="003E1E3E" w:rsidP="006464C1">
            <w:pPr>
              <w:spacing w:after="120"/>
              <w:rPr>
                <w:rFonts w:eastAsia="Calibri" w:cs="Calibri"/>
                <w:sz w:val="20"/>
                <w:szCs w:val="20"/>
              </w:rPr>
            </w:pPr>
          </w:p>
        </w:tc>
        <w:tc>
          <w:tcPr>
            <w:tcW w:w="2032" w:type="dxa"/>
          </w:tcPr>
          <w:p w14:paraId="54F77577"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Wayaki</w:t>
            </w:r>
            <w:proofErr w:type="spellEnd"/>
            <w:r w:rsidRPr="00FA288E">
              <w:rPr>
                <w:rFonts w:eastAsia="Calibri" w:cs="Calibri"/>
                <w:sz w:val="20"/>
                <w:szCs w:val="20"/>
              </w:rPr>
              <w:t xml:space="preserve"> Bongi</w:t>
            </w:r>
          </w:p>
        </w:tc>
        <w:tc>
          <w:tcPr>
            <w:tcW w:w="5572" w:type="dxa"/>
          </w:tcPr>
          <w:p w14:paraId="34623D42"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MEAL Coordinator, Save the Children</w:t>
            </w:r>
          </w:p>
        </w:tc>
      </w:tr>
      <w:tr w:rsidR="003E1E3E" w:rsidRPr="00FA288E" w14:paraId="7C19AD33"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7C4061C3" w14:textId="77777777" w:rsidR="003E1E3E" w:rsidRPr="00FA288E" w:rsidRDefault="003E1E3E" w:rsidP="006464C1">
            <w:pPr>
              <w:spacing w:after="120"/>
              <w:rPr>
                <w:rFonts w:eastAsia="Calibri" w:cs="Calibri"/>
                <w:sz w:val="20"/>
                <w:szCs w:val="20"/>
              </w:rPr>
            </w:pPr>
          </w:p>
        </w:tc>
        <w:tc>
          <w:tcPr>
            <w:tcW w:w="2032" w:type="dxa"/>
          </w:tcPr>
          <w:p w14:paraId="4CF35FA3"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Alois </w:t>
            </w:r>
            <w:proofErr w:type="spellStart"/>
            <w:r w:rsidRPr="00FA288E">
              <w:rPr>
                <w:rFonts w:eastAsia="Calibri" w:cs="Calibri"/>
                <w:sz w:val="20"/>
                <w:szCs w:val="20"/>
              </w:rPr>
              <w:t>Ralai</w:t>
            </w:r>
            <w:proofErr w:type="spellEnd"/>
          </w:p>
        </w:tc>
        <w:tc>
          <w:tcPr>
            <w:tcW w:w="5572" w:type="dxa"/>
          </w:tcPr>
          <w:p w14:paraId="2FA8DC56"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MEAL Coordinator, Save the Children</w:t>
            </w:r>
          </w:p>
        </w:tc>
      </w:tr>
      <w:tr w:rsidR="003E1E3E" w:rsidRPr="00FA288E" w14:paraId="444388D1"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00167531" w14:textId="77777777" w:rsidR="003E1E3E" w:rsidRPr="00FA288E" w:rsidRDefault="003E1E3E" w:rsidP="006464C1">
            <w:pPr>
              <w:spacing w:after="120"/>
              <w:rPr>
                <w:rFonts w:eastAsia="Calibri" w:cs="Calibri"/>
                <w:sz w:val="20"/>
                <w:szCs w:val="20"/>
              </w:rPr>
            </w:pPr>
          </w:p>
        </w:tc>
        <w:tc>
          <w:tcPr>
            <w:tcW w:w="2032" w:type="dxa"/>
          </w:tcPr>
          <w:p w14:paraId="789A8F6C"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Willie </w:t>
            </w:r>
            <w:proofErr w:type="spellStart"/>
            <w:r w:rsidRPr="00FA288E">
              <w:rPr>
                <w:rFonts w:eastAsia="Calibri" w:cs="Calibri"/>
                <w:sz w:val="20"/>
                <w:szCs w:val="20"/>
              </w:rPr>
              <w:t>Manuwi</w:t>
            </w:r>
            <w:proofErr w:type="spellEnd"/>
          </w:p>
        </w:tc>
        <w:tc>
          <w:tcPr>
            <w:tcW w:w="5572" w:type="dxa"/>
          </w:tcPr>
          <w:p w14:paraId="5C7D0C08"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Teacher Trainer, Save the Children</w:t>
            </w:r>
          </w:p>
        </w:tc>
      </w:tr>
      <w:tr w:rsidR="003E1E3E" w:rsidRPr="00FA288E" w14:paraId="6ECC9D81"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6DE481B4" w14:textId="77777777" w:rsidR="003E1E3E" w:rsidRPr="00FA288E" w:rsidRDefault="003E1E3E" w:rsidP="006464C1">
            <w:pPr>
              <w:spacing w:after="120"/>
              <w:rPr>
                <w:rFonts w:eastAsia="Calibri" w:cs="Calibri"/>
                <w:sz w:val="20"/>
                <w:szCs w:val="20"/>
              </w:rPr>
            </w:pPr>
          </w:p>
        </w:tc>
        <w:tc>
          <w:tcPr>
            <w:tcW w:w="2032" w:type="dxa"/>
          </w:tcPr>
          <w:p w14:paraId="7250D70A"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Lyn </w:t>
            </w:r>
            <w:proofErr w:type="spellStart"/>
            <w:r w:rsidRPr="00FA288E">
              <w:rPr>
                <w:rFonts w:eastAsia="Calibri" w:cs="Calibri"/>
                <w:sz w:val="20"/>
                <w:szCs w:val="20"/>
              </w:rPr>
              <w:t>Jimmily</w:t>
            </w:r>
            <w:proofErr w:type="spellEnd"/>
          </w:p>
        </w:tc>
        <w:tc>
          <w:tcPr>
            <w:tcW w:w="5572" w:type="dxa"/>
          </w:tcPr>
          <w:p w14:paraId="22569631"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Teacher Trainer, Save the Children</w:t>
            </w:r>
          </w:p>
        </w:tc>
      </w:tr>
      <w:tr w:rsidR="003E1E3E" w:rsidRPr="00FA288E" w14:paraId="528F1871"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3AC3578C" w14:textId="77777777" w:rsidR="003E1E3E" w:rsidRPr="00FA288E" w:rsidRDefault="003E1E3E" w:rsidP="006464C1">
            <w:pPr>
              <w:spacing w:after="120"/>
              <w:rPr>
                <w:rFonts w:eastAsia="Calibri" w:cs="Calibri"/>
                <w:sz w:val="20"/>
                <w:szCs w:val="20"/>
              </w:rPr>
            </w:pPr>
          </w:p>
        </w:tc>
        <w:tc>
          <w:tcPr>
            <w:tcW w:w="2032" w:type="dxa"/>
          </w:tcPr>
          <w:p w14:paraId="73026F19"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Cathy Warren</w:t>
            </w:r>
          </w:p>
        </w:tc>
        <w:tc>
          <w:tcPr>
            <w:tcW w:w="5572" w:type="dxa"/>
          </w:tcPr>
          <w:p w14:paraId="3F6CF8BC"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Teacher Trainer, Save the Children</w:t>
            </w:r>
          </w:p>
        </w:tc>
      </w:tr>
      <w:tr w:rsidR="003E1E3E" w:rsidRPr="00FA288E" w14:paraId="426C0E3B"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56A98037" w14:textId="77777777" w:rsidR="003E1E3E" w:rsidRPr="00FA288E" w:rsidRDefault="003E1E3E" w:rsidP="006464C1">
            <w:pPr>
              <w:spacing w:after="120"/>
              <w:rPr>
                <w:rFonts w:eastAsia="Calibri" w:cs="Calibri"/>
                <w:sz w:val="20"/>
                <w:szCs w:val="20"/>
              </w:rPr>
            </w:pPr>
          </w:p>
        </w:tc>
        <w:tc>
          <w:tcPr>
            <w:tcW w:w="2032" w:type="dxa"/>
          </w:tcPr>
          <w:p w14:paraId="3FA89DAA"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Chris </w:t>
            </w:r>
            <w:proofErr w:type="spellStart"/>
            <w:r w:rsidRPr="00FA288E">
              <w:rPr>
                <w:rFonts w:eastAsia="Calibri" w:cs="Calibri"/>
                <w:sz w:val="20"/>
                <w:szCs w:val="20"/>
              </w:rPr>
              <w:t>Yafanduo</w:t>
            </w:r>
            <w:proofErr w:type="spellEnd"/>
          </w:p>
        </w:tc>
        <w:tc>
          <w:tcPr>
            <w:tcW w:w="5572" w:type="dxa"/>
          </w:tcPr>
          <w:p w14:paraId="42B55AE0"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Teacher Trainer, Save the Children</w:t>
            </w:r>
          </w:p>
        </w:tc>
      </w:tr>
      <w:tr w:rsidR="003E1E3E" w:rsidRPr="00FA288E" w14:paraId="171107CE"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466AB284" w14:textId="77777777" w:rsidR="003E1E3E" w:rsidRPr="00FA288E" w:rsidRDefault="003E1E3E" w:rsidP="006464C1">
            <w:pPr>
              <w:spacing w:after="120"/>
              <w:rPr>
                <w:rFonts w:eastAsia="Calibri" w:cs="Calibri"/>
                <w:sz w:val="20"/>
                <w:szCs w:val="20"/>
              </w:rPr>
            </w:pPr>
          </w:p>
        </w:tc>
        <w:tc>
          <w:tcPr>
            <w:tcW w:w="2032" w:type="dxa"/>
          </w:tcPr>
          <w:p w14:paraId="064F5DEE"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Kabira</w:t>
            </w:r>
            <w:proofErr w:type="spellEnd"/>
            <w:r w:rsidRPr="00FA288E">
              <w:rPr>
                <w:rFonts w:eastAsia="Calibri" w:cs="Calibri"/>
                <w:sz w:val="20"/>
                <w:szCs w:val="20"/>
              </w:rPr>
              <w:t xml:space="preserve"> </w:t>
            </w:r>
            <w:proofErr w:type="spellStart"/>
            <w:r w:rsidRPr="00FA288E">
              <w:rPr>
                <w:rFonts w:eastAsia="Calibri" w:cs="Calibri"/>
                <w:sz w:val="20"/>
                <w:szCs w:val="20"/>
              </w:rPr>
              <w:t>Namit</w:t>
            </w:r>
            <w:proofErr w:type="spellEnd"/>
          </w:p>
        </w:tc>
        <w:tc>
          <w:tcPr>
            <w:tcW w:w="5572" w:type="dxa"/>
          </w:tcPr>
          <w:p w14:paraId="2DD31D1F"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MEAL Adviser (to all three grantees)</w:t>
            </w:r>
          </w:p>
        </w:tc>
      </w:tr>
      <w:tr w:rsidR="003E1E3E" w:rsidRPr="00FA288E" w14:paraId="353B0473"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03651FA3" w14:textId="77777777" w:rsidR="003E1E3E" w:rsidRPr="00FA288E" w:rsidRDefault="003E1E3E" w:rsidP="006464C1">
            <w:pPr>
              <w:spacing w:after="120"/>
              <w:rPr>
                <w:rFonts w:eastAsia="Calibri" w:cs="Calibri"/>
                <w:sz w:val="20"/>
                <w:szCs w:val="20"/>
              </w:rPr>
            </w:pPr>
          </w:p>
        </w:tc>
        <w:tc>
          <w:tcPr>
            <w:tcW w:w="2032" w:type="dxa"/>
          </w:tcPr>
          <w:p w14:paraId="597B73B9"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Ruth</w:t>
            </w:r>
          </w:p>
        </w:tc>
        <w:tc>
          <w:tcPr>
            <w:tcW w:w="5572" w:type="dxa"/>
          </w:tcPr>
          <w:p w14:paraId="7013734B"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Community Literacy Volunteer, </w:t>
            </w:r>
            <w:proofErr w:type="spellStart"/>
            <w:r w:rsidRPr="00FA288E">
              <w:rPr>
                <w:rFonts w:eastAsia="Calibri" w:cs="Calibri"/>
                <w:sz w:val="20"/>
                <w:szCs w:val="20"/>
              </w:rPr>
              <w:t>Handara</w:t>
            </w:r>
            <w:proofErr w:type="spellEnd"/>
            <w:r w:rsidRPr="00FA288E">
              <w:rPr>
                <w:rFonts w:eastAsia="Calibri" w:cs="Calibri"/>
                <w:sz w:val="20"/>
                <w:szCs w:val="20"/>
              </w:rPr>
              <w:t xml:space="preserve"> Elementary</w:t>
            </w:r>
          </w:p>
        </w:tc>
      </w:tr>
      <w:tr w:rsidR="003E1E3E" w:rsidRPr="00FA288E" w14:paraId="677985C9"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34268186" w14:textId="77777777" w:rsidR="003E1E3E" w:rsidRPr="00FA288E" w:rsidRDefault="003E1E3E" w:rsidP="006464C1">
            <w:pPr>
              <w:spacing w:after="120"/>
              <w:rPr>
                <w:rFonts w:eastAsia="Calibri" w:cs="Calibri"/>
                <w:sz w:val="20"/>
                <w:szCs w:val="20"/>
              </w:rPr>
            </w:pPr>
          </w:p>
        </w:tc>
        <w:tc>
          <w:tcPr>
            <w:tcW w:w="2032" w:type="dxa"/>
          </w:tcPr>
          <w:p w14:paraId="4443D20A"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Justin</w:t>
            </w:r>
          </w:p>
        </w:tc>
        <w:tc>
          <w:tcPr>
            <w:tcW w:w="5572" w:type="dxa"/>
          </w:tcPr>
          <w:p w14:paraId="78DD93BC"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Community Literacy Volunteer, </w:t>
            </w:r>
            <w:proofErr w:type="spellStart"/>
            <w:r w:rsidRPr="00FA288E">
              <w:rPr>
                <w:rFonts w:eastAsia="Calibri" w:cs="Calibri"/>
                <w:sz w:val="20"/>
                <w:szCs w:val="20"/>
              </w:rPr>
              <w:t>Handara</w:t>
            </w:r>
            <w:proofErr w:type="spellEnd"/>
            <w:r w:rsidRPr="00FA288E">
              <w:rPr>
                <w:rFonts w:eastAsia="Calibri" w:cs="Calibri"/>
                <w:sz w:val="20"/>
                <w:szCs w:val="20"/>
              </w:rPr>
              <w:t xml:space="preserve"> Elementary</w:t>
            </w:r>
          </w:p>
        </w:tc>
      </w:tr>
      <w:tr w:rsidR="003E1E3E" w:rsidRPr="00FA288E" w14:paraId="77F445AB"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3C0E5ED7" w14:textId="77777777" w:rsidR="003E1E3E" w:rsidRPr="00FA288E" w:rsidRDefault="003E1E3E" w:rsidP="006464C1">
            <w:pPr>
              <w:spacing w:after="120"/>
              <w:rPr>
                <w:rFonts w:eastAsia="Calibri" w:cs="Calibri"/>
                <w:sz w:val="20"/>
                <w:szCs w:val="20"/>
              </w:rPr>
            </w:pPr>
          </w:p>
        </w:tc>
        <w:tc>
          <w:tcPr>
            <w:tcW w:w="2032" w:type="dxa"/>
          </w:tcPr>
          <w:p w14:paraId="0E592A63"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1 man</w:t>
            </w:r>
          </w:p>
        </w:tc>
        <w:tc>
          <w:tcPr>
            <w:tcW w:w="5572" w:type="dxa"/>
          </w:tcPr>
          <w:p w14:paraId="0DBBC7FF"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Community Literacy Volunteer, </w:t>
            </w:r>
            <w:proofErr w:type="spellStart"/>
            <w:r w:rsidRPr="00FA288E">
              <w:rPr>
                <w:rFonts w:eastAsia="Calibri" w:cs="Calibri"/>
                <w:sz w:val="20"/>
                <w:szCs w:val="20"/>
              </w:rPr>
              <w:t>Tuonumbu</w:t>
            </w:r>
            <w:proofErr w:type="spellEnd"/>
            <w:r w:rsidRPr="00FA288E">
              <w:rPr>
                <w:rFonts w:eastAsia="Calibri" w:cs="Calibri"/>
                <w:sz w:val="20"/>
                <w:szCs w:val="20"/>
              </w:rPr>
              <w:t xml:space="preserve"> Elementary</w:t>
            </w:r>
          </w:p>
        </w:tc>
      </w:tr>
      <w:tr w:rsidR="003E1E3E" w:rsidRPr="00FA288E" w14:paraId="61558CAE"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7121AEA0" w14:textId="77777777" w:rsidR="003E1E3E" w:rsidRPr="00FA288E" w:rsidRDefault="003E1E3E" w:rsidP="006464C1">
            <w:pPr>
              <w:spacing w:after="120"/>
              <w:rPr>
                <w:rFonts w:eastAsia="Calibri" w:cs="Calibri"/>
                <w:sz w:val="20"/>
                <w:szCs w:val="20"/>
              </w:rPr>
            </w:pPr>
          </w:p>
        </w:tc>
        <w:tc>
          <w:tcPr>
            <w:tcW w:w="2032" w:type="dxa"/>
          </w:tcPr>
          <w:p w14:paraId="3435138E"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Br. Kevin Ryan</w:t>
            </w:r>
          </w:p>
        </w:tc>
        <w:tc>
          <w:tcPr>
            <w:tcW w:w="5572" w:type="dxa"/>
          </w:tcPr>
          <w:p w14:paraId="733C09EC"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Director, Callan Services National Unit</w:t>
            </w:r>
          </w:p>
        </w:tc>
      </w:tr>
      <w:tr w:rsidR="003E1E3E" w:rsidRPr="00FA288E" w14:paraId="37CBA873"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2A02E96C" w14:textId="77777777" w:rsidR="003E1E3E" w:rsidRPr="00FA288E" w:rsidRDefault="003E1E3E" w:rsidP="006464C1">
            <w:pPr>
              <w:spacing w:after="120"/>
              <w:rPr>
                <w:rFonts w:eastAsia="Calibri" w:cs="Calibri"/>
                <w:sz w:val="20"/>
                <w:szCs w:val="20"/>
              </w:rPr>
            </w:pPr>
          </w:p>
        </w:tc>
        <w:tc>
          <w:tcPr>
            <w:tcW w:w="2032" w:type="dxa"/>
          </w:tcPr>
          <w:p w14:paraId="4CC19186"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Benson </w:t>
            </w:r>
            <w:proofErr w:type="spellStart"/>
            <w:r w:rsidRPr="00FA288E">
              <w:rPr>
                <w:rFonts w:eastAsia="Calibri" w:cs="Calibri"/>
                <w:sz w:val="20"/>
                <w:szCs w:val="20"/>
              </w:rPr>
              <w:t>Hahambu</w:t>
            </w:r>
            <w:proofErr w:type="spellEnd"/>
          </w:p>
        </w:tc>
        <w:tc>
          <w:tcPr>
            <w:tcW w:w="5572" w:type="dxa"/>
          </w:tcPr>
          <w:p w14:paraId="38F8B1D9"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Deputy Director, Callan Services National Unit</w:t>
            </w:r>
          </w:p>
        </w:tc>
      </w:tr>
      <w:tr w:rsidR="003E1E3E" w:rsidRPr="00FA288E" w14:paraId="6E297D53"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1B0A1CB8" w14:textId="77777777" w:rsidR="003E1E3E" w:rsidRPr="00FA288E" w:rsidRDefault="003E1E3E" w:rsidP="006464C1">
            <w:pPr>
              <w:spacing w:after="120"/>
              <w:rPr>
                <w:rFonts w:eastAsia="Calibri" w:cs="Calibri"/>
                <w:sz w:val="20"/>
                <w:szCs w:val="20"/>
              </w:rPr>
            </w:pPr>
          </w:p>
        </w:tc>
        <w:tc>
          <w:tcPr>
            <w:tcW w:w="2032" w:type="dxa"/>
          </w:tcPr>
          <w:p w14:paraId="6DFC899F"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Carol </w:t>
            </w:r>
            <w:proofErr w:type="spellStart"/>
            <w:r w:rsidRPr="00FA288E">
              <w:rPr>
                <w:rFonts w:eastAsia="Calibri" w:cs="Calibri"/>
                <w:sz w:val="20"/>
                <w:szCs w:val="20"/>
              </w:rPr>
              <w:t>Kiange</w:t>
            </w:r>
            <w:proofErr w:type="spellEnd"/>
          </w:p>
        </w:tc>
        <w:tc>
          <w:tcPr>
            <w:tcW w:w="5572" w:type="dxa"/>
          </w:tcPr>
          <w:p w14:paraId="0C387D3E"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Wewak I</w:t>
            </w:r>
            <w:r w:rsidR="006B0B89" w:rsidRPr="00FA288E">
              <w:rPr>
                <w:rFonts w:eastAsia="Calibri" w:cs="Calibri"/>
                <w:sz w:val="20"/>
                <w:szCs w:val="20"/>
              </w:rPr>
              <w:t xml:space="preserve">nclusive </w:t>
            </w:r>
            <w:r w:rsidRPr="00FA288E">
              <w:rPr>
                <w:rFonts w:eastAsia="Calibri" w:cs="Calibri"/>
                <w:sz w:val="20"/>
                <w:szCs w:val="20"/>
              </w:rPr>
              <w:t>E</w:t>
            </w:r>
            <w:r w:rsidR="006B0B89" w:rsidRPr="00FA288E">
              <w:rPr>
                <w:rFonts w:eastAsia="Calibri" w:cs="Calibri"/>
                <w:sz w:val="20"/>
                <w:szCs w:val="20"/>
              </w:rPr>
              <w:t xml:space="preserve">ducation </w:t>
            </w:r>
            <w:r w:rsidRPr="00FA288E">
              <w:rPr>
                <w:rFonts w:eastAsia="Calibri" w:cs="Calibri"/>
                <w:sz w:val="20"/>
                <w:szCs w:val="20"/>
              </w:rPr>
              <w:t>R</w:t>
            </w:r>
            <w:r w:rsidR="006B0B89" w:rsidRPr="00FA288E">
              <w:rPr>
                <w:rFonts w:eastAsia="Calibri" w:cs="Calibri"/>
                <w:sz w:val="20"/>
                <w:szCs w:val="20"/>
              </w:rPr>
              <w:t xml:space="preserve">esource </w:t>
            </w:r>
            <w:r w:rsidRPr="00FA288E">
              <w:rPr>
                <w:rFonts w:eastAsia="Calibri" w:cs="Calibri"/>
                <w:sz w:val="20"/>
                <w:szCs w:val="20"/>
              </w:rPr>
              <w:t>C</w:t>
            </w:r>
            <w:r w:rsidR="006B0B89" w:rsidRPr="00FA288E">
              <w:rPr>
                <w:rFonts w:eastAsia="Calibri" w:cs="Calibri"/>
                <w:sz w:val="20"/>
                <w:szCs w:val="20"/>
              </w:rPr>
              <w:t>entre</w:t>
            </w:r>
            <w:r w:rsidRPr="00FA288E">
              <w:rPr>
                <w:rFonts w:eastAsia="Calibri" w:cs="Calibri"/>
                <w:sz w:val="20"/>
                <w:szCs w:val="20"/>
              </w:rPr>
              <w:t xml:space="preserve"> coordinator</w:t>
            </w:r>
          </w:p>
        </w:tc>
      </w:tr>
      <w:tr w:rsidR="003E1E3E" w:rsidRPr="00FA288E" w14:paraId="4FCD19A8"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48B9D622" w14:textId="77777777" w:rsidR="003E1E3E" w:rsidRPr="00FA288E" w:rsidRDefault="003E1E3E" w:rsidP="006464C1">
            <w:pPr>
              <w:spacing w:after="120"/>
              <w:rPr>
                <w:rFonts w:eastAsia="Calibri" w:cs="Calibri"/>
                <w:sz w:val="20"/>
                <w:szCs w:val="20"/>
              </w:rPr>
            </w:pPr>
          </w:p>
        </w:tc>
        <w:tc>
          <w:tcPr>
            <w:tcW w:w="2032" w:type="dxa"/>
          </w:tcPr>
          <w:p w14:paraId="1C58AF4B"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Alice </w:t>
            </w:r>
            <w:proofErr w:type="spellStart"/>
            <w:r w:rsidRPr="00FA288E">
              <w:rPr>
                <w:rFonts w:eastAsia="Calibri" w:cs="Calibri"/>
                <w:sz w:val="20"/>
                <w:szCs w:val="20"/>
              </w:rPr>
              <w:t>Junais</w:t>
            </w:r>
            <w:proofErr w:type="spellEnd"/>
          </w:p>
        </w:tc>
        <w:tc>
          <w:tcPr>
            <w:tcW w:w="5572" w:type="dxa"/>
          </w:tcPr>
          <w:p w14:paraId="11499B07"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Callan Services National Unit/Wewak </w:t>
            </w:r>
            <w:r w:rsidR="006B0B89" w:rsidRPr="00FA288E">
              <w:rPr>
                <w:rFonts w:eastAsia="Calibri" w:cs="Calibri"/>
                <w:sz w:val="20"/>
                <w:szCs w:val="20"/>
              </w:rPr>
              <w:t xml:space="preserve">Inclusive Education Resource Centre </w:t>
            </w:r>
          </w:p>
        </w:tc>
      </w:tr>
      <w:tr w:rsidR="003E1E3E" w:rsidRPr="00FA288E" w14:paraId="50200B2D"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0A5E3221" w14:textId="77777777" w:rsidR="003E1E3E" w:rsidRPr="00FA288E" w:rsidRDefault="003E1E3E" w:rsidP="006464C1">
            <w:pPr>
              <w:spacing w:after="120"/>
              <w:rPr>
                <w:rFonts w:eastAsia="Calibri" w:cs="Calibri"/>
                <w:sz w:val="20"/>
                <w:szCs w:val="20"/>
              </w:rPr>
            </w:pPr>
          </w:p>
        </w:tc>
        <w:tc>
          <w:tcPr>
            <w:tcW w:w="2032" w:type="dxa"/>
          </w:tcPr>
          <w:p w14:paraId="5AB5C546"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Gloria Hugh</w:t>
            </w:r>
          </w:p>
        </w:tc>
        <w:tc>
          <w:tcPr>
            <w:tcW w:w="5572" w:type="dxa"/>
          </w:tcPr>
          <w:p w14:paraId="0A5DEB7F"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Manager, Wewak </w:t>
            </w:r>
            <w:r w:rsidR="006B0B89" w:rsidRPr="00FA288E">
              <w:rPr>
                <w:rFonts w:eastAsia="Calibri" w:cs="Calibri"/>
                <w:sz w:val="20"/>
                <w:szCs w:val="20"/>
              </w:rPr>
              <w:t>Inclusive Education Resource Centre</w:t>
            </w:r>
            <w:r w:rsidRPr="00FA288E">
              <w:rPr>
                <w:rFonts w:eastAsia="Calibri" w:cs="Calibri"/>
                <w:sz w:val="20"/>
                <w:szCs w:val="20"/>
              </w:rPr>
              <w:t xml:space="preserve"> clinic</w:t>
            </w:r>
          </w:p>
        </w:tc>
      </w:tr>
      <w:tr w:rsidR="003E1E3E" w:rsidRPr="00FA288E" w14:paraId="79F4C5BA"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7859A558" w14:textId="77777777" w:rsidR="003E1E3E" w:rsidRPr="00FA288E" w:rsidRDefault="003E1E3E" w:rsidP="006464C1">
            <w:pPr>
              <w:spacing w:after="120"/>
              <w:rPr>
                <w:rFonts w:eastAsia="Calibri" w:cs="Calibri"/>
                <w:sz w:val="20"/>
                <w:szCs w:val="20"/>
              </w:rPr>
            </w:pPr>
          </w:p>
        </w:tc>
        <w:tc>
          <w:tcPr>
            <w:tcW w:w="2032" w:type="dxa"/>
          </w:tcPr>
          <w:p w14:paraId="222925AB"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Kelia</w:t>
            </w:r>
            <w:proofErr w:type="spellEnd"/>
          </w:p>
        </w:tc>
        <w:tc>
          <w:tcPr>
            <w:tcW w:w="5572" w:type="dxa"/>
          </w:tcPr>
          <w:p w14:paraId="1F96DEF9"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Callan Services National Unit/Wewak </w:t>
            </w:r>
            <w:r w:rsidR="006B0B89" w:rsidRPr="00FA288E">
              <w:rPr>
                <w:rFonts w:eastAsia="Calibri" w:cs="Calibri"/>
                <w:sz w:val="20"/>
                <w:szCs w:val="20"/>
              </w:rPr>
              <w:t xml:space="preserve">Inclusive Education Resource Centre </w:t>
            </w:r>
          </w:p>
        </w:tc>
      </w:tr>
      <w:tr w:rsidR="006F1429" w:rsidRPr="00FA288E" w14:paraId="4830BB9B"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3E527784" w14:textId="77777777" w:rsidR="006F1429" w:rsidRPr="00FA288E" w:rsidRDefault="006F1429" w:rsidP="006464C1">
            <w:pPr>
              <w:spacing w:after="120"/>
              <w:rPr>
                <w:rFonts w:eastAsia="Calibri" w:cs="Calibri"/>
                <w:sz w:val="20"/>
                <w:szCs w:val="20"/>
              </w:rPr>
            </w:pPr>
            <w:r w:rsidRPr="00FA288E">
              <w:rPr>
                <w:rFonts w:eastAsia="Calibri" w:cs="Calibri"/>
                <w:sz w:val="20"/>
                <w:szCs w:val="20"/>
              </w:rPr>
              <w:t>PKS Lead and Consortium Members</w:t>
            </w:r>
          </w:p>
        </w:tc>
        <w:tc>
          <w:tcPr>
            <w:tcW w:w="2032" w:type="dxa"/>
          </w:tcPr>
          <w:p w14:paraId="7CBFE209" w14:textId="77777777" w:rsidR="006F1429" w:rsidRPr="00FA288E" w:rsidRDefault="006F1429"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Marleen </w:t>
            </w:r>
            <w:proofErr w:type="spellStart"/>
            <w:r w:rsidRPr="00FA288E">
              <w:rPr>
                <w:rFonts w:eastAsia="Calibri" w:cs="Calibri"/>
                <w:sz w:val="20"/>
                <w:szCs w:val="20"/>
              </w:rPr>
              <w:t>Knijff</w:t>
            </w:r>
            <w:proofErr w:type="spellEnd"/>
          </w:p>
        </w:tc>
        <w:tc>
          <w:tcPr>
            <w:tcW w:w="5572" w:type="dxa"/>
          </w:tcPr>
          <w:p w14:paraId="684F605D" w14:textId="77777777" w:rsidR="006F1429" w:rsidRPr="00FA288E" w:rsidRDefault="006F1429"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Program Manager, Care</w:t>
            </w:r>
          </w:p>
        </w:tc>
      </w:tr>
      <w:tr w:rsidR="006F1429" w:rsidRPr="00FA288E" w14:paraId="5F1812E2"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109A11C3" w14:textId="77777777" w:rsidR="006F1429" w:rsidRPr="00FA288E" w:rsidRDefault="006F1429" w:rsidP="006464C1">
            <w:pPr>
              <w:spacing w:after="120"/>
              <w:rPr>
                <w:rFonts w:eastAsia="Calibri" w:cs="Calibri"/>
                <w:sz w:val="20"/>
                <w:szCs w:val="20"/>
              </w:rPr>
            </w:pPr>
          </w:p>
        </w:tc>
        <w:tc>
          <w:tcPr>
            <w:tcW w:w="2032" w:type="dxa"/>
          </w:tcPr>
          <w:p w14:paraId="01A82143" w14:textId="77777777" w:rsidR="006F1429" w:rsidRPr="00FA288E" w:rsidRDefault="006F1429"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Eva </w:t>
            </w:r>
            <w:proofErr w:type="spellStart"/>
            <w:r w:rsidRPr="00FA288E">
              <w:rPr>
                <w:rFonts w:eastAsia="Calibri" w:cs="Calibri"/>
                <w:sz w:val="20"/>
                <w:szCs w:val="20"/>
              </w:rPr>
              <w:t>Inamuka</w:t>
            </w:r>
            <w:proofErr w:type="spellEnd"/>
          </w:p>
        </w:tc>
        <w:tc>
          <w:tcPr>
            <w:tcW w:w="5572" w:type="dxa"/>
          </w:tcPr>
          <w:p w14:paraId="2A10BC64" w14:textId="77777777" w:rsidR="006F1429" w:rsidRPr="00FA288E" w:rsidRDefault="006F1429"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MEL coordinator, Care</w:t>
            </w:r>
          </w:p>
        </w:tc>
      </w:tr>
      <w:tr w:rsidR="006F1429" w:rsidRPr="00FA288E" w14:paraId="169AC3B6"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3999432D" w14:textId="77777777" w:rsidR="006F1429" w:rsidRPr="00FA288E" w:rsidRDefault="006F1429" w:rsidP="006464C1">
            <w:pPr>
              <w:spacing w:after="120"/>
              <w:rPr>
                <w:rFonts w:eastAsia="Calibri" w:cs="Calibri"/>
                <w:sz w:val="20"/>
                <w:szCs w:val="20"/>
              </w:rPr>
            </w:pPr>
          </w:p>
        </w:tc>
        <w:tc>
          <w:tcPr>
            <w:tcW w:w="2032" w:type="dxa"/>
          </w:tcPr>
          <w:p w14:paraId="47B2FA0D" w14:textId="77777777" w:rsidR="006F1429" w:rsidRPr="00FA288E" w:rsidRDefault="006F1429"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Katie Robinson</w:t>
            </w:r>
          </w:p>
        </w:tc>
        <w:tc>
          <w:tcPr>
            <w:tcW w:w="5572" w:type="dxa"/>
          </w:tcPr>
          <w:p w14:paraId="382FA35C" w14:textId="77777777" w:rsidR="006F1429" w:rsidRPr="00FA288E" w:rsidRDefault="006F1429"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MEL adviser, Care</w:t>
            </w:r>
          </w:p>
        </w:tc>
      </w:tr>
      <w:tr w:rsidR="006F1429" w:rsidRPr="00FA288E" w14:paraId="49543A54"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4A52D4F0" w14:textId="77777777" w:rsidR="006F1429" w:rsidRPr="00FA288E" w:rsidRDefault="006F1429" w:rsidP="006464C1">
            <w:pPr>
              <w:spacing w:after="120"/>
              <w:rPr>
                <w:rFonts w:eastAsia="Calibri" w:cs="Calibri"/>
                <w:sz w:val="20"/>
                <w:szCs w:val="20"/>
              </w:rPr>
            </w:pPr>
          </w:p>
        </w:tc>
        <w:tc>
          <w:tcPr>
            <w:tcW w:w="2032" w:type="dxa"/>
          </w:tcPr>
          <w:p w14:paraId="66BFE163" w14:textId="77777777" w:rsidR="006F1429" w:rsidRPr="00FA288E" w:rsidRDefault="006F1429"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5 women, 4 men</w:t>
            </w:r>
          </w:p>
        </w:tc>
        <w:tc>
          <w:tcPr>
            <w:tcW w:w="5572" w:type="dxa"/>
          </w:tcPr>
          <w:p w14:paraId="6A3689E0" w14:textId="77777777" w:rsidR="006F1429" w:rsidRPr="00FA288E" w:rsidRDefault="006F1429"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CARE Project staff and trainers (teacher, school management and community engagement) Names requested from CARE.</w:t>
            </w:r>
          </w:p>
        </w:tc>
      </w:tr>
      <w:tr w:rsidR="003E1E3E" w:rsidRPr="00FA288E" w14:paraId="0B7383DA"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5D2A6DD6" w14:textId="268AB24F" w:rsidR="003E1E3E" w:rsidRPr="00FA288E" w:rsidRDefault="003E1E3E" w:rsidP="00D3443E">
            <w:pPr>
              <w:spacing w:after="120"/>
              <w:rPr>
                <w:rFonts w:eastAsia="Calibri" w:cs="Calibri"/>
                <w:sz w:val="20"/>
                <w:szCs w:val="20"/>
              </w:rPr>
            </w:pPr>
            <w:r w:rsidRPr="00FA288E">
              <w:rPr>
                <w:rFonts w:eastAsia="Calibri" w:cs="Calibri"/>
                <w:sz w:val="20"/>
                <w:szCs w:val="20"/>
              </w:rPr>
              <w:t>Teachers in Charge, Teachers, Schools BOM member</w:t>
            </w:r>
            <w:r w:rsidR="00BE0223">
              <w:rPr>
                <w:rFonts w:eastAsia="Calibri" w:cs="Calibri"/>
                <w:sz w:val="20"/>
                <w:szCs w:val="20"/>
              </w:rPr>
              <w:t>s</w:t>
            </w:r>
          </w:p>
        </w:tc>
        <w:tc>
          <w:tcPr>
            <w:tcW w:w="2032" w:type="dxa"/>
          </w:tcPr>
          <w:p w14:paraId="3FC4A4CD"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1 man</w:t>
            </w:r>
          </w:p>
        </w:tc>
        <w:tc>
          <w:tcPr>
            <w:tcW w:w="5572" w:type="dxa"/>
          </w:tcPr>
          <w:p w14:paraId="75F32230" w14:textId="1FA6A395"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Elementary Teacher in Charge, </w:t>
            </w:r>
            <w:proofErr w:type="spellStart"/>
            <w:r w:rsidRPr="00FA288E">
              <w:rPr>
                <w:rFonts w:eastAsia="Calibri" w:cs="Calibri"/>
                <w:sz w:val="20"/>
                <w:szCs w:val="20"/>
              </w:rPr>
              <w:t>Yangorrou-Sausia</w:t>
            </w:r>
            <w:proofErr w:type="spellEnd"/>
            <w:r w:rsidRPr="00FA288E">
              <w:rPr>
                <w:rFonts w:eastAsia="Calibri" w:cs="Calibri"/>
                <w:sz w:val="20"/>
                <w:szCs w:val="20"/>
              </w:rPr>
              <w:t xml:space="preserve"> District schools (Wewak</w:t>
            </w:r>
            <w:r w:rsidR="00BE0223">
              <w:rPr>
                <w:rFonts w:eastAsia="Calibri" w:cs="Calibri"/>
                <w:sz w:val="20"/>
                <w:szCs w:val="20"/>
              </w:rPr>
              <w:t>)</w:t>
            </w:r>
          </w:p>
        </w:tc>
      </w:tr>
      <w:tr w:rsidR="003E1E3E" w:rsidRPr="00FA288E" w14:paraId="6F4D1D6A"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6995F1C6" w14:textId="77777777" w:rsidR="003E1E3E" w:rsidRPr="00FA288E" w:rsidRDefault="003E1E3E" w:rsidP="00BE0223">
            <w:pPr>
              <w:spacing w:after="120"/>
              <w:jc w:val="left"/>
              <w:rPr>
                <w:rFonts w:eastAsia="Calibri" w:cs="Calibri"/>
                <w:sz w:val="20"/>
                <w:szCs w:val="20"/>
              </w:rPr>
            </w:pPr>
          </w:p>
        </w:tc>
        <w:tc>
          <w:tcPr>
            <w:tcW w:w="2032" w:type="dxa"/>
          </w:tcPr>
          <w:p w14:paraId="38691FE2"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3 women, 1 man</w:t>
            </w:r>
          </w:p>
        </w:tc>
        <w:tc>
          <w:tcPr>
            <w:tcW w:w="5572" w:type="dxa"/>
          </w:tcPr>
          <w:p w14:paraId="33F8EA9B"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Teachers receiving training from grants, </w:t>
            </w:r>
            <w:proofErr w:type="spellStart"/>
            <w:r w:rsidRPr="00FA288E">
              <w:rPr>
                <w:rFonts w:eastAsia="Calibri" w:cs="Calibri"/>
                <w:sz w:val="20"/>
                <w:szCs w:val="20"/>
              </w:rPr>
              <w:t>Yangorrou-Sausia</w:t>
            </w:r>
            <w:proofErr w:type="spellEnd"/>
            <w:r w:rsidRPr="00FA288E">
              <w:rPr>
                <w:rFonts w:eastAsia="Calibri" w:cs="Calibri"/>
                <w:sz w:val="20"/>
                <w:szCs w:val="20"/>
              </w:rPr>
              <w:t xml:space="preserve"> District schools (Wewak)</w:t>
            </w:r>
          </w:p>
        </w:tc>
      </w:tr>
      <w:tr w:rsidR="003E1E3E" w:rsidRPr="00FA288E" w14:paraId="5B279246"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7C6E54EE" w14:textId="77777777" w:rsidR="003E1E3E" w:rsidRPr="00FA288E" w:rsidRDefault="003E1E3E" w:rsidP="006464C1">
            <w:pPr>
              <w:spacing w:after="120"/>
              <w:rPr>
                <w:rFonts w:eastAsia="Calibri" w:cs="Calibri"/>
                <w:sz w:val="20"/>
                <w:szCs w:val="20"/>
              </w:rPr>
            </w:pPr>
          </w:p>
        </w:tc>
        <w:tc>
          <w:tcPr>
            <w:tcW w:w="2032" w:type="dxa"/>
          </w:tcPr>
          <w:p w14:paraId="2FBD1E2E"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Gina </w:t>
            </w:r>
            <w:proofErr w:type="spellStart"/>
            <w:r w:rsidRPr="00FA288E">
              <w:rPr>
                <w:rFonts w:eastAsia="Calibri" w:cs="Calibri"/>
                <w:sz w:val="20"/>
                <w:szCs w:val="20"/>
              </w:rPr>
              <w:t>Serem</w:t>
            </w:r>
            <w:proofErr w:type="spellEnd"/>
          </w:p>
        </w:tc>
        <w:tc>
          <w:tcPr>
            <w:tcW w:w="5572" w:type="dxa"/>
          </w:tcPr>
          <w:p w14:paraId="053B9DF6"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iCs/>
                <w:sz w:val="20"/>
                <w:szCs w:val="20"/>
              </w:rPr>
              <w:t>E1 Teacher, Bright and Morning Star Elementary, Wewak town</w:t>
            </w:r>
          </w:p>
        </w:tc>
      </w:tr>
      <w:tr w:rsidR="003E1E3E" w:rsidRPr="00FA288E" w14:paraId="4419D7C6"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18237235" w14:textId="77777777" w:rsidR="003E1E3E" w:rsidRPr="00FA288E" w:rsidRDefault="003E1E3E" w:rsidP="006464C1">
            <w:pPr>
              <w:spacing w:after="120"/>
              <w:rPr>
                <w:rFonts w:eastAsia="Calibri" w:cs="Calibri"/>
                <w:sz w:val="20"/>
                <w:szCs w:val="20"/>
              </w:rPr>
            </w:pPr>
          </w:p>
        </w:tc>
        <w:tc>
          <w:tcPr>
            <w:tcW w:w="2032" w:type="dxa"/>
          </w:tcPr>
          <w:p w14:paraId="22E10883"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roofErr w:type="spellStart"/>
            <w:r w:rsidRPr="00FA288E">
              <w:rPr>
                <w:rFonts w:eastAsia="Calibri" w:cs="Calibri"/>
                <w:iCs/>
                <w:sz w:val="20"/>
                <w:szCs w:val="20"/>
              </w:rPr>
              <w:t>Melvis</w:t>
            </w:r>
            <w:proofErr w:type="spellEnd"/>
          </w:p>
        </w:tc>
        <w:tc>
          <w:tcPr>
            <w:tcW w:w="5572" w:type="dxa"/>
          </w:tcPr>
          <w:p w14:paraId="2E105857"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Teacher in Charge, </w:t>
            </w:r>
            <w:r w:rsidRPr="00FA288E">
              <w:rPr>
                <w:rFonts w:eastAsia="Calibri" w:cs="Calibri"/>
                <w:iCs/>
                <w:sz w:val="20"/>
                <w:szCs w:val="20"/>
              </w:rPr>
              <w:t>Bright and Morning Star Elementary, Wewak town</w:t>
            </w:r>
          </w:p>
        </w:tc>
      </w:tr>
      <w:tr w:rsidR="003E1E3E" w:rsidRPr="00FA288E" w14:paraId="33321BB0"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2E779C6D" w14:textId="77777777" w:rsidR="003E1E3E" w:rsidRPr="00FA288E" w:rsidRDefault="003E1E3E" w:rsidP="006464C1">
            <w:pPr>
              <w:spacing w:after="120"/>
              <w:rPr>
                <w:rFonts w:eastAsia="Calibri" w:cs="Calibri"/>
                <w:sz w:val="20"/>
                <w:szCs w:val="20"/>
              </w:rPr>
            </w:pPr>
          </w:p>
        </w:tc>
        <w:tc>
          <w:tcPr>
            <w:tcW w:w="2032" w:type="dxa"/>
          </w:tcPr>
          <w:p w14:paraId="3DB8BEBD"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1 man</w:t>
            </w:r>
          </w:p>
        </w:tc>
        <w:tc>
          <w:tcPr>
            <w:tcW w:w="5572" w:type="dxa"/>
          </w:tcPr>
          <w:p w14:paraId="737A3AE3"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Teacher in Charge, </w:t>
            </w:r>
            <w:proofErr w:type="spellStart"/>
            <w:r w:rsidRPr="00FA288E">
              <w:rPr>
                <w:rFonts w:eastAsia="Calibri" w:cs="Calibri"/>
                <w:sz w:val="20"/>
                <w:szCs w:val="20"/>
              </w:rPr>
              <w:t>Tuonumbu</w:t>
            </w:r>
            <w:proofErr w:type="spellEnd"/>
            <w:r w:rsidRPr="00FA288E">
              <w:rPr>
                <w:rFonts w:eastAsia="Calibri" w:cs="Calibri"/>
                <w:sz w:val="20"/>
                <w:szCs w:val="20"/>
              </w:rPr>
              <w:t xml:space="preserve"> Elementary School</w:t>
            </w:r>
          </w:p>
        </w:tc>
      </w:tr>
      <w:tr w:rsidR="003E1E3E" w:rsidRPr="00FA288E" w14:paraId="08E89B6F"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245D0748" w14:textId="77777777" w:rsidR="003E1E3E" w:rsidRPr="00FA288E" w:rsidRDefault="003E1E3E" w:rsidP="006464C1">
            <w:pPr>
              <w:spacing w:after="120"/>
              <w:rPr>
                <w:rFonts w:eastAsia="Calibri" w:cs="Calibri"/>
                <w:sz w:val="20"/>
                <w:szCs w:val="20"/>
              </w:rPr>
            </w:pPr>
          </w:p>
        </w:tc>
        <w:tc>
          <w:tcPr>
            <w:tcW w:w="2032" w:type="dxa"/>
          </w:tcPr>
          <w:p w14:paraId="1FED0E8E"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1 woman</w:t>
            </w:r>
          </w:p>
        </w:tc>
        <w:tc>
          <w:tcPr>
            <w:tcW w:w="5572" w:type="dxa"/>
          </w:tcPr>
          <w:p w14:paraId="6454164E"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Teacher in Charge, Wewak Early Childhood Centre</w:t>
            </w:r>
          </w:p>
        </w:tc>
      </w:tr>
      <w:tr w:rsidR="003E1E3E" w:rsidRPr="00FA288E" w14:paraId="708DCC44"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5E9FB6C8" w14:textId="77777777" w:rsidR="003E1E3E" w:rsidRPr="00FA288E" w:rsidRDefault="003E1E3E" w:rsidP="006464C1">
            <w:pPr>
              <w:spacing w:after="120"/>
              <w:rPr>
                <w:rFonts w:eastAsia="Calibri" w:cs="Calibri"/>
                <w:sz w:val="20"/>
                <w:szCs w:val="20"/>
              </w:rPr>
            </w:pPr>
          </w:p>
        </w:tc>
        <w:tc>
          <w:tcPr>
            <w:tcW w:w="2032" w:type="dxa"/>
          </w:tcPr>
          <w:p w14:paraId="3033FF1C"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Winn Vere</w:t>
            </w:r>
          </w:p>
        </w:tc>
        <w:tc>
          <w:tcPr>
            <w:tcW w:w="5572" w:type="dxa"/>
          </w:tcPr>
          <w:p w14:paraId="55CE9097"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roofErr w:type="spellStart"/>
            <w:r w:rsidRPr="00FA288E">
              <w:rPr>
                <w:rFonts w:eastAsia="Calibri" w:cs="Calibri"/>
                <w:iCs/>
                <w:sz w:val="20"/>
                <w:szCs w:val="20"/>
              </w:rPr>
              <w:t>Rigo</w:t>
            </w:r>
            <w:proofErr w:type="spellEnd"/>
            <w:r w:rsidRPr="00FA288E">
              <w:rPr>
                <w:rFonts w:eastAsia="Calibri" w:cs="Calibri"/>
                <w:iCs/>
                <w:sz w:val="20"/>
                <w:szCs w:val="20"/>
              </w:rPr>
              <w:t xml:space="preserve"> District Ward Counsellor, (Central)</w:t>
            </w:r>
          </w:p>
        </w:tc>
      </w:tr>
      <w:tr w:rsidR="003E1E3E" w:rsidRPr="00FA288E" w14:paraId="695C7CA8"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0AE23DA0" w14:textId="77777777" w:rsidR="003E1E3E" w:rsidRPr="00FA288E" w:rsidRDefault="003E1E3E" w:rsidP="006464C1">
            <w:pPr>
              <w:spacing w:after="120"/>
              <w:rPr>
                <w:rFonts w:eastAsia="Calibri" w:cs="Calibri"/>
                <w:sz w:val="20"/>
                <w:szCs w:val="20"/>
              </w:rPr>
            </w:pPr>
          </w:p>
        </w:tc>
        <w:tc>
          <w:tcPr>
            <w:tcW w:w="2032" w:type="dxa"/>
          </w:tcPr>
          <w:p w14:paraId="2462CC6A"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roofErr w:type="spellStart"/>
            <w:r w:rsidRPr="00FA288E">
              <w:rPr>
                <w:rFonts w:eastAsia="Calibri" w:cs="Calibri"/>
                <w:iCs/>
                <w:sz w:val="20"/>
                <w:szCs w:val="20"/>
              </w:rPr>
              <w:t>Ranu</w:t>
            </w:r>
            <w:proofErr w:type="spellEnd"/>
            <w:r w:rsidRPr="00FA288E">
              <w:rPr>
                <w:rFonts w:eastAsia="Calibri" w:cs="Calibri"/>
                <w:iCs/>
                <w:sz w:val="20"/>
                <w:szCs w:val="20"/>
              </w:rPr>
              <w:t xml:space="preserve"> Vere</w:t>
            </w:r>
          </w:p>
        </w:tc>
        <w:tc>
          <w:tcPr>
            <w:tcW w:w="5572" w:type="dxa"/>
          </w:tcPr>
          <w:p w14:paraId="7D48B534"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Teacher in Charge (Elementary), </w:t>
            </w:r>
            <w:proofErr w:type="spellStart"/>
            <w:r w:rsidRPr="00FA288E">
              <w:rPr>
                <w:rFonts w:eastAsia="Calibri" w:cs="Calibri"/>
                <w:sz w:val="20"/>
                <w:szCs w:val="20"/>
              </w:rPr>
              <w:t>Gabagaba</w:t>
            </w:r>
            <w:proofErr w:type="spellEnd"/>
            <w:r w:rsidRPr="00FA288E">
              <w:rPr>
                <w:rFonts w:eastAsia="Calibri" w:cs="Calibri"/>
                <w:sz w:val="20"/>
                <w:szCs w:val="20"/>
              </w:rPr>
              <w:t xml:space="preserve"> Elementary School </w:t>
            </w:r>
          </w:p>
        </w:tc>
      </w:tr>
      <w:tr w:rsidR="003E1E3E" w:rsidRPr="00FA288E" w14:paraId="5E1F587B"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1C27211C" w14:textId="77777777" w:rsidR="003E1E3E" w:rsidRPr="00FA288E" w:rsidRDefault="003E1E3E" w:rsidP="006464C1">
            <w:pPr>
              <w:spacing w:after="120"/>
              <w:rPr>
                <w:rFonts w:eastAsia="Calibri" w:cs="Calibri"/>
                <w:sz w:val="20"/>
                <w:szCs w:val="20"/>
              </w:rPr>
            </w:pPr>
          </w:p>
        </w:tc>
        <w:tc>
          <w:tcPr>
            <w:tcW w:w="2032" w:type="dxa"/>
          </w:tcPr>
          <w:p w14:paraId="242DEE1D"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roofErr w:type="spellStart"/>
            <w:r w:rsidRPr="00FA288E">
              <w:rPr>
                <w:rFonts w:eastAsia="Calibri" w:cs="Calibri"/>
                <w:iCs/>
                <w:sz w:val="20"/>
                <w:szCs w:val="20"/>
              </w:rPr>
              <w:t>Gareno</w:t>
            </w:r>
            <w:proofErr w:type="spellEnd"/>
            <w:r w:rsidRPr="00FA288E">
              <w:rPr>
                <w:rFonts w:eastAsia="Calibri" w:cs="Calibri"/>
                <w:iCs/>
                <w:sz w:val="20"/>
                <w:szCs w:val="20"/>
              </w:rPr>
              <w:t xml:space="preserve"> Garo</w:t>
            </w:r>
          </w:p>
        </w:tc>
        <w:tc>
          <w:tcPr>
            <w:tcW w:w="5572" w:type="dxa"/>
          </w:tcPr>
          <w:p w14:paraId="11149831"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Teacher in Charge (Primary), </w:t>
            </w:r>
            <w:proofErr w:type="spellStart"/>
            <w:r w:rsidRPr="00FA288E">
              <w:rPr>
                <w:rFonts w:eastAsia="Calibri" w:cs="Calibri"/>
                <w:sz w:val="20"/>
                <w:szCs w:val="20"/>
              </w:rPr>
              <w:t>Gabagaba</w:t>
            </w:r>
            <w:proofErr w:type="spellEnd"/>
            <w:r w:rsidRPr="00FA288E">
              <w:rPr>
                <w:rFonts w:eastAsia="Calibri" w:cs="Calibri"/>
                <w:sz w:val="20"/>
                <w:szCs w:val="20"/>
              </w:rPr>
              <w:t xml:space="preserve"> Elementary School</w:t>
            </w:r>
          </w:p>
        </w:tc>
      </w:tr>
      <w:tr w:rsidR="003E1E3E" w:rsidRPr="00FA288E" w14:paraId="1419E217"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739247DD" w14:textId="77777777" w:rsidR="003E1E3E" w:rsidRPr="00FA288E" w:rsidRDefault="003E1E3E" w:rsidP="006464C1">
            <w:pPr>
              <w:spacing w:after="120"/>
              <w:rPr>
                <w:rFonts w:eastAsia="Calibri" w:cs="Calibri"/>
                <w:sz w:val="20"/>
                <w:szCs w:val="20"/>
              </w:rPr>
            </w:pPr>
          </w:p>
        </w:tc>
        <w:tc>
          <w:tcPr>
            <w:tcW w:w="2032" w:type="dxa"/>
          </w:tcPr>
          <w:p w14:paraId="4DDBD9AD"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roofErr w:type="spellStart"/>
            <w:r w:rsidRPr="00FA288E">
              <w:rPr>
                <w:rFonts w:eastAsia="Calibri" w:cs="Calibri"/>
                <w:iCs/>
                <w:sz w:val="20"/>
                <w:szCs w:val="20"/>
              </w:rPr>
              <w:t>Vagi</w:t>
            </w:r>
            <w:proofErr w:type="spellEnd"/>
            <w:r w:rsidRPr="00FA288E">
              <w:rPr>
                <w:rFonts w:eastAsia="Calibri" w:cs="Calibri"/>
                <w:iCs/>
                <w:sz w:val="20"/>
                <w:szCs w:val="20"/>
              </w:rPr>
              <w:t xml:space="preserve"> Nama</w:t>
            </w:r>
          </w:p>
        </w:tc>
        <w:tc>
          <w:tcPr>
            <w:tcW w:w="5572" w:type="dxa"/>
          </w:tcPr>
          <w:p w14:paraId="063AAD60"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SBoM</w:t>
            </w:r>
            <w:proofErr w:type="spellEnd"/>
            <w:r w:rsidRPr="00FA288E">
              <w:rPr>
                <w:rFonts w:eastAsia="Calibri" w:cs="Calibri"/>
                <w:sz w:val="20"/>
                <w:szCs w:val="20"/>
              </w:rPr>
              <w:t xml:space="preserve"> Chairman, </w:t>
            </w:r>
            <w:proofErr w:type="spellStart"/>
            <w:r w:rsidRPr="00FA288E">
              <w:rPr>
                <w:rFonts w:eastAsia="Calibri" w:cs="Calibri"/>
                <w:sz w:val="20"/>
                <w:szCs w:val="20"/>
              </w:rPr>
              <w:t>Gabagaba</w:t>
            </w:r>
            <w:proofErr w:type="spellEnd"/>
            <w:r w:rsidRPr="00FA288E">
              <w:rPr>
                <w:rFonts w:eastAsia="Calibri" w:cs="Calibri"/>
                <w:sz w:val="20"/>
                <w:szCs w:val="20"/>
              </w:rPr>
              <w:t xml:space="preserve"> Elementary School </w:t>
            </w:r>
          </w:p>
        </w:tc>
      </w:tr>
      <w:tr w:rsidR="003E1E3E" w:rsidRPr="00FA288E" w14:paraId="6BD904DC"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40035842" w14:textId="77777777" w:rsidR="003E1E3E" w:rsidRPr="00FA288E" w:rsidRDefault="003E1E3E" w:rsidP="006464C1">
            <w:pPr>
              <w:spacing w:after="120"/>
              <w:rPr>
                <w:rFonts w:eastAsia="Calibri" w:cs="Calibri"/>
                <w:sz w:val="20"/>
                <w:szCs w:val="20"/>
              </w:rPr>
            </w:pPr>
          </w:p>
        </w:tc>
        <w:tc>
          <w:tcPr>
            <w:tcW w:w="2032" w:type="dxa"/>
          </w:tcPr>
          <w:p w14:paraId="5B5DB5E4"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iCs/>
                <w:sz w:val="20"/>
                <w:szCs w:val="20"/>
              </w:rPr>
              <w:t>Erica Phillips</w:t>
            </w:r>
          </w:p>
        </w:tc>
        <w:tc>
          <w:tcPr>
            <w:tcW w:w="5572" w:type="dxa"/>
          </w:tcPr>
          <w:p w14:paraId="3517C478"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SBoM</w:t>
            </w:r>
            <w:proofErr w:type="spellEnd"/>
            <w:r w:rsidRPr="00FA288E">
              <w:rPr>
                <w:rFonts w:eastAsia="Calibri" w:cs="Calibri"/>
                <w:sz w:val="20"/>
                <w:szCs w:val="20"/>
              </w:rPr>
              <w:t xml:space="preserve"> Secretary, </w:t>
            </w:r>
            <w:proofErr w:type="spellStart"/>
            <w:r w:rsidRPr="00FA288E">
              <w:rPr>
                <w:rFonts w:eastAsia="Calibri" w:cs="Calibri"/>
                <w:sz w:val="20"/>
                <w:szCs w:val="20"/>
              </w:rPr>
              <w:t>Gabagaba</w:t>
            </w:r>
            <w:proofErr w:type="spellEnd"/>
            <w:r w:rsidRPr="00FA288E">
              <w:rPr>
                <w:rFonts w:eastAsia="Calibri" w:cs="Calibri"/>
                <w:sz w:val="20"/>
                <w:szCs w:val="20"/>
              </w:rPr>
              <w:t xml:space="preserve"> Elementary School</w:t>
            </w:r>
          </w:p>
        </w:tc>
      </w:tr>
      <w:tr w:rsidR="003E1E3E" w:rsidRPr="00FA288E" w14:paraId="26A6A393"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7F9C60E2" w14:textId="77777777" w:rsidR="003E1E3E" w:rsidRPr="00FA288E" w:rsidRDefault="003E1E3E" w:rsidP="006464C1">
            <w:pPr>
              <w:spacing w:after="120"/>
              <w:rPr>
                <w:rFonts w:eastAsia="Calibri" w:cs="Calibri"/>
                <w:sz w:val="20"/>
                <w:szCs w:val="20"/>
              </w:rPr>
            </w:pPr>
          </w:p>
        </w:tc>
        <w:tc>
          <w:tcPr>
            <w:tcW w:w="2032" w:type="dxa"/>
          </w:tcPr>
          <w:p w14:paraId="2D3DACC6"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Tomas Ware</w:t>
            </w:r>
          </w:p>
        </w:tc>
        <w:tc>
          <w:tcPr>
            <w:tcW w:w="5572" w:type="dxa"/>
          </w:tcPr>
          <w:p w14:paraId="3219E659"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SBoM</w:t>
            </w:r>
            <w:proofErr w:type="spellEnd"/>
            <w:r w:rsidRPr="00FA288E">
              <w:rPr>
                <w:rFonts w:eastAsia="Calibri" w:cs="Calibri"/>
                <w:sz w:val="20"/>
                <w:szCs w:val="20"/>
              </w:rPr>
              <w:t xml:space="preserve"> Chairman, </w:t>
            </w:r>
            <w:proofErr w:type="spellStart"/>
            <w:r w:rsidRPr="00FA288E">
              <w:rPr>
                <w:rFonts w:eastAsia="Calibri" w:cs="Calibri"/>
                <w:sz w:val="20"/>
                <w:szCs w:val="20"/>
              </w:rPr>
              <w:t>Pabrabuk</w:t>
            </w:r>
            <w:proofErr w:type="spellEnd"/>
            <w:r w:rsidRPr="00FA288E">
              <w:rPr>
                <w:rFonts w:eastAsia="Calibri" w:cs="Calibri"/>
                <w:sz w:val="20"/>
                <w:szCs w:val="20"/>
              </w:rPr>
              <w:t xml:space="preserve"> Elementary School (WHP)</w:t>
            </w:r>
          </w:p>
        </w:tc>
      </w:tr>
      <w:tr w:rsidR="003E1E3E" w:rsidRPr="00FA288E" w14:paraId="0F6E9CA1"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61DDFD91" w14:textId="77777777" w:rsidR="003E1E3E" w:rsidRPr="00FA288E" w:rsidRDefault="003E1E3E" w:rsidP="006464C1">
            <w:pPr>
              <w:spacing w:after="120"/>
              <w:rPr>
                <w:rFonts w:eastAsia="Calibri" w:cs="Calibri"/>
                <w:sz w:val="20"/>
                <w:szCs w:val="20"/>
              </w:rPr>
            </w:pPr>
          </w:p>
        </w:tc>
        <w:tc>
          <w:tcPr>
            <w:tcW w:w="2032" w:type="dxa"/>
          </w:tcPr>
          <w:p w14:paraId="1C55823D"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John </w:t>
            </w:r>
            <w:proofErr w:type="spellStart"/>
            <w:r w:rsidRPr="00FA288E">
              <w:rPr>
                <w:rFonts w:eastAsia="Calibri" w:cs="Calibri"/>
                <w:sz w:val="20"/>
                <w:szCs w:val="20"/>
              </w:rPr>
              <w:t>Alaway</w:t>
            </w:r>
            <w:proofErr w:type="spellEnd"/>
          </w:p>
        </w:tc>
        <w:tc>
          <w:tcPr>
            <w:tcW w:w="5572" w:type="dxa"/>
          </w:tcPr>
          <w:p w14:paraId="17721A7B"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SBoM</w:t>
            </w:r>
            <w:proofErr w:type="spellEnd"/>
            <w:r w:rsidRPr="00FA288E">
              <w:rPr>
                <w:rFonts w:eastAsia="Calibri" w:cs="Calibri"/>
                <w:sz w:val="20"/>
                <w:szCs w:val="20"/>
              </w:rPr>
              <w:t xml:space="preserve"> Member, </w:t>
            </w:r>
            <w:proofErr w:type="spellStart"/>
            <w:r w:rsidRPr="00FA288E">
              <w:rPr>
                <w:rFonts w:eastAsia="Calibri" w:cs="Calibri"/>
                <w:sz w:val="20"/>
                <w:szCs w:val="20"/>
              </w:rPr>
              <w:t>Pabrabuk</w:t>
            </w:r>
            <w:proofErr w:type="spellEnd"/>
            <w:r w:rsidRPr="00FA288E">
              <w:rPr>
                <w:rFonts w:eastAsia="Calibri" w:cs="Calibri"/>
                <w:sz w:val="20"/>
                <w:szCs w:val="20"/>
              </w:rPr>
              <w:t xml:space="preserve"> Elementary School (WHP)</w:t>
            </w:r>
          </w:p>
        </w:tc>
      </w:tr>
      <w:tr w:rsidR="003E1E3E" w:rsidRPr="00FA288E" w14:paraId="15D6D3DF"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217B8BF4" w14:textId="77777777" w:rsidR="003E1E3E" w:rsidRPr="00FA288E" w:rsidRDefault="003E1E3E" w:rsidP="006464C1">
            <w:pPr>
              <w:spacing w:after="120"/>
              <w:rPr>
                <w:rFonts w:eastAsia="Calibri" w:cs="Calibri"/>
                <w:sz w:val="20"/>
                <w:szCs w:val="20"/>
              </w:rPr>
            </w:pPr>
          </w:p>
        </w:tc>
        <w:tc>
          <w:tcPr>
            <w:tcW w:w="2032" w:type="dxa"/>
          </w:tcPr>
          <w:p w14:paraId="1BB4E3B6"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Sentenna</w:t>
            </w:r>
            <w:proofErr w:type="spellEnd"/>
          </w:p>
        </w:tc>
        <w:tc>
          <w:tcPr>
            <w:tcW w:w="5572" w:type="dxa"/>
          </w:tcPr>
          <w:p w14:paraId="05908F51"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SBoM</w:t>
            </w:r>
            <w:proofErr w:type="spellEnd"/>
            <w:r w:rsidRPr="00FA288E">
              <w:rPr>
                <w:rFonts w:eastAsia="Calibri" w:cs="Calibri"/>
                <w:sz w:val="20"/>
                <w:szCs w:val="20"/>
              </w:rPr>
              <w:t xml:space="preserve"> Community Representative, </w:t>
            </w:r>
            <w:proofErr w:type="spellStart"/>
            <w:r w:rsidRPr="00FA288E">
              <w:rPr>
                <w:rFonts w:eastAsia="Calibri" w:cs="Calibri"/>
                <w:sz w:val="20"/>
                <w:szCs w:val="20"/>
              </w:rPr>
              <w:t>Pabrabuk</w:t>
            </w:r>
            <w:proofErr w:type="spellEnd"/>
            <w:r w:rsidRPr="00FA288E">
              <w:rPr>
                <w:rFonts w:eastAsia="Calibri" w:cs="Calibri"/>
                <w:sz w:val="20"/>
                <w:szCs w:val="20"/>
              </w:rPr>
              <w:t xml:space="preserve"> Elementary School (WHP)</w:t>
            </w:r>
          </w:p>
        </w:tc>
      </w:tr>
      <w:tr w:rsidR="003E1E3E" w:rsidRPr="00FA288E" w14:paraId="29E0B92F"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6D8AC363" w14:textId="77777777" w:rsidR="003E1E3E" w:rsidRPr="00FA288E" w:rsidRDefault="003E1E3E" w:rsidP="006464C1">
            <w:pPr>
              <w:spacing w:after="120"/>
              <w:rPr>
                <w:rFonts w:eastAsia="Calibri" w:cs="Calibri"/>
                <w:sz w:val="20"/>
                <w:szCs w:val="20"/>
              </w:rPr>
            </w:pPr>
          </w:p>
        </w:tc>
        <w:tc>
          <w:tcPr>
            <w:tcW w:w="2032" w:type="dxa"/>
          </w:tcPr>
          <w:p w14:paraId="7F76A1B3"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Por </w:t>
            </w:r>
            <w:proofErr w:type="spellStart"/>
            <w:r w:rsidRPr="00FA288E">
              <w:rPr>
                <w:rFonts w:eastAsia="Calibri" w:cs="Calibri"/>
                <w:sz w:val="20"/>
                <w:szCs w:val="20"/>
              </w:rPr>
              <w:t>Porake</w:t>
            </w:r>
            <w:proofErr w:type="spellEnd"/>
          </w:p>
        </w:tc>
        <w:tc>
          <w:tcPr>
            <w:tcW w:w="5572" w:type="dxa"/>
          </w:tcPr>
          <w:p w14:paraId="0526503C"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ex Primary School Principal and founder of </w:t>
            </w:r>
            <w:proofErr w:type="spellStart"/>
            <w:r w:rsidRPr="00FA288E">
              <w:rPr>
                <w:rFonts w:eastAsia="Calibri" w:cs="Calibri"/>
                <w:sz w:val="20"/>
                <w:szCs w:val="20"/>
              </w:rPr>
              <w:t>Pabrabuk</w:t>
            </w:r>
            <w:proofErr w:type="spellEnd"/>
            <w:r w:rsidRPr="00FA288E">
              <w:rPr>
                <w:rFonts w:eastAsia="Calibri" w:cs="Calibri"/>
                <w:sz w:val="20"/>
                <w:szCs w:val="20"/>
              </w:rPr>
              <w:t xml:space="preserve"> Elementary School (WHP) school</w:t>
            </w:r>
          </w:p>
        </w:tc>
      </w:tr>
      <w:tr w:rsidR="003E1E3E" w:rsidRPr="00FA288E" w14:paraId="4E7A66FF"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2D2CFA12" w14:textId="77777777" w:rsidR="003E1E3E" w:rsidRPr="00FA288E" w:rsidRDefault="003E1E3E" w:rsidP="006464C1">
            <w:pPr>
              <w:spacing w:after="120"/>
              <w:rPr>
                <w:rFonts w:eastAsia="Calibri" w:cs="Calibri"/>
                <w:sz w:val="20"/>
                <w:szCs w:val="20"/>
              </w:rPr>
            </w:pPr>
          </w:p>
        </w:tc>
        <w:tc>
          <w:tcPr>
            <w:tcW w:w="2032" w:type="dxa"/>
          </w:tcPr>
          <w:p w14:paraId="31824EA5"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Barbera</w:t>
            </w:r>
            <w:proofErr w:type="spellEnd"/>
            <w:r w:rsidRPr="00FA288E">
              <w:rPr>
                <w:rFonts w:eastAsia="Calibri" w:cs="Calibri"/>
                <w:sz w:val="20"/>
                <w:szCs w:val="20"/>
              </w:rPr>
              <w:t xml:space="preserve"> Rex</w:t>
            </w:r>
          </w:p>
        </w:tc>
        <w:tc>
          <w:tcPr>
            <w:tcW w:w="5572" w:type="dxa"/>
          </w:tcPr>
          <w:p w14:paraId="6F0FDC11"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TiC</w:t>
            </w:r>
            <w:proofErr w:type="spellEnd"/>
            <w:r w:rsidRPr="00FA288E">
              <w:rPr>
                <w:rFonts w:eastAsia="Calibri" w:cs="Calibri"/>
                <w:sz w:val="20"/>
                <w:szCs w:val="20"/>
              </w:rPr>
              <w:t xml:space="preserve"> and </w:t>
            </w:r>
            <w:proofErr w:type="spellStart"/>
            <w:r w:rsidRPr="00FA288E">
              <w:rPr>
                <w:rFonts w:eastAsia="Calibri" w:cs="Calibri"/>
                <w:sz w:val="20"/>
                <w:szCs w:val="20"/>
              </w:rPr>
              <w:t>SBoM</w:t>
            </w:r>
            <w:proofErr w:type="spellEnd"/>
            <w:r w:rsidRPr="00FA288E">
              <w:rPr>
                <w:rFonts w:eastAsia="Calibri" w:cs="Calibri"/>
                <w:sz w:val="20"/>
                <w:szCs w:val="20"/>
              </w:rPr>
              <w:t xml:space="preserve"> Member, </w:t>
            </w:r>
            <w:proofErr w:type="spellStart"/>
            <w:r w:rsidRPr="00FA288E">
              <w:rPr>
                <w:rFonts w:eastAsia="Calibri" w:cs="Calibri"/>
                <w:sz w:val="20"/>
                <w:szCs w:val="20"/>
              </w:rPr>
              <w:t>Toboga</w:t>
            </w:r>
            <w:proofErr w:type="spellEnd"/>
            <w:r w:rsidRPr="00FA288E">
              <w:rPr>
                <w:rFonts w:eastAsia="Calibri" w:cs="Calibri"/>
                <w:sz w:val="20"/>
                <w:szCs w:val="20"/>
              </w:rPr>
              <w:t xml:space="preserve"> Elementary School</w:t>
            </w:r>
          </w:p>
        </w:tc>
      </w:tr>
      <w:tr w:rsidR="003E1E3E" w:rsidRPr="00FA288E" w14:paraId="4EE8BF7C"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48CE10FD" w14:textId="77777777" w:rsidR="003E1E3E" w:rsidRPr="00FA288E" w:rsidRDefault="003E1E3E" w:rsidP="006464C1">
            <w:pPr>
              <w:spacing w:after="120"/>
              <w:rPr>
                <w:rFonts w:eastAsia="Calibri" w:cs="Calibri"/>
                <w:sz w:val="20"/>
                <w:szCs w:val="20"/>
              </w:rPr>
            </w:pPr>
          </w:p>
        </w:tc>
        <w:tc>
          <w:tcPr>
            <w:tcW w:w="2032" w:type="dxa"/>
          </w:tcPr>
          <w:p w14:paraId="246E9746"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Mr Rex Kara</w:t>
            </w:r>
          </w:p>
        </w:tc>
        <w:tc>
          <w:tcPr>
            <w:tcW w:w="5572" w:type="dxa"/>
          </w:tcPr>
          <w:p w14:paraId="41AE1858"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SBoM</w:t>
            </w:r>
            <w:proofErr w:type="spellEnd"/>
            <w:r w:rsidRPr="00FA288E">
              <w:rPr>
                <w:rFonts w:eastAsia="Calibri" w:cs="Calibri"/>
                <w:sz w:val="20"/>
                <w:szCs w:val="20"/>
              </w:rPr>
              <w:t xml:space="preserve"> chairman, </w:t>
            </w:r>
            <w:proofErr w:type="spellStart"/>
            <w:r w:rsidRPr="00FA288E">
              <w:rPr>
                <w:rFonts w:eastAsia="Calibri" w:cs="Calibri"/>
                <w:sz w:val="20"/>
                <w:szCs w:val="20"/>
              </w:rPr>
              <w:t>Toboga</w:t>
            </w:r>
            <w:proofErr w:type="spellEnd"/>
            <w:r w:rsidRPr="00FA288E">
              <w:rPr>
                <w:rFonts w:eastAsia="Calibri" w:cs="Calibri"/>
                <w:sz w:val="20"/>
                <w:szCs w:val="20"/>
              </w:rPr>
              <w:t xml:space="preserve"> Elementary School</w:t>
            </w:r>
          </w:p>
        </w:tc>
      </w:tr>
      <w:tr w:rsidR="003E1E3E" w:rsidRPr="00FA288E" w14:paraId="6E3ABD54"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5206D7E1" w14:textId="77777777" w:rsidR="003E1E3E" w:rsidRPr="00FA288E" w:rsidRDefault="003E1E3E" w:rsidP="006464C1">
            <w:pPr>
              <w:spacing w:after="120"/>
              <w:rPr>
                <w:rFonts w:eastAsia="Calibri" w:cs="Calibri"/>
                <w:sz w:val="20"/>
                <w:szCs w:val="20"/>
              </w:rPr>
            </w:pPr>
          </w:p>
        </w:tc>
        <w:tc>
          <w:tcPr>
            <w:tcW w:w="2032" w:type="dxa"/>
          </w:tcPr>
          <w:p w14:paraId="6B94B8CA"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Tham</w:t>
            </w:r>
            <w:proofErr w:type="spellEnd"/>
            <w:r w:rsidRPr="00FA288E">
              <w:rPr>
                <w:rFonts w:eastAsia="Calibri" w:cs="Calibri"/>
                <w:sz w:val="20"/>
                <w:szCs w:val="20"/>
              </w:rPr>
              <w:t xml:space="preserve"> Para</w:t>
            </w:r>
          </w:p>
        </w:tc>
        <w:tc>
          <w:tcPr>
            <w:tcW w:w="5572" w:type="dxa"/>
          </w:tcPr>
          <w:p w14:paraId="4382065C"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SBoM</w:t>
            </w:r>
            <w:proofErr w:type="spellEnd"/>
            <w:r w:rsidRPr="00FA288E">
              <w:rPr>
                <w:rFonts w:eastAsia="Calibri" w:cs="Calibri"/>
                <w:sz w:val="20"/>
                <w:szCs w:val="20"/>
              </w:rPr>
              <w:t xml:space="preserve"> Treasurer, </w:t>
            </w:r>
            <w:proofErr w:type="spellStart"/>
            <w:r w:rsidRPr="00FA288E">
              <w:rPr>
                <w:rFonts w:eastAsia="Calibri" w:cs="Calibri"/>
                <w:sz w:val="20"/>
                <w:szCs w:val="20"/>
              </w:rPr>
              <w:t>Toboga</w:t>
            </w:r>
            <w:proofErr w:type="spellEnd"/>
            <w:r w:rsidRPr="00FA288E">
              <w:rPr>
                <w:rFonts w:eastAsia="Calibri" w:cs="Calibri"/>
                <w:sz w:val="20"/>
                <w:szCs w:val="20"/>
              </w:rPr>
              <w:t xml:space="preserve"> Elementary School</w:t>
            </w:r>
          </w:p>
        </w:tc>
      </w:tr>
      <w:tr w:rsidR="003E1E3E" w:rsidRPr="00FA288E" w14:paraId="774B533E"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5E7E2B69" w14:textId="77777777" w:rsidR="003E1E3E" w:rsidRPr="00FA288E" w:rsidRDefault="003E1E3E" w:rsidP="006464C1">
            <w:pPr>
              <w:spacing w:after="120"/>
              <w:rPr>
                <w:rFonts w:eastAsia="Calibri" w:cs="Calibri"/>
                <w:sz w:val="20"/>
                <w:szCs w:val="20"/>
              </w:rPr>
            </w:pPr>
          </w:p>
        </w:tc>
        <w:tc>
          <w:tcPr>
            <w:tcW w:w="2032" w:type="dxa"/>
          </w:tcPr>
          <w:p w14:paraId="29544A91"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Paula Tiki</w:t>
            </w:r>
          </w:p>
        </w:tc>
        <w:tc>
          <w:tcPr>
            <w:tcW w:w="5572" w:type="dxa"/>
          </w:tcPr>
          <w:p w14:paraId="21BD53FA" w14:textId="77777777" w:rsidR="003E1E3E" w:rsidRPr="00FA288E" w:rsidRDefault="003E1E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TiC</w:t>
            </w:r>
            <w:proofErr w:type="spellEnd"/>
            <w:r w:rsidRPr="00FA288E">
              <w:rPr>
                <w:rFonts w:eastAsia="Calibri" w:cs="Calibri"/>
                <w:sz w:val="20"/>
                <w:szCs w:val="20"/>
              </w:rPr>
              <w:t xml:space="preserve"> and </w:t>
            </w:r>
            <w:proofErr w:type="spellStart"/>
            <w:r w:rsidRPr="00FA288E">
              <w:rPr>
                <w:rFonts w:eastAsia="Calibri" w:cs="Calibri"/>
                <w:sz w:val="20"/>
                <w:szCs w:val="20"/>
              </w:rPr>
              <w:t>SBoM</w:t>
            </w:r>
            <w:proofErr w:type="spellEnd"/>
            <w:r w:rsidRPr="00FA288E">
              <w:rPr>
                <w:rFonts w:eastAsia="Calibri" w:cs="Calibri"/>
                <w:sz w:val="20"/>
                <w:szCs w:val="20"/>
              </w:rPr>
              <w:t xml:space="preserve"> Member, </w:t>
            </w:r>
            <w:proofErr w:type="spellStart"/>
            <w:r w:rsidRPr="00FA288E">
              <w:rPr>
                <w:rFonts w:eastAsia="Calibri" w:cs="Calibri"/>
                <w:sz w:val="20"/>
                <w:szCs w:val="20"/>
              </w:rPr>
              <w:t>Ulga</w:t>
            </w:r>
            <w:proofErr w:type="spellEnd"/>
            <w:r w:rsidRPr="00FA288E">
              <w:rPr>
                <w:rFonts w:eastAsia="Calibri" w:cs="Calibri"/>
                <w:sz w:val="20"/>
                <w:szCs w:val="20"/>
              </w:rPr>
              <w:t xml:space="preserve"> Elementary School</w:t>
            </w:r>
          </w:p>
        </w:tc>
      </w:tr>
      <w:tr w:rsidR="003E1E3E" w:rsidRPr="00FA288E" w14:paraId="6E5D217C"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1FC55EEC" w14:textId="77777777" w:rsidR="003E1E3E" w:rsidRPr="00FA288E" w:rsidRDefault="003E1E3E" w:rsidP="006464C1">
            <w:pPr>
              <w:spacing w:after="120"/>
              <w:rPr>
                <w:rFonts w:eastAsia="Calibri" w:cs="Calibri"/>
                <w:sz w:val="20"/>
                <w:szCs w:val="20"/>
              </w:rPr>
            </w:pPr>
          </w:p>
        </w:tc>
        <w:tc>
          <w:tcPr>
            <w:tcW w:w="2032" w:type="dxa"/>
          </w:tcPr>
          <w:p w14:paraId="71D73EB3"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Peter </w:t>
            </w:r>
            <w:proofErr w:type="spellStart"/>
            <w:r w:rsidRPr="00FA288E">
              <w:rPr>
                <w:rFonts w:eastAsia="Calibri" w:cs="Calibri"/>
                <w:sz w:val="20"/>
                <w:szCs w:val="20"/>
              </w:rPr>
              <w:t>Nokants</w:t>
            </w:r>
            <w:proofErr w:type="spellEnd"/>
          </w:p>
        </w:tc>
        <w:tc>
          <w:tcPr>
            <w:tcW w:w="5572" w:type="dxa"/>
          </w:tcPr>
          <w:p w14:paraId="698D575B" w14:textId="77777777" w:rsidR="003E1E3E" w:rsidRPr="00FA288E" w:rsidRDefault="003E1E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roofErr w:type="spellStart"/>
            <w:r w:rsidRPr="00FA288E">
              <w:rPr>
                <w:rFonts w:eastAsia="Calibri" w:cs="Calibri"/>
                <w:sz w:val="20"/>
                <w:szCs w:val="20"/>
              </w:rPr>
              <w:t>SBoM</w:t>
            </w:r>
            <w:proofErr w:type="spellEnd"/>
            <w:r w:rsidRPr="00FA288E">
              <w:rPr>
                <w:rFonts w:eastAsia="Calibri" w:cs="Calibri"/>
                <w:sz w:val="20"/>
                <w:szCs w:val="20"/>
              </w:rPr>
              <w:t xml:space="preserve"> Treasurer, </w:t>
            </w:r>
            <w:proofErr w:type="spellStart"/>
            <w:r w:rsidRPr="00FA288E">
              <w:rPr>
                <w:rFonts w:eastAsia="Calibri" w:cs="Calibri"/>
                <w:sz w:val="20"/>
                <w:szCs w:val="20"/>
              </w:rPr>
              <w:t>Ulga</w:t>
            </w:r>
            <w:proofErr w:type="spellEnd"/>
            <w:r w:rsidRPr="00FA288E">
              <w:rPr>
                <w:rFonts w:eastAsia="Calibri" w:cs="Calibri"/>
                <w:sz w:val="20"/>
                <w:szCs w:val="20"/>
              </w:rPr>
              <w:t xml:space="preserve"> Elementary School</w:t>
            </w:r>
          </w:p>
        </w:tc>
      </w:tr>
      <w:tr w:rsidR="00BE0223" w:rsidRPr="00FA288E" w14:paraId="60750037"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05DA93AD" w14:textId="77777777" w:rsidR="00BE0223" w:rsidRPr="00FA288E" w:rsidRDefault="00BE0223" w:rsidP="006464C1">
            <w:pPr>
              <w:spacing w:after="120"/>
              <w:rPr>
                <w:rFonts w:eastAsia="Calibri" w:cs="Calibri"/>
                <w:sz w:val="20"/>
                <w:szCs w:val="20"/>
              </w:rPr>
            </w:pPr>
          </w:p>
        </w:tc>
        <w:tc>
          <w:tcPr>
            <w:tcW w:w="2032" w:type="dxa"/>
          </w:tcPr>
          <w:p w14:paraId="5BAADE7C" w14:textId="275F1B2E" w:rsidR="00BE0223" w:rsidRPr="00FA288E" w:rsidRDefault="00BE0223"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6 women, 3 men</w:t>
            </w:r>
          </w:p>
        </w:tc>
        <w:tc>
          <w:tcPr>
            <w:tcW w:w="5572" w:type="dxa"/>
          </w:tcPr>
          <w:p w14:paraId="4526115D" w14:textId="77777777" w:rsidR="00BE0223" w:rsidRPr="00FA288E" w:rsidRDefault="00BE0223"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2 - </w:t>
            </w:r>
            <w:proofErr w:type="spellStart"/>
            <w:r w:rsidRPr="00FA288E">
              <w:rPr>
                <w:rFonts w:eastAsia="Calibri" w:cs="Calibri"/>
                <w:sz w:val="20"/>
                <w:szCs w:val="20"/>
              </w:rPr>
              <w:t>Pabrabuk</w:t>
            </w:r>
            <w:proofErr w:type="spellEnd"/>
            <w:r w:rsidRPr="00FA288E">
              <w:rPr>
                <w:rFonts w:eastAsia="Calibri" w:cs="Calibri"/>
                <w:sz w:val="20"/>
                <w:szCs w:val="20"/>
              </w:rPr>
              <w:t xml:space="preserve"> Elementary School</w:t>
            </w:r>
          </w:p>
        </w:tc>
      </w:tr>
      <w:tr w:rsidR="00BE0223" w:rsidRPr="00FA288E" w14:paraId="6377B68D"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0396193F" w14:textId="77777777" w:rsidR="00BE0223" w:rsidRPr="00FA288E" w:rsidRDefault="00BE0223" w:rsidP="006464C1">
            <w:pPr>
              <w:spacing w:after="120"/>
              <w:rPr>
                <w:rFonts w:eastAsia="Calibri" w:cs="Calibri"/>
                <w:sz w:val="20"/>
                <w:szCs w:val="20"/>
              </w:rPr>
            </w:pPr>
          </w:p>
        </w:tc>
        <w:tc>
          <w:tcPr>
            <w:tcW w:w="2032" w:type="dxa"/>
          </w:tcPr>
          <w:p w14:paraId="30534281" w14:textId="77777777" w:rsidR="00BE0223" w:rsidRPr="00FA288E" w:rsidRDefault="00BE0223"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
        </w:tc>
        <w:tc>
          <w:tcPr>
            <w:tcW w:w="5572" w:type="dxa"/>
          </w:tcPr>
          <w:p w14:paraId="052B26AF" w14:textId="77777777" w:rsidR="00BE0223" w:rsidRPr="00FA288E" w:rsidRDefault="00BE0223"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2 - </w:t>
            </w:r>
            <w:proofErr w:type="spellStart"/>
            <w:r w:rsidRPr="00FA288E">
              <w:rPr>
                <w:rFonts w:eastAsia="Calibri" w:cs="Calibri"/>
                <w:sz w:val="20"/>
                <w:szCs w:val="20"/>
              </w:rPr>
              <w:t>Toboga</w:t>
            </w:r>
            <w:proofErr w:type="spellEnd"/>
            <w:r w:rsidRPr="00FA288E">
              <w:rPr>
                <w:rFonts w:eastAsia="Calibri" w:cs="Calibri"/>
                <w:sz w:val="20"/>
                <w:szCs w:val="20"/>
              </w:rPr>
              <w:t xml:space="preserve"> Elementary School</w:t>
            </w:r>
          </w:p>
        </w:tc>
      </w:tr>
      <w:tr w:rsidR="00BE0223" w:rsidRPr="00FA288E" w14:paraId="13C3DC2D"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02A33B28" w14:textId="77777777" w:rsidR="00BE0223" w:rsidRPr="00FA288E" w:rsidRDefault="00BE0223" w:rsidP="006464C1">
            <w:pPr>
              <w:spacing w:after="120"/>
              <w:rPr>
                <w:rFonts w:eastAsia="Calibri" w:cs="Calibri"/>
                <w:sz w:val="20"/>
                <w:szCs w:val="20"/>
              </w:rPr>
            </w:pPr>
          </w:p>
        </w:tc>
        <w:tc>
          <w:tcPr>
            <w:tcW w:w="2032" w:type="dxa"/>
          </w:tcPr>
          <w:p w14:paraId="4B2131A4" w14:textId="77777777" w:rsidR="00BE0223" w:rsidRPr="00FA288E" w:rsidRDefault="00BE0223"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
        </w:tc>
        <w:tc>
          <w:tcPr>
            <w:tcW w:w="5572" w:type="dxa"/>
          </w:tcPr>
          <w:p w14:paraId="537A3EB1" w14:textId="77777777" w:rsidR="00BE0223" w:rsidRPr="00FA288E" w:rsidRDefault="00BE0223"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1-  </w:t>
            </w:r>
            <w:proofErr w:type="spellStart"/>
            <w:r w:rsidRPr="00FA288E">
              <w:rPr>
                <w:rFonts w:eastAsia="Calibri" w:cs="Calibri"/>
                <w:sz w:val="20"/>
                <w:szCs w:val="20"/>
              </w:rPr>
              <w:t>Ulga</w:t>
            </w:r>
            <w:proofErr w:type="spellEnd"/>
            <w:r w:rsidRPr="00FA288E">
              <w:rPr>
                <w:rFonts w:eastAsia="Calibri" w:cs="Calibri"/>
                <w:sz w:val="20"/>
                <w:szCs w:val="20"/>
              </w:rPr>
              <w:t xml:space="preserve"> Elementary School</w:t>
            </w:r>
          </w:p>
        </w:tc>
      </w:tr>
      <w:tr w:rsidR="00BE0223" w:rsidRPr="00FA288E" w14:paraId="59CBCA03"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5BE275F3" w14:textId="77777777" w:rsidR="00BE0223" w:rsidRPr="00FA288E" w:rsidRDefault="00BE0223" w:rsidP="006464C1">
            <w:pPr>
              <w:spacing w:after="120"/>
              <w:rPr>
                <w:rFonts w:eastAsia="Calibri" w:cs="Calibri"/>
                <w:sz w:val="20"/>
                <w:szCs w:val="20"/>
              </w:rPr>
            </w:pPr>
          </w:p>
        </w:tc>
        <w:tc>
          <w:tcPr>
            <w:tcW w:w="2032" w:type="dxa"/>
          </w:tcPr>
          <w:p w14:paraId="19D3CFAF" w14:textId="77777777" w:rsidR="00BE0223" w:rsidRPr="00FA288E" w:rsidRDefault="00BE0223"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p>
        </w:tc>
        <w:tc>
          <w:tcPr>
            <w:tcW w:w="5572" w:type="dxa"/>
          </w:tcPr>
          <w:p w14:paraId="6DD32F55" w14:textId="77777777" w:rsidR="00BE0223" w:rsidRPr="00FA288E" w:rsidRDefault="00BE0223"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3 – </w:t>
            </w:r>
            <w:proofErr w:type="spellStart"/>
            <w:r w:rsidRPr="00FA288E">
              <w:rPr>
                <w:rFonts w:eastAsia="Calibri" w:cs="Calibri"/>
                <w:sz w:val="20"/>
                <w:szCs w:val="20"/>
              </w:rPr>
              <w:t>Gabagaba</w:t>
            </w:r>
            <w:proofErr w:type="spellEnd"/>
            <w:r w:rsidRPr="00FA288E">
              <w:rPr>
                <w:rFonts w:eastAsia="Calibri" w:cs="Calibri"/>
                <w:sz w:val="20"/>
                <w:szCs w:val="20"/>
              </w:rPr>
              <w:t xml:space="preserve"> Primary/Elementary School</w:t>
            </w:r>
          </w:p>
        </w:tc>
      </w:tr>
      <w:tr w:rsidR="00BE0223" w:rsidRPr="00FA288E" w14:paraId="634BDE19"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7A11B1EC" w14:textId="77777777" w:rsidR="00BE0223" w:rsidRPr="00FA288E" w:rsidRDefault="00BE0223" w:rsidP="006464C1">
            <w:pPr>
              <w:spacing w:after="120"/>
              <w:rPr>
                <w:rFonts w:eastAsia="Calibri" w:cs="Calibri"/>
                <w:sz w:val="20"/>
                <w:szCs w:val="20"/>
              </w:rPr>
            </w:pPr>
          </w:p>
        </w:tc>
        <w:tc>
          <w:tcPr>
            <w:tcW w:w="2032" w:type="dxa"/>
          </w:tcPr>
          <w:p w14:paraId="13E3ACF6" w14:textId="77777777" w:rsidR="00BE0223" w:rsidRPr="00FA288E" w:rsidRDefault="00BE0223"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p>
        </w:tc>
        <w:tc>
          <w:tcPr>
            <w:tcW w:w="5572" w:type="dxa"/>
          </w:tcPr>
          <w:p w14:paraId="206F2785" w14:textId="77777777" w:rsidR="00BE0223" w:rsidRPr="00FA288E" w:rsidRDefault="00BE0223"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1 – </w:t>
            </w:r>
            <w:proofErr w:type="spellStart"/>
            <w:r w:rsidRPr="00FA288E">
              <w:rPr>
                <w:rFonts w:eastAsia="Calibri" w:cs="Calibri"/>
                <w:sz w:val="20"/>
                <w:szCs w:val="20"/>
              </w:rPr>
              <w:t>Tuonumbu</w:t>
            </w:r>
            <w:proofErr w:type="spellEnd"/>
            <w:r w:rsidRPr="00FA288E">
              <w:rPr>
                <w:rFonts w:eastAsia="Calibri" w:cs="Calibri"/>
                <w:sz w:val="20"/>
                <w:szCs w:val="20"/>
              </w:rPr>
              <w:t xml:space="preserve"> Elementary school (Education for Life demo)</w:t>
            </w:r>
          </w:p>
        </w:tc>
      </w:tr>
      <w:tr w:rsidR="00D3443E" w:rsidRPr="00FA288E" w14:paraId="329E83AB"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70945B8B" w14:textId="77777777" w:rsidR="00D3443E" w:rsidRPr="00FA288E" w:rsidRDefault="00D3443E" w:rsidP="006464C1">
            <w:pPr>
              <w:spacing w:after="120"/>
              <w:rPr>
                <w:rFonts w:eastAsia="Calibri" w:cs="Calibri"/>
                <w:sz w:val="20"/>
                <w:szCs w:val="20"/>
              </w:rPr>
            </w:pPr>
            <w:r w:rsidRPr="00FA288E">
              <w:rPr>
                <w:rFonts w:eastAsia="Calibri" w:cs="Calibri"/>
                <w:sz w:val="20"/>
                <w:szCs w:val="20"/>
              </w:rPr>
              <w:t xml:space="preserve">Parents’ groups  </w:t>
            </w:r>
          </w:p>
        </w:tc>
        <w:tc>
          <w:tcPr>
            <w:tcW w:w="2032" w:type="dxa"/>
          </w:tcPr>
          <w:p w14:paraId="0688C402" w14:textId="77777777" w:rsidR="00D3443E" w:rsidRPr="00FA288E" w:rsidRDefault="00D344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19 women, 4 men</w:t>
            </w:r>
          </w:p>
        </w:tc>
        <w:tc>
          <w:tcPr>
            <w:tcW w:w="5572" w:type="dxa"/>
          </w:tcPr>
          <w:p w14:paraId="47D43267" w14:textId="77777777" w:rsidR="00D3443E" w:rsidRPr="00FA288E" w:rsidRDefault="00D344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iCs/>
                <w:sz w:val="20"/>
                <w:szCs w:val="20"/>
              </w:rPr>
              <w:t xml:space="preserve">Parents/caregivers involved in CLV activities, </w:t>
            </w:r>
            <w:proofErr w:type="spellStart"/>
            <w:r w:rsidRPr="00FA288E">
              <w:rPr>
                <w:rFonts w:eastAsia="Calibri" w:cs="Calibri"/>
                <w:iCs/>
                <w:sz w:val="20"/>
                <w:szCs w:val="20"/>
              </w:rPr>
              <w:t>Handara</w:t>
            </w:r>
            <w:proofErr w:type="spellEnd"/>
            <w:r w:rsidRPr="00FA288E">
              <w:rPr>
                <w:rFonts w:eastAsia="Calibri" w:cs="Calibri"/>
                <w:iCs/>
                <w:sz w:val="20"/>
                <w:szCs w:val="20"/>
              </w:rPr>
              <w:t xml:space="preserve"> Elementary School plus the </w:t>
            </w:r>
            <w:proofErr w:type="spellStart"/>
            <w:r w:rsidRPr="00FA288E">
              <w:rPr>
                <w:rFonts w:eastAsia="Calibri" w:cs="Calibri"/>
                <w:iCs/>
                <w:sz w:val="20"/>
                <w:szCs w:val="20"/>
              </w:rPr>
              <w:t>SBoM</w:t>
            </w:r>
            <w:proofErr w:type="spellEnd"/>
            <w:r w:rsidRPr="00FA288E">
              <w:rPr>
                <w:rFonts w:eastAsia="Calibri" w:cs="Calibri"/>
                <w:iCs/>
                <w:sz w:val="20"/>
                <w:szCs w:val="20"/>
              </w:rPr>
              <w:t xml:space="preserve"> chairman</w:t>
            </w:r>
          </w:p>
        </w:tc>
      </w:tr>
      <w:tr w:rsidR="00D3443E" w:rsidRPr="00FA288E" w14:paraId="18E83365"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062E0054" w14:textId="77777777" w:rsidR="00D3443E" w:rsidRPr="00FA288E" w:rsidRDefault="00D3443E" w:rsidP="006464C1">
            <w:pPr>
              <w:spacing w:after="120"/>
              <w:rPr>
                <w:rFonts w:eastAsia="Calibri" w:cs="Calibri"/>
                <w:sz w:val="20"/>
                <w:szCs w:val="20"/>
              </w:rPr>
            </w:pPr>
          </w:p>
        </w:tc>
        <w:tc>
          <w:tcPr>
            <w:tcW w:w="2032" w:type="dxa"/>
          </w:tcPr>
          <w:p w14:paraId="2DCF5BC0" w14:textId="77777777" w:rsidR="00D3443E" w:rsidRPr="00FA288E" w:rsidRDefault="00D344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iCs/>
                <w:sz w:val="20"/>
                <w:szCs w:val="20"/>
              </w:rPr>
            </w:pPr>
            <w:r w:rsidRPr="00FA288E">
              <w:rPr>
                <w:rFonts w:eastAsia="Calibri" w:cs="Calibri"/>
                <w:iCs/>
                <w:sz w:val="20"/>
                <w:szCs w:val="20"/>
              </w:rPr>
              <w:t>7 women, 2 men</w:t>
            </w:r>
          </w:p>
        </w:tc>
        <w:tc>
          <w:tcPr>
            <w:tcW w:w="5572" w:type="dxa"/>
          </w:tcPr>
          <w:p w14:paraId="06FFA84D" w14:textId="77777777" w:rsidR="00D3443E" w:rsidRPr="00FA288E" w:rsidRDefault="00D3443E"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iCs/>
                <w:sz w:val="20"/>
                <w:szCs w:val="20"/>
              </w:rPr>
            </w:pPr>
            <w:r w:rsidRPr="00FA288E">
              <w:rPr>
                <w:rFonts w:eastAsia="Calibri" w:cs="Calibri"/>
                <w:iCs/>
                <w:sz w:val="20"/>
                <w:szCs w:val="20"/>
              </w:rPr>
              <w:t xml:space="preserve">Parents/caregivers involved in CLV activities, </w:t>
            </w:r>
            <w:proofErr w:type="spellStart"/>
            <w:r w:rsidRPr="00FA288E">
              <w:rPr>
                <w:rFonts w:eastAsia="Calibri" w:cs="Calibri"/>
                <w:sz w:val="20"/>
                <w:szCs w:val="20"/>
              </w:rPr>
              <w:t>Tuonumbu</w:t>
            </w:r>
            <w:proofErr w:type="spellEnd"/>
            <w:r w:rsidRPr="00FA288E">
              <w:rPr>
                <w:rFonts w:eastAsia="Calibri" w:cs="Calibri"/>
                <w:sz w:val="20"/>
                <w:szCs w:val="20"/>
              </w:rPr>
              <w:t xml:space="preserve"> Elementary</w:t>
            </w:r>
          </w:p>
        </w:tc>
      </w:tr>
      <w:tr w:rsidR="00D3443E" w:rsidRPr="00FA288E" w14:paraId="5C5B86A8"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1F085D9E" w14:textId="77777777" w:rsidR="00D3443E" w:rsidRPr="00FA288E" w:rsidRDefault="00D3443E" w:rsidP="006464C1">
            <w:pPr>
              <w:spacing w:after="120"/>
              <w:rPr>
                <w:rFonts w:eastAsia="Calibri" w:cs="Calibri"/>
                <w:sz w:val="20"/>
                <w:szCs w:val="20"/>
              </w:rPr>
            </w:pPr>
          </w:p>
        </w:tc>
        <w:tc>
          <w:tcPr>
            <w:tcW w:w="2032" w:type="dxa"/>
          </w:tcPr>
          <w:p w14:paraId="1EFC4B85" w14:textId="77777777" w:rsidR="00D3443E" w:rsidRPr="00FA288E" w:rsidRDefault="00D344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16 Women</w:t>
            </w:r>
          </w:p>
        </w:tc>
        <w:tc>
          <w:tcPr>
            <w:tcW w:w="5572" w:type="dxa"/>
          </w:tcPr>
          <w:p w14:paraId="4FE9EDFB" w14:textId="77777777" w:rsidR="00D3443E" w:rsidRPr="00FA288E" w:rsidRDefault="00D3443E"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iCs/>
                <w:sz w:val="20"/>
                <w:szCs w:val="20"/>
              </w:rPr>
              <w:t>Parents/caregivers involved in reading club/</w:t>
            </w:r>
            <w:proofErr w:type="spellStart"/>
            <w:r w:rsidRPr="00FA288E">
              <w:rPr>
                <w:rFonts w:eastAsia="Calibri" w:cs="Calibri"/>
                <w:iCs/>
                <w:sz w:val="20"/>
                <w:szCs w:val="20"/>
              </w:rPr>
              <w:t>SBoM</w:t>
            </w:r>
            <w:proofErr w:type="spellEnd"/>
            <w:r w:rsidRPr="00FA288E">
              <w:rPr>
                <w:rFonts w:eastAsia="Calibri" w:cs="Calibri"/>
                <w:iCs/>
                <w:sz w:val="20"/>
                <w:szCs w:val="20"/>
              </w:rPr>
              <w:t xml:space="preserve"> activities, </w:t>
            </w:r>
            <w:proofErr w:type="spellStart"/>
            <w:r w:rsidRPr="00FA288E">
              <w:rPr>
                <w:rFonts w:eastAsia="Calibri" w:cs="Calibri"/>
                <w:iCs/>
                <w:sz w:val="20"/>
                <w:szCs w:val="20"/>
              </w:rPr>
              <w:t>Gabagaba</w:t>
            </w:r>
            <w:proofErr w:type="spellEnd"/>
            <w:r w:rsidRPr="00FA288E">
              <w:rPr>
                <w:rFonts w:eastAsia="Calibri" w:cs="Calibri"/>
                <w:iCs/>
                <w:sz w:val="20"/>
                <w:szCs w:val="20"/>
              </w:rPr>
              <w:t xml:space="preserve"> Elementary School</w:t>
            </w:r>
          </w:p>
        </w:tc>
      </w:tr>
      <w:tr w:rsidR="00DC6743" w:rsidRPr="00FA288E" w14:paraId="2C0A0741"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3E49B805" w14:textId="77777777" w:rsidR="00DC6743" w:rsidRPr="00FA288E" w:rsidRDefault="00DC6743" w:rsidP="006464C1">
            <w:pPr>
              <w:spacing w:after="120"/>
              <w:rPr>
                <w:rFonts w:eastAsia="Calibri" w:cs="Calibri"/>
                <w:sz w:val="20"/>
                <w:szCs w:val="20"/>
              </w:rPr>
            </w:pPr>
            <w:r w:rsidRPr="00FA288E">
              <w:rPr>
                <w:rFonts w:eastAsia="Calibri" w:cs="Calibri"/>
                <w:sz w:val="20"/>
                <w:szCs w:val="20"/>
              </w:rPr>
              <w:t>Other Donors/</w:t>
            </w:r>
          </w:p>
          <w:p w14:paraId="2D255B41" w14:textId="77777777" w:rsidR="00DC6743" w:rsidRPr="00FA288E" w:rsidRDefault="00DC6743" w:rsidP="006464C1">
            <w:pPr>
              <w:spacing w:after="120"/>
              <w:rPr>
                <w:rFonts w:eastAsia="Calibri" w:cs="Calibri"/>
                <w:sz w:val="20"/>
                <w:szCs w:val="20"/>
              </w:rPr>
            </w:pPr>
            <w:r w:rsidRPr="00FA288E">
              <w:rPr>
                <w:rFonts w:eastAsia="Calibri" w:cs="Calibri"/>
                <w:sz w:val="20"/>
                <w:szCs w:val="20"/>
              </w:rPr>
              <w:t>Programs</w:t>
            </w:r>
          </w:p>
        </w:tc>
        <w:tc>
          <w:tcPr>
            <w:tcW w:w="2032" w:type="dxa"/>
          </w:tcPr>
          <w:p w14:paraId="0D2A9260" w14:textId="77777777" w:rsidR="00DC6743" w:rsidRPr="00FA288E" w:rsidRDefault="00DC6743"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Trish Sawford </w:t>
            </w:r>
          </w:p>
        </w:tc>
        <w:tc>
          <w:tcPr>
            <w:tcW w:w="5572" w:type="dxa"/>
          </w:tcPr>
          <w:p w14:paraId="353E2479" w14:textId="77777777" w:rsidR="00DC6743" w:rsidRPr="00FA288E" w:rsidRDefault="00DC6743"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CEO, Education Capacity Development Facility</w:t>
            </w:r>
          </w:p>
        </w:tc>
      </w:tr>
      <w:tr w:rsidR="00DC6743" w:rsidRPr="00FA288E" w14:paraId="2CC6602F"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17C52587" w14:textId="77777777" w:rsidR="00DC6743" w:rsidRPr="00FA288E" w:rsidRDefault="00DC6743" w:rsidP="006464C1">
            <w:pPr>
              <w:spacing w:after="120"/>
              <w:rPr>
                <w:rFonts w:eastAsia="Calibri" w:cs="Calibri"/>
                <w:sz w:val="20"/>
                <w:szCs w:val="20"/>
              </w:rPr>
            </w:pPr>
          </w:p>
        </w:tc>
        <w:tc>
          <w:tcPr>
            <w:tcW w:w="2032" w:type="dxa"/>
          </w:tcPr>
          <w:p w14:paraId="013D6884" w14:textId="77777777" w:rsidR="00DC6743" w:rsidRPr="00FA288E" w:rsidRDefault="00DC6743"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Oscar Onam</w:t>
            </w:r>
          </w:p>
        </w:tc>
        <w:tc>
          <w:tcPr>
            <w:tcW w:w="5572" w:type="dxa"/>
          </w:tcPr>
          <w:p w14:paraId="2BDF3378" w14:textId="77777777" w:rsidR="00DC6743" w:rsidRPr="00FA288E" w:rsidRDefault="00DC6743"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EMIS Adviser, Education Capacity Development Facility</w:t>
            </w:r>
          </w:p>
        </w:tc>
      </w:tr>
      <w:tr w:rsidR="00DC6743" w:rsidRPr="00FA288E" w14:paraId="308405D4" w14:textId="77777777" w:rsidTr="001D72A5">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5164A508" w14:textId="77777777" w:rsidR="00DC6743" w:rsidRPr="00FA288E" w:rsidRDefault="00DC6743" w:rsidP="006464C1">
            <w:pPr>
              <w:spacing w:after="120"/>
              <w:rPr>
                <w:rFonts w:eastAsia="Calibri" w:cs="Calibri"/>
                <w:sz w:val="20"/>
                <w:szCs w:val="20"/>
              </w:rPr>
            </w:pPr>
          </w:p>
        </w:tc>
        <w:tc>
          <w:tcPr>
            <w:tcW w:w="2032" w:type="dxa"/>
          </w:tcPr>
          <w:p w14:paraId="1D1BFDB6" w14:textId="77777777" w:rsidR="00DC6743" w:rsidRPr="00FA288E" w:rsidRDefault="00DC6743"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Andrew </w:t>
            </w:r>
            <w:proofErr w:type="spellStart"/>
            <w:r w:rsidRPr="00FA288E">
              <w:rPr>
                <w:rFonts w:eastAsia="Calibri" w:cs="Calibri"/>
                <w:sz w:val="20"/>
                <w:szCs w:val="20"/>
              </w:rPr>
              <w:t>Kibblewhite</w:t>
            </w:r>
            <w:proofErr w:type="spellEnd"/>
            <w:r w:rsidRPr="00FA288E">
              <w:rPr>
                <w:rFonts w:eastAsia="Calibri" w:cs="Calibri"/>
                <w:sz w:val="20"/>
                <w:szCs w:val="20"/>
              </w:rPr>
              <w:t xml:space="preserve"> </w:t>
            </w:r>
          </w:p>
        </w:tc>
        <w:tc>
          <w:tcPr>
            <w:tcW w:w="5572" w:type="dxa"/>
          </w:tcPr>
          <w:p w14:paraId="55E0EA29" w14:textId="77777777" w:rsidR="00DC6743" w:rsidRPr="00FA288E" w:rsidRDefault="00DC6743" w:rsidP="006464C1">
            <w:pPr>
              <w:spacing w:after="12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FA288E">
              <w:rPr>
                <w:rFonts w:eastAsia="Calibri" w:cs="Calibri"/>
                <w:sz w:val="20"/>
                <w:szCs w:val="20"/>
              </w:rPr>
              <w:t>M&amp;E Adviser, Education Capacity Development Facility</w:t>
            </w:r>
          </w:p>
        </w:tc>
      </w:tr>
      <w:tr w:rsidR="00DC6743" w:rsidRPr="00FA288E" w14:paraId="309DC146" w14:textId="77777777" w:rsidTr="001D72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8" w:type="dxa"/>
          </w:tcPr>
          <w:p w14:paraId="53E0752C" w14:textId="77777777" w:rsidR="00DC6743" w:rsidRPr="00FA288E" w:rsidRDefault="00DC6743" w:rsidP="006464C1">
            <w:pPr>
              <w:spacing w:after="120"/>
              <w:rPr>
                <w:rFonts w:eastAsia="Calibri" w:cs="Calibri"/>
                <w:sz w:val="20"/>
                <w:szCs w:val="20"/>
              </w:rPr>
            </w:pPr>
          </w:p>
        </w:tc>
        <w:tc>
          <w:tcPr>
            <w:tcW w:w="2032" w:type="dxa"/>
          </w:tcPr>
          <w:p w14:paraId="64FC0D0C" w14:textId="77777777" w:rsidR="00DC6743" w:rsidRPr="00FA288E" w:rsidRDefault="00DC6743"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 xml:space="preserve">Simon Jan </w:t>
            </w:r>
            <w:proofErr w:type="spellStart"/>
            <w:r w:rsidRPr="00FA288E">
              <w:rPr>
                <w:rFonts w:eastAsia="Calibri" w:cs="Calibri"/>
                <w:sz w:val="20"/>
                <w:szCs w:val="20"/>
              </w:rPr>
              <w:t>Molendijk</w:t>
            </w:r>
            <w:proofErr w:type="spellEnd"/>
          </w:p>
        </w:tc>
        <w:tc>
          <w:tcPr>
            <w:tcW w:w="5572" w:type="dxa"/>
          </w:tcPr>
          <w:p w14:paraId="348D6D10" w14:textId="77777777" w:rsidR="00DC6743" w:rsidRPr="00FA288E" w:rsidRDefault="00DC6743" w:rsidP="006464C1">
            <w:p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FA288E">
              <w:rPr>
                <w:rFonts w:eastAsia="Calibri" w:cs="Calibri"/>
                <w:sz w:val="20"/>
                <w:szCs w:val="20"/>
              </w:rPr>
              <w:t>Chief of Education, UNICEF</w:t>
            </w:r>
          </w:p>
        </w:tc>
      </w:tr>
    </w:tbl>
    <w:p w14:paraId="2F0C78B1" w14:textId="77777777" w:rsidR="003E1E3E" w:rsidRPr="00FA288E" w:rsidRDefault="003E1E3E" w:rsidP="003E1E3E">
      <w:pPr>
        <w:spacing w:before="60" w:after="60"/>
        <w:rPr>
          <w:rFonts w:cs="Calibri"/>
          <w:sz w:val="20"/>
          <w:szCs w:val="20"/>
        </w:rPr>
      </w:pPr>
    </w:p>
    <w:p w14:paraId="0C7EE51D" w14:textId="77777777" w:rsidR="00436FDA" w:rsidRPr="00FA288E" w:rsidRDefault="00436FDA" w:rsidP="003E1E3E">
      <w:pPr>
        <w:pStyle w:val="Heading1"/>
        <w:numPr>
          <w:ilvl w:val="0"/>
          <w:numId w:val="0"/>
        </w:numPr>
        <w:jc w:val="both"/>
        <w:sectPr w:rsidR="00436FDA" w:rsidRPr="00FA288E" w:rsidSect="008E376C">
          <w:pgSz w:w="11906" w:h="16838"/>
          <w:pgMar w:top="1418" w:right="1009" w:bottom="1009" w:left="1151" w:header="720" w:footer="720" w:gutter="0"/>
          <w:cols w:space="720"/>
          <w:docGrid w:linePitch="360"/>
        </w:sectPr>
      </w:pPr>
    </w:p>
    <w:p w14:paraId="7B282F98" w14:textId="77777777" w:rsidR="007B3100" w:rsidRPr="00FA288E" w:rsidRDefault="007B3100" w:rsidP="007B3100">
      <w:pPr>
        <w:pStyle w:val="Heading1"/>
        <w:numPr>
          <w:ilvl w:val="0"/>
          <w:numId w:val="0"/>
        </w:numPr>
        <w:jc w:val="both"/>
      </w:pPr>
      <w:bookmarkStart w:id="127" w:name="_Toc31625605"/>
      <w:bookmarkStart w:id="128" w:name="_Toc42075985"/>
      <w:r w:rsidRPr="00FA288E">
        <w:lastRenderedPageBreak/>
        <w:t xml:space="preserve">Annex </w:t>
      </w:r>
      <w:r w:rsidR="003E1E3E" w:rsidRPr="00FA288E">
        <w:t>F</w:t>
      </w:r>
      <w:r w:rsidRPr="00FA288E">
        <w:t>: Analysis of Key Intervention Progress and Results</w:t>
      </w:r>
      <w:bookmarkEnd w:id="127"/>
      <w:bookmarkEnd w:id="128"/>
    </w:p>
    <w:p w14:paraId="4FB6E4E9" w14:textId="77777777" w:rsidR="00436FDA" w:rsidRPr="00FA288E" w:rsidRDefault="00436FDA" w:rsidP="00436FDA">
      <w:pPr>
        <w:spacing w:after="200"/>
        <w:jc w:val="both"/>
        <w:rPr>
          <w:rFonts w:eastAsiaTheme="minorHAnsi" w:cs="Calibri"/>
          <w:sz w:val="20"/>
          <w:szCs w:val="20"/>
        </w:rPr>
      </w:pPr>
      <w:r w:rsidRPr="00FA288E">
        <w:rPr>
          <w:rFonts w:eastAsiaTheme="minorHAnsi" w:cs="Calibri"/>
          <w:sz w:val="20"/>
          <w:szCs w:val="20"/>
        </w:rPr>
        <w:t xml:space="preserve">To provide a better understanding of the common key interventions of the three PPF Education Grants and their variation in implementation and effectiveness, the review team has reviewed in detail the three key interventions considered to be of critical importance. These are: </w:t>
      </w:r>
    </w:p>
    <w:p w14:paraId="3678A0E0" w14:textId="76EC04DD" w:rsidR="00436FDA" w:rsidRPr="00FA288E" w:rsidRDefault="001C1876" w:rsidP="00436FDA">
      <w:pPr>
        <w:spacing w:after="200"/>
        <w:jc w:val="both"/>
        <w:rPr>
          <w:rFonts w:eastAsiaTheme="minorHAnsi" w:cs="Calibri"/>
          <w:sz w:val="20"/>
          <w:szCs w:val="20"/>
        </w:rPr>
      </w:pPr>
      <w:proofErr w:type="spellStart"/>
      <w:r w:rsidRPr="00FA288E">
        <w:rPr>
          <w:rFonts w:eastAsiaTheme="minorHAnsi" w:cs="Calibri"/>
          <w:sz w:val="20"/>
          <w:szCs w:val="20"/>
        </w:rPr>
        <w:t>i</w:t>
      </w:r>
      <w:proofErr w:type="spellEnd"/>
      <w:r w:rsidRPr="00FA288E">
        <w:rPr>
          <w:rFonts w:eastAsiaTheme="minorHAnsi" w:cs="Calibri"/>
          <w:sz w:val="20"/>
          <w:szCs w:val="20"/>
        </w:rPr>
        <w:t>. teacher</w:t>
      </w:r>
      <w:r w:rsidR="00436FDA" w:rsidRPr="00FA288E">
        <w:rPr>
          <w:rFonts w:eastAsiaTheme="minorHAnsi" w:cs="Calibri"/>
          <w:sz w:val="20"/>
          <w:szCs w:val="20"/>
        </w:rPr>
        <w:t xml:space="preserve"> development and support – including teaching resources (Annex </w:t>
      </w:r>
      <w:r w:rsidR="003E1E3E" w:rsidRPr="00FA288E">
        <w:rPr>
          <w:rFonts w:eastAsiaTheme="minorHAnsi" w:cs="Calibri"/>
          <w:sz w:val="20"/>
          <w:szCs w:val="20"/>
        </w:rPr>
        <w:t>F</w:t>
      </w:r>
      <w:r w:rsidR="00436FDA" w:rsidRPr="00FA288E">
        <w:rPr>
          <w:rFonts w:eastAsiaTheme="minorHAnsi" w:cs="Calibri"/>
          <w:sz w:val="20"/>
          <w:szCs w:val="20"/>
        </w:rPr>
        <w:t xml:space="preserve">.1); </w:t>
      </w:r>
    </w:p>
    <w:p w14:paraId="4CC0903C" w14:textId="77777777" w:rsidR="00436FDA" w:rsidRPr="00FA288E" w:rsidRDefault="00436FDA" w:rsidP="00436FDA">
      <w:pPr>
        <w:spacing w:after="200"/>
        <w:jc w:val="both"/>
        <w:rPr>
          <w:rFonts w:eastAsiaTheme="minorHAnsi" w:cs="Calibri"/>
          <w:sz w:val="20"/>
          <w:szCs w:val="20"/>
        </w:rPr>
      </w:pPr>
      <w:r w:rsidRPr="00FA288E">
        <w:rPr>
          <w:rFonts w:eastAsiaTheme="minorHAnsi" w:cs="Calibri"/>
          <w:sz w:val="20"/>
          <w:szCs w:val="20"/>
        </w:rPr>
        <w:t xml:space="preserve">ii. activities designed to encourage reading (Annex </w:t>
      </w:r>
      <w:r w:rsidR="003E1E3E" w:rsidRPr="00FA288E">
        <w:rPr>
          <w:rFonts w:eastAsiaTheme="minorHAnsi" w:cs="Calibri"/>
          <w:sz w:val="20"/>
          <w:szCs w:val="20"/>
        </w:rPr>
        <w:t>F</w:t>
      </w:r>
      <w:r w:rsidRPr="00FA288E">
        <w:rPr>
          <w:rFonts w:eastAsiaTheme="minorHAnsi" w:cs="Calibri"/>
          <w:sz w:val="20"/>
          <w:szCs w:val="20"/>
        </w:rPr>
        <w:t xml:space="preserve">.2); and </w:t>
      </w:r>
    </w:p>
    <w:p w14:paraId="126A25FE" w14:textId="77777777" w:rsidR="00436FDA" w:rsidRPr="00FA288E" w:rsidRDefault="00436FDA" w:rsidP="00436FDA">
      <w:pPr>
        <w:spacing w:after="200"/>
        <w:jc w:val="both"/>
        <w:rPr>
          <w:rFonts w:eastAsiaTheme="minorHAnsi" w:cs="Calibri"/>
          <w:sz w:val="20"/>
          <w:szCs w:val="20"/>
        </w:rPr>
      </w:pPr>
      <w:r w:rsidRPr="00FA288E">
        <w:rPr>
          <w:rFonts w:eastAsiaTheme="minorHAnsi" w:cs="Calibri"/>
          <w:sz w:val="20"/>
          <w:szCs w:val="20"/>
        </w:rPr>
        <w:t xml:space="preserve">iii. school management planning (Annex </w:t>
      </w:r>
      <w:r w:rsidR="003E1E3E" w:rsidRPr="00FA288E">
        <w:rPr>
          <w:rFonts w:eastAsiaTheme="minorHAnsi" w:cs="Calibri"/>
          <w:sz w:val="20"/>
          <w:szCs w:val="20"/>
        </w:rPr>
        <w:t>F</w:t>
      </w:r>
      <w:r w:rsidRPr="00FA288E">
        <w:rPr>
          <w:rFonts w:eastAsiaTheme="minorHAnsi" w:cs="Calibri"/>
          <w:sz w:val="20"/>
          <w:szCs w:val="20"/>
        </w:rPr>
        <w:t xml:space="preserve">.3). </w:t>
      </w:r>
    </w:p>
    <w:p w14:paraId="0D402CBC" w14:textId="77777777" w:rsidR="00436FDA" w:rsidRPr="00FA288E" w:rsidRDefault="00436FDA" w:rsidP="00436FDA">
      <w:pPr>
        <w:spacing w:after="200"/>
        <w:jc w:val="both"/>
        <w:rPr>
          <w:rFonts w:eastAsiaTheme="minorHAnsi" w:cs="Calibri"/>
          <w:sz w:val="20"/>
          <w:szCs w:val="20"/>
        </w:rPr>
      </w:pPr>
      <w:r w:rsidRPr="00FA288E">
        <w:rPr>
          <w:rFonts w:eastAsiaTheme="minorHAnsi" w:cs="Calibri"/>
          <w:sz w:val="20"/>
          <w:szCs w:val="20"/>
        </w:rPr>
        <w:t>While other intervention areas such as parental involvement and inclusive education are important, evidence of progress in these areas is limited and has been presented in the main report, as has the one initiative focusing on ECCE. The discussion of each intervention is organised as follows: 1) the purpose of the intervention; 2) the activities each grantee implemented to achieve the stated purpose; 3) the information provided that indicates successes and challenges encountered in attaining the stated purpose; and 4) what adjustments may be required going forward.</w:t>
      </w:r>
    </w:p>
    <w:p w14:paraId="7200E942" w14:textId="77777777" w:rsidR="00436FDA" w:rsidRPr="00FA288E" w:rsidRDefault="00436FDA" w:rsidP="00436FDA">
      <w:pPr>
        <w:spacing w:after="200"/>
        <w:jc w:val="both"/>
        <w:rPr>
          <w:rFonts w:eastAsiaTheme="minorHAnsi" w:cs="Calibri"/>
          <w:sz w:val="20"/>
          <w:szCs w:val="20"/>
        </w:rPr>
      </w:pPr>
    </w:p>
    <w:p w14:paraId="28017553" w14:textId="77777777" w:rsidR="00436FDA" w:rsidRPr="00FA288E" w:rsidRDefault="00436FDA" w:rsidP="00436FDA">
      <w:pPr>
        <w:keepNext/>
        <w:keepLines/>
        <w:spacing w:before="480" w:after="240"/>
        <w:ind w:left="720"/>
        <w:outlineLvl w:val="0"/>
        <w:rPr>
          <w:rFonts w:eastAsiaTheme="majorEastAsia" w:cs="Calibri"/>
          <w:color w:val="BC1D43"/>
          <w:sz w:val="20"/>
          <w:szCs w:val="20"/>
        </w:rPr>
        <w:sectPr w:rsidR="00436FDA" w:rsidRPr="00FA288E">
          <w:footerReference w:type="default" r:id="rId17"/>
          <w:pgSz w:w="11906" w:h="16838"/>
          <w:pgMar w:top="1440" w:right="1440" w:bottom="1440" w:left="1440" w:header="720" w:footer="720" w:gutter="0"/>
          <w:cols w:space="720"/>
          <w:docGrid w:linePitch="360"/>
        </w:sectPr>
      </w:pPr>
    </w:p>
    <w:p w14:paraId="5AFEBDCD" w14:textId="77777777" w:rsidR="007B3100" w:rsidRPr="00FA288E" w:rsidRDefault="007B3100" w:rsidP="00D872FE">
      <w:pPr>
        <w:pStyle w:val="Heading1"/>
        <w:numPr>
          <w:ilvl w:val="0"/>
          <w:numId w:val="0"/>
        </w:numPr>
        <w:tabs>
          <w:tab w:val="left" w:pos="7020"/>
        </w:tabs>
        <w:jc w:val="both"/>
      </w:pPr>
      <w:bookmarkStart w:id="129" w:name="_Toc31625606"/>
      <w:bookmarkStart w:id="130" w:name="_Toc42075986"/>
      <w:r w:rsidRPr="00FA288E">
        <w:lastRenderedPageBreak/>
        <w:t xml:space="preserve">Annex </w:t>
      </w:r>
      <w:r w:rsidR="003E1E3E" w:rsidRPr="00FA288E">
        <w:t>F</w:t>
      </w:r>
      <w:r w:rsidRPr="00FA288E">
        <w:t>.1: Teacher Development, Support and Resources</w:t>
      </w:r>
      <w:bookmarkEnd w:id="129"/>
      <w:bookmarkEnd w:id="130"/>
    </w:p>
    <w:p w14:paraId="79C45AB4" w14:textId="77777777" w:rsidR="00436FDA" w:rsidRPr="00FA288E" w:rsidRDefault="00436FDA" w:rsidP="007076BD">
      <w:pPr>
        <w:spacing w:after="120"/>
        <w:jc w:val="both"/>
        <w:rPr>
          <w:rFonts w:eastAsiaTheme="minorHAnsi" w:cs="Calibri"/>
          <w:sz w:val="20"/>
          <w:szCs w:val="20"/>
        </w:rPr>
      </w:pPr>
      <w:r w:rsidRPr="00FA288E">
        <w:rPr>
          <w:rFonts w:eastAsiaTheme="minorHAnsi" w:cs="Calibri"/>
          <w:sz w:val="20"/>
          <w:szCs w:val="20"/>
        </w:rPr>
        <w:t xml:space="preserve">Annex </w:t>
      </w:r>
      <w:r w:rsidR="004D5CC1" w:rsidRPr="00FA288E">
        <w:rPr>
          <w:rFonts w:eastAsiaTheme="minorHAnsi" w:cs="Calibri"/>
          <w:sz w:val="20"/>
          <w:szCs w:val="20"/>
        </w:rPr>
        <w:t>F</w:t>
      </w:r>
      <w:r w:rsidRPr="00FA288E">
        <w:rPr>
          <w:rFonts w:eastAsiaTheme="minorHAnsi" w:cs="Calibri"/>
          <w:sz w:val="20"/>
          <w:szCs w:val="20"/>
        </w:rPr>
        <w:t xml:space="preserve">.1 is organised into two sections.  The first section discusses the provision of professional development programs by the different projects and the support provided through monitoring/coaching.  The second section discusses the provision of teaching and learning materials provided to augment the delivery of the SBC. A summary of each grantee’s teacher development, support and teaching and learning resource interventions and their progress is provided in Table </w:t>
      </w:r>
      <w:r w:rsidR="004D5CC1" w:rsidRPr="00FA288E">
        <w:rPr>
          <w:rFonts w:eastAsiaTheme="minorHAnsi" w:cs="Calibri"/>
          <w:sz w:val="20"/>
          <w:szCs w:val="20"/>
        </w:rPr>
        <w:t>F</w:t>
      </w:r>
      <w:r w:rsidRPr="00FA288E">
        <w:rPr>
          <w:rFonts w:eastAsiaTheme="minorHAnsi" w:cs="Calibri"/>
          <w:sz w:val="20"/>
          <w:szCs w:val="20"/>
        </w:rPr>
        <w:t>.1.1 below.</w:t>
      </w:r>
    </w:p>
    <w:p w14:paraId="7CD8A78B" w14:textId="77777777" w:rsidR="00436FDA" w:rsidRPr="00FA288E" w:rsidRDefault="00436FDA" w:rsidP="00436FDA">
      <w:pPr>
        <w:spacing w:after="200"/>
        <w:jc w:val="both"/>
        <w:rPr>
          <w:rFonts w:eastAsiaTheme="minorHAnsi" w:cs="Calibri"/>
          <w:sz w:val="20"/>
          <w:szCs w:val="20"/>
        </w:rPr>
      </w:pPr>
      <w:r w:rsidRPr="00FA288E">
        <w:rPr>
          <w:rFonts w:eastAsiaTheme="minorHAnsi" w:cs="Calibri"/>
          <w:sz w:val="20"/>
          <w:szCs w:val="20"/>
        </w:rPr>
        <w:t>Teacher Development and Support</w:t>
      </w:r>
    </w:p>
    <w:p w14:paraId="1EA07EF4" w14:textId="77777777" w:rsidR="00436FDA" w:rsidRPr="00FA288E" w:rsidRDefault="00436FDA" w:rsidP="00436FDA">
      <w:pPr>
        <w:spacing w:after="200"/>
        <w:jc w:val="both"/>
        <w:rPr>
          <w:rFonts w:eastAsiaTheme="minorHAnsi" w:cs="Calibri"/>
          <w:sz w:val="20"/>
          <w:szCs w:val="20"/>
        </w:rPr>
      </w:pPr>
      <w:r w:rsidRPr="00FA288E">
        <w:rPr>
          <w:rFonts w:eastAsiaTheme="minorHAnsi" w:cs="Calibri"/>
          <w:i/>
          <w:iCs/>
          <w:sz w:val="20"/>
          <w:szCs w:val="20"/>
          <w:u w:val="single"/>
        </w:rPr>
        <w:t>In-service training programs</w:t>
      </w:r>
      <w:r w:rsidRPr="00FA288E">
        <w:rPr>
          <w:rFonts w:eastAsiaTheme="minorHAnsi" w:cs="Calibri"/>
          <w:sz w:val="20"/>
          <w:szCs w:val="20"/>
        </w:rPr>
        <w:t xml:space="preserve">: All grantees, as part of their projects included improved teacher knowledge and skills as an objective and referenced the Standards-Based Curriculum (SBC). The primary modality selected for doing so was through a series of in-service training programs for teachers.  These training programs, in addition to developing the knowledge and skills of teachers in teaching literacy and numeracy, also incorporated a number of cross-cutting issues, most commonly topics on child protection obligations, gender and disability inclusion. All training programs concentrated on introducing and developing teaching strategies that would help teachers to augment the phonics approach that underpins the SBC. For PKS, the training program was directly targeting improvements in the teaching of the SBC, through strengthening the knowledge and skills of teachers to effectively use the SBC teacher guides. For RISE and T4E, the training, while based on the requirements of the SBC, included the introduction of supplementary teaching and learning resources – which will be discussed below. </w:t>
      </w:r>
    </w:p>
    <w:p w14:paraId="0E330912" w14:textId="77777777" w:rsidR="00436FDA" w:rsidRPr="00FA288E" w:rsidRDefault="00436FDA" w:rsidP="00436FDA">
      <w:pPr>
        <w:spacing w:after="200"/>
        <w:jc w:val="both"/>
        <w:rPr>
          <w:rFonts w:eastAsiaTheme="minorHAnsi" w:cs="Calibri"/>
          <w:sz w:val="20"/>
          <w:szCs w:val="20"/>
        </w:rPr>
      </w:pPr>
      <w:r w:rsidRPr="00FA288E">
        <w:rPr>
          <w:rFonts w:eastAsiaTheme="minorHAnsi" w:cs="Calibri"/>
          <w:sz w:val="20"/>
          <w:szCs w:val="20"/>
        </w:rPr>
        <w:t>The RISE project provided 15 days of training over the course of three one-week sessions. PKS and T4E provided 10 days of training (PKS – over three weeks and T4E – over two weeks). RISE, using project trainers, was able to train an average of 3 teachers in each school, while PKS, using a combination of project and district trainers, trained all elementary teachers in the targeted schools. For the T4E project, WV trained one teacher from each school, while Child Fund, due to savings in staffing costs, was able to train all teachers in the target elementary schools in their province. All projects reported that they had included district officials in the training of trainers</w:t>
      </w:r>
      <w:r w:rsidR="00686098" w:rsidRPr="00FA288E">
        <w:rPr>
          <w:rFonts w:eastAsiaTheme="minorHAnsi" w:cs="Calibri"/>
          <w:sz w:val="20"/>
          <w:szCs w:val="20"/>
        </w:rPr>
        <w:t>’</w:t>
      </w:r>
      <w:r w:rsidRPr="00FA288E">
        <w:rPr>
          <w:rFonts w:eastAsiaTheme="minorHAnsi" w:cs="Calibri"/>
          <w:sz w:val="20"/>
          <w:szCs w:val="20"/>
        </w:rPr>
        <w:t xml:space="preserve"> programs to help build the abilities of these officials and had invited these individuals to participate in monitoring visits. </w:t>
      </w:r>
    </w:p>
    <w:p w14:paraId="56EFB461" w14:textId="77777777" w:rsidR="00436FDA" w:rsidRPr="00FA288E" w:rsidRDefault="00436FDA" w:rsidP="00436FDA">
      <w:pPr>
        <w:spacing w:after="200"/>
        <w:jc w:val="both"/>
        <w:rPr>
          <w:rFonts w:eastAsiaTheme="minorHAnsi" w:cs="Calibri"/>
          <w:sz w:val="20"/>
          <w:szCs w:val="20"/>
        </w:rPr>
      </w:pPr>
      <w:r w:rsidRPr="00FA288E">
        <w:rPr>
          <w:rFonts w:eastAsiaTheme="minorHAnsi" w:cs="Calibri"/>
          <w:sz w:val="20"/>
          <w:szCs w:val="20"/>
        </w:rPr>
        <w:t>The intended frequency of monitoring visit to schools to follow-up on the application of the training and to provide additional coaching to teachers varied, with RISE targeting semi-annual visits and T4E targeting quarterly visits. PKS has not reported targets for monitoring frequency. Actual frequency of monitoring the application of training delivered also varied between the three projects, with T4E reporting that monitoring targets of once per quarter are likely to be met.</w:t>
      </w:r>
      <w:r w:rsidRPr="00FA288E">
        <w:rPr>
          <w:rFonts w:eastAsiaTheme="minorHAnsi" w:cs="Calibri"/>
          <w:sz w:val="20"/>
          <w:szCs w:val="20"/>
          <w:vertAlign w:val="superscript"/>
        </w:rPr>
        <w:footnoteReference w:id="97"/>
      </w:r>
      <w:r w:rsidRPr="00FA288E">
        <w:rPr>
          <w:rFonts w:eastAsiaTheme="minorHAnsi" w:cs="Calibri"/>
          <w:sz w:val="20"/>
          <w:szCs w:val="20"/>
        </w:rPr>
        <w:t xml:space="preserve"> All projects faced challenges due to conflicting schedules and ease of access to the schools where trained teachers are located. One option to overcome these challenges was to attempt remote monitoring by mobile phone – although there were connectivity issues with this approach. The district officials who had participated in the training were invited to accompany the project monitoring teams – providing funds (per diems) to enable these officials to participate.</w:t>
      </w:r>
      <w:r w:rsidRPr="00FA288E">
        <w:rPr>
          <w:rFonts w:eastAsiaTheme="minorHAnsi" w:cs="Calibri"/>
          <w:sz w:val="20"/>
          <w:szCs w:val="20"/>
          <w:vertAlign w:val="superscript"/>
        </w:rPr>
        <w:footnoteReference w:id="98"/>
      </w:r>
      <w:r w:rsidRPr="00FA288E">
        <w:rPr>
          <w:rFonts w:eastAsiaTheme="minorHAnsi" w:cs="Calibri"/>
          <w:sz w:val="20"/>
          <w:szCs w:val="20"/>
        </w:rPr>
        <w:t xml:space="preserve"> However, for RISE, district officials did not  </w:t>
      </w:r>
    </w:p>
    <w:p w14:paraId="44E7D9F6" w14:textId="77777777" w:rsidR="00436FDA" w:rsidRPr="00FA288E" w:rsidRDefault="00436FDA" w:rsidP="00436FDA">
      <w:pPr>
        <w:spacing w:after="200"/>
        <w:jc w:val="both"/>
        <w:rPr>
          <w:rFonts w:eastAsiaTheme="minorHAnsi" w:cs="Calibri"/>
          <w:sz w:val="20"/>
          <w:szCs w:val="20"/>
        </w:rPr>
        <w:sectPr w:rsidR="00436FDA" w:rsidRPr="00FA288E">
          <w:pgSz w:w="11906" w:h="16838"/>
          <w:pgMar w:top="1440" w:right="1440" w:bottom="1440" w:left="1440" w:header="720" w:footer="720" w:gutter="0"/>
          <w:cols w:space="720"/>
          <w:docGrid w:linePitch="360"/>
        </w:sectPr>
      </w:pPr>
    </w:p>
    <w:p w14:paraId="0DA17B5A" w14:textId="77777777" w:rsidR="00436FDA" w:rsidRPr="00FA288E" w:rsidRDefault="00436FDA" w:rsidP="00E873A4">
      <w:pPr>
        <w:pStyle w:val="ListParagraph"/>
        <w:keepNext/>
        <w:keepLines/>
        <w:spacing w:before="320" w:after="120"/>
        <w:ind w:left="360" w:firstLine="0"/>
        <w:jc w:val="both"/>
        <w:outlineLvl w:val="1"/>
        <w:rPr>
          <w:rFonts w:ascii="Calibri" w:eastAsiaTheme="majorEastAsia" w:hAnsi="Calibri" w:cs="Calibri"/>
          <w:sz w:val="20"/>
          <w:szCs w:val="20"/>
          <w:lang w:val="en-AU"/>
        </w:rPr>
      </w:pPr>
      <w:bookmarkStart w:id="131" w:name="_Toc26914387"/>
      <w:bookmarkStart w:id="132" w:name="_Toc31625607"/>
      <w:bookmarkStart w:id="133" w:name="_Toc42075987"/>
      <w:r w:rsidRPr="00FA288E">
        <w:rPr>
          <w:rFonts w:ascii="Calibri" w:eastAsiaTheme="majorEastAsia" w:hAnsi="Calibri" w:cs="Calibri"/>
          <w:sz w:val="20"/>
          <w:szCs w:val="20"/>
          <w:lang w:val="en-AU"/>
        </w:rPr>
        <w:lastRenderedPageBreak/>
        <w:t xml:space="preserve">Table </w:t>
      </w:r>
      <w:r w:rsidR="003E1E3E" w:rsidRPr="00FA288E">
        <w:rPr>
          <w:rFonts w:ascii="Calibri" w:eastAsiaTheme="majorEastAsia" w:hAnsi="Calibri" w:cs="Calibri"/>
          <w:sz w:val="20"/>
          <w:szCs w:val="20"/>
          <w:lang w:val="en-AU"/>
        </w:rPr>
        <w:t>F</w:t>
      </w:r>
      <w:r w:rsidRPr="00FA288E">
        <w:rPr>
          <w:rFonts w:ascii="Calibri" w:eastAsiaTheme="majorEastAsia" w:hAnsi="Calibri" w:cs="Calibri"/>
          <w:sz w:val="20"/>
          <w:szCs w:val="20"/>
          <w:lang w:val="en-AU"/>
        </w:rPr>
        <w:t xml:space="preserve">.1.1. </w:t>
      </w:r>
      <w:bookmarkStart w:id="134" w:name="_Hlk26268479"/>
      <w:r w:rsidRPr="00FA288E">
        <w:rPr>
          <w:rFonts w:ascii="Calibri" w:eastAsiaTheme="majorEastAsia" w:hAnsi="Calibri" w:cs="Calibri"/>
          <w:sz w:val="20"/>
          <w:szCs w:val="20"/>
          <w:lang w:val="en-AU"/>
        </w:rPr>
        <w:t xml:space="preserve">Summary of PPF </w:t>
      </w:r>
      <w:r w:rsidR="00523A75" w:rsidRPr="00FA288E">
        <w:rPr>
          <w:rFonts w:ascii="Calibri" w:eastAsiaTheme="majorEastAsia" w:hAnsi="Calibri" w:cs="Calibri"/>
          <w:sz w:val="20"/>
          <w:szCs w:val="20"/>
          <w:lang w:val="en-AU"/>
        </w:rPr>
        <w:t>g</w:t>
      </w:r>
      <w:r w:rsidRPr="00FA288E">
        <w:rPr>
          <w:rFonts w:ascii="Calibri" w:eastAsiaTheme="majorEastAsia" w:hAnsi="Calibri" w:cs="Calibri"/>
          <w:sz w:val="20"/>
          <w:szCs w:val="20"/>
          <w:lang w:val="en-AU"/>
        </w:rPr>
        <w:t>rantee interventions on teacher development, support and teaching and learning resources</w:t>
      </w:r>
      <w:bookmarkEnd w:id="131"/>
      <w:bookmarkEnd w:id="132"/>
      <w:bookmarkEnd w:id="133"/>
      <w:bookmarkEnd w:id="134"/>
    </w:p>
    <w:tbl>
      <w:tblPr>
        <w:tblStyle w:val="TableGrid"/>
        <w:tblW w:w="14998" w:type="dxa"/>
        <w:tblInd w:w="-289" w:type="dxa"/>
        <w:tblLayout w:type="fixed"/>
        <w:tblLook w:val="04A0" w:firstRow="1" w:lastRow="0" w:firstColumn="1" w:lastColumn="0" w:noHBand="0" w:noVBand="1"/>
        <w:tblCaption w:val="Table F.1.1. Summary of PPF grantee interventions on teacher development, support and teaching and learning resources"/>
      </w:tblPr>
      <w:tblGrid>
        <w:gridCol w:w="1531"/>
        <w:gridCol w:w="4243"/>
        <w:gridCol w:w="4410"/>
        <w:gridCol w:w="4814"/>
      </w:tblGrid>
      <w:tr w:rsidR="00436FDA" w:rsidRPr="00FA288E" w14:paraId="3E06E046" w14:textId="77777777" w:rsidTr="00436FDA">
        <w:trPr>
          <w:tblHeader/>
        </w:trPr>
        <w:tc>
          <w:tcPr>
            <w:tcW w:w="1531" w:type="dxa"/>
            <w:shd w:val="clear" w:color="auto" w:fill="262626" w:themeFill="text1" w:themeFillTint="D9"/>
          </w:tcPr>
          <w:p w14:paraId="0705DC07" w14:textId="77777777" w:rsidR="00436FDA" w:rsidRPr="003B2316" w:rsidRDefault="00436FDA" w:rsidP="00436FDA">
            <w:pPr>
              <w:rPr>
                <w:rFonts w:eastAsiaTheme="minorHAnsi" w:cs="Calibri"/>
                <w:b/>
                <w:bCs/>
                <w:sz w:val="18"/>
                <w:szCs w:val="18"/>
                <w:lang w:val="en-AU"/>
              </w:rPr>
            </w:pPr>
            <w:bookmarkStart w:id="135" w:name="_Hlk26268664"/>
          </w:p>
        </w:tc>
        <w:tc>
          <w:tcPr>
            <w:tcW w:w="4243" w:type="dxa"/>
            <w:shd w:val="clear" w:color="auto" w:fill="262626" w:themeFill="text1" w:themeFillTint="D9"/>
          </w:tcPr>
          <w:p w14:paraId="06D6B217" w14:textId="77777777" w:rsidR="00436FDA" w:rsidRPr="003B2316" w:rsidRDefault="00436FDA" w:rsidP="00436FDA">
            <w:pPr>
              <w:rPr>
                <w:rFonts w:eastAsiaTheme="minorHAnsi" w:cs="Calibri"/>
                <w:b/>
                <w:bCs/>
                <w:sz w:val="18"/>
                <w:szCs w:val="18"/>
                <w:lang w:val="en-AU"/>
              </w:rPr>
            </w:pPr>
            <w:r w:rsidRPr="003B2316">
              <w:rPr>
                <w:rFonts w:eastAsiaTheme="minorHAnsi" w:cs="Calibri"/>
                <w:b/>
                <w:bCs/>
                <w:sz w:val="18"/>
                <w:szCs w:val="18"/>
                <w:lang w:val="en-AU"/>
              </w:rPr>
              <w:t xml:space="preserve">CARE – </w:t>
            </w:r>
            <w:proofErr w:type="spellStart"/>
            <w:r w:rsidRPr="003B2316">
              <w:rPr>
                <w:rFonts w:eastAsiaTheme="minorHAnsi" w:cs="Calibri"/>
                <w:b/>
                <w:bCs/>
                <w:sz w:val="18"/>
                <w:szCs w:val="18"/>
                <w:lang w:val="en-AU"/>
              </w:rPr>
              <w:t>Pikini</w:t>
            </w:r>
            <w:r w:rsidR="00F34C8F" w:rsidRPr="003B2316">
              <w:rPr>
                <w:rFonts w:eastAsiaTheme="minorHAnsi" w:cs="Calibri"/>
                <w:b/>
                <w:bCs/>
                <w:sz w:val="18"/>
                <w:szCs w:val="18"/>
                <w:lang w:val="en-AU"/>
              </w:rPr>
              <w:t>ni</w:t>
            </w:r>
            <w:proofErr w:type="spellEnd"/>
            <w:r w:rsidRPr="003B2316">
              <w:rPr>
                <w:rFonts w:eastAsiaTheme="minorHAnsi" w:cs="Calibri"/>
                <w:b/>
                <w:bCs/>
                <w:sz w:val="18"/>
                <w:szCs w:val="18"/>
                <w:lang w:val="en-AU"/>
              </w:rPr>
              <w:t xml:space="preserve"> </w:t>
            </w:r>
            <w:proofErr w:type="spellStart"/>
            <w:r w:rsidRPr="003B2316">
              <w:rPr>
                <w:rFonts w:eastAsiaTheme="minorHAnsi" w:cs="Calibri"/>
                <w:b/>
                <w:bCs/>
                <w:sz w:val="18"/>
                <w:szCs w:val="18"/>
                <w:lang w:val="en-AU"/>
              </w:rPr>
              <w:t>Kisim</w:t>
            </w:r>
            <w:proofErr w:type="spellEnd"/>
            <w:r w:rsidRPr="003B2316">
              <w:rPr>
                <w:rFonts w:eastAsiaTheme="minorHAnsi" w:cs="Calibri"/>
                <w:b/>
                <w:bCs/>
                <w:sz w:val="18"/>
                <w:szCs w:val="18"/>
                <w:lang w:val="en-AU"/>
              </w:rPr>
              <w:t xml:space="preserve"> Save (PKS)</w:t>
            </w:r>
          </w:p>
        </w:tc>
        <w:tc>
          <w:tcPr>
            <w:tcW w:w="4410" w:type="dxa"/>
            <w:shd w:val="clear" w:color="auto" w:fill="262626" w:themeFill="text1" w:themeFillTint="D9"/>
          </w:tcPr>
          <w:p w14:paraId="757AE303" w14:textId="77777777" w:rsidR="00436FDA" w:rsidRPr="003B2316" w:rsidRDefault="00436FDA" w:rsidP="00436FDA">
            <w:pPr>
              <w:rPr>
                <w:rFonts w:eastAsiaTheme="minorHAnsi" w:cs="Calibri"/>
                <w:b/>
                <w:bCs/>
                <w:sz w:val="18"/>
                <w:szCs w:val="18"/>
                <w:lang w:val="en-AU"/>
              </w:rPr>
            </w:pPr>
            <w:r w:rsidRPr="003B2316">
              <w:rPr>
                <w:rFonts w:eastAsiaTheme="minorHAnsi" w:cs="Calibri"/>
                <w:b/>
                <w:bCs/>
                <w:sz w:val="18"/>
                <w:szCs w:val="18"/>
                <w:lang w:val="en-AU"/>
              </w:rPr>
              <w:t>STC – Rapidly Improving Standards in Education (RISE)</w:t>
            </w:r>
          </w:p>
        </w:tc>
        <w:tc>
          <w:tcPr>
            <w:tcW w:w="4814" w:type="dxa"/>
            <w:shd w:val="clear" w:color="auto" w:fill="262626" w:themeFill="text1" w:themeFillTint="D9"/>
          </w:tcPr>
          <w:p w14:paraId="0663CEF2" w14:textId="77777777" w:rsidR="00436FDA" w:rsidRPr="003B2316" w:rsidRDefault="00436FDA" w:rsidP="00436FDA">
            <w:pPr>
              <w:rPr>
                <w:rFonts w:eastAsiaTheme="minorHAnsi" w:cs="Calibri"/>
                <w:b/>
                <w:bCs/>
                <w:sz w:val="18"/>
                <w:szCs w:val="18"/>
                <w:lang w:val="en-AU"/>
              </w:rPr>
            </w:pPr>
            <w:r w:rsidRPr="003B2316">
              <w:rPr>
                <w:rFonts w:eastAsiaTheme="minorHAnsi" w:cs="Calibri"/>
                <w:b/>
                <w:bCs/>
                <w:sz w:val="18"/>
                <w:szCs w:val="18"/>
                <w:lang w:val="en-AU"/>
              </w:rPr>
              <w:t>WV – Together for Education (T4E)</w:t>
            </w:r>
          </w:p>
        </w:tc>
      </w:tr>
      <w:tr w:rsidR="00436FDA" w:rsidRPr="00FA288E" w14:paraId="0B1F6702" w14:textId="77777777" w:rsidTr="00436FDA">
        <w:tc>
          <w:tcPr>
            <w:tcW w:w="1531" w:type="dxa"/>
            <w:shd w:val="clear" w:color="auto" w:fill="262626" w:themeFill="text1" w:themeFillTint="D9"/>
          </w:tcPr>
          <w:p w14:paraId="28D6A669"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Consortium</w:t>
            </w:r>
          </w:p>
        </w:tc>
        <w:tc>
          <w:tcPr>
            <w:tcW w:w="4243" w:type="dxa"/>
            <w:shd w:val="clear" w:color="auto" w:fill="auto"/>
          </w:tcPr>
          <w:p w14:paraId="4DBAE0D6"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Queensland University of Technology; Adventist Development Relief Agency (ADRA); University of Goroka</w:t>
            </w:r>
          </w:p>
        </w:tc>
        <w:tc>
          <w:tcPr>
            <w:tcW w:w="4410" w:type="dxa"/>
            <w:shd w:val="clear" w:color="auto" w:fill="auto"/>
          </w:tcPr>
          <w:p w14:paraId="155051A7"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Callan Services for Persons with Disabilities - National Unit; Summer Institute of Linguistics – Papua New Guinea Branch (SIL)</w:t>
            </w:r>
          </w:p>
        </w:tc>
        <w:tc>
          <w:tcPr>
            <w:tcW w:w="4814" w:type="dxa"/>
            <w:shd w:val="clear" w:color="auto" w:fill="auto"/>
          </w:tcPr>
          <w:p w14:paraId="45593A53"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Child Fund, Consultative Implementation and Monitoring Council (CIMC), Library for All, University of Canberra</w:t>
            </w:r>
          </w:p>
        </w:tc>
      </w:tr>
      <w:tr w:rsidR="00436FDA" w:rsidRPr="00FA288E" w14:paraId="1C81BAD5" w14:textId="77777777" w:rsidTr="00436FDA">
        <w:tc>
          <w:tcPr>
            <w:tcW w:w="1531" w:type="dxa"/>
            <w:shd w:val="clear" w:color="auto" w:fill="262626" w:themeFill="text1" w:themeFillTint="D9"/>
          </w:tcPr>
          <w:p w14:paraId="4EBF7DEF"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Goal</w:t>
            </w:r>
          </w:p>
        </w:tc>
        <w:tc>
          <w:tcPr>
            <w:tcW w:w="4243" w:type="dxa"/>
            <w:shd w:val="clear" w:color="auto" w:fill="auto"/>
          </w:tcPr>
          <w:p w14:paraId="234F1B3C"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All children, including girls and children with disabilities, have improved access to quality elementary education …</w:t>
            </w:r>
          </w:p>
        </w:tc>
        <w:tc>
          <w:tcPr>
            <w:tcW w:w="4410" w:type="dxa"/>
            <w:shd w:val="clear" w:color="auto" w:fill="auto"/>
          </w:tcPr>
          <w:p w14:paraId="2CD4855F"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RISE PNG will improve the quality of learning outcomes for children aged four to eight years …</w:t>
            </w:r>
          </w:p>
        </w:tc>
        <w:tc>
          <w:tcPr>
            <w:tcW w:w="4814" w:type="dxa"/>
            <w:shd w:val="clear" w:color="auto" w:fill="auto"/>
          </w:tcPr>
          <w:p w14:paraId="700D464E"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Girls and boys access and complete a quality elementary</w:t>
            </w:r>
          </w:p>
          <w:p w14:paraId="484F1266"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education focused on learning and literacy…</w:t>
            </w:r>
          </w:p>
        </w:tc>
      </w:tr>
      <w:tr w:rsidR="00436FDA" w:rsidRPr="00FA288E" w14:paraId="3F53CD9B" w14:textId="77777777" w:rsidTr="00436FDA">
        <w:tc>
          <w:tcPr>
            <w:tcW w:w="1531" w:type="dxa"/>
            <w:shd w:val="clear" w:color="auto" w:fill="262626" w:themeFill="text1" w:themeFillTint="D9"/>
          </w:tcPr>
          <w:p w14:paraId="37E946CF"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Teacher related EOPOs</w:t>
            </w:r>
          </w:p>
        </w:tc>
        <w:tc>
          <w:tcPr>
            <w:tcW w:w="4243" w:type="dxa"/>
            <w:shd w:val="clear" w:color="auto" w:fill="auto"/>
          </w:tcPr>
          <w:p w14:paraId="0B4E4D57"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Outcome 1: Children attending elementary school demonstrate improved English and Maths learning outcomes.</w:t>
            </w:r>
          </w:p>
        </w:tc>
        <w:tc>
          <w:tcPr>
            <w:tcW w:w="4410" w:type="dxa"/>
            <w:shd w:val="clear" w:color="auto" w:fill="auto"/>
          </w:tcPr>
          <w:p w14:paraId="55F9C9C9"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Outcome 1. Improved literacy and numeracy learning outcomes for elementary -aged students.</w:t>
            </w:r>
          </w:p>
        </w:tc>
        <w:tc>
          <w:tcPr>
            <w:tcW w:w="4814" w:type="dxa"/>
            <w:shd w:val="clear" w:color="auto" w:fill="auto"/>
          </w:tcPr>
          <w:p w14:paraId="6ABF1349"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Outcome 2: Increased adoption by teachers of effective practices for age-appropriate elementary literacy instruction and classroom management.</w:t>
            </w:r>
          </w:p>
        </w:tc>
      </w:tr>
      <w:tr w:rsidR="00436FDA" w:rsidRPr="00FA288E" w14:paraId="7B373EE7" w14:textId="77777777" w:rsidTr="00436FDA">
        <w:tc>
          <w:tcPr>
            <w:tcW w:w="1531" w:type="dxa"/>
            <w:shd w:val="clear" w:color="auto" w:fill="262626" w:themeFill="text1" w:themeFillTint="D9"/>
          </w:tcPr>
          <w:p w14:paraId="0D039757"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Related Intermediate Outcomes</w:t>
            </w:r>
          </w:p>
        </w:tc>
        <w:tc>
          <w:tcPr>
            <w:tcW w:w="4243" w:type="dxa"/>
            <w:shd w:val="clear" w:color="auto" w:fill="auto"/>
          </w:tcPr>
          <w:p w14:paraId="5DD1AAE3"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1.1 Teachers are using better skills and knowledge to teach t</w:t>
            </w:r>
            <w:r w:rsidR="00924B48" w:rsidRPr="00FA288E">
              <w:rPr>
                <w:rFonts w:eastAsiaTheme="minorHAnsi" w:cs="Calibri"/>
                <w:sz w:val="18"/>
                <w:szCs w:val="18"/>
                <w:lang w:val="en-AU"/>
              </w:rPr>
              <w:t xml:space="preserve">he </w:t>
            </w:r>
            <w:r w:rsidRPr="00FA288E">
              <w:rPr>
                <w:rFonts w:eastAsiaTheme="minorHAnsi" w:cs="Calibri"/>
                <w:sz w:val="18"/>
                <w:szCs w:val="18"/>
                <w:lang w:val="en-AU"/>
              </w:rPr>
              <w:t>SBC English and Maths syllabuses</w:t>
            </w:r>
          </w:p>
        </w:tc>
        <w:tc>
          <w:tcPr>
            <w:tcW w:w="4410" w:type="dxa"/>
            <w:shd w:val="clear" w:color="auto" w:fill="auto"/>
          </w:tcPr>
          <w:p w14:paraId="4F95AED7"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1.1 Elementary teachers demonstrate confidence and competence teaching and assessing SBC English, Language and Maths</w:t>
            </w:r>
          </w:p>
        </w:tc>
        <w:tc>
          <w:tcPr>
            <w:tcW w:w="4814" w:type="dxa"/>
            <w:shd w:val="clear" w:color="auto" w:fill="auto"/>
          </w:tcPr>
          <w:p w14:paraId="3C6148EB"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2.1 Teachers using gender-sensitive, age-appropriate and inclusive teaching strategies/practices</w:t>
            </w:r>
          </w:p>
        </w:tc>
      </w:tr>
      <w:tr w:rsidR="00436FDA" w:rsidRPr="00FA288E" w14:paraId="1B28114B" w14:textId="77777777" w:rsidTr="00436FDA">
        <w:tc>
          <w:tcPr>
            <w:tcW w:w="1531" w:type="dxa"/>
            <w:shd w:val="clear" w:color="auto" w:fill="262626" w:themeFill="text1" w:themeFillTint="D9"/>
          </w:tcPr>
          <w:p w14:paraId="11751477" w14:textId="77777777" w:rsidR="00436FDA" w:rsidRPr="00FA288E" w:rsidRDefault="00436FDA" w:rsidP="00436FDA">
            <w:pPr>
              <w:rPr>
                <w:rFonts w:eastAsiaTheme="minorHAnsi" w:cs="Calibri"/>
                <w:sz w:val="18"/>
                <w:szCs w:val="18"/>
                <w:lang w:val="en-AU"/>
              </w:rPr>
            </w:pPr>
          </w:p>
        </w:tc>
        <w:tc>
          <w:tcPr>
            <w:tcW w:w="4243" w:type="dxa"/>
            <w:shd w:val="clear" w:color="auto" w:fill="auto"/>
          </w:tcPr>
          <w:p w14:paraId="539EC61D" w14:textId="77777777" w:rsidR="00436FDA" w:rsidRPr="00FA288E" w:rsidRDefault="00436FDA" w:rsidP="00436FDA">
            <w:pPr>
              <w:rPr>
                <w:rFonts w:eastAsiaTheme="minorHAnsi" w:cs="Calibri"/>
                <w:sz w:val="18"/>
                <w:szCs w:val="18"/>
                <w:lang w:val="en-AU"/>
              </w:rPr>
            </w:pPr>
          </w:p>
        </w:tc>
        <w:tc>
          <w:tcPr>
            <w:tcW w:w="4410" w:type="dxa"/>
            <w:shd w:val="clear" w:color="auto" w:fill="auto"/>
          </w:tcPr>
          <w:p w14:paraId="0D2318CF" w14:textId="77777777" w:rsidR="00436FDA" w:rsidRPr="00FA288E" w:rsidRDefault="00436FDA" w:rsidP="00436FDA">
            <w:pPr>
              <w:rPr>
                <w:rFonts w:eastAsiaTheme="minorHAnsi" w:cs="Calibri"/>
                <w:sz w:val="18"/>
                <w:szCs w:val="18"/>
                <w:lang w:val="en-AU"/>
              </w:rPr>
            </w:pPr>
          </w:p>
        </w:tc>
        <w:tc>
          <w:tcPr>
            <w:tcW w:w="4814" w:type="dxa"/>
            <w:shd w:val="clear" w:color="auto" w:fill="auto"/>
          </w:tcPr>
          <w:p w14:paraId="167B819D"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 xml:space="preserve">2.3 Increase in </w:t>
            </w:r>
            <w:r w:rsidR="00A07B4A" w:rsidRPr="00FA288E">
              <w:rPr>
                <w:rFonts w:eastAsiaTheme="minorHAnsi" w:cs="Calibri"/>
                <w:sz w:val="18"/>
                <w:szCs w:val="18"/>
                <w:lang w:val="en-AU"/>
              </w:rPr>
              <w:t>abil</w:t>
            </w:r>
            <w:r w:rsidRPr="00FA288E">
              <w:rPr>
                <w:rFonts w:eastAsiaTheme="minorHAnsi" w:cs="Calibri"/>
                <w:sz w:val="18"/>
                <w:szCs w:val="18"/>
                <w:lang w:val="en-AU"/>
              </w:rPr>
              <w:t>ity of district and provincial personnel and resource teachers to conduct lesson observations and coaching</w:t>
            </w:r>
          </w:p>
        </w:tc>
      </w:tr>
      <w:tr w:rsidR="00436FDA" w:rsidRPr="00FA288E" w14:paraId="142D0FD5" w14:textId="77777777" w:rsidTr="00436FDA">
        <w:tc>
          <w:tcPr>
            <w:tcW w:w="1531" w:type="dxa"/>
            <w:shd w:val="clear" w:color="auto" w:fill="262626" w:themeFill="text1" w:themeFillTint="D9"/>
          </w:tcPr>
          <w:p w14:paraId="6B2C38FE" w14:textId="77777777" w:rsidR="00436FDA" w:rsidRPr="00FA288E" w:rsidRDefault="00436FDA" w:rsidP="00436FDA">
            <w:pPr>
              <w:rPr>
                <w:rFonts w:eastAsiaTheme="minorHAnsi" w:cs="Calibri"/>
                <w:sz w:val="18"/>
                <w:szCs w:val="18"/>
                <w:lang w:val="en-AU"/>
              </w:rPr>
            </w:pPr>
          </w:p>
        </w:tc>
        <w:tc>
          <w:tcPr>
            <w:tcW w:w="4243" w:type="dxa"/>
            <w:shd w:val="clear" w:color="auto" w:fill="auto"/>
          </w:tcPr>
          <w:p w14:paraId="1A9364CF" w14:textId="77777777" w:rsidR="00436FDA" w:rsidRPr="00FA288E" w:rsidRDefault="00436FDA" w:rsidP="00436FDA">
            <w:pPr>
              <w:rPr>
                <w:rFonts w:eastAsiaTheme="minorHAnsi" w:cs="Calibri"/>
                <w:sz w:val="18"/>
                <w:szCs w:val="18"/>
                <w:lang w:val="en-AU"/>
              </w:rPr>
            </w:pPr>
          </w:p>
        </w:tc>
        <w:tc>
          <w:tcPr>
            <w:tcW w:w="4410" w:type="dxa"/>
            <w:shd w:val="clear" w:color="auto" w:fill="auto"/>
          </w:tcPr>
          <w:p w14:paraId="238F087B" w14:textId="77777777" w:rsidR="00436FDA" w:rsidRPr="00FA288E" w:rsidRDefault="00436FDA" w:rsidP="00436FDA">
            <w:pPr>
              <w:rPr>
                <w:rFonts w:eastAsiaTheme="minorHAnsi" w:cs="Calibri"/>
                <w:sz w:val="18"/>
                <w:szCs w:val="18"/>
                <w:lang w:val="en-AU"/>
              </w:rPr>
            </w:pPr>
          </w:p>
        </w:tc>
        <w:tc>
          <w:tcPr>
            <w:tcW w:w="4814" w:type="dxa"/>
            <w:shd w:val="clear" w:color="auto" w:fill="auto"/>
          </w:tcPr>
          <w:p w14:paraId="414521C3"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3.2 Teachers using Teaching Resource Kits including SBC in the classroom</w:t>
            </w:r>
          </w:p>
        </w:tc>
      </w:tr>
      <w:tr w:rsidR="00436FDA" w:rsidRPr="00FA288E" w14:paraId="6BB3D558" w14:textId="77777777" w:rsidTr="00436FDA">
        <w:tc>
          <w:tcPr>
            <w:tcW w:w="1531" w:type="dxa"/>
            <w:shd w:val="clear" w:color="auto" w:fill="262626" w:themeFill="text1" w:themeFillTint="D9"/>
          </w:tcPr>
          <w:p w14:paraId="1FC517A0"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Outputs</w:t>
            </w:r>
          </w:p>
        </w:tc>
        <w:tc>
          <w:tcPr>
            <w:tcW w:w="4243" w:type="dxa"/>
            <w:shd w:val="clear" w:color="auto" w:fill="auto"/>
          </w:tcPr>
          <w:p w14:paraId="67282645"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1.1.1 SBC in-service training for elementary teachers</w:t>
            </w:r>
          </w:p>
          <w:p w14:paraId="0A511A68"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1.1.2. Upgraded qualifications for selected elementary teachers and education stakeholder officers</w:t>
            </w:r>
          </w:p>
          <w:p w14:paraId="646ECC7D"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1,2.2 Teachers receive SBC and reading materials through mobile technology</w:t>
            </w:r>
          </w:p>
          <w:p w14:paraId="09A7C6E8"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2.1.3. Women in remote LLGs matriculate and enrol in pre-service Certificate of Elementary Teaching</w:t>
            </w:r>
          </w:p>
        </w:tc>
        <w:tc>
          <w:tcPr>
            <w:tcW w:w="4410" w:type="dxa"/>
            <w:shd w:val="clear" w:color="auto" w:fill="auto"/>
          </w:tcPr>
          <w:p w14:paraId="0486708D"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1.1.1 Eight modules of SBC Literacy Boost revised and updated</w:t>
            </w:r>
          </w:p>
          <w:p w14:paraId="34988287"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1.1.2 Four modules of SBC Numeracy Boost revised and updated</w:t>
            </w:r>
          </w:p>
          <w:p w14:paraId="59D43C73"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1.1.3 Elementary teachers complete 100 hours of in-service professional development and coaching in literacy and numeracy instruction and assessment</w:t>
            </w:r>
          </w:p>
          <w:p w14:paraId="3E1FE597" w14:textId="753DB3C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 xml:space="preserve">1.1.4 Baseline, midline and </w:t>
            </w:r>
            <w:r w:rsidR="00FA288E">
              <w:rPr>
                <w:rFonts w:eastAsiaTheme="minorHAnsi" w:cs="Calibri"/>
                <w:sz w:val="18"/>
                <w:szCs w:val="18"/>
                <w:lang w:val="en-AU"/>
              </w:rPr>
              <w:t>end line</w:t>
            </w:r>
            <w:r w:rsidRPr="00FA288E">
              <w:rPr>
                <w:rFonts w:eastAsiaTheme="minorHAnsi" w:cs="Calibri"/>
                <w:sz w:val="18"/>
                <w:szCs w:val="18"/>
                <w:lang w:val="en-AU"/>
              </w:rPr>
              <w:t xml:space="preserve"> study of teacher competency</w:t>
            </w:r>
          </w:p>
          <w:p w14:paraId="68B79537"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1.4.3. Elementary teachers trained in SBC assessment and reporting</w:t>
            </w:r>
          </w:p>
          <w:p w14:paraId="65E44422"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3.1.3 Teachers trained in screening, referring and supporting children with learning difficulties</w:t>
            </w:r>
          </w:p>
          <w:p w14:paraId="0116AE70"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3.1.4 Teachers trained in ‘Reach and Match’ learning kit and inquiry-based learning games</w:t>
            </w:r>
          </w:p>
        </w:tc>
        <w:tc>
          <w:tcPr>
            <w:tcW w:w="4814" w:type="dxa"/>
            <w:shd w:val="clear" w:color="auto" w:fill="auto"/>
          </w:tcPr>
          <w:p w14:paraId="5E2EA93F" w14:textId="77777777" w:rsidR="00436FDA" w:rsidRPr="00FA288E" w:rsidRDefault="00436FDA" w:rsidP="00436FDA">
            <w:pPr>
              <w:tabs>
                <w:tab w:val="left" w:pos="915"/>
              </w:tabs>
              <w:rPr>
                <w:rFonts w:eastAsiaTheme="minorHAnsi" w:cs="Calibri"/>
                <w:sz w:val="18"/>
                <w:szCs w:val="18"/>
                <w:lang w:val="en-AU"/>
              </w:rPr>
            </w:pPr>
            <w:r w:rsidRPr="00FA288E">
              <w:rPr>
                <w:rFonts w:eastAsiaTheme="minorHAnsi" w:cs="Calibri"/>
                <w:sz w:val="18"/>
                <w:szCs w:val="18"/>
                <w:lang w:val="en-AU"/>
              </w:rPr>
              <w:t>2.1.1 Teachers received in-service training and follow-up mentoring and coaching</w:t>
            </w:r>
          </w:p>
          <w:p w14:paraId="3F1FB652" w14:textId="77777777" w:rsidR="00436FDA" w:rsidRPr="00FA288E" w:rsidRDefault="00436FDA" w:rsidP="00436FDA">
            <w:pPr>
              <w:tabs>
                <w:tab w:val="left" w:pos="915"/>
              </w:tabs>
              <w:rPr>
                <w:rFonts w:eastAsiaTheme="minorHAnsi" w:cs="Calibri"/>
                <w:sz w:val="18"/>
                <w:szCs w:val="18"/>
                <w:lang w:val="en-AU"/>
              </w:rPr>
            </w:pPr>
            <w:r w:rsidRPr="00FA288E">
              <w:rPr>
                <w:rFonts w:eastAsiaTheme="minorHAnsi" w:cs="Calibri"/>
                <w:sz w:val="18"/>
                <w:szCs w:val="18"/>
                <w:lang w:val="en-AU"/>
              </w:rPr>
              <w:t>2.1.2 District/provincial personnel received training and participating in ongoing monitoring visits</w:t>
            </w:r>
          </w:p>
          <w:p w14:paraId="3EA24453" w14:textId="77777777" w:rsidR="00436FDA" w:rsidRPr="00FA288E" w:rsidRDefault="00436FDA" w:rsidP="00436FDA">
            <w:pPr>
              <w:tabs>
                <w:tab w:val="left" w:pos="915"/>
              </w:tabs>
              <w:rPr>
                <w:rFonts w:eastAsiaTheme="minorHAnsi" w:cs="Calibri"/>
                <w:sz w:val="18"/>
                <w:szCs w:val="18"/>
                <w:lang w:val="en-AU"/>
              </w:rPr>
            </w:pPr>
            <w:r w:rsidRPr="00FA288E">
              <w:rPr>
                <w:rFonts w:eastAsiaTheme="minorHAnsi" w:cs="Calibri"/>
                <w:sz w:val="18"/>
                <w:szCs w:val="18"/>
                <w:lang w:val="en-AU"/>
              </w:rPr>
              <w:t>2.1.3 Resource teachers trained and mentored in additional methods on lesson observations and coaching</w:t>
            </w:r>
          </w:p>
          <w:p w14:paraId="72240A80" w14:textId="77777777" w:rsidR="00436FDA" w:rsidRPr="00FA288E" w:rsidRDefault="00436FDA" w:rsidP="00436FDA">
            <w:pPr>
              <w:tabs>
                <w:tab w:val="left" w:pos="915"/>
              </w:tabs>
              <w:rPr>
                <w:rFonts w:eastAsiaTheme="minorHAnsi" w:cs="Calibri"/>
                <w:sz w:val="18"/>
                <w:szCs w:val="18"/>
                <w:lang w:val="en-AU"/>
              </w:rPr>
            </w:pPr>
            <w:r w:rsidRPr="00FA288E">
              <w:rPr>
                <w:rFonts w:eastAsiaTheme="minorHAnsi" w:cs="Calibri"/>
                <w:sz w:val="18"/>
                <w:szCs w:val="18"/>
                <w:lang w:val="en-AU"/>
              </w:rPr>
              <w:t>3.2 Teachers provided with teaching resource kits for use in the classroom.</w:t>
            </w:r>
          </w:p>
        </w:tc>
      </w:tr>
      <w:tr w:rsidR="00436FDA" w:rsidRPr="00FA288E" w14:paraId="5516AE3E" w14:textId="77777777" w:rsidTr="00436FDA">
        <w:trPr>
          <w:trHeight w:val="1587"/>
        </w:trPr>
        <w:tc>
          <w:tcPr>
            <w:tcW w:w="1531" w:type="dxa"/>
            <w:shd w:val="clear" w:color="auto" w:fill="262626" w:themeFill="text1" w:themeFillTint="D9"/>
          </w:tcPr>
          <w:p w14:paraId="6D0C931E"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lastRenderedPageBreak/>
              <w:t>Teacher related Theory of Change</w:t>
            </w:r>
          </w:p>
          <w:p w14:paraId="1674D35F" w14:textId="77777777" w:rsidR="00436FDA" w:rsidRPr="00FA288E" w:rsidRDefault="00436FDA" w:rsidP="00436FDA">
            <w:pPr>
              <w:rPr>
                <w:rFonts w:eastAsiaTheme="minorHAnsi" w:cs="Calibri"/>
                <w:sz w:val="18"/>
                <w:szCs w:val="18"/>
                <w:lang w:val="en-AU"/>
              </w:rPr>
            </w:pPr>
          </w:p>
        </w:tc>
        <w:tc>
          <w:tcPr>
            <w:tcW w:w="4243" w:type="dxa"/>
          </w:tcPr>
          <w:p w14:paraId="1ADDA587"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 children’s literacy learning outcomes improve when children consistently attend school; receive better quality teaching</w:t>
            </w:r>
          </w:p>
          <w:p w14:paraId="4423E07E"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…Teachers are key agents of change and are best trained and motivated through regular, practical and relevant in-service</w:t>
            </w:r>
          </w:p>
          <w:p w14:paraId="2F68214F"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…students of teachers who were trained and used lesson plans had significantly better reading skills</w:t>
            </w:r>
          </w:p>
        </w:tc>
        <w:tc>
          <w:tcPr>
            <w:tcW w:w="4410" w:type="dxa"/>
          </w:tcPr>
          <w:p w14:paraId="48D29DE1"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…Teachers who are confident and competent in literacy and numeracy instruction</w:t>
            </w:r>
          </w:p>
          <w:p w14:paraId="52FF93D5"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…children have high quality instruction in SBC Language, English and Mathematics</w:t>
            </w:r>
          </w:p>
          <w:p w14:paraId="31D73D14"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 teachers can teach reading with comprehension; introduce number operations, shapes and measurements using concrete materials and problem solving;</w:t>
            </w:r>
          </w:p>
        </w:tc>
        <w:tc>
          <w:tcPr>
            <w:tcW w:w="4814" w:type="dxa"/>
          </w:tcPr>
          <w:p w14:paraId="294EF4EB"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Quality (of instruction) will be enhanced through interactive in-service sessions that equip teachers with age-appropriate approaches and strategies to support early literacy and create child-friendly learning environments</w:t>
            </w:r>
          </w:p>
        </w:tc>
      </w:tr>
      <w:tr w:rsidR="00436FDA" w:rsidRPr="00FA288E" w14:paraId="074C6C40" w14:textId="77777777" w:rsidTr="00436FDA">
        <w:tc>
          <w:tcPr>
            <w:tcW w:w="1531" w:type="dxa"/>
            <w:shd w:val="clear" w:color="auto" w:fill="262626" w:themeFill="text1" w:themeFillTint="D9"/>
          </w:tcPr>
          <w:p w14:paraId="62275651"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 xml:space="preserve">Baseline data </w:t>
            </w:r>
          </w:p>
          <w:p w14:paraId="1A273A71" w14:textId="77777777" w:rsidR="00436FDA" w:rsidRPr="00FA288E" w:rsidRDefault="00436FDA" w:rsidP="00436FDA">
            <w:pPr>
              <w:rPr>
                <w:rFonts w:eastAsiaTheme="minorHAnsi" w:cs="Calibri"/>
                <w:sz w:val="18"/>
                <w:szCs w:val="18"/>
                <w:lang w:val="en-AU"/>
              </w:rPr>
            </w:pPr>
          </w:p>
        </w:tc>
        <w:tc>
          <w:tcPr>
            <w:tcW w:w="4243" w:type="dxa"/>
          </w:tcPr>
          <w:p w14:paraId="6DF9D2CC"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- 87.3% of schools reported that teachers were usin</w:t>
            </w:r>
            <w:r w:rsidR="00924B48" w:rsidRPr="00FA288E">
              <w:rPr>
                <w:rFonts w:eastAsiaTheme="minorHAnsi" w:cs="Calibri"/>
                <w:sz w:val="18"/>
                <w:szCs w:val="18"/>
                <w:lang w:val="en-AU"/>
              </w:rPr>
              <w:t xml:space="preserve">g </w:t>
            </w:r>
            <w:r w:rsidRPr="00FA288E">
              <w:rPr>
                <w:rFonts w:eastAsiaTheme="minorHAnsi" w:cs="Calibri"/>
                <w:sz w:val="18"/>
                <w:szCs w:val="18"/>
                <w:lang w:val="en-AU"/>
              </w:rPr>
              <w:t>SBC kits</w:t>
            </w:r>
          </w:p>
          <w:p w14:paraId="2418BC78"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- 86% of all students affirmed that their teachers beat or smack them when they misbehave</w:t>
            </w:r>
          </w:p>
          <w:p w14:paraId="640311D9"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- 36 % of elementary schools inspected in the previous 12 months</w:t>
            </w:r>
          </w:p>
        </w:tc>
        <w:tc>
          <w:tcPr>
            <w:tcW w:w="4410" w:type="dxa"/>
          </w:tcPr>
          <w:p w14:paraId="64D08BE5"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- 35% of elementary children are being taught either without a syllabus at all, or one that is out of date</w:t>
            </w:r>
          </w:p>
          <w:p w14:paraId="2F93B6C5"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- 36% of class time is spent on teacher instruction</w:t>
            </w:r>
          </w:p>
          <w:p w14:paraId="50D77098"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 For 14% of class time, teachers are off task</w:t>
            </w:r>
          </w:p>
          <w:p w14:paraId="74074691"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 Less than 1/3 of schools surveyed had received a monitoring visit/inspection in the past academic year</w:t>
            </w:r>
          </w:p>
        </w:tc>
        <w:tc>
          <w:tcPr>
            <w:tcW w:w="4814" w:type="dxa"/>
          </w:tcPr>
          <w:p w14:paraId="562B103A"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 less than 10% of lessons teachers were clearly observed to inform children what they were learning</w:t>
            </w:r>
          </w:p>
          <w:p w14:paraId="4D1A5C1C" w14:textId="77777777" w:rsidR="00436FDA" w:rsidRPr="00FA288E" w:rsidRDefault="00436FDA" w:rsidP="00436FDA">
            <w:pPr>
              <w:rPr>
                <w:rFonts w:eastAsiaTheme="minorHAnsi" w:cs="Calibri"/>
                <w:sz w:val="18"/>
                <w:szCs w:val="18"/>
                <w:lang w:val="en-AU"/>
              </w:rPr>
            </w:pPr>
            <w:r w:rsidRPr="00FA288E">
              <w:rPr>
                <w:rFonts w:eastAsiaTheme="minorHAnsi" w:cs="Calibri"/>
                <w:sz w:val="18"/>
                <w:szCs w:val="18"/>
                <w:lang w:val="en-AU"/>
              </w:rPr>
              <w:t>- Teachers used the Standards Based Curriculum resources in less than 30% of these lesson</w:t>
            </w:r>
          </w:p>
        </w:tc>
      </w:tr>
      <w:tr w:rsidR="0090297E" w:rsidRPr="00FA288E" w14:paraId="06A3FB9A" w14:textId="77777777" w:rsidTr="00436FDA">
        <w:tc>
          <w:tcPr>
            <w:tcW w:w="1531" w:type="dxa"/>
            <w:shd w:val="clear" w:color="auto" w:fill="262626" w:themeFill="text1" w:themeFillTint="D9"/>
          </w:tcPr>
          <w:p w14:paraId="22D7A0DE" w14:textId="3AC5CA86" w:rsidR="0090297E" w:rsidRPr="00FA288E" w:rsidRDefault="0090297E" w:rsidP="0090297E">
            <w:pPr>
              <w:rPr>
                <w:rFonts w:eastAsiaTheme="minorHAnsi" w:cs="Calibri"/>
                <w:sz w:val="18"/>
                <w:szCs w:val="18"/>
              </w:rPr>
            </w:pPr>
            <w:r>
              <w:rPr>
                <w:rFonts w:eastAsiaTheme="minorHAnsi" w:cs="Calibri"/>
                <w:sz w:val="18"/>
                <w:szCs w:val="18"/>
              </w:rPr>
              <w:t>Core</w:t>
            </w:r>
          </w:p>
        </w:tc>
        <w:tc>
          <w:tcPr>
            <w:tcW w:w="4243" w:type="dxa"/>
          </w:tcPr>
          <w:p w14:paraId="45433280" w14:textId="614925C5" w:rsidR="0090297E" w:rsidRPr="00FA288E" w:rsidRDefault="0090297E" w:rsidP="0090297E">
            <w:pPr>
              <w:rPr>
                <w:rFonts w:eastAsiaTheme="minorHAnsi" w:cs="Calibri"/>
                <w:sz w:val="18"/>
                <w:szCs w:val="18"/>
              </w:rPr>
            </w:pPr>
            <w:r w:rsidRPr="00FA288E">
              <w:rPr>
                <w:rFonts w:eastAsiaTheme="minorHAnsi" w:cs="Calibri"/>
                <w:sz w:val="18"/>
                <w:szCs w:val="18"/>
                <w:lang w:val="en-AU"/>
              </w:rPr>
              <w:t>All 3 projects have a focus on teacher professional development in literacy, numeracy aligned with the SBC teaching guides, familiarisation of scripted lessons and use of supplementary teaching strategies (including books) to support literacy and numeracy acquisition</w:t>
            </w:r>
          </w:p>
        </w:tc>
        <w:tc>
          <w:tcPr>
            <w:tcW w:w="4410" w:type="dxa"/>
          </w:tcPr>
          <w:p w14:paraId="3DF527C6" w14:textId="1D2C84CA" w:rsidR="0090297E" w:rsidRPr="00FA288E" w:rsidRDefault="0090297E" w:rsidP="0090297E">
            <w:pPr>
              <w:rPr>
                <w:rFonts w:eastAsiaTheme="minorHAnsi" w:cs="Calibri"/>
                <w:sz w:val="18"/>
                <w:szCs w:val="18"/>
              </w:rPr>
            </w:pPr>
            <w:r w:rsidRPr="00FA288E">
              <w:rPr>
                <w:rFonts w:eastAsiaTheme="minorHAnsi" w:cs="Calibri"/>
                <w:sz w:val="18"/>
                <w:szCs w:val="18"/>
                <w:lang w:val="en-AU"/>
              </w:rPr>
              <w:t>All 3 projects have a focus on teacher professional development in literacy, numeracy aligned with the SBC teaching guides, familiarisation of scripted lessons and use of supplementary teaching strategies (including books) to support literacy and numeracy acquisition</w:t>
            </w:r>
          </w:p>
        </w:tc>
        <w:tc>
          <w:tcPr>
            <w:tcW w:w="4814" w:type="dxa"/>
          </w:tcPr>
          <w:p w14:paraId="0103B784" w14:textId="05922B6E" w:rsidR="0090297E" w:rsidRPr="00FA288E" w:rsidRDefault="0090297E" w:rsidP="0090297E">
            <w:pPr>
              <w:rPr>
                <w:rFonts w:eastAsiaTheme="minorHAnsi" w:cs="Calibri"/>
                <w:sz w:val="18"/>
                <w:szCs w:val="18"/>
              </w:rPr>
            </w:pPr>
            <w:r w:rsidRPr="00FA288E">
              <w:rPr>
                <w:rFonts w:eastAsiaTheme="minorHAnsi" w:cs="Calibri"/>
                <w:sz w:val="18"/>
                <w:szCs w:val="18"/>
                <w:lang w:val="en-AU"/>
              </w:rPr>
              <w:t>All 3 projects have a focus on teacher professional development in literacy, numeracy aligned with the SBC teaching guides, familiarisation of scripted lessons and use of supplementary teaching strategies (including books) to support literacy and numeracy acquisition</w:t>
            </w:r>
          </w:p>
        </w:tc>
      </w:tr>
      <w:tr w:rsidR="0090297E" w:rsidRPr="00FA288E" w14:paraId="3DCC8F89" w14:textId="77777777" w:rsidTr="00436FDA">
        <w:tc>
          <w:tcPr>
            <w:tcW w:w="1531" w:type="dxa"/>
            <w:shd w:val="clear" w:color="auto" w:fill="262626" w:themeFill="text1" w:themeFillTint="D9"/>
          </w:tcPr>
          <w:p w14:paraId="1347694B"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xml:space="preserve">Key related Targets </w:t>
            </w:r>
          </w:p>
        </w:tc>
        <w:tc>
          <w:tcPr>
            <w:tcW w:w="4243" w:type="dxa"/>
          </w:tcPr>
          <w:p w14:paraId="359F1B58"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- 941 teachers trained on SBC English and Maths</w:t>
            </w:r>
          </w:p>
          <w:p w14:paraId="33E8C22E"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Increase supervisory visits</w:t>
            </w:r>
          </w:p>
          <w:p w14:paraId="036E35EE"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- 300 teachers enrolled in ECE Diploma</w:t>
            </w:r>
          </w:p>
          <w:p w14:paraId="3617AF6C"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- 30 Female candidates enrolled in Certificate of Elementary Teaching following upgrade to Year 12</w:t>
            </w:r>
          </w:p>
        </w:tc>
        <w:tc>
          <w:tcPr>
            <w:tcW w:w="4410" w:type="dxa"/>
          </w:tcPr>
          <w:p w14:paraId="45B19268"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- 1,800 (900 per year) elementary teachers receive in-service training on Literacy and Numeracy Boost</w:t>
            </w:r>
          </w:p>
          <w:p w14:paraId="484A8742"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Semi-annual monitoring visits</w:t>
            </w:r>
          </w:p>
        </w:tc>
        <w:tc>
          <w:tcPr>
            <w:tcW w:w="4814" w:type="dxa"/>
          </w:tcPr>
          <w:p w14:paraId="6E33C2E5"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- 500 (250 per year) elementary teachers receive in-service training on Unlocking Literacy and Numeracy</w:t>
            </w:r>
          </w:p>
          <w:p w14:paraId="52C8B5D0"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Quarterly monitoring visits with a target of 3 provincial officials</w:t>
            </w:r>
          </w:p>
          <w:p w14:paraId="78F3D8AE"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No target set for # of resource teachers</w:t>
            </w:r>
          </w:p>
        </w:tc>
      </w:tr>
      <w:tr w:rsidR="0090297E" w:rsidRPr="00FA288E" w14:paraId="530B0E2E" w14:textId="77777777" w:rsidTr="00436FDA">
        <w:tc>
          <w:tcPr>
            <w:tcW w:w="1531" w:type="dxa"/>
            <w:shd w:val="clear" w:color="auto" w:fill="262626" w:themeFill="text1" w:themeFillTint="D9"/>
          </w:tcPr>
          <w:p w14:paraId="6BAB4C37"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Progress Reported</w:t>
            </w:r>
          </w:p>
        </w:tc>
        <w:tc>
          <w:tcPr>
            <w:tcW w:w="4243" w:type="dxa"/>
          </w:tcPr>
          <w:p w14:paraId="2597C4D5"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- 1,313 teachers trained in SBC English and Math</w:t>
            </w:r>
          </w:p>
          <w:p w14:paraId="4A66D3C1"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SBC teacher’s guides for English and Maths reprinted and provided to all teachers trained</w:t>
            </w:r>
          </w:p>
          <w:p w14:paraId="65D66BAD"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SBC, including songs, reading materials distributed on SD cards to all teachers trained</w:t>
            </w:r>
          </w:p>
          <w:p w14:paraId="6DEDC082"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Most schools have received a supervisory visit</w:t>
            </w:r>
          </w:p>
          <w:p w14:paraId="54FF344F"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- 289 teachers have completed the first 6 of 16 modules of the ECE Diploma program.</w:t>
            </w:r>
          </w:p>
          <w:p w14:paraId="5D86A8EB"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- 31 women and 6 men enrolled in Year 12 FODE</w:t>
            </w:r>
          </w:p>
        </w:tc>
        <w:tc>
          <w:tcPr>
            <w:tcW w:w="4410" w:type="dxa"/>
          </w:tcPr>
          <w:p w14:paraId="120B20A2"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- 965 (target of 900) received 80 of the 120 hours of training. (June 2019) On track to exceed target.</w:t>
            </w:r>
          </w:p>
          <w:p w14:paraId="4FEF917C"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Literacy and Numeracy Boost materials provided to all teachers trained</w:t>
            </w:r>
          </w:p>
          <w:p w14:paraId="34AD2973"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Midline results show teachers who received teacher training scored 31.65% higher in reading teaching practices</w:t>
            </w:r>
          </w:p>
          <w:p w14:paraId="721BEDBA"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- 28 provincial officials included in training</w:t>
            </w:r>
          </w:p>
        </w:tc>
        <w:tc>
          <w:tcPr>
            <w:tcW w:w="4814" w:type="dxa"/>
          </w:tcPr>
          <w:p w14:paraId="347BE751"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- 363 (250 targeted) teachers received training and received resource kits</w:t>
            </w:r>
          </w:p>
          <w:p w14:paraId="1065D3E3"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- 270 teachers report using resource kits</w:t>
            </w:r>
          </w:p>
          <w:p w14:paraId="2D7E6D8E"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- 174 teachers against target of 75 by end of 2019 were observed using gender-sensitive strategies</w:t>
            </w:r>
          </w:p>
          <w:p w14:paraId="663D9C01"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- 48 teachers against target of 75 by end of 2019 were observed using disability inclusive strategies</w:t>
            </w:r>
          </w:p>
          <w:p w14:paraId="6496ADC6"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- 191 teachers against target of 75 by end of 2019 were observed practicing effective classroom management skills</w:t>
            </w:r>
          </w:p>
          <w:p w14:paraId="039575DA"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- 82 teachers against target of 75 by end of 2019 were observed practicing 2 to 3 age-appropriate literacy and numeracy strategies.</w:t>
            </w:r>
          </w:p>
          <w:p w14:paraId="17D6D569"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- 7 provincial officers participated in monitoring visits</w:t>
            </w:r>
          </w:p>
          <w:p w14:paraId="27C5CCE0"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t>- 26 resource teachers facilitating discussions on teaching.</w:t>
            </w:r>
          </w:p>
          <w:p w14:paraId="6A517BE6" w14:textId="77777777" w:rsidR="0090297E" w:rsidRPr="00FA288E" w:rsidRDefault="0090297E" w:rsidP="0090297E">
            <w:pPr>
              <w:rPr>
                <w:rFonts w:eastAsiaTheme="minorHAnsi" w:cs="Calibri"/>
                <w:sz w:val="18"/>
                <w:szCs w:val="18"/>
                <w:lang w:val="en-AU"/>
              </w:rPr>
            </w:pPr>
            <w:r w:rsidRPr="00FA288E">
              <w:rPr>
                <w:rFonts w:eastAsiaTheme="minorHAnsi" w:cs="Calibri"/>
                <w:sz w:val="18"/>
                <w:szCs w:val="18"/>
                <w:lang w:val="en-AU"/>
              </w:rPr>
              <w:lastRenderedPageBreak/>
              <w:t xml:space="preserve">- 85% of teachers surveyed reported </w:t>
            </w:r>
            <w:proofErr w:type="spellStart"/>
            <w:r w:rsidRPr="00FA288E">
              <w:rPr>
                <w:rFonts w:eastAsiaTheme="minorHAnsi" w:cs="Calibri"/>
                <w:sz w:val="18"/>
                <w:szCs w:val="18"/>
                <w:lang w:val="en-AU"/>
              </w:rPr>
              <w:t>Bilum</w:t>
            </w:r>
            <w:proofErr w:type="spellEnd"/>
            <w:r w:rsidRPr="00FA288E">
              <w:rPr>
                <w:rFonts w:eastAsiaTheme="minorHAnsi" w:cs="Calibri"/>
                <w:sz w:val="18"/>
                <w:szCs w:val="18"/>
                <w:lang w:val="en-AU"/>
              </w:rPr>
              <w:t xml:space="preserve"> Books as the most useful resource (part of the resource kits)</w:t>
            </w:r>
          </w:p>
        </w:tc>
      </w:tr>
      <w:bookmarkEnd w:id="135"/>
    </w:tbl>
    <w:p w14:paraId="6A2BDC91" w14:textId="77777777" w:rsidR="00436FDA" w:rsidRPr="00FA288E" w:rsidRDefault="00436FDA" w:rsidP="00436FDA">
      <w:pPr>
        <w:spacing w:after="200"/>
        <w:jc w:val="both"/>
        <w:rPr>
          <w:rFonts w:eastAsiaTheme="minorHAnsi" w:cs="Calibri"/>
          <w:sz w:val="20"/>
          <w:szCs w:val="20"/>
        </w:rPr>
        <w:sectPr w:rsidR="00436FDA" w:rsidRPr="00FA288E" w:rsidSect="008D2D4A">
          <w:pgSz w:w="16838" w:h="11906" w:orient="landscape"/>
          <w:pgMar w:top="1440" w:right="1440" w:bottom="1440" w:left="1440" w:header="720" w:footer="720" w:gutter="0"/>
          <w:cols w:space="720"/>
          <w:docGrid w:linePitch="360"/>
        </w:sectPr>
      </w:pPr>
    </w:p>
    <w:p w14:paraId="2FB9890F" w14:textId="77777777" w:rsidR="00436FDA" w:rsidRPr="00FA288E" w:rsidRDefault="00436FDA" w:rsidP="00436FDA">
      <w:pPr>
        <w:spacing w:after="120"/>
        <w:jc w:val="both"/>
        <w:rPr>
          <w:rFonts w:eastAsiaTheme="minorHAnsi" w:cs="Calibri"/>
          <w:sz w:val="20"/>
          <w:szCs w:val="20"/>
        </w:rPr>
      </w:pPr>
      <w:r w:rsidRPr="00FA288E">
        <w:rPr>
          <w:rFonts w:eastAsiaTheme="minorHAnsi" w:cs="Calibri"/>
          <w:sz w:val="20"/>
          <w:szCs w:val="20"/>
        </w:rPr>
        <w:lastRenderedPageBreak/>
        <w:t xml:space="preserve">accompany </w:t>
      </w:r>
      <w:proofErr w:type="spellStart"/>
      <w:r w:rsidRPr="00FA288E">
        <w:rPr>
          <w:rFonts w:eastAsiaTheme="minorHAnsi" w:cs="Calibri"/>
          <w:sz w:val="20"/>
          <w:szCs w:val="20"/>
        </w:rPr>
        <w:t>StC</w:t>
      </w:r>
      <w:proofErr w:type="spellEnd"/>
      <w:r w:rsidRPr="00FA288E">
        <w:rPr>
          <w:rFonts w:eastAsiaTheme="minorHAnsi" w:cs="Calibri"/>
          <w:sz w:val="20"/>
          <w:szCs w:val="20"/>
        </w:rPr>
        <w:t xml:space="preserve"> during the monitoring visits for unclear reasons.</w:t>
      </w:r>
      <w:r w:rsidRPr="00FA288E">
        <w:rPr>
          <w:rFonts w:eastAsiaTheme="minorHAnsi" w:cs="Calibri"/>
          <w:sz w:val="20"/>
          <w:szCs w:val="20"/>
          <w:vertAlign w:val="superscript"/>
        </w:rPr>
        <w:footnoteReference w:id="99"/>
      </w:r>
      <w:r w:rsidRPr="00FA288E">
        <w:rPr>
          <w:rFonts w:eastAsiaTheme="minorHAnsi" w:cs="Calibri"/>
          <w:sz w:val="20"/>
          <w:szCs w:val="20"/>
        </w:rPr>
        <w:t xml:space="preserve"> Both T4E and PKS stated that they had made a conscious decision to work with and through district officials, both as part of the </w:t>
      </w:r>
      <w:r w:rsidR="00826A52" w:rsidRPr="00FA288E">
        <w:rPr>
          <w:rFonts w:eastAsiaTheme="minorHAnsi" w:cs="Calibri"/>
          <w:sz w:val="20"/>
          <w:szCs w:val="20"/>
        </w:rPr>
        <w:t>training of trainers</w:t>
      </w:r>
      <w:r w:rsidRPr="00FA288E">
        <w:rPr>
          <w:rFonts w:eastAsiaTheme="minorHAnsi" w:cs="Calibri"/>
          <w:sz w:val="20"/>
          <w:szCs w:val="20"/>
        </w:rPr>
        <w:t xml:space="preserve"> and for monitoring. For PKS, two different approaches were used. In two districts the approach was a mix of district officials and nominated </w:t>
      </w:r>
      <w:proofErr w:type="spellStart"/>
      <w:r w:rsidR="00826A52" w:rsidRPr="00FA288E">
        <w:rPr>
          <w:rFonts w:eastAsiaTheme="minorHAnsi" w:cs="Calibri"/>
          <w:sz w:val="20"/>
          <w:szCs w:val="20"/>
        </w:rPr>
        <w:t>TiCs</w:t>
      </w:r>
      <w:proofErr w:type="spellEnd"/>
      <w:r w:rsidRPr="00FA288E">
        <w:rPr>
          <w:rFonts w:eastAsiaTheme="minorHAnsi" w:cs="Calibri"/>
          <w:sz w:val="20"/>
          <w:szCs w:val="20"/>
        </w:rPr>
        <w:t xml:space="preserve"> engaged in the </w:t>
      </w:r>
      <w:r w:rsidR="00826A52" w:rsidRPr="00FA288E">
        <w:rPr>
          <w:rFonts w:eastAsiaTheme="minorHAnsi" w:cs="Calibri"/>
          <w:sz w:val="20"/>
          <w:szCs w:val="20"/>
        </w:rPr>
        <w:t>training of trainers</w:t>
      </w:r>
      <w:r w:rsidRPr="00FA288E">
        <w:rPr>
          <w:rFonts w:eastAsiaTheme="minorHAnsi" w:cs="Calibri"/>
          <w:sz w:val="20"/>
          <w:szCs w:val="20"/>
        </w:rPr>
        <w:t xml:space="preserve"> and monitoring, while in the other two districts only district officials were engaged. </w:t>
      </w:r>
    </w:p>
    <w:p w14:paraId="7BCBCAE1" w14:textId="77777777" w:rsidR="00436FDA" w:rsidRPr="00FA288E" w:rsidRDefault="00436FDA" w:rsidP="00436FDA">
      <w:pPr>
        <w:spacing w:after="120"/>
        <w:jc w:val="both"/>
        <w:rPr>
          <w:rFonts w:eastAsiaTheme="minorHAnsi" w:cs="Calibri"/>
          <w:sz w:val="20"/>
          <w:szCs w:val="20"/>
        </w:rPr>
      </w:pPr>
      <w:r w:rsidRPr="00FA288E">
        <w:rPr>
          <w:rFonts w:eastAsiaTheme="minorHAnsi" w:cs="Calibri"/>
          <w:i/>
          <w:iCs/>
          <w:sz w:val="20"/>
          <w:szCs w:val="20"/>
          <w:u w:val="single"/>
        </w:rPr>
        <w:t>Targeted training programs</w:t>
      </w:r>
      <w:r w:rsidRPr="00FA288E">
        <w:rPr>
          <w:rFonts w:eastAsiaTheme="minorHAnsi" w:cs="Calibri"/>
          <w:sz w:val="20"/>
          <w:szCs w:val="20"/>
        </w:rPr>
        <w:t>: The RISE project, in support of its EC</w:t>
      </w:r>
      <w:r w:rsidR="00F234DA" w:rsidRPr="00FA288E">
        <w:rPr>
          <w:rFonts w:eastAsiaTheme="minorHAnsi" w:cs="Calibri"/>
          <w:sz w:val="20"/>
          <w:szCs w:val="20"/>
        </w:rPr>
        <w:t>C</w:t>
      </w:r>
      <w:r w:rsidRPr="00FA288E">
        <w:rPr>
          <w:rFonts w:eastAsiaTheme="minorHAnsi" w:cs="Calibri"/>
          <w:sz w:val="20"/>
          <w:szCs w:val="20"/>
        </w:rPr>
        <w:t>E facilitators in the 90 target E</w:t>
      </w:r>
      <w:r w:rsidR="00CA1CCF" w:rsidRPr="00FA288E">
        <w:rPr>
          <w:rFonts w:eastAsiaTheme="minorHAnsi" w:cs="Calibri"/>
          <w:sz w:val="20"/>
          <w:szCs w:val="20"/>
        </w:rPr>
        <w:t>CCE</w:t>
      </w:r>
      <w:r w:rsidRPr="00FA288E">
        <w:rPr>
          <w:rFonts w:eastAsiaTheme="minorHAnsi" w:cs="Calibri"/>
          <w:sz w:val="20"/>
          <w:szCs w:val="20"/>
        </w:rPr>
        <w:t xml:space="preserve"> centres, provided training for the facilitators to work with the draft EC</w:t>
      </w:r>
      <w:r w:rsidR="00F234DA" w:rsidRPr="00FA288E">
        <w:rPr>
          <w:rFonts w:eastAsiaTheme="minorHAnsi" w:cs="Calibri"/>
          <w:sz w:val="20"/>
          <w:szCs w:val="20"/>
        </w:rPr>
        <w:t>C</w:t>
      </w:r>
      <w:r w:rsidRPr="00FA288E">
        <w:rPr>
          <w:rFonts w:eastAsiaTheme="minorHAnsi" w:cs="Calibri"/>
          <w:sz w:val="20"/>
          <w:szCs w:val="20"/>
        </w:rPr>
        <w:t>E curriculum. The PKS project introduced two targeted interventions: one being support for the enrolment of up to 300 (289 currently enrolled) elementary teachers (many without the appropriate academic qualifications) in the University of Goroka E</w:t>
      </w:r>
      <w:r w:rsidR="00F234DA" w:rsidRPr="00FA288E">
        <w:rPr>
          <w:rFonts w:eastAsiaTheme="minorHAnsi" w:cs="Calibri"/>
          <w:sz w:val="20"/>
          <w:szCs w:val="20"/>
        </w:rPr>
        <w:t>arly Childhood Education</w:t>
      </w:r>
      <w:r w:rsidRPr="00FA288E">
        <w:rPr>
          <w:rFonts w:eastAsiaTheme="minorHAnsi" w:cs="Calibri"/>
          <w:sz w:val="20"/>
          <w:szCs w:val="20"/>
        </w:rPr>
        <w:t xml:space="preserve"> </w:t>
      </w:r>
      <w:r w:rsidR="001A37A1" w:rsidRPr="00FA288E">
        <w:rPr>
          <w:rFonts w:eastAsiaTheme="minorHAnsi" w:cs="Calibri"/>
          <w:sz w:val="20"/>
          <w:szCs w:val="20"/>
        </w:rPr>
        <w:t>D</w:t>
      </w:r>
      <w:r w:rsidRPr="00FA288E">
        <w:rPr>
          <w:rFonts w:eastAsiaTheme="minorHAnsi" w:cs="Calibri"/>
          <w:sz w:val="20"/>
          <w:szCs w:val="20"/>
        </w:rPr>
        <w:t>iploma program; the other intervention was the provision of support, primarily to female elementary teachers (31 of 39 are women) to upgrade their academic qualifications through F</w:t>
      </w:r>
      <w:r w:rsidR="003C3AF7" w:rsidRPr="00FA288E">
        <w:rPr>
          <w:rFonts w:eastAsiaTheme="minorHAnsi" w:cs="Calibri"/>
          <w:sz w:val="20"/>
          <w:szCs w:val="20"/>
        </w:rPr>
        <w:t>lexible, Open and Distance Education (F</w:t>
      </w:r>
      <w:r w:rsidRPr="00FA288E">
        <w:rPr>
          <w:rFonts w:eastAsiaTheme="minorHAnsi" w:cs="Calibri"/>
          <w:sz w:val="20"/>
          <w:szCs w:val="20"/>
        </w:rPr>
        <w:t>ODE</w:t>
      </w:r>
      <w:r w:rsidR="003C3AF7" w:rsidRPr="00FA288E">
        <w:rPr>
          <w:rFonts w:eastAsiaTheme="minorHAnsi" w:cs="Calibri"/>
          <w:sz w:val="20"/>
          <w:szCs w:val="20"/>
        </w:rPr>
        <w:t>)</w:t>
      </w:r>
      <w:r w:rsidRPr="00FA288E">
        <w:rPr>
          <w:rFonts w:eastAsiaTheme="minorHAnsi" w:cs="Calibri"/>
          <w:sz w:val="20"/>
          <w:szCs w:val="20"/>
        </w:rPr>
        <w:t xml:space="preserve"> as a preliminary step to enrolling in the Certificate of Elementary Teaching. The T4E project provided additional training to selected teachers to become Resource Teachers with the intention that the Resource Teacher would provide coaching to other teachers in the elementary school where the teacher was assigned, as well as in nearby elementary school clusters.</w:t>
      </w:r>
    </w:p>
    <w:p w14:paraId="5433100D" w14:textId="77777777" w:rsidR="00436FDA" w:rsidRPr="00FA288E" w:rsidRDefault="00436FDA" w:rsidP="00436FDA">
      <w:pPr>
        <w:spacing w:after="200"/>
        <w:jc w:val="both"/>
        <w:rPr>
          <w:rFonts w:eastAsiaTheme="minorHAnsi" w:cs="Calibri"/>
          <w:sz w:val="20"/>
          <w:szCs w:val="20"/>
        </w:rPr>
      </w:pPr>
      <w:r w:rsidRPr="00FA288E">
        <w:rPr>
          <w:rFonts w:eastAsiaTheme="minorHAnsi" w:cs="Calibri"/>
          <w:i/>
          <w:iCs/>
          <w:sz w:val="20"/>
          <w:szCs w:val="20"/>
          <w:u w:val="single"/>
        </w:rPr>
        <w:t>Successes</w:t>
      </w:r>
      <w:r w:rsidRPr="00FA288E">
        <w:rPr>
          <w:rFonts w:eastAsiaTheme="minorHAnsi" w:cs="Calibri"/>
          <w:sz w:val="20"/>
          <w:szCs w:val="20"/>
        </w:rPr>
        <w:t>: The midline study for RISE and T4E provides the quantitative evidence that the in-service training programs have resulted in increased knowledge and skills of teachers. Additionally, a small increase in literacy acquisition has been observed in the target schools which may have been the result of improved teaching practices of the teachers.   A modified TEACH tool was used to provide information on teaching practices based on observation.</w:t>
      </w:r>
      <w:r w:rsidRPr="00FA288E">
        <w:rPr>
          <w:rFonts w:eastAsiaTheme="minorHAnsi" w:cs="Calibri"/>
          <w:sz w:val="20"/>
          <w:szCs w:val="20"/>
          <w:vertAlign w:val="superscript"/>
        </w:rPr>
        <w:footnoteReference w:id="100"/>
      </w:r>
      <w:r w:rsidRPr="00FA288E">
        <w:rPr>
          <w:rFonts w:eastAsiaTheme="minorHAnsi" w:cs="Calibri"/>
          <w:sz w:val="20"/>
          <w:szCs w:val="20"/>
        </w:rPr>
        <w:t xml:space="preserve"> In addition to the evidence provided by the midline study, interviews with teachers, </w:t>
      </w:r>
      <w:proofErr w:type="spellStart"/>
      <w:r w:rsidR="00826A52" w:rsidRPr="00FA288E">
        <w:rPr>
          <w:rFonts w:eastAsiaTheme="minorHAnsi" w:cs="Calibri"/>
          <w:sz w:val="20"/>
          <w:szCs w:val="20"/>
        </w:rPr>
        <w:t>TiCs</w:t>
      </w:r>
      <w:proofErr w:type="spellEnd"/>
      <w:r w:rsidRPr="00FA288E">
        <w:rPr>
          <w:rFonts w:eastAsiaTheme="minorHAnsi" w:cs="Calibri"/>
          <w:sz w:val="20"/>
          <w:szCs w:val="20"/>
        </w:rPr>
        <w:t>, district inspectors and staff of the three grantees revealed significant positive feedback including the statement that “teachers feel more confident now about teaching”. Observations and interviews conducted by the review team of elementary teachers in the seven schools visited noted varying levels of teaching ability, with some clearly applying the new knowledge and skills developed during the training program, while others continued to struggle with application of the SBC as well as the knowledge and skills delivered during the in-service training programs.</w:t>
      </w:r>
    </w:p>
    <w:p w14:paraId="45FB955E" w14:textId="77777777" w:rsidR="00436FDA" w:rsidRPr="00FA288E" w:rsidRDefault="00436FDA" w:rsidP="00E873A4">
      <w:pPr>
        <w:pStyle w:val="ListParagraph"/>
        <w:keepNext/>
        <w:keepLines/>
        <w:spacing w:before="320" w:after="120"/>
        <w:ind w:left="360" w:firstLine="0"/>
        <w:jc w:val="both"/>
        <w:outlineLvl w:val="1"/>
        <w:rPr>
          <w:rFonts w:ascii="Calibri" w:eastAsiaTheme="majorEastAsia" w:hAnsi="Calibri" w:cs="Calibri"/>
          <w:sz w:val="20"/>
          <w:szCs w:val="20"/>
          <w:lang w:val="en-AU"/>
        </w:rPr>
      </w:pPr>
      <w:bookmarkStart w:id="136" w:name="_Box_1._Different"/>
      <w:bookmarkStart w:id="137" w:name="_Toc26914388"/>
      <w:bookmarkStart w:id="138" w:name="_Toc31625608"/>
      <w:bookmarkStart w:id="139" w:name="_Toc42075988"/>
      <w:bookmarkEnd w:id="136"/>
      <w:r w:rsidRPr="00FA288E">
        <w:rPr>
          <w:rFonts w:ascii="Calibri" w:eastAsiaTheme="majorEastAsia" w:hAnsi="Calibri" w:cs="Calibri"/>
          <w:sz w:val="20"/>
          <w:szCs w:val="20"/>
          <w:lang w:val="en-AU"/>
        </w:rPr>
        <w:lastRenderedPageBreak/>
        <w:t>Box 1. Different impacts of teacher training, including the need to include all teachers</w:t>
      </w:r>
      <w:bookmarkEnd w:id="137"/>
      <w:bookmarkEnd w:id="138"/>
      <w:bookmarkEnd w:id="139"/>
    </w:p>
    <w:p w14:paraId="5F9E1E66" w14:textId="77777777" w:rsidR="00436FDA" w:rsidRPr="00FA288E" w:rsidRDefault="00436FDA" w:rsidP="00436FDA">
      <w:pPr>
        <w:spacing w:after="200"/>
        <w:jc w:val="both"/>
        <w:rPr>
          <w:rFonts w:eastAsiaTheme="minorHAnsi" w:cs="Calibri"/>
          <w:sz w:val="20"/>
          <w:szCs w:val="20"/>
        </w:rPr>
      </w:pPr>
      <w:r w:rsidRPr="00FA288E">
        <w:rPr>
          <w:rFonts w:eastAsiaTheme="minorHAnsi" w:cs="Calibri"/>
          <w:noProof/>
          <w:sz w:val="20"/>
          <w:szCs w:val="20"/>
          <w:lang w:eastAsia="en-AU"/>
        </w:rPr>
        <mc:AlternateContent>
          <mc:Choice Requires="wps">
            <w:drawing>
              <wp:inline distT="0" distB="0" distL="0" distR="0" wp14:anchorId="6BA29110" wp14:editId="56A404A1">
                <wp:extent cx="5731510" cy="3048000"/>
                <wp:effectExtent l="0" t="0" r="2159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48000"/>
                        </a:xfrm>
                        <a:prstGeom prst="rect">
                          <a:avLst/>
                        </a:prstGeom>
                        <a:solidFill>
                          <a:srgbClr val="A5A5A5">
                            <a:lumMod val="20000"/>
                            <a:lumOff val="80000"/>
                          </a:srgbClr>
                        </a:solidFill>
                        <a:ln w="9525">
                          <a:solidFill>
                            <a:srgbClr val="000000"/>
                          </a:solidFill>
                          <a:miter lim="800000"/>
                          <a:headEnd/>
                          <a:tailEnd/>
                        </a:ln>
                      </wps:spPr>
                      <wps:txbx>
                        <w:txbxContent>
                          <w:p w14:paraId="267B2889" w14:textId="77777777" w:rsidR="009F310F" w:rsidRDefault="009F310F" w:rsidP="00436FDA">
                            <w:pPr>
                              <w:spacing w:after="120"/>
                              <w:rPr>
                                <w:sz w:val="20"/>
                              </w:rPr>
                            </w:pPr>
                            <w:r w:rsidRPr="007B7C85">
                              <w:rPr>
                                <w:sz w:val="20"/>
                              </w:rPr>
                              <w:t xml:space="preserve">In one of the </w:t>
                            </w:r>
                            <w:r>
                              <w:rPr>
                                <w:sz w:val="20"/>
                              </w:rPr>
                              <w:t xml:space="preserve">schools supported by PKS that was </w:t>
                            </w:r>
                            <w:r w:rsidRPr="007B7C85">
                              <w:rPr>
                                <w:sz w:val="20"/>
                              </w:rPr>
                              <w:t>visited</w:t>
                            </w:r>
                            <w:r>
                              <w:rPr>
                                <w:sz w:val="20"/>
                              </w:rPr>
                              <w:t xml:space="preserve"> in November,</w:t>
                            </w:r>
                            <w:r w:rsidRPr="007B7C85">
                              <w:rPr>
                                <w:sz w:val="20"/>
                              </w:rPr>
                              <w:t xml:space="preserve"> </w:t>
                            </w:r>
                            <w:r>
                              <w:rPr>
                                <w:sz w:val="20"/>
                              </w:rPr>
                              <w:t>the TiC was observed by a member of the review team delivering an English lesson to the E2 class.  The teacher had prepared a lesson plan which was consistent with the lesson for the day and week prescribed by the SBC teacher’s guide. The teacher engaged the class in introducing the lessons and in both individual and group work. Teaching and learning materials had been prepared in advance. Questions were posed to the class as a whole and to individual students – with good distribution among students. There appeared to be good classroom management and the class was well-organized and welcoming.</w:t>
                            </w:r>
                          </w:p>
                          <w:p w14:paraId="5DCED650" w14:textId="77777777" w:rsidR="009F310F" w:rsidRPr="007B7C85" w:rsidRDefault="009F310F" w:rsidP="00436FDA">
                            <w:pPr>
                              <w:rPr>
                                <w:sz w:val="20"/>
                              </w:rPr>
                            </w:pPr>
                            <w:r>
                              <w:rPr>
                                <w:sz w:val="20"/>
                              </w:rPr>
                              <w:t>In contrast, in another school supported by PKS, an E2 class was observed by the same review team member for both the English and Mathematics lessons.  The teacher was not prepared for the lesson and was constantly referring to the SBC teacher’s guides.  For the English lesson, few questions were posed by the teacher and these questions were to the class – there were no questions to individuals.  The teacher copied sections from the teacher’s guide on the blackboard, however, some of the words were misspelled. During the ‘sounding out’ of the words, the number of phonemes were incorrectly relayed to the students. For the Mathematics lesson, the teacher was not prepared and appeared to randomly select a lesson – which was then delivered poorly with incorrect information provided to the students (Note: the teacher advised that due to illness, attendance at the PKS training on the SBC Mathematics teacher’s guide was not possible).</w:t>
                            </w:r>
                          </w:p>
                        </w:txbxContent>
                      </wps:txbx>
                      <wps:bodyPr rot="0" vert="horz" wrap="square" lIns="91440" tIns="45720" rIns="91440" bIns="45720" anchor="t" anchorCtr="0">
                        <a:noAutofit/>
                      </wps:bodyPr>
                    </wps:wsp>
                  </a:graphicData>
                </a:graphic>
              </wp:inline>
            </w:drawing>
          </mc:Choice>
          <mc:Fallback>
            <w:pict>
              <v:shapetype w14:anchorId="6BA29110" id="_x0000_t202" coordsize="21600,21600" o:spt="202" path="m,l,21600r21600,l21600,xe">
                <v:stroke joinstyle="miter"/>
                <v:path gradientshapeok="t" o:connecttype="rect"/>
              </v:shapetype>
              <v:shape id="Text Box 2" o:spid="_x0000_s1026" type="#_x0000_t202" style="width:451.3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" fillcolor="#ededed">
                <v:textbox>
                  <w:txbxContent>
                    <w:p w14:paraId="267B2889" w14:textId="77777777" w:rsidR="009F310F" w:rsidRDefault="009F310F" w:rsidP="00436FDA">
                      <w:pPr>
                        <w:spacing w:after="120"/>
                        <w:rPr>
                          <w:sz w:val="20"/>
                        </w:rPr>
                      </w:pPr>
                      <w:r w:rsidRPr="007B7C85">
                        <w:rPr>
                          <w:sz w:val="20"/>
                        </w:rPr>
                        <w:t xml:space="preserve">In one of the </w:t>
                      </w:r>
                      <w:r>
                        <w:rPr>
                          <w:sz w:val="20"/>
                        </w:rPr>
                        <w:t xml:space="preserve">schools supported by PKS that was </w:t>
                      </w:r>
                      <w:r w:rsidRPr="007B7C85">
                        <w:rPr>
                          <w:sz w:val="20"/>
                        </w:rPr>
                        <w:t>visited</w:t>
                      </w:r>
                      <w:r>
                        <w:rPr>
                          <w:sz w:val="20"/>
                        </w:rPr>
                        <w:t xml:space="preserve"> in November,</w:t>
                      </w:r>
                      <w:r w:rsidRPr="007B7C85">
                        <w:rPr>
                          <w:sz w:val="20"/>
                        </w:rPr>
                        <w:t xml:space="preserve"> </w:t>
                      </w:r>
                      <w:r>
                        <w:rPr>
                          <w:sz w:val="20"/>
                        </w:rPr>
                        <w:t>the TiC was observed by a member of the review team delivering an English lesson to the E2 class.  The teacher had prepared a lesson plan which was consistent with the lesson for the day and week prescribed by the SBC teacher’s guide. The teacher engaged the class in introducing the lessons and in both individual and group work. Teaching and learning materials had been prepared in advance. Questions were posed to the class as a whole and to individual students – with good distribution among students. There appeared to be good classroom management and the class was well-organized and welcoming.</w:t>
                      </w:r>
                    </w:p>
                    <w:p w14:paraId="5DCED650" w14:textId="77777777" w:rsidR="009F310F" w:rsidRPr="007B7C85" w:rsidRDefault="009F310F" w:rsidP="00436FDA">
                      <w:pPr>
                        <w:rPr>
                          <w:sz w:val="20"/>
                        </w:rPr>
                      </w:pPr>
                      <w:r>
                        <w:rPr>
                          <w:sz w:val="20"/>
                        </w:rPr>
                        <w:t>In contrast, in another school supported by PKS, an E2 class was observed by the same review team member for both the English and Mathematics lessons.  The teacher was not prepared for the lesson and was constantly referring to the SBC teacher’s guides.  For the English lesson, few questions were posed by the teacher and these questions were to the class – there were no questions to individuals.  The teacher copied sections from the teacher’s guide on the blackboard, however, some of the words were misspelled. During the ‘sounding out’ of the words, the number of phonemes were incorrectly relayed to the students. For the Mathematics lesson, the teacher was not prepared and appeared to randomly select a lesson – which was then delivered poorly with incorrect information provided to the students (Note: the teacher advised that due to illness, attendance at the PKS training on the SBC Mathematics teacher’s guide was not possible).</w:t>
                      </w:r>
                    </w:p>
                  </w:txbxContent>
                </v:textbox>
                <w10:anchorlock/>
              </v:shape>
            </w:pict>
          </mc:Fallback>
        </mc:AlternateContent>
      </w:r>
    </w:p>
    <w:p w14:paraId="5001146F" w14:textId="77777777" w:rsidR="00436FDA" w:rsidRPr="00FA288E" w:rsidRDefault="00436FDA" w:rsidP="00436FDA">
      <w:pPr>
        <w:spacing w:after="120"/>
        <w:jc w:val="both"/>
        <w:rPr>
          <w:rFonts w:eastAsiaTheme="minorHAnsi" w:cs="Calibri"/>
          <w:sz w:val="20"/>
          <w:szCs w:val="20"/>
        </w:rPr>
      </w:pPr>
      <w:r w:rsidRPr="00FA288E">
        <w:rPr>
          <w:rFonts w:eastAsiaTheme="minorHAnsi" w:cs="Calibri"/>
          <w:sz w:val="20"/>
          <w:szCs w:val="20"/>
        </w:rPr>
        <w:t>Most of the participants enrolled in the E</w:t>
      </w:r>
      <w:r w:rsidR="00F234DA" w:rsidRPr="00FA288E">
        <w:rPr>
          <w:rFonts w:eastAsiaTheme="minorHAnsi" w:cs="Calibri"/>
          <w:sz w:val="20"/>
          <w:szCs w:val="20"/>
        </w:rPr>
        <w:t>arly Childhood Education</w:t>
      </w:r>
      <w:r w:rsidRPr="00FA288E">
        <w:rPr>
          <w:rFonts w:eastAsiaTheme="minorHAnsi" w:cs="Calibri"/>
          <w:sz w:val="20"/>
          <w:szCs w:val="20"/>
        </w:rPr>
        <w:t xml:space="preserve"> </w:t>
      </w:r>
      <w:r w:rsidR="001A37A1" w:rsidRPr="00FA288E">
        <w:rPr>
          <w:rFonts w:eastAsiaTheme="minorHAnsi" w:cs="Calibri"/>
          <w:sz w:val="20"/>
          <w:szCs w:val="20"/>
        </w:rPr>
        <w:t>D</w:t>
      </w:r>
      <w:r w:rsidRPr="00FA288E">
        <w:rPr>
          <w:rFonts w:eastAsiaTheme="minorHAnsi" w:cs="Calibri"/>
          <w:sz w:val="20"/>
          <w:szCs w:val="20"/>
        </w:rPr>
        <w:t>iploma program reported that they have taken steps to implement better classroom management techniques, are using more participatory teaching methods, and have included ‘play’ to facilitate learning.</w:t>
      </w:r>
    </w:p>
    <w:p w14:paraId="5479B6F2" w14:textId="77777777" w:rsidR="00436FDA" w:rsidRPr="00FA288E" w:rsidRDefault="00436FDA" w:rsidP="00436FDA">
      <w:pPr>
        <w:spacing w:after="120"/>
        <w:jc w:val="both"/>
        <w:rPr>
          <w:rFonts w:eastAsiaTheme="minorHAnsi" w:cs="Calibri"/>
          <w:sz w:val="20"/>
          <w:szCs w:val="20"/>
        </w:rPr>
      </w:pPr>
      <w:r w:rsidRPr="00FA288E">
        <w:rPr>
          <w:rFonts w:eastAsiaTheme="minorHAnsi" w:cs="Calibri"/>
          <w:i/>
          <w:iCs/>
          <w:sz w:val="20"/>
          <w:szCs w:val="20"/>
          <w:u w:val="single"/>
        </w:rPr>
        <w:t>Challenges</w:t>
      </w:r>
      <w:r w:rsidRPr="00FA288E">
        <w:rPr>
          <w:rFonts w:eastAsiaTheme="minorHAnsi" w:cs="Calibri"/>
          <w:sz w:val="20"/>
          <w:szCs w:val="20"/>
        </w:rPr>
        <w:t>: At this stage, while there has been an expression of interest by NDOE, it is difficult to ascertain if the content of the in-service training program will be endorsed by the NDOE, particularly by the P</w:t>
      </w:r>
      <w:r w:rsidR="00921E65" w:rsidRPr="00FA288E">
        <w:rPr>
          <w:rFonts w:eastAsiaTheme="minorHAnsi" w:cs="Calibri"/>
          <w:sz w:val="20"/>
          <w:szCs w:val="20"/>
        </w:rPr>
        <w:t xml:space="preserve">apua </w:t>
      </w:r>
      <w:r w:rsidRPr="00FA288E">
        <w:rPr>
          <w:rFonts w:eastAsiaTheme="minorHAnsi" w:cs="Calibri"/>
          <w:sz w:val="20"/>
          <w:szCs w:val="20"/>
        </w:rPr>
        <w:t>N</w:t>
      </w:r>
      <w:r w:rsidR="00921E65" w:rsidRPr="00FA288E">
        <w:rPr>
          <w:rFonts w:eastAsiaTheme="minorHAnsi" w:cs="Calibri"/>
          <w:sz w:val="20"/>
          <w:szCs w:val="20"/>
        </w:rPr>
        <w:t xml:space="preserve">ew </w:t>
      </w:r>
      <w:r w:rsidRPr="00FA288E">
        <w:rPr>
          <w:rFonts w:eastAsiaTheme="minorHAnsi" w:cs="Calibri"/>
          <w:sz w:val="20"/>
          <w:szCs w:val="20"/>
        </w:rPr>
        <w:t>G</w:t>
      </w:r>
      <w:r w:rsidR="00921E65" w:rsidRPr="00FA288E">
        <w:rPr>
          <w:rFonts w:eastAsiaTheme="minorHAnsi" w:cs="Calibri"/>
          <w:sz w:val="20"/>
          <w:szCs w:val="20"/>
        </w:rPr>
        <w:t>uinea</w:t>
      </w:r>
      <w:r w:rsidRPr="00FA288E">
        <w:rPr>
          <w:rFonts w:eastAsiaTheme="minorHAnsi" w:cs="Calibri"/>
          <w:sz w:val="20"/>
          <w:szCs w:val="20"/>
        </w:rPr>
        <w:t xml:space="preserve"> Education Institute which has the mandate for teacher in-service training programs. One significant challenge has been the limited ability to monitor, coach and supervise the teachers who have been trained (except for T4E as noted above) to support them in using the newly acquired teaching knowledge and skills.  In several interviews, it was noted that monitoring visits have not been conducted to some schools due to conflicting schedules, remoteness, poor transportation infrastructure, the recent delivery of training in the case of PKS, some schools are no longer operating, and peace and order issues within the community.</w:t>
      </w:r>
      <w:r w:rsidRPr="00FA288E">
        <w:rPr>
          <w:rFonts w:eastAsiaTheme="minorHAnsi" w:cs="Calibri"/>
          <w:sz w:val="20"/>
          <w:szCs w:val="20"/>
          <w:vertAlign w:val="superscript"/>
        </w:rPr>
        <w:footnoteReference w:id="101"/>
      </w:r>
      <w:r w:rsidRPr="00FA288E">
        <w:rPr>
          <w:rFonts w:eastAsiaTheme="minorHAnsi" w:cs="Calibri"/>
          <w:sz w:val="20"/>
          <w:szCs w:val="20"/>
        </w:rPr>
        <w:t xml:space="preserve">  Additionally, the lack of funding prevents district and provincial elementary inspectors from traveling to schools to perform their authorised supervisory functions. As a short-term measure, projects have included school inspectors during their regular monitoring visits.</w:t>
      </w:r>
      <w:r w:rsidRPr="00FA288E">
        <w:rPr>
          <w:rFonts w:eastAsiaTheme="minorHAnsi" w:cs="Calibri"/>
          <w:sz w:val="20"/>
          <w:szCs w:val="20"/>
          <w:vertAlign w:val="superscript"/>
        </w:rPr>
        <w:footnoteReference w:id="102"/>
      </w:r>
      <w:r w:rsidRPr="00FA288E">
        <w:rPr>
          <w:rFonts w:eastAsiaTheme="minorHAnsi" w:cs="Calibri"/>
          <w:sz w:val="20"/>
          <w:szCs w:val="20"/>
        </w:rPr>
        <w:t xml:space="preserve">  It was noted that the NDOE has authorised provincial and district inspectors to delegate their teacher supervision and classroom observation functions to the level of the school head or teacher-in-charge.  While this does provide a potential avenue for providing supervisory and coaching support to teachers, there does not appear to be any training program for school heads or </w:t>
      </w:r>
      <w:proofErr w:type="spellStart"/>
      <w:r w:rsidR="00826A52" w:rsidRPr="00FA288E">
        <w:rPr>
          <w:rFonts w:eastAsiaTheme="minorHAnsi" w:cs="Calibri"/>
          <w:sz w:val="20"/>
          <w:szCs w:val="20"/>
        </w:rPr>
        <w:t>TiCs</w:t>
      </w:r>
      <w:proofErr w:type="spellEnd"/>
      <w:r w:rsidRPr="00FA288E">
        <w:rPr>
          <w:rFonts w:eastAsiaTheme="minorHAnsi" w:cs="Calibri"/>
          <w:sz w:val="20"/>
          <w:szCs w:val="20"/>
        </w:rPr>
        <w:t xml:space="preserve"> to perform this delegated function.</w:t>
      </w:r>
    </w:p>
    <w:p w14:paraId="5C6C4CD6" w14:textId="77777777" w:rsidR="00436FDA" w:rsidRPr="00FA288E" w:rsidRDefault="00436FDA" w:rsidP="00436FDA">
      <w:pPr>
        <w:spacing w:after="120"/>
        <w:jc w:val="both"/>
        <w:rPr>
          <w:rFonts w:eastAsiaTheme="minorHAnsi" w:cs="Calibri"/>
          <w:sz w:val="20"/>
          <w:szCs w:val="20"/>
        </w:rPr>
      </w:pPr>
      <w:r w:rsidRPr="00FA288E">
        <w:rPr>
          <w:rFonts w:eastAsiaTheme="minorHAnsi" w:cs="Calibri"/>
          <w:sz w:val="20"/>
          <w:szCs w:val="20"/>
        </w:rPr>
        <w:t>For targeted training programs, i.e. the E</w:t>
      </w:r>
      <w:r w:rsidR="00F234DA" w:rsidRPr="00FA288E">
        <w:rPr>
          <w:rFonts w:eastAsiaTheme="minorHAnsi" w:cs="Calibri"/>
          <w:sz w:val="20"/>
          <w:szCs w:val="20"/>
        </w:rPr>
        <w:t>arly Childhood Education</w:t>
      </w:r>
      <w:r w:rsidRPr="00FA288E">
        <w:rPr>
          <w:rFonts w:eastAsiaTheme="minorHAnsi" w:cs="Calibri"/>
          <w:sz w:val="20"/>
          <w:szCs w:val="20"/>
        </w:rPr>
        <w:t xml:space="preserve"> Diploma program; the support to female teachers to attain matriculation through FODE; and the training of Resource Teachers, it is too early to determine the effect of this training although it was reported that some of the teachers participating in the diploma </w:t>
      </w:r>
      <w:r w:rsidR="00F234DA" w:rsidRPr="00FA288E">
        <w:rPr>
          <w:rFonts w:eastAsiaTheme="minorHAnsi" w:cs="Calibri"/>
          <w:sz w:val="20"/>
          <w:szCs w:val="20"/>
        </w:rPr>
        <w:t>program</w:t>
      </w:r>
      <w:r w:rsidRPr="00FA288E">
        <w:rPr>
          <w:rFonts w:eastAsiaTheme="minorHAnsi" w:cs="Calibri"/>
          <w:sz w:val="20"/>
          <w:szCs w:val="20"/>
        </w:rPr>
        <w:t xml:space="preserve"> are struggling to keep up with the pace, due to the condensed time frame and to the requirement that they continue their regular teaching duties. The review team was informed by several sources that the </w:t>
      </w:r>
      <w:r w:rsidR="00F234DA" w:rsidRPr="00FA288E">
        <w:rPr>
          <w:rFonts w:eastAsiaTheme="minorHAnsi" w:cs="Calibri"/>
          <w:sz w:val="20"/>
          <w:szCs w:val="20"/>
        </w:rPr>
        <w:t>d</w:t>
      </w:r>
      <w:r w:rsidRPr="00FA288E">
        <w:rPr>
          <w:rFonts w:eastAsiaTheme="minorHAnsi" w:cs="Calibri"/>
          <w:sz w:val="20"/>
          <w:szCs w:val="20"/>
        </w:rPr>
        <w:t xml:space="preserve">iploma </w:t>
      </w:r>
      <w:r w:rsidRPr="00FA288E">
        <w:rPr>
          <w:rFonts w:eastAsiaTheme="minorHAnsi" w:cs="Calibri"/>
          <w:sz w:val="20"/>
          <w:szCs w:val="20"/>
        </w:rPr>
        <w:lastRenderedPageBreak/>
        <w:t xml:space="preserve">program has not been certified by the NDOE – calling into question the likely impact completing the diploma would have on improving a teacher’s credentials and possible promotion. It is expected however that teachers with additional knowledge about </w:t>
      </w:r>
      <w:r w:rsidR="00F234DA" w:rsidRPr="00FA288E">
        <w:rPr>
          <w:rFonts w:eastAsiaTheme="minorHAnsi" w:cs="Calibri"/>
          <w:sz w:val="20"/>
          <w:szCs w:val="20"/>
        </w:rPr>
        <w:t>early childhood education</w:t>
      </w:r>
      <w:r w:rsidRPr="00FA288E">
        <w:rPr>
          <w:rFonts w:eastAsiaTheme="minorHAnsi" w:cs="Calibri"/>
          <w:sz w:val="20"/>
          <w:szCs w:val="20"/>
        </w:rPr>
        <w:t xml:space="preserve"> would apply more appropriate classroom and teaching practices.  Engaging with FODE to upgrade academic qualifications of women in order to enrol in the Certificate of Elementary Teaching was expected to demonstrate how the educational system might increase the percentage of females in the elementary teaching force.</w:t>
      </w:r>
      <w:r w:rsidRPr="00FA288E">
        <w:rPr>
          <w:rFonts w:eastAsiaTheme="minorHAnsi" w:cs="Calibri"/>
          <w:sz w:val="20"/>
          <w:szCs w:val="20"/>
          <w:vertAlign w:val="superscript"/>
        </w:rPr>
        <w:footnoteReference w:id="103"/>
      </w:r>
      <w:r w:rsidRPr="00FA288E">
        <w:rPr>
          <w:rFonts w:eastAsiaTheme="minorHAnsi" w:cs="Calibri"/>
          <w:sz w:val="20"/>
          <w:szCs w:val="20"/>
        </w:rPr>
        <w:t xml:space="preserve"> For Resource Teachers, cultural, positional and cost issues may prevent application of the intended purpose of the Resource Teacher to coach others.</w:t>
      </w:r>
    </w:p>
    <w:p w14:paraId="41CC8F4D" w14:textId="77777777" w:rsidR="00436FDA" w:rsidRPr="00FA288E" w:rsidRDefault="00436FDA" w:rsidP="00E873A4">
      <w:pPr>
        <w:keepNext/>
        <w:keepLines/>
        <w:spacing w:before="320" w:after="120"/>
        <w:ind w:left="360"/>
        <w:jc w:val="both"/>
        <w:outlineLvl w:val="1"/>
        <w:rPr>
          <w:rFonts w:eastAsiaTheme="majorEastAsia" w:cs="Calibri"/>
          <w:sz w:val="20"/>
          <w:szCs w:val="20"/>
        </w:rPr>
      </w:pPr>
      <w:bookmarkStart w:id="140" w:name="_Box_2._Barriers"/>
      <w:bookmarkStart w:id="141" w:name="_Toc26914389"/>
      <w:bookmarkStart w:id="142" w:name="_Toc31625609"/>
      <w:bookmarkStart w:id="143" w:name="_Toc42075989"/>
      <w:bookmarkEnd w:id="140"/>
      <w:r w:rsidRPr="00FA288E">
        <w:rPr>
          <w:rFonts w:eastAsiaTheme="majorEastAsia" w:cs="Calibri"/>
          <w:sz w:val="20"/>
          <w:szCs w:val="20"/>
        </w:rPr>
        <w:t>Box 2. Barriers to functioning as a ‘resource’ in support of other teachers</w:t>
      </w:r>
      <w:bookmarkEnd w:id="141"/>
      <w:bookmarkEnd w:id="142"/>
      <w:bookmarkEnd w:id="143"/>
    </w:p>
    <w:p w14:paraId="5FA2437B" w14:textId="77777777" w:rsidR="005347E4" w:rsidRPr="00FA288E" w:rsidRDefault="005347E4" w:rsidP="005347E4">
      <w:pPr>
        <w:spacing w:after="200"/>
        <w:rPr>
          <w:rFonts w:eastAsiaTheme="minorHAnsi" w:cs="Calibri"/>
          <w:i/>
          <w:iCs/>
          <w:sz w:val="20"/>
          <w:szCs w:val="20"/>
          <w:u w:val="single"/>
        </w:rPr>
      </w:pPr>
      <w:r w:rsidRPr="00FA288E">
        <w:rPr>
          <w:rFonts w:eastAsiaTheme="minorHAnsi" w:cs="Calibri"/>
          <w:noProof/>
          <w:sz w:val="20"/>
          <w:szCs w:val="20"/>
          <w:lang w:eastAsia="en-AU"/>
        </w:rPr>
        <mc:AlternateContent>
          <mc:Choice Requires="wps">
            <w:drawing>
              <wp:inline distT="0" distB="0" distL="0" distR="0" wp14:anchorId="6D526B07" wp14:editId="0DE0E3E2">
                <wp:extent cx="5731510" cy="2682815"/>
                <wp:effectExtent l="0" t="0" r="21590"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82815"/>
                        </a:xfrm>
                        <a:prstGeom prst="rect">
                          <a:avLst/>
                        </a:prstGeom>
                        <a:solidFill>
                          <a:srgbClr val="A5A5A5">
                            <a:lumMod val="20000"/>
                            <a:lumOff val="80000"/>
                          </a:srgbClr>
                        </a:solidFill>
                        <a:ln w="9525">
                          <a:solidFill>
                            <a:srgbClr val="000000"/>
                          </a:solidFill>
                          <a:miter lim="800000"/>
                          <a:headEnd/>
                          <a:tailEnd/>
                        </a:ln>
                      </wps:spPr>
                      <wps:txbx>
                        <w:txbxContent>
                          <w:p w14:paraId="2B52A18D" w14:textId="77777777" w:rsidR="009F310F" w:rsidRDefault="009F310F" w:rsidP="005347E4">
                            <w:pPr>
                              <w:rPr>
                                <w:sz w:val="20"/>
                              </w:rPr>
                            </w:pPr>
                            <w:r>
                              <w:rPr>
                                <w:sz w:val="20"/>
                              </w:rPr>
                              <w:t xml:space="preserve">An E2 English language class in a school supported by T4E was observed by a member of the review team.  The teacher demonstrated good knowledge of the subject matter and had developed effective classroom management and teaching skills - effectively delivering a lesson to a large group of students (&gt; 40).  Group and individual work were observed with the teacher monitoring progress and using questions for the class as a whole and for individuals.  This teacher was identified as the Resource Teacher for the school and for surrounding elementary schools.  The teacher shared that there were limited opportunities to share knowledge or skills with other teachers – stating that “I am just here if someone wants me to help”. </w:t>
                            </w:r>
                          </w:p>
                          <w:p w14:paraId="1C0C6F5F" w14:textId="77777777" w:rsidR="009F310F" w:rsidRDefault="009F310F" w:rsidP="005347E4">
                            <w:pPr>
                              <w:rPr>
                                <w:sz w:val="20"/>
                              </w:rPr>
                            </w:pPr>
                            <w:r>
                              <w:rPr>
                                <w:sz w:val="20"/>
                              </w:rPr>
                              <w:t>Discussions with a senior teacher and with the T4E coordinator revealed several barriers that may prevent acceptance of assistance from this highly competent Resource Teacher.  These barriers included: i) the resource teacher was younger that other teachers and the socio-cultural attitude of those older diminished acceptance of the younger teacher’s offers of assistance; ii) the teacher’s qualifications were at the Grade 10 level while other teachers and the school head (in this school and surrounding schools) have higher academic qualifications, placing the teacher at a disadvantage from an academic credential perspective; iii) the cost (actual and lost opportunity) of travelling to other schools in the vicinity serves to restrict the teacher from leaving the school to offer assistance to other surrounding schools.</w:t>
                            </w:r>
                          </w:p>
                          <w:p w14:paraId="24195E7D" w14:textId="77777777" w:rsidR="009F310F" w:rsidRPr="007B7C85" w:rsidRDefault="009F310F" w:rsidP="005347E4">
                            <w:pPr>
                              <w:rPr>
                                <w:sz w:val="20"/>
                              </w:rPr>
                            </w:pPr>
                          </w:p>
                        </w:txbxContent>
                      </wps:txbx>
                      <wps:bodyPr rot="0" vert="horz" wrap="square" lIns="91440" tIns="45720" rIns="91440" bIns="45720" anchor="t" anchorCtr="0">
                        <a:noAutofit/>
                      </wps:bodyPr>
                    </wps:wsp>
                  </a:graphicData>
                </a:graphic>
              </wp:inline>
            </w:drawing>
          </mc:Choice>
          <mc:Fallback>
            <w:pict>
              <v:shape w14:anchorId="6D526B07" id="_x0000_s1027" type="#_x0000_t202" style="width:451.3pt;height:2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" fillcolor="#ededed">
                <v:textbox>
                  <w:txbxContent>
                    <w:p w14:paraId="2B52A18D" w14:textId="77777777" w:rsidR="009F310F" w:rsidRDefault="009F310F" w:rsidP="005347E4">
                      <w:pPr>
                        <w:rPr>
                          <w:sz w:val="20"/>
                        </w:rPr>
                      </w:pPr>
                      <w:r>
                        <w:rPr>
                          <w:sz w:val="20"/>
                        </w:rPr>
                        <w:t xml:space="preserve">An E2 English language class in a school supported by T4E was observed by a member of the review team.  The teacher demonstrated good knowledge of the subject matter and had developed effective classroom management and teaching skills - effectively delivering a lesson to a large group of students (&gt; 40).  Group and individual work were observed with the teacher monitoring progress and using questions for the class as a whole and for individuals.  This teacher was identified as the Resource Teacher for the school and for surrounding elementary schools.  The teacher shared that there were limited opportunities to share knowledge or skills with other teachers – stating that “I am just here if someone wants me to help”. </w:t>
                      </w:r>
                    </w:p>
                    <w:p w14:paraId="1C0C6F5F" w14:textId="77777777" w:rsidR="009F310F" w:rsidRDefault="009F310F" w:rsidP="005347E4">
                      <w:pPr>
                        <w:rPr>
                          <w:sz w:val="20"/>
                        </w:rPr>
                      </w:pPr>
                      <w:r>
                        <w:rPr>
                          <w:sz w:val="20"/>
                        </w:rPr>
                        <w:t>Discussions with a senior teacher and with the T4E coordinator revealed several barriers that may prevent acceptance of assistance from this highly competent Resource Teacher.  These barriers included: i) the resource teacher was younger that other teachers and the socio-cultural attitude of those older diminished acceptance of the younger teacher’s offers of assistance; ii) the teacher’s qualifications were at the Grade 10 level while other teachers and the school head (in this school and surrounding schools) have higher academic qualifications, placing the teacher at a disadvantage from an academic credential perspective; iii) the cost (actual and lost opportunity) of travelling to other schools in the vicinity serves to restrict the teacher from leaving the school to offer assistance to other surrounding schools.</w:t>
                      </w:r>
                    </w:p>
                    <w:p w14:paraId="24195E7D" w14:textId="77777777" w:rsidR="009F310F" w:rsidRPr="007B7C85" w:rsidRDefault="009F310F" w:rsidP="005347E4">
                      <w:pPr>
                        <w:rPr>
                          <w:sz w:val="20"/>
                        </w:rPr>
                      </w:pPr>
                    </w:p>
                  </w:txbxContent>
                </v:textbox>
                <w10:anchorlock/>
              </v:shape>
            </w:pict>
          </mc:Fallback>
        </mc:AlternateContent>
      </w:r>
    </w:p>
    <w:p w14:paraId="6F039C99" w14:textId="77777777" w:rsidR="00436FDA" w:rsidRPr="00FA288E" w:rsidRDefault="00436FDA" w:rsidP="00416B63">
      <w:pPr>
        <w:spacing w:after="200"/>
        <w:jc w:val="both"/>
        <w:rPr>
          <w:rFonts w:eastAsiaTheme="minorHAnsi" w:cs="Calibri"/>
          <w:sz w:val="20"/>
          <w:szCs w:val="20"/>
        </w:rPr>
      </w:pPr>
      <w:r w:rsidRPr="00FA288E">
        <w:rPr>
          <w:rFonts w:eastAsiaTheme="minorHAnsi" w:cs="Calibri"/>
          <w:i/>
          <w:iCs/>
          <w:sz w:val="20"/>
          <w:szCs w:val="20"/>
          <w:u w:val="single"/>
        </w:rPr>
        <w:t>Moving forward</w:t>
      </w:r>
      <w:r w:rsidRPr="00FA288E">
        <w:rPr>
          <w:rFonts w:eastAsiaTheme="minorHAnsi" w:cs="Calibri"/>
          <w:sz w:val="20"/>
          <w:szCs w:val="20"/>
        </w:rPr>
        <w:t>: During interviews with officials from NDOE and one teacher training college, strong interest was stated in obtaining the in-service training packages that had been delivered through the projects.</w:t>
      </w:r>
      <w:r w:rsidRPr="00FA288E">
        <w:rPr>
          <w:rFonts w:eastAsiaTheme="minorHAnsi" w:cs="Calibri"/>
          <w:sz w:val="20"/>
          <w:szCs w:val="20"/>
          <w:vertAlign w:val="superscript"/>
        </w:rPr>
        <w:footnoteReference w:id="104"/>
      </w:r>
      <w:r w:rsidRPr="00FA288E">
        <w:rPr>
          <w:rFonts w:eastAsiaTheme="minorHAnsi" w:cs="Calibri"/>
          <w:sz w:val="20"/>
          <w:szCs w:val="20"/>
        </w:rPr>
        <w:t xml:space="preserve"> One of the steps that is required by NDOE is that the in-service training packages (or parts of the packages) be submitted for review and endorsement to the NDOE Board of Studies for Teacher Training for use in the training of teachers.</w:t>
      </w:r>
      <w:r w:rsidRPr="00FA288E">
        <w:rPr>
          <w:rFonts w:eastAsiaTheme="minorHAnsi" w:cs="Calibri"/>
          <w:sz w:val="20"/>
          <w:szCs w:val="20"/>
          <w:vertAlign w:val="superscript"/>
        </w:rPr>
        <w:footnoteReference w:id="105"/>
      </w:r>
    </w:p>
    <w:p w14:paraId="789B8E64" w14:textId="78CD8CEE" w:rsidR="00436FDA" w:rsidRPr="00FA288E" w:rsidRDefault="00436FDA" w:rsidP="00436FDA">
      <w:pPr>
        <w:spacing w:after="200"/>
        <w:jc w:val="both"/>
        <w:rPr>
          <w:rFonts w:eastAsiaTheme="minorHAnsi" w:cs="Calibri"/>
          <w:sz w:val="20"/>
          <w:szCs w:val="20"/>
        </w:rPr>
      </w:pPr>
      <w:r w:rsidRPr="00FA288E">
        <w:rPr>
          <w:rFonts w:eastAsiaTheme="minorHAnsi" w:cs="Calibri"/>
          <w:sz w:val="20"/>
          <w:szCs w:val="20"/>
        </w:rPr>
        <w:t xml:space="preserve">For targeted training programs, it is suggested to continue </w:t>
      </w:r>
      <w:r w:rsidR="008B3E13" w:rsidRPr="00FA288E">
        <w:rPr>
          <w:rFonts w:eastAsiaTheme="minorHAnsi" w:cs="Calibri"/>
          <w:sz w:val="20"/>
          <w:szCs w:val="20"/>
        </w:rPr>
        <w:t>supporting</w:t>
      </w:r>
      <w:r w:rsidRPr="00FA288E">
        <w:rPr>
          <w:rFonts w:eastAsiaTheme="minorHAnsi" w:cs="Calibri"/>
          <w:sz w:val="20"/>
          <w:szCs w:val="20"/>
        </w:rPr>
        <w:t xml:space="preserve"> the E</w:t>
      </w:r>
      <w:r w:rsidR="00F234DA" w:rsidRPr="00FA288E">
        <w:rPr>
          <w:rFonts w:eastAsiaTheme="minorHAnsi" w:cs="Calibri"/>
          <w:sz w:val="20"/>
          <w:szCs w:val="20"/>
        </w:rPr>
        <w:t>arly Childhood Education</w:t>
      </w:r>
      <w:r w:rsidRPr="00FA288E">
        <w:rPr>
          <w:rFonts w:eastAsiaTheme="minorHAnsi" w:cs="Calibri"/>
          <w:sz w:val="20"/>
          <w:szCs w:val="20"/>
        </w:rPr>
        <w:t xml:space="preserve"> Diploma program and encourage the University of Goroka (as a PKS consortia member) to seek </w:t>
      </w:r>
      <w:r w:rsidR="001A37A1" w:rsidRPr="00FA288E">
        <w:rPr>
          <w:rFonts w:eastAsiaTheme="minorHAnsi" w:cs="Calibri"/>
          <w:sz w:val="20"/>
          <w:szCs w:val="20"/>
        </w:rPr>
        <w:t xml:space="preserve">government </w:t>
      </w:r>
      <w:r w:rsidRPr="00FA288E">
        <w:rPr>
          <w:rFonts w:eastAsiaTheme="minorHAnsi" w:cs="Calibri"/>
          <w:sz w:val="20"/>
          <w:szCs w:val="20"/>
        </w:rPr>
        <w:t xml:space="preserve">certification for the diploma program. The rationale for continuing support to the current cohort to enable them to graduate is two-fold: </w:t>
      </w:r>
      <w:r w:rsidR="008B3E13" w:rsidRPr="00FA288E">
        <w:rPr>
          <w:rFonts w:eastAsiaTheme="minorHAnsi" w:cs="Calibri"/>
          <w:sz w:val="20"/>
          <w:szCs w:val="20"/>
        </w:rPr>
        <w:t xml:space="preserve">Primarily, </w:t>
      </w:r>
      <w:r w:rsidR="00132F91" w:rsidRPr="00FA288E">
        <w:rPr>
          <w:rFonts w:eastAsiaTheme="minorHAnsi" w:cs="Calibri"/>
          <w:sz w:val="20"/>
          <w:szCs w:val="20"/>
        </w:rPr>
        <w:t>the rationale</w:t>
      </w:r>
      <w:r w:rsidR="008B3E13" w:rsidRPr="00FA288E">
        <w:rPr>
          <w:rFonts w:eastAsiaTheme="minorHAnsi" w:cs="Calibri"/>
          <w:sz w:val="20"/>
          <w:szCs w:val="20"/>
        </w:rPr>
        <w:t xml:space="preserve"> </w:t>
      </w:r>
      <w:r w:rsidRPr="00FA288E">
        <w:rPr>
          <w:rFonts w:eastAsiaTheme="minorHAnsi" w:cs="Calibri"/>
          <w:sz w:val="20"/>
          <w:szCs w:val="20"/>
        </w:rPr>
        <w:t xml:space="preserve">is not </w:t>
      </w:r>
      <w:r w:rsidR="00132F91" w:rsidRPr="00FA288E">
        <w:rPr>
          <w:rFonts w:eastAsiaTheme="minorHAnsi" w:cs="Calibri"/>
          <w:sz w:val="20"/>
          <w:szCs w:val="20"/>
        </w:rPr>
        <w:t xml:space="preserve">to </w:t>
      </w:r>
      <w:r w:rsidRPr="00FA288E">
        <w:rPr>
          <w:rFonts w:eastAsiaTheme="minorHAnsi" w:cs="Calibri"/>
          <w:sz w:val="20"/>
          <w:szCs w:val="20"/>
        </w:rPr>
        <w:t>diminish the expectations of support to those currently enrolled</w:t>
      </w:r>
      <w:r w:rsidR="008B3E13" w:rsidRPr="00FA288E">
        <w:rPr>
          <w:rFonts w:eastAsiaTheme="minorHAnsi" w:cs="Calibri"/>
          <w:sz w:val="20"/>
          <w:szCs w:val="20"/>
        </w:rPr>
        <w:t>; Secondly</w:t>
      </w:r>
      <w:r w:rsidR="00132F91" w:rsidRPr="00FA288E">
        <w:rPr>
          <w:rFonts w:eastAsiaTheme="minorHAnsi" w:cs="Calibri"/>
          <w:sz w:val="20"/>
          <w:szCs w:val="20"/>
        </w:rPr>
        <w:t>,</w:t>
      </w:r>
      <w:r w:rsidR="008B3E13" w:rsidRPr="00FA288E">
        <w:rPr>
          <w:rFonts w:eastAsiaTheme="minorHAnsi" w:cs="Calibri"/>
          <w:sz w:val="20"/>
          <w:szCs w:val="20"/>
        </w:rPr>
        <w:t xml:space="preserve"> it</w:t>
      </w:r>
      <w:r w:rsidR="00132F91" w:rsidRPr="00FA288E">
        <w:rPr>
          <w:rFonts w:eastAsiaTheme="minorHAnsi" w:cs="Calibri"/>
          <w:sz w:val="20"/>
          <w:szCs w:val="20"/>
        </w:rPr>
        <w:t xml:space="preserve"> would be useful</w:t>
      </w:r>
      <w:r w:rsidRPr="00FA288E">
        <w:rPr>
          <w:rFonts w:eastAsiaTheme="minorHAnsi" w:cs="Calibri"/>
          <w:sz w:val="20"/>
          <w:szCs w:val="20"/>
        </w:rPr>
        <w:t xml:space="preserve"> to include these individuals in the assessment of teaching knowledge and skills at </w:t>
      </w:r>
      <w:r w:rsidR="00FA288E">
        <w:rPr>
          <w:rFonts w:eastAsiaTheme="minorHAnsi" w:cs="Calibri"/>
          <w:sz w:val="20"/>
          <w:szCs w:val="20"/>
        </w:rPr>
        <w:t>end line</w:t>
      </w:r>
      <w:r w:rsidRPr="00FA288E">
        <w:rPr>
          <w:rFonts w:eastAsiaTheme="minorHAnsi" w:cs="Calibri"/>
          <w:sz w:val="20"/>
          <w:szCs w:val="20"/>
        </w:rPr>
        <w:t xml:space="preserve"> to determine </w:t>
      </w:r>
      <w:r w:rsidR="00132F91" w:rsidRPr="00FA288E">
        <w:rPr>
          <w:rFonts w:eastAsiaTheme="minorHAnsi" w:cs="Calibri"/>
          <w:sz w:val="20"/>
          <w:szCs w:val="20"/>
        </w:rPr>
        <w:t xml:space="preserve">if </w:t>
      </w:r>
      <w:r w:rsidRPr="00FA288E">
        <w:rPr>
          <w:rFonts w:eastAsiaTheme="minorHAnsi" w:cs="Calibri"/>
          <w:sz w:val="20"/>
          <w:szCs w:val="20"/>
        </w:rPr>
        <w:t>the</w:t>
      </w:r>
      <w:r w:rsidR="00132F91" w:rsidRPr="00FA288E">
        <w:rPr>
          <w:rFonts w:eastAsiaTheme="minorHAnsi" w:cs="Calibri"/>
          <w:sz w:val="20"/>
          <w:szCs w:val="20"/>
        </w:rPr>
        <w:t>re are</w:t>
      </w:r>
      <w:r w:rsidRPr="00FA288E">
        <w:rPr>
          <w:rFonts w:eastAsiaTheme="minorHAnsi" w:cs="Calibri"/>
          <w:sz w:val="20"/>
          <w:szCs w:val="20"/>
        </w:rPr>
        <w:t xml:space="preserve"> knowledge, skills and practice differences of these teachers compared to the teachers who participated in the in-service training programs.</w:t>
      </w:r>
      <w:r w:rsidRPr="00FA288E">
        <w:rPr>
          <w:rFonts w:eastAsiaTheme="minorHAnsi" w:cs="Calibri"/>
          <w:sz w:val="20"/>
          <w:szCs w:val="20"/>
          <w:vertAlign w:val="superscript"/>
        </w:rPr>
        <w:footnoteReference w:id="106"/>
      </w:r>
      <w:r w:rsidRPr="00FA288E">
        <w:rPr>
          <w:rFonts w:eastAsiaTheme="minorHAnsi" w:cs="Calibri"/>
          <w:sz w:val="20"/>
          <w:szCs w:val="20"/>
        </w:rPr>
        <w:t xml:space="preserve"> This </w:t>
      </w:r>
      <w:r w:rsidR="00132F91" w:rsidRPr="00FA288E">
        <w:rPr>
          <w:rFonts w:eastAsiaTheme="minorHAnsi" w:cs="Calibri"/>
          <w:sz w:val="20"/>
          <w:szCs w:val="20"/>
        </w:rPr>
        <w:t xml:space="preserve">assessment information </w:t>
      </w:r>
      <w:r w:rsidRPr="00FA288E">
        <w:rPr>
          <w:rFonts w:eastAsiaTheme="minorHAnsi" w:cs="Calibri"/>
          <w:sz w:val="20"/>
          <w:szCs w:val="20"/>
        </w:rPr>
        <w:t xml:space="preserve">could be </w:t>
      </w:r>
      <w:r w:rsidR="00132F91" w:rsidRPr="00FA288E">
        <w:rPr>
          <w:rFonts w:eastAsiaTheme="minorHAnsi" w:cs="Calibri"/>
          <w:sz w:val="20"/>
          <w:szCs w:val="20"/>
        </w:rPr>
        <w:t>used to</w:t>
      </w:r>
      <w:r w:rsidRPr="00FA288E">
        <w:rPr>
          <w:rFonts w:eastAsiaTheme="minorHAnsi" w:cs="Calibri"/>
          <w:sz w:val="20"/>
          <w:szCs w:val="20"/>
        </w:rPr>
        <w:t xml:space="preserve"> inform adjustments to </w:t>
      </w:r>
      <w:r w:rsidR="00132F91" w:rsidRPr="00FA288E">
        <w:rPr>
          <w:rFonts w:eastAsiaTheme="minorHAnsi" w:cs="Calibri"/>
          <w:sz w:val="20"/>
          <w:szCs w:val="20"/>
        </w:rPr>
        <w:t xml:space="preserve">the content and delivery of </w:t>
      </w:r>
      <w:r w:rsidRPr="00FA288E">
        <w:rPr>
          <w:rFonts w:eastAsiaTheme="minorHAnsi" w:cs="Calibri"/>
          <w:sz w:val="20"/>
          <w:szCs w:val="20"/>
        </w:rPr>
        <w:t xml:space="preserve">future in-service training programs.  </w:t>
      </w:r>
      <w:r w:rsidR="008B3E13" w:rsidRPr="00FA288E">
        <w:rPr>
          <w:rFonts w:eastAsiaTheme="minorHAnsi" w:cs="Calibri"/>
          <w:sz w:val="20"/>
          <w:szCs w:val="20"/>
        </w:rPr>
        <w:t>Upgrading</w:t>
      </w:r>
      <w:r w:rsidRPr="00FA288E">
        <w:rPr>
          <w:rFonts w:eastAsiaTheme="minorHAnsi" w:cs="Calibri"/>
          <w:sz w:val="20"/>
          <w:szCs w:val="20"/>
        </w:rPr>
        <w:t xml:space="preserve"> female teachers’ academic qualifications through the FODE could be continued as this is a low-cost intervention to </w:t>
      </w:r>
      <w:r w:rsidRPr="00FA288E">
        <w:rPr>
          <w:rFonts w:eastAsiaTheme="minorHAnsi" w:cs="Calibri"/>
          <w:sz w:val="20"/>
          <w:szCs w:val="20"/>
        </w:rPr>
        <w:lastRenderedPageBreak/>
        <w:t xml:space="preserve">increase the number of female teachers, with good evidence suggesting </w:t>
      </w:r>
      <w:r w:rsidR="00132F91" w:rsidRPr="00FA288E">
        <w:rPr>
          <w:rFonts w:eastAsiaTheme="minorHAnsi" w:cs="Calibri"/>
          <w:sz w:val="20"/>
          <w:szCs w:val="20"/>
        </w:rPr>
        <w:t xml:space="preserve">that the presence of </w:t>
      </w:r>
      <w:r w:rsidRPr="00FA288E">
        <w:rPr>
          <w:rFonts w:eastAsiaTheme="minorHAnsi" w:cs="Calibri"/>
          <w:sz w:val="20"/>
          <w:szCs w:val="20"/>
        </w:rPr>
        <w:t xml:space="preserve">female teachers </w:t>
      </w:r>
      <w:r w:rsidR="00132F91" w:rsidRPr="00FA288E">
        <w:rPr>
          <w:rFonts w:eastAsiaTheme="minorHAnsi" w:cs="Calibri"/>
          <w:sz w:val="20"/>
          <w:szCs w:val="20"/>
        </w:rPr>
        <w:t>helps ensure</w:t>
      </w:r>
      <w:r w:rsidRPr="00FA288E">
        <w:rPr>
          <w:rFonts w:eastAsiaTheme="minorHAnsi" w:cs="Calibri"/>
          <w:sz w:val="20"/>
          <w:szCs w:val="20"/>
        </w:rPr>
        <w:t xml:space="preserve"> gender balanced student enrolments</w:t>
      </w:r>
      <w:r w:rsidRPr="00FA288E">
        <w:rPr>
          <w:rFonts w:eastAsiaTheme="minorHAnsi" w:cs="Calibri"/>
          <w:sz w:val="20"/>
          <w:szCs w:val="20"/>
          <w:vertAlign w:val="superscript"/>
        </w:rPr>
        <w:footnoteReference w:id="107"/>
      </w:r>
      <w:r w:rsidRPr="00FA288E">
        <w:rPr>
          <w:rFonts w:eastAsiaTheme="minorHAnsi" w:cs="Calibri"/>
          <w:sz w:val="20"/>
          <w:szCs w:val="20"/>
        </w:rPr>
        <w:t>.  Even though the original intention of enrolling these same individuals in the</w:t>
      </w:r>
      <w:r w:rsidR="000118A2" w:rsidRPr="00FA288E">
        <w:rPr>
          <w:rFonts w:eastAsiaTheme="minorHAnsi" w:cs="Calibri"/>
          <w:sz w:val="20"/>
          <w:szCs w:val="20"/>
        </w:rPr>
        <w:t xml:space="preserve"> Certificate in Elementary Education</w:t>
      </w:r>
      <w:r w:rsidRPr="00FA288E">
        <w:rPr>
          <w:rFonts w:eastAsiaTheme="minorHAnsi" w:cs="Calibri"/>
          <w:sz w:val="20"/>
          <w:szCs w:val="20"/>
        </w:rPr>
        <w:t xml:space="preserve"> has been removed as a target, it would be of interest to track these individuals to determine if there is a return of this investment to the individual and to the system.  As for the concept of developing Resource Teachers, the review team finds considerable merit in the concept</w:t>
      </w:r>
      <w:r w:rsidR="008B3E13" w:rsidRPr="00FA288E">
        <w:rPr>
          <w:rFonts w:eastAsiaTheme="minorHAnsi" w:cs="Calibri"/>
          <w:sz w:val="20"/>
          <w:szCs w:val="20"/>
        </w:rPr>
        <w:t>.</w:t>
      </w:r>
      <w:r w:rsidRPr="00FA288E">
        <w:rPr>
          <w:rFonts w:eastAsiaTheme="minorHAnsi" w:cs="Calibri"/>
          <w:sz w:val="20"/>
          <w:szCs w:val="20"/>
        </w:rPr>
        <w:t xml:space="preserve"> </w:t>
      </w:r>
      <w:r w:rsidR="008B3E13" w:rsidRPr="00FA288E">
        <w:rPr>
          <w:rFonts w:eastAsiaTheme="minorHAnsi" w:cs="Calibri"/>
          <w:sz w:val="20"/>
          <w:szCs w:val="20"/>
        </w:rPr>
        <w:t xml:space="preserve">Future </w:t>
      </w:r>
      <w:r w:rsidRPr="00FA288E">
        <w:rPr>
          <w:rFonts w:eastAsiaTheme="minorHAnsi" w:cs="Calibri"/>
          <w:sz w:val="20"/>
          <w:szCs w:val="20"/>
        </w:rPr>
        <w:t>developments could be linked with the efforts of RISE to establish Peer Learning Circles</w:t>
      </w:r>
      <w:r w:rsidRPr="00FA288E">
        <w:rPr>
          <w:rFonts w:eastAsiaTheme="minorHAnsi" w:cs="Calibri"/>
          <w:sz w:val="20"/>
          <w:szCs w:val="20"/>
          <w:vertAlign w:val="superscript"/>
        </w:rPr>
        <w:footnoteReference w:id="108"/>
      </w:r>
      <w:r w:rsidRPr="00FA288E">
        <w:rPr>
          <w:rFonts w:eastAsiaTheme="minorHAnsi" w:cs="Calibri"/>
          <w:sz w:val="20"/>
          <w:szCs w:val="20"/>
        </w:rPr>
        <w:t xml:space="preserve"> in schools, however, measures will need to be taken to overcome the issues noted above.  It is suggested to organise Resource Teachers in pairs – providing mutual support – and also some cover from cultural and positional issues.  Pairing a highly capable Resource Teacher with a senior teacher, a school head or a</w:t>
      </w:r>
      <w:r w:rsidR="00826A52" w:rsidRPr="00FA288E">
        <w:rPr>
          <w:rFonts w:eastAsiaTheme="minorHAnsi" w:cs="Calibri"/>
          <w:sz w:val="20"/>
          <w:szCs w:val="20"/>
        </w:rPr>
        <w:t xml:space="preserve"> </w:t>
      </w:r>
      <w:proofErr w:type="spellStart"/>
      <w:r w:rsidR="00826A52" w:rsidRPr="00FA288E">
        <w:rPr>
          <w:rFonts w:eastAsiaTheme="minorHAnsi" w:cs="Calibri"/>
          <w:sz w:val="20"/>
          <w:szCs w:val="20"/>
        </w:rPr>
        <w:t>TiC</w:t>
      </w:r>
      <w:proofErr w:type="spellEnd"/>
      <w:r w:rsidRPr="00FA288E">
        <w:rPr>
          <w:rFonts w:eastAsiaTheme="minorHAnsi" w:cs="Calibri"/>
          <w:sz w:val="20"/>
          <w:szCs w:val="20"/>
        </w:rPr>
        <w:t xml:space="preserve"> may overcome some of the current barriers to effective deployment of Resource Teachers.</w:t>
      </w:r>
    </w:p>
    <w:p w14:paraId="02B2996E" w14:textId="77777777" w:rsidR="00436FDA" w:rsidRPr="00FA288E" w:rsidRDefault="00436FDA" w:rsidP="00436FDA">
      <w:pPr>
        <w:spacing w:after="200"/>
        <w:jc w:val="both"/>
        <w:rPr>
          <w:rFonts w:eastAsiaTheme="minorHAnsi" w:cs="Calibri"/>
          <w:i/>
          <w:iCs/>
          <w:sz w:val="20"/>
          <w:szCs w:val="20"/>
        </w:rPr>
      </w:pPr>
      <w:r w:rsidRPr="00FA288E">
        <w:rPr>
          <w:rFonts w:eastAsiaTheme="minorHAnsi" w:cs="Calibri"/>
          <w:sz w:val="20"/>
          <w:szCs w:val="20"/>
        </w:rPr>
        <w:t>Teaching and Learning Resources</w:t>
      </w:r>
    </w:p>
    <w:p w14:paraId="18B4B142" w14:textId="77777777" w:rsidR="00436FDA" w:rsidRPr="00FA288E" w:rsidRDefault="00436FDA" w:rsidP="00436FDA">
      <w:pPr>
        <w:spacing w:after="200"/>
        <w:jc w:val="both"/>
        <w:rPr>
          <w:rFonts w:eastAsiaTheme="minorHAnsi" w:cs="Calibri"/>
          <w:sz w:val="20"/>
          <w:szCs w:val="20"/>
        </w:rPr>
      </w:pPr>
      <w:r w:rsidRPr="00FA288E">
        <w:rPr>
          <w:rFonts w:eastAsiaTheme="minorHAnsi" w:cs="Calibri"/>
          <w:i/>
          <w:iCs/>
          <w:sz w:val="20"/>
          <w:szCs w:val="20"/>
          <w:u w:val="single"/>
        </w:rPr>
        <w:t>Provision of resources for teachers trained</w:t>
      </w:r>
      <w:r w:rsidRPr="00FA288E">
        <w:rPr>
          <w:rFonts w:eastAsiaTheme="minorHAnsi" w:cs="Calibri"/>
          <w:sz w:val="20"/>
          <w:szCs w:val="20"/>
        </w:rPr>
        <w:t xml:space="preserve">: A range of teaching and learning resources were applied by the three projects – some to </w:t>
      </w:r>
      <w:r w:rsidRPr="00FA288E">
        <w:rPr>
          <w:rFonts w:eastAsiaTheme="minorHAnsi" w:cs="Calibri"/>
          <w:i/>
          <w:sz w:val="20"/>
          <w:szCs w:val="20"/>
        </w:rPr>
        <w:t>all</w:t>
      </w:r>
      <w:r w:rsidRPr="00FA288E">
        <w:rPr>
          <w:rFonts w:eastAsiaTheme="minorHAnsi" w:cs="Calibri"/>
          <w:sz w:val="20"/>
          <w:szCs w:val="20"/>
        </w:rPr>
        <w:t xml:space="preserve"> target schools, while others were implemented on a pilot basis. The purpose of providing additional resources was to provide extra support for learning literacy and numeracy to supplement the SBC teacher guides. This discussion focuses on the provision of teaching and learning resources </w:t>
      </w:r>
      <w:r w:rsidRPr="00FA288E">
        <w:rPr>
          <w:rFonts w:eastAsiaTheme="minorHAnsi" w:cs="Calibri"/>
          <w:i/>
          <w:iCs/>
          <w:sz w:val="20"/>
          <w:szCs w:val="20"/>
        </w:rPr>
        <w:t>to support application of the SBC</w:t>
      </w:r>
      <w:r w:rsidRPr="00FA288E">
        <w:rPr>
          <w:rFonts w:eastAsiaTheme="minorHAnsi" w:cs="Calibri"/>
          <w:sz w:val="20"/>
          <w:szCs w:val="20"/>
        </w:rPr>
        <w:t xml:space="preserve">.  A separate discussion on the provision of resources to encourage </w:t>
      </w:r>
      <w:r w:rsidRPr="00FA288E">
        <w:rPr>
          <w:rFonts w:eastAsiaTheme="minorHAnsi" w:cs="Calibri"/>
          <w:i/>
          <w:iCs/>
          <w:sz w:val="20"/>
          <w:szCs w:val="20"/>
        </w:rPr>
        <w:t>reading</w:t>
      </w:r>
      <w:r w:rsidRPr="00FA288E">
        <w:rPr>
          <w:rFonts w:eastAsiaTheme="minorHAnsi" w:cs="Calibri"/>
          <w:sz w:val="20"/>
          <w:szCs w:val="20"/>
        </w:rPr>
        <w:t xml:space="preserve"> is provided in Annex </w:t>
      </w:r>
      <w:r w:rsidR="001523A6" w:rsidRPr="00FA288E">
        <w:rPr>
          <w:rFonts w:eastAsiaTheme="minorHAnsi" w:cs="Calibri"/>
          <w:sz w:val="20"/>
          <w:szCs w:val="20"/>
        </w:rPr>
        <w:t>F</w:t>
      </w:r>
      <w:r w:rsidRPr="00FA288E">
        <w:rPr>
          <w:rFonts w:eastAsiaTheme="minorHAnsi" w:cs="Calibri"/>
          <w:sz w:val="20"/>
          <w:szCs w:val="20"/>
        </w:rPr>
        <w:t>.2.</w:t>
      </w:r>
    </w:p>
    <w:p w14:paraId="6700EF78" w14:textId="77777777" w:rsidR="00436FDA" w:rsidRPr="00FA288E" w:rsidRDefault="00436FDA" w:rsidP="00436FDA">
      <w:pPr>
        <w:spacing w:after="120"/>
        <w:jc w:val="both"/>
        <w:rPr>
          <w:rFonts w:eastAsiaTheme="minorHAnsi" w:cs="Calibri"/>
          <w:sz w:val="20"/>
          <w:szCs w:val="20"/>
        </w:rPr>
      </w:pPr>
      <w:r w:rsidRPr="00FA288E">
        <w:rPr>
          <w:rFonts w:eastAsiaTheme="minorHAnsi" w:cs="Calibri"/>
          <w:sz w:val="20"/>
          <w:szCs w:val="20"/>
        </w:rPr>
        <w:t xml:space="preserve">RISE provided resources developed by </w:t>
      </w:r>
      <w:proofErr w:type="spellStart"/>
      <w:r w:rsidRPr="00FA288E">
        <w:rPr>
          <w:rFonts w:eastAsiaTheme="minorHAnsi" w:cs="Calibri"/>
          <w:sz w:val="20"/>
          <w:szCs w:val="20"/>
        </w:rPr>
        <w:t>StC</w:t>
      </w:r>
      <w:proofErr w:type="spellEnd"/>
      <w:r w:rsidRPr="00FA288E">
        <w:rPr>
          <w:rFonts w:eastAsiaTheme="minorHAnsi" w:cs="Calibri"/>
          <w:sz w:val="20"/>
          <w:szCs w:val="20"/>
        </w:rPr>
        <w:t xml:space="preserve">, known as ‘Literacy Boost’ and ‘Numeracy Boost’ programs </w:t>
      </w:r>
      <w:r w:rsidR="008B3E13" w:rsidRPr="00FA288E">
        <w:rPr>
          <w:rFonts w:eastAsiaTheme="minorHAnsi" w:cs="Calibri"/>
          <w:sz w:val="20"/>
          <w:szCs w:val="20"/>
        </w:rPr>
        <w:t>as</w:t>
      </w:r>
      <w:r w:rsidRPr="00FA288E">
        <w:rPr>
          <w:rFonts w:eastAsiaTheme="minorHAnsi" w:cs="Calibri"/>
          <w:sz w:val="20"/>
          <w:szCs w:val="20"/>
        </w:rPr>
        <w:t xml:space="preserve"> a significant part of the in-service training program.  Both ‘Literacy Boost’ and ‘Numeracy Boost’ have been tested and revised based on application across numerous countries and contexts. Following the 2018 in-service training program</w:t>
      </w:r>
      <w:r w:rsidR="00E12E1E" w:rsidRPr="00FA288E">
        <w:rPr>
          <w:rFonts w:eastAsiaTheme="minorHAnsi" w:cs="Calibri"/>
          <w:sz w:val="20"/>
          <w:szCs w:val="20"/>
        </w:rPr>
        <w:t>,</w:t>
      </w:r>
      <w:r w:rsidRPr="00FA288E">
        <w:rPr>
          <w:rFonts w:eastAsiaTheme="minorHAnsi" w:cs="Calibri"/>
          <w:sz w:val="20"/>
          <w:szCs w:val="20"/>
        </w:rPr>
        <w:t xml:space="preserve"> RISE modified the content of the two programs to better align with the SBC. T4E applied a similar approach, through a program entitled ‘Literacy Unlocked’.</w:t>
      </w:r>
      <w:r w:rsidRPr="00FA288E">
        <w:rPr>
          <w:rFonts w:eastAsiaTheme="minorHAnsi" w:cs="Calibri"/>
          <w:sz w:val="20"/>
          <w:szCs w:val="20"/>
          <w:vertAlign w:val="superscript"/>
        </w:rPr>
        <w:footnoteReference w:id="109"/>
      </w:r>
      <w:r w:rsidRPr="00FA288E">
        <w:rPr>
          <w:rFonts w:eastAsiaTheme="minorHAnsi" w:cs="Calibri"/>
          <w:sz w:val="20"/>
          <w:szCs w:val="20"/>
        </w:rPr>
        <w:t xml:space="preserve"> The 2018 version of the program was revised significantly for 2019 to align more closely with </w:t>
      </w:r>
      <w:r w:rsidR="00E12E1E" w:rsidRPr="00FA288E">
        <w:rPr>
          <w:rFonts w:eastAsiaTheme="minorHAnsi" w:cs="Calibri"/>
          <w:sz w:val="20"/>
          <w:szCs w:val="20"/>
        </w:rPr>
        <w:t xml:space="preserve">SBC’s </w:t>
      </w:r>
      <w:r w:rsidRPr="00FA288E">
        <w:rPr>
          <w:rFonts w:eastAsiaTheme="minorHAnsi" w:cs="Calibri"/>
          <w:sz w:val="20"/>
          <w:szCs w:val="20"/>
        </w:rPr>
        <w:t>requirement</w:t>
      </w:r>
      <w:r w:rsidR="00E12E1E" w:rsidRPr="00FA288E">
        <w:rPr>
          <w:rFonts w:eastAsiaTheme="minorHAnsi" w:cs="Calibri"/>
          <w:sz w:val="20"/>
          <w:szCs w:val="20"/>
        </w:rPr>
        <w:t>s</w:t>
      </w:r>
      <w:r w:rsidRPr="00FA288E">
        <w:rPr>
          <w:rFonts w:eastAsiaTheme="minorHAnsi" w:cs="Calibri"/>
          <w:sz w:val="20"/>
          <w:szCs w:val="20"/>
        </w:rPr>
        <w:t xml:space="preserve">. T4E also provided sets of </w:t>
      </w:r>
      <w:proofErr w:type="spellStart"/>
      <w:r w:rsidRPr="00FA288E">
        <w:rPr>
          <w:rFonts w:eastAsiaTheme="minorHAnsi" w:cs="Calibri"/>
          <w:sz w:val="20"/>
          <w:szCs w:val="20"/>
        </w:rPr>
        <w:t>Bilum</w:t>
      </w:r>
      <w:proofErr w:type="spellEnd"/>
      <w:r w:rsidRPr="00FA288E">
        <w:rPr>
          <w:rFonts w:eastAsiaTheme="minorHAnsi" w:cs="Calibri"/>
          <w:sz w:val="20"/>
          <w:szCs w:val="20"/>
        </w:rPr>
        <w:t xml:space="preserve"> Books to teachers as part of the Teachers Resource Kit. </w:t>
      </w:r>
      <w:proofErr w:type="spellStart"/>
      <w:r w:rsidRPr="00FA288E">
        <w:rPr>
          <w:rFonts w:eastAsiaTheme="minorHAnsi" w:cs="Calibri"/>
          <w:sz w:val="20"/>
          <w:szCs w:val="20"/>
        </w:rPr>
        <w:t>Bilum</w:t>
      </w:r>
      <w:proofErr w:type="spellEnd"/>
      <w:r w:rsidRPr="00FA288E">
        <w:rPr>
          <w:rFonts w:eastAsiaTheme="minorHAnsi" w:cs="Calibri"/>
          <w:sz w:val="20"/>
          <w:szCs w:val="20"/>
        </w:rPr>
        <w:t xml:space="preserve"> Books have been developed to directly align with the SBC, have been approved by the NDOE Curriculum Board of Studies and are being considered, subject to budget, for acquisition and distribution to all schools. PKS took a different approach and limited the provision of teaching and learning resources to reprinting (with permission) additional SBC teacher guides</w:t>
      </w:r>
      <w:r w:rsidR="00132F91" w:rsidRPr="00FA288E">
        <w:rPr>
          <w:rFonts w:eastAsiaTheme="minorHAnsi" w:cs="Calibri"/>
          <w:sz w:val="20"/>
          <w:szCs w:val="20"/>
        </w:rPr>
        <w:t xml:space="preserve">. PKS took into account </w:t>
      </w:r>
      <w:r w:rsidRPr="00FA288E">
        <w:rPr>
          <w:rFonts w:eastAsiaTheme="minorHAnsi" w:cs="Calibri"/>
          <w:sz w:val="20"/>
          <w:szCs w:val="20"/>
        </w:rPr>
        <w:t xml:space="preserve">the baseline </w:t>
      </w:r>
      <w:r w:rsidR="00E17C61" w:rsidRPr="00FA288E">
        <w:rPr>
          <w:rFonts w:eastAsiaTheme="minorHAnsi" w:cs="Calibri"/>
          <w:sz w:val="20"/>
          <w:szCs w:val="20"/>
        </w:rPr>
        <w:t xml:space="preserve">study </w:t>
      </w:r>
      <w:r w:rsidRPr="00FA288E">
        <w:rPr>
          <w:rFonts w:eastAsiaTheme="minorHAnsi" w:cs="Calibri"/>
          <w:sz w:val="20"/>
          <w:szCs w:val="20"/>
        </w:rPr>
        <w:t xml:space="preserve">findings that some teachers had not </w:t>
      </w:r>
      <w:r w:rsidR="00E17C61" w:rsidRPr="00FA288E">
        <w:rPr>
          <w:rFonts w:eastAsiaTheme="minorHAnsi" w:cs="Calibri"/>
          <w:sz w:val="20"/>
          <w:szCs w:val="20"/>
        </w:rPr>
        <w:t>received the SBC</w:t>
      </w:r>
      <w:r w:rsidRPr="00FA288E">
        <w:rPr>
          <w:rFonts w:eastAsiaTheme="minorHAnsi" w:cs="Calibri"/>
          <w:sz w:val="20"/>
          <w:szCs w:val="20"/>
        </w:rPr>
        <w:t xml:space="preserve"> teacher guides</w:t>
      </w:r>
      <w:r w:rsidR="00E17C61" w:rsidRPr="00FA288E">
        <w:rPr>
          <w:rFonts w:eastAsiaTheme="minorHAnsi" w:cs="Calibri"/>
          <w:sz w:val="20"/>
          <w:szCs w:val="20"/>
        </w:rPr>
        <w:t xml:space="preserve">. PKS also made the decision to </w:t>
      </w:r>
      <w:r w:rsidRPr="00FA288E">
        <w:rPr>
          <w:rFonts w:eastAsiaTheme="minorHAnsi" w:cs="Calibri"/>
          <w:sz w:val="20"/>
          <w:szCs w:val="20"/>
        </w:rPr>
        <w:t xml:space="preserve">focus </w:t>
      </w:r>
      <w:r w:rsidR="00E17C61" w:rsidRPr="00FA288E">
        <w:rPr>
          <w:rFonts w:eastAsiaTheme="minorHAnsi" w:cs="Calibri"/>
          <w:sz w:val="20"/>
          <w:szCs w:val="20"/>
        </w:rPr>
        <w:t xml:space="preserve">the teacher in-service </w:t>
      </w:r>
      <w:r w:rsidRPr="00FA288E">
        <w:rPr>
          <w:rFonts w:eastAsiaTheme="minorHAnsi" w:cs="Calibri"/>
          <w:sz w:val="20"/>
          <w:szCs w:val="20"/>
        </w:rPr>
        <w:t xml:space="preserve">training </w:t>
      </w:r>
      <w:r w:rsidR="00E17C61" w:rsidRPr="00FA288E">
        <w:rPr>
          <w:rFonts w:eastAsiaTheme="minorHAnsi" w:cs="Calibri"/>
          <w:sz w:val="20"/>
          <w:szCs w:val="20"/>
        </w:rPr>
        <w:t xml:space="preserve">program </w:t>
      </w:r>
      <w:r w:rsidRPr="00FA288E">
        <w:rPr>
          <w:rFonts w:eastAsiaTheme="minorHAnsi" w:cs="Calibri"/>
          <w:sz w:val="20"/>
          <w:szCs w:val="20"/>
        </w:rPr>
        <w:t xml:space="preserve">on </w:t>
      </w:r>
      <w:r w:rsidR="00E17C61" w:rsidRPr="00FA288E">
        <w:rPr>
          <w:rFonts w:eastAsiaTheme="minorHAnsi" w:cs="Calibri"/>
          <w:sz w:val="20"/>
          <w:szCs w:val="20"/>
        </w:rPr>
        <w:t xml:space="preserve">the use of </w:t>
      </w:r>
      <w:r w:rsidRPr="00FA288E">
        <w:rPr>
          <w:rFonts w:eastAsiaTheme="minorHAnsi" w:cs="Calibri"/>
          <w:sz w:val="20"/>
          <w:szCs w:val="20"/>
        </w:rPr>
        <w:t xml:space="preserve">the </w:t>
      </w:r>
      <w:r w:rsidR="00E17C61" w:rsidRPr="00FA288E">
        <w:rPr>
          <w:rFonts w:eastAsiaTheme="minorHAnsi" w:cs="Calibri"/>
          <w:sz w:val="20"/>
          <w:szCs w:val="20"/>
        </w:rPr>
        <w:t xml:space="preserve">SBC </w:t>
      </w:r>
      <w:r w:rsidRPr="00FA288E">
        <w:rPr>
          <w:rFonts w:eastAsiaTheme="minorHAnsi" w:cs="Calibri"/>
          <w:sz w:val="20"/>
          <w:szCs w:val="20"/>
        </w:rPr>
        <w:t xml:space="preserve">teacher guides, acknowledging the limited ability of government and local communities to sustain the provision of additional </w:t>
      </w:r>
      <w:r w:rsidR="00E17C61" w:rsidRPr="00FA288E">
        <w:rPr>
          <w:rFonts w:eastAsiaTheme="minorHAnsi" w:cs="Calibri"/>
          <w:sz w:val="20"/>
          <w:szCs w:val="20"/>
        </w:rPr>
        <w:t xml:space="preserve">supplementary </w:t>
      </w:r>
      <w:r w:rsidRPr="00FA288E">
        <w:rPr>
          <w:rFonts w:eastAsiaTheme="minorHAnsi" w:cs="Calibri"/>
          <w:sz w:val="20"/>
          <w:szCs w:val="20"/>
        </w:rPr>
        <w:t>teaching and learning resources.</w:t>
      </w:r>
    </w:p>
    <w:p w14:paraId="29EFABCE" w14:textId="77777777" w:rsidR="00436FDA" w:rsidRPr="00FA288E" w:rsidRDefault="00436FDA" w:rsidP="00E873A4">
      <w:pPr>
        <w:keepNext/>
        <w:keepLines/>
        <w:spacing w:before="320" w:after="120"/>
        <w:ind w:left="360"/>
        <w:jc w:val="both"/>
        <w:outlineLvl w:val="1"/>
        <w:rPr>
          <w:rFonts w:eastAsiaTheme="majorEastAsia" w:cs="Calibri"/>
          <w:sz w:val="20"/>
          <w:szCs w:val="20"/>
        </w:rPr>
      </w:pPr>
      <w:bookmarkStart w:id="144" w:name="_Toc26914390"/>
      <w:bookmarkStart w:id="145" w:name="_Toc31625610"/>
      <w:bookmarkStart w:id="146" w:name="_Toc42075990"/>
      <w:r w:rsidRPr="00FA288E">
        <w:rPr>
          <w:rFonts w:eastAsiaTheme="majorEastAsia" w:cs="Calibri"/>
          <w:sz w:val="20"/>
          <w:szCs w:val="20"/>
        </w:rPr>
        <w:lastRenderedPageBreak/>
        <w:t>Box 3. Positive experiences with supplementary teaching materials</w:t>
      </w:r>
      <w:bookmarkEnd w:id="144"/>
      <w:bookmarkEnd w:id="145"/>
      <w:bookmarkEnd w:id="146"/>
    </w:p>
    <w:p w14:paraId="6A9ED62D" w14:textId="77777777" w:rsidR="00436FDA" w:rsidRPr="00FA288E" w:rsidRDefault="00436FDA" w:rsidP="00436FDA">
      <w:pPr>
        <w:spacing w:after="200"/>
        <w:jc w:val="both"/>
        <w:rPr>
          <w:rFonts w:eastAsiaTheme="minorHAnsi" w:cs="Calibri"/>
          <w:sz w:val="20"/>
          <w:szCs w:val="20"/>
        </w:rPr>
      </w:pPr>
      <w:r w:rsidRPr="00FA288E">
        <w:rPr>
          <w:rFonts w:eastAsiaTheme="minorHAnsi" w:cs="Calibri"/>
          <w:noProof/>
          <w:sz w:val="20"/>
          <w:szCs w:val="20"/>
          <w:lang w:eastAsia="en-AU"/>
        </w:rPr>
        <mc:AlternateContent>
          <mc:Choice Requires="wps">
            <w:drawing>
              <wp:inline distT="0" distB="0" distL="0" distR="0" wp14:anchorId="0792FDCB" wp14:editId="2D1EFA10">
                <wp:extent cx="5731510" cy="1934988"/>
                <wp:effectExtent l="0" t="0" r="21590" b="2730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934988"/>
                        </a:xfrm>
                        <a:prstGeom prst="rect">
                          <a:avLst/>
                        </a:prstGeom>
                        <a:solidFill>
                          <a:srgbClr val="A5A5A5">
                            <a:lumMod val="20000"/>
                            <a:lumOff val="80000"/>
                          </a:srgbClr>
                        </a:solidFill>
                        <a:ln w="9525">
                          <a:solidFill>
                            <a:srgbClr val="000000"/>
                          </a:solidFill>
                          <a:miter lim="800000"/>
                          <a:headEnd/>
                          <a:tailEnd/>
                        </a:ln>
                      </wps:spPr>
                      <wps:txbx>
                        <w:txbxContent>
                          <w:p w14:paraId="56D3BC64" w14:textId="77777777" w:rsidR="009F310F" w:rsidRDefault="009F310F" w:rsidP="00436FDA">
                            <w:pPr>
                              <w:rPr>
                                <w:sz w:val="20"/>
                              </w:rPr>
                            </w:pPr>
                            <w:r>
                              <w:rPr>
                                <w:sz w:val="20"/>
                              </w:rPr>
                              <w:t>An E2 English language class in a school supported through RISE was observed by a member of the review team and the teacher interviewed after the class.  The teacher was observed to be using both the Literacy Boost teacher’s guide and the SBC teacher’s guide side-by-side.  When interviewed the teacher advised that the Literacy Boost materials provided easy to understand strategies for introducing concepts that were required in the SBC.  These strategies included games, songs and additional stories.</w:t>
                            </w:r>
                          </w:p>
                          <w:p w14:paraId="13EF2CF6" w14:textId="77777777" w:rsidR="009F310F" w:rsidRDefault="009F310F" w:rsidP="00436FDA">
                            <w:pPr>
                              <w:rPr>
                                <w:sz w:val="20"/>
                              </w:rPr>
                            </w:pPr>
                            <w:r>
                              <w:rPr>
                                <w:sz w:val="20"/>
                              </w:rPr>
                              <w:t>An E2 English language class supported through T4E that was visited by a member of the review team, where copies of Bilum Books were on children’s desks and were being referenced by the teacher during the lesson.  When asked, the children said that they liked the Bilum Books as they were easy to read. The teacher noted that the Bilum Books were aligned with the SBC, providing additional materials to augment teaching.</w:t>
                            </w:r>
                          </w:p>
                          <w:p w14:paraId="599C8AAB" w14:textId="77777777" w:rsidR="009F310F" w:rsidRPr="007B7C85" w:rsidRDefault="009F310F" w:rsidP="00436FDA">
                            <w:pPr>
                              <w:rPr>
                                <w:sz w:val="20"/>
                              </w:rPr>
                            </w:pPr>
                          </w:p>
                        </w:txbxContent>
                      </wps:txbx>
                      <wps:bodyPr rot="0" vert="horz" wrap="square" lIns="91440" tIns="45720" rIns="91440" bIns="45720" anchor="t" anchorCtr="0">
                        <a:noAutofit/>
                      </wps:bodyPr>
                    </wps:wsp>
                  </a:graphicData>
                </a:graphic>
              </wp:inline>
            </w:drawing>
          </mc:Choice>
          <mc:Fallback>
            <w:pict>
              <v:shape w14:anchorId="0792FDCB" id="Text Box 6" o:spid="_x0000_s1028" type="#_x0000_t202" style="width:451.3pt;height:1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" fillcolor="#ededed">
                <v:textbox>
                  <w:txbxContent>
                    <w:p w14:paraId="56D3BC64" w14:textId="77777777" w:rsidR="009F310F" w:rsidRDefault="009F310F" w:rsidP="00436FDA">
                      <w:pPr>
                        <w:rPr>
                          <w:sz w:val="20"/>
                        </w:rPr>
                      </w:pPr>
                      <w:r>
                        <w:rPr>
                          <w:sz w:val="20"/>
                        </w:rPr>
                        <w:t>An E2 English language class in a school supported through RISE was observed by a member of the review team and the teacher interviewed after the class.  The teacher was observed to be using both the Literacy Boost teacher’s guide and the SBC teacher’s guide side-by-side.  When interviewed the teacher advised that the Literacy Boost materials provided easy to understand strategies for introducing concepts that were required in the SBC.  These strategies included games, songs and additional stories.</w:t>
                      </w:r>
                    </w:p>
                    <w:p w14:paraId="13EF2CF6" w14:textId="77777777" w:rsidR="009F310F" w:rsidRDefault="009F310F" w:rsidP="00436FDA">
                      <w:pPr>
                        <w:rPr>
                          <w:sz w:val="20"/>
                        </w:rPr>
                      </w:pPr>
                      <w:r>
                        <w:rPr>
                          <w:sz w:val="20"/>
                        </w:rPr>
                        <w:t>An E2 English language class supported through T4E that was visited by a member of the review team, where copies of Bilum Books were on children’s desks and were being referenced by the teacher during the lesson.  When asked, the children said that they liked the Bilum Books as they were easy to read. The teacher noted that the Bilum Books were aligned with the SBC, providing additional materials to augment teaching.</w:t>
                      </w:r>
                    </w:p>
                    <w:p w14:paraId="599C8AAB" w14:textId="77777777" w:rsidR="009F310F" w:rsidRPr="007B7C85" w:rsidRDefault="009F310F" w:rsidP="00436FDA">
                      <w:pPr>
                        <w:rPr>
                          <w:sz w:val="20"/>
                        </w:rPr>
                      </w:pPr>
                    </w:p>
                  </w:txbxContent>
                </v:textbox>
                <w10:anchorlock/>
              </v:shape>
            </w:pict>
          </mc:Fallback>
        </mc:AlternateContent>
      </w:r>
    </w:p>
    <w:p w14:paraId="6A8B5C1B" w14:textId="77777777" w:rsidR="00436FDA" w:rsidRPr="00FA288E" w:rsidRDefault="00436FDA" w:rsidP="00436FDA">
      <w:pPr>
        <w:spacing w:after="200"/>
        <w:jc w:val="both"/>
        <w:rPr>
          <w:rFonts w:eastAsiaTheme="minorHAnsi" w:cs="Calibri"/>
          <w:sz w:val="20"/>
          <w:szCs w:val="20"/>
        </w:rPr>
      </w:pPr>
      <w:r w:rsidRPr="00FA288E">
        <w:rPr>
          <w:rFonts w:eastAsiaTheme="minorHAnsi" w:cs="Calibri"/>
          <w:i/>
          <w:iCs/>
          <w:sz w:val="20"/>
          <w:szCs w:val="20"/>
          <w:u w:val="single"/>
        </w:rPr>
        <w:t>Piloting of resources</w:t>
      </w:r>
      <w:r w:rsidRPr="00FA288E">
        <w:rPr>
          <w:rFonts w:eastAsiaTheme="minorHAnsi" w:cs="Calibri"/>
          <w:sz w:val="20"/>
          <w:szCs w:val="20"/>
        </w:rPr>
        <w:t>: Three pilots of teaching and learning resources to support application of the SBC are underway. One is the Bloom Reader, an application developed by SIL</w:t>
      </w:r>
      <w:r w:rsidR="00FD2EFC" w:rsidRPr="00FA288E">
        <w:rPr>
          <w:rFonts w:eastAsiaTheme="minorHAnsi" w:cs="Calibri"/>
          <w:sz w:val="20"/>
          <w:szCs w:val="20"/>
        </w:rPr>
        <w:t xml:space="preserve"> </w:t>
      </w:r>
      <w:r w:rsidRPr="00FA288E">
        <w:rPr>
          <w:rFonts w:eastAsiaTheme="minorHAnsi" w:cs="Calibri"/>
          <w:sz w:val="20"/>
          <w:szCs w:val="20"/>
        </w:rPr>
        <w:t xml:space="preserve">that provides reading content via a mobile phone that can be downloaded from the Google </w:t>
      </w:r>
      <w:proofErr w:type="spellStart"/>
      <w:r w:rsidRPr="00FA288E">
        <w:rPr>
          <w:rFonts w:eastAsiaTheme="minorHAnsi" w:cs="Calibri"/>
          <w:sz w:val="20"/>
          <w:szCs w:val="20"/>
        </w:rPr>
        <w:t>Playstore</w:t>
      </w:r>
      <w:proofErr w:type="spellEnd"/>
      <w:r w:rsidRPr="00FA288E">
        <w:rPr>
          <w:rFonts w:eastAsiaTheme="minorHAnsi" w:cs="Calibri"/>
          <w:sz w:val="20"/>
          <w:szCs w:val="20"/>
        </w:rPr>
        <w:t xml:space="preserve"> for free, or the off-line content shared with other mobile phones via Bluetooth.  The Bloom Reader reading content is directly aligned with the SBC – with approximately 50% of the reading content derived from the stories in the SBC, and the other 50% provided by different authors. The Bloom Reader provides audio – which is also of benefit to children who are sight-impaired and, more recently, provides sign language for the hearing-impaired.</w:t>
      </w:r>
      <w:r w:rsidRPr="00FA288E">
        <w:rPr>
          <w:rFonts w:eastAsiaTheme="minorHAnsi" w:cs="Calibri"/>
          <w:sz w:val="20"/>
          <w:szCs w:val="20"/>
          <w:vertAlign w:val="superscript"/>
        </w:rPr>
        <w:footnoteReference w:id="110"/>
      </w:r>
      <w:r w:rsidRPr="00FA288E">
        <w:rPr>
          <w:rFonts w:eastAsiaTheme="minorHAnsi" w:cs="Calibri"/>
          <w:sz w:val="20"/>
          <w:szCs w:val="20"/>
        </w:rPr>
        <w:t xml:space="preserve"> The Bloom Reader application will be further discussed in Annex </w:t>
      </w:r>
      <w:r w:rsidR="001523A6" w:rsidRPr="00FA288E">
        <w:rPr>
          <w:rFonts w:eastAsiaTheme="minorHAnsi" w:cs="Calibri"/>
          <w:sz w:val="20"/>
          <w:szCs w:val="20"/>
        </w:rPr>
        <w:t>F</w:t>
      </w:r>
      <w:r w:rsidRPr="00FA288E">
        <w:rPr>
          <w:rFonts w:eastAsiaTheme="minorHAnsi" w:cs="Calibri"/>
          <w:sz w:val="20"/>
          <w:szCs w:val="20"/>
        </w:rPr>
        <w:t xml:space="preserve">.2. A second pilot is an extension of the Bloom Reader application being piloted by RISE in 10 elementary schools per province as the ‘Education for Life’ kit – with the kit consisting of a small projector, a cell phone, a simple screen and a solar panel assembly to provide power to the cell phone and projector. The third pilot is part of the PKS project where they are piloting the application of </w:t>
      </w:r>
      <w:proofErr w:type="spellStart"/>
      <w:r w:rsidRPr="00FA288E">
        <w:rPr>
          <w:rFonts w:eastAsiaTheme="minorHAnsi" w:cs="Calibri"/>
          <w:sz w:val="20"/>
          <w:szCs w:val="20"/>
        </w:rPr>
        <w:t>Bilum</w:t>
      </w:r>
      <w:proofErr w:type="spellEnd"/>
      <w:r w:rsidRPr="00FA288E">
        <w:rPr>
          <w:rFonts w:eastAsiaTheme="minorHAnsi" w:cs="Calibri"/>
          <w:sz w:val="20"/>
          <w:szCs w:val="20"/>
        </w:rPr>
        <w:t xml:space="preserve"> Books in two districts in </w:t>
      </w:r>
      <w:proofErr w:type="spellStart"/>
      <w:r w:rsidRPr="00FA288E">
        <w:rPr>
          <w:rFonts w:eastAsiaTheme="minorHAnsi" w:cs="Calibri"/>
          <w:sz w:val="20"/>
          <w:szCs w:val="20"/>
        </w:rPr>
        <w:t>Simbu</w:t>
      </w:r>
      <w:proofErr w:type="spellEnd"/>
      <w:r w:rsidRPr="00FA288E">
        <w:rPr>
          <w:rFonts w:eastAsiaTheme="minorHAnsi" w:cs="Calibri"/>
          <w:sz w:val="20"/>
          <w:szCs w:val="20"/>
        </w:rPr>
        <w:t xml:space="preserve"> province.</w:t>
      </w:r>
    </w:p>
    <w:p w14:paraId="7F5956E4" w14:textId="77777777" w:rsidR="00436FDA" w:rsidRPr="00FA288E" w:rsidRDefault="00436FDA" w:rsidP="00436FDA">
      <w:pPr>
        <w:spacing w:after="200"/>
        <w:jc w:val="both"/>
        <w:rPr>
          <w:rFonts w:eastAsiaTheme="minorHAnsi" w:cs="Calibri"/>
          <w:sz w:val="20"/>
          <w:szCs w:val="20"/>
        </w:rPr>
      </w:pPr>
      <w:r w:rsidRPr="00FA288E">
        <w:rPr>
          <w:rFonts w:eastAsiaTheme="minorHAnsi" w:cs="Calibri"/>
          <w:i/>
          <w:iCs/>
          <w:sz w:val="20"/>
          <w:szCs w:val="20"/>
          <w:u w:val="single"/>
        </w:rPr>
        <w:t>Successes</w:t>
      </w:r>
      <w:r w:rsidRPr="00FA288E">
        <w:rPr>
          <w:rFonts w:eastAsiaTheme="minorHAnsi" w:cs="Calibri"/>
          <w:sz w:val="20"/>
          <w:szCs w:val="20"/>
        </w:rPr>
        <w:t xml:space="preserve">: The teaching and learning resource that received the most positive feedback from teachers and officials at the NDOE was </w:t>
      </w:r>
      <w:proofErr w:type="spellStart"/>
      <w:r w:rsidRPr="00FA288E">
        <w:rPr>
          <w:rFonts w:eastAsiaTheme="minorHAnsi" w:cs="Calibri"/>
          <w:sz w:val="20"/>
          <w:szCs w:val="20"/>
        </w:rPr>
        <w:t>Bilum</w:t>
      </w:r>
      <w:proofErr w:type="spellEnd"/>
      <w:r w:rsidRPr="00FA288E">
        <w:rPr>
          <w:rFonts w:eastAsiaTheme="minorHAnsi" w:cs="Calibri"/>
          <w:sz w:val="20"/>
          <w:szCs w:val="20"/>
        </w:rPr>
        <w:t xml:space="preserve"> Books, because the books and teacher guides are directly aligned with the SBC, easy to use and provide additional supplementary strategies and content to support teaching and learning. At the present time, </w:t>
      </w:r>
      <w:proofErr w:type="spellStart"/>
      <w:r w:rsidRPr="00FA288E">
        <w:rPr>
          <w:rFonts w:eastAsiaTheme="minorHAnsi" w:cs="Calibri"/>
          <w:sz w:val="20"/>
          <w:szCs w:val="20"/>
        </w:rPr>
        <w:t>Bilum</w:t>
      </w:r>
      <w:proofErr w:type="spellEnd"/>
      <w:r w:rsidRPr="00FA288E">
        <w:rPr>
          <w:rFonts w:eastAsiaTheme="minorHAnsi" w:cs="Calibri"/>
          <w:sz w:val="20"/>
          <w:szCs w:val="20"/>
        </w:rPr>
        <w:t xml:space="preserve"> Books has been endorsed by the NDOE Board of Studies for Curriculum with a stated intention by the Curriculum Development Division of NDOE to provide </w:t>
      </w:r>
      <w:proofErr w:type="spellStart"/>
      <w:r w:rsidRPr="00FA288E">
        <w:rPr>
          <w:rFonts w:eastAsiaTheme="minorHAnsi" w:cs="Calibri"/>
          <w:sz w:val="20"/>
          <w:szCs w:val="20"/>
        </w:rPr>
        <w:t>Bilum</w:t>
      </w:r>
      <w:proofErr w:type="spellEnd"/>
      <w:r w:rsidRPr="00FA288E">
        <w:rPr>
          <w:rFonts w:eastAsiaTheme="minorHAnsi" w:cs="Calibri"/>
          <w:sz w:val="20"/>
          <w:szCs w:val="20"/>
        </w:rPr>
        <w:t xml:space="preserve"> Books to elementary schools, subject to budget allocations.  The review team raises a cautionary note that the provision of </w:t>
      </w:r>
      <w:proofErr w:type="spellStart"/>
      <w:r w:rsidRPr="00FA288E">
        <w:rPr>
          <w:rFonts w:eastAsiaTheme="minorHAnsi" w:cs="Calibri"/>
          <w:sz w:val="20"/>
          <w:szCs w:val="20"/>
        </w:rPr>
        <w:t>Bilum</w:t>
      </w:r>
      <w:proofErr w:type="spellEnd"/>
      <w:r w:rsidRPr="00FA288E">
        <w:rPr>
          <w:rFonts w:eastAsiaTheme="minorHAnsi" w:cs="Calibri"/>
          <w:sz w:val="20"/>
          <w:szCs w:val="20"/>
        </w:rPr>
        <w:t xml:space="preserve"> Books by themselves will be unable to realise the potential of this resource. Should the government pursue the acquisition of </w:t>
      </w:r>
      <w:proofErr w:type="spellStart"/>
      <w:r w:rsidRPr="00FA288E">
        <w:rPr>
          <w:rFonts w:eastAsiaTheme="minorHAnsi" w:cs="Calibri"/>
          <w:sz w:val="20"/>
          <w:szCs w:val="20"/>
        </w:rPr>
        <w:t>Bilum</w:t>
      </w:r>
      <w:proofErr w:type="spellEnd"/>
      <w:r w:rsidRPr="00FA288E">
        <w:rPr>
          <w:rFonts w:eastAsiaTheme="minorHAnsi" w:cs="Calibri"/>
          <w:sz w:val="20"/>
          <w:szCs w:val="20"/>
        </w:rPr>
        <w:t xml:space="preserve"> Books, there needs to be an accompanying effort to provide training on the appropriate use of the books. The application of the Bloom Reader for classroom use through the Education for Life pilot has potential for success, pending resolution of some technical challenges. Callan Services advised the review team that it was their opinion that a significant contribution is being made to improving inclusive education through the development of audio and sign language abilities of the Bloom Reader.</w:t>
      </w:r>
    </w:p>
    <w:p w14:paraId="216755ED" w14:textId="0A5BA51D" w:rsidR="00436FDA" w:rsidRPr="00FA288E" w:rsidRDefault="00436FDA" w:rsidP="00436FDA">
      <w:pPr>
        <w:spacing w:after="200"/>
        <w:jc w:val="both"/>
        <w:rPr>
          <w:rFonts w:eastAsiaTheme="minorHAnsi" w:cs="Calibri"/>
          <w:sz w:val="20"/>
          <w:szCs w:val="20"/>
        </w:rPr>
      </w:pPr>
      <w:r w:rsidRPr="00FA288E">
        <w:rPr>
          <w:rFonts w:eastAsiaTheme="minorHAnsi" w:cs="Calibri"/>
          <w:i/>
          <w:iCs/>
          <w:sz w:val="20"/>
          <w:szCs w:val="20"/>
          <w:u w:val="single"/>
        </w:rPr>
        <w:t>Challenges</w:t>
      </w:r>
      <w:r w:rsidRPr="00FA288E">
        <w:rPr>
          <w:rFonts w:eastAsiaTheme="minorHAnsi" w:cs="Calibri"/>
          <w:sz w:val="20"/>
          <w:szCs w:val="20"/>
        </w:rPr>
        <w:t>: In the schools visited by the review team, all teachers that were observed and interviewed had in their possession SBC teacher guides.</w:t>
      </w:r>
      <w:r w:rsidRPr="00FA288E">
        <w:rPr>
          <w:rFonts w:eastAsiaTheme="minorHAnsi" w:cs="Calibri"/>
          <w:sz w:val="20"/>
          <w:szCs w:val="20"/>
          <w:vertAlign w:val="superscript"/>
        </w:rPr>
        <w:footnoteReference w:id="111"/>
      </w:r>
      <w:r w:rsidRPr="00FA288E">
        <w:rPr>
          <w:rFonts w:eastAsiaTheme="minorHAnsi" w:cs="Calibri"/>
          <w:sz w:val="20"/>
          <w:szCs w:val="20"/>
        </w:rPr>
        <w:t xml:space="preserve"> However, each of the projects reported that not all teachers in their provinces had received the SBC teacher guides and, in one instance, the offer to help distribute the guides were not well received.</w:t>
      </w:r>
      <w:r w:rsidRPr="00FA288E">
        <w:rPr>
          <w:rFonts w:eastAsiaTheme="minorHAnsi" w:cs="Calibri"/>
          <w:sz w:val="20"/>
          <w:szCs w:val="20"/>
          <w:vertAlign w:val="superscript"/>
        </w:rPr>
        <w:footnoteReference w:id="112"/>
      </w:r>
      <w:r w:rsidRPr="00FA288E">
        <w:rPr>
          <w:rFonts w:eastAsiaTheme="minorHAnsi" w:cs="Calibri"/>
          <w:sz w:val="20"/>
          <w:szCs w:val="20"/>
        </w:rPr>
        <w:t xml:space="preserve"> For the Bloom Reader and Education for Life, there are a number of technical and </w:t>
      </w:r>
      <w:r w:rsidRPr="00FA288E">
        <w:rPr>
          <w:rFonts w:eastAsiaTheme="minorHAnsi" w:cs="Calibri"/>
          <w:sz w:val="20"/>
          <w:szCs w:val="20"/>
        </w:rPr>
        <w:lastRenderedPageBreak/>
        <w:t xml:space="preserve">operational issues detracting from their full use.  These include: the limited reach of </w:t>
      </w:r>
      <w:r w:rsidR="000F3A74">
        <w:rPr>
          <w:rFonts w:eastAsiaTheme="minorHAnsi" w:cs="Calibri"/>
          <w:sz w:val="20"/>
          <w:szCs w:val="20"/>
        </w:rPr>
        <w:t xml:space="preserve">mobile phones </w:t>
      </w:r>
      <w:r w:rsidRPr="00FA288E">
        <w:rPr>
          <w:rFonts w:eastAsiaTheme="minorHAnsi" w:cs="Calibri"/>
          <w:sz w:val="20"/>
          <w:szCs w:val="20"/>
        </w:rPr>
        <w:t>in the more rural areas of the country; unfamiliarity with cell phones and other technologies – even as basic as adjusting the screen brightness and volume; and, technology failures and limited ability locally to repair.</w:t>
      </w:r>
      <w:r w:rsidRPr="00FA288E">
        <w:rPr>
          <w:rFonts w:eastAsiaTheme="minorHAnsi" w:cs="Calibri"/>
          <w:sz w:val="20"/>
          <w:szCs w:val="20"/>
          <w:vertAlign w:val="superscript"/>
        </w:rPr>
        <w:footnoteReference w:id="113"/>
      </w:r>
      <w:r w:rsidRPr="00FA288E">
        <w:rPr>
          <w:rFonts w:eastAsiaTheme="minorHAnsi" w:cs="Calibri"/>
          <w:sz w:val="20"/>
          <w:szCs w:val="20"/>
          <w:vertAlign w:val="superscript"/>
        </w:rPr>
        <w:footnoteReference w:id="114"/>
      </w:r>
    </w:p>
    <w:p w14:paraId="14582A8F" w14:textId="77777777" w:rsidR="00436FDA" w:rsidRPr="00FA288E" w:rsidRDefault="00436FDA" w:rsidP="00436FDA">
      <w:pPr>
        <w:spacing w:after="200"/>
        <w:jc w:val="both"/>
        <w:rPr>
          <w:rFonts w:eastAsiaTheme="minorHAnsi" w:cs="Calibri"/>
          <w:sz w:val="20"/>
          <w:szCs w:val="20"/>
        </w:rPr>
      </w:pPr>
      <w:r w:rsidRPr="00FA288E">
        <w:rPr>
          <w:rFonts w:eastAsiaTheme="minorHAnsi" w:cs="Calibri"/>
          <w:sz w:val="20"/>
          <w:szCs w:val="20"/>
        </w:rPr>
        <w:t xml:space="preserve">Two other concerns emerge when considering the provision of teaching and learning resources.  One is the need for close alignment of teaching and learning resources with the SBC. The resources that are more closely aligned with the implementation of the SBC are more likely to be quickly adopted and valued by teachers and NDOE – as appears to be the case for </w:t>
      </w:r>
      <w:proofErr w:type="spellStart"/>
      <w:r w:rsidRPr="00FA288E">
        <w:rPr>
          <w:rFonts w:eastAsiaTheme="minorHAnsi" w:cs="Calibri"/>
          <w:sz w:val="20"/>
          <w:szCs w:val="20"/>
        </w:rPr>
        <w:t>Bilum</w:t>
      </w:r>
      <w:proofErr w:type="spellEnd"/>
      <w:r w:rsidRPr="00FA288E">
        <w:rPr>
          <w:rFonts w:eastAsiaTheme="minorHAnsi" w:cs="Calibri"/>
          <w:sz w:val="20"/>
          <w:szCs w:val="20"/>
        </w:rPr>
        <w:t xml:space="preserve"> Books. The second concern is the ability of government (or local communities) to provide funds for the acquisition (and distribution) of additional teaching and learning resources – putting into question the sustainability of many of the teaching and learning resource interventions being implemented or trialled by the three projects.</w:t>
      </w:r>
    </w:p>
    <w:p w14:paraId="1565720A" w14:textId="77777777" w:rsidR="00436FDA" w:rsidRPr="00FA288E" w:rsidRDefault="00436FDA" w:rsidP="00436FDA">
      <w:pPr>
        <w:spacing w:after="200"/>
        <w:jc w:val="both"/>
        <w:rPr>
          <w:rFonts w:eastAsiaTheme="minorHAnsi" w:cs="Calibri"/>
          <w:sz w:val="20"/>
          <w:szCs w:val="20"/>
        </w:rPr>
      </w:pPr>
      <w:r w:rsidRPr="00FA288E">
        <w:rPr>
          <w:rFonts w:eastAsiaTheme="minorHAnsi" w:cs="Calibri"/>
          <w:i/>
          <w:iCs/>
          <w:sz w:val="20"/>
          <w:szCs w:val="20"/>
          <w:u w:val="single"/>
        </w:rPr>
        <w:t>Moving Forward</w:t>
      </w:r>
      <w:r w:rsidRPr="00FA288E">
        <w:rPr>
          <w:rFonts w:eastAsiaTheme="minorHAnsi" w:cs="Calibri"/>
          <w:sz w:val="20"/>
          <w:szCs w:val="20"/>
        </w:rPr>
        <w:t xml:space="preserve">: Future efforts to provide teaching and learning materials should be guided by the following considerations: </w:t>
      </w:r>
      <w:proofErr w:type="spellStart"/>
      <w:r w:rsidRPr="00FA288E">
        <w:rPr>
          <w:rFonts w:eastAsiaTheme="minorHAnsi" w:cs="Calibri"/>
          <w:sz w:val="20"/>
          <w:szCs w:val="20"/>
        </w:rPr>
        <w:t>i</w:t>
      </w:r>
      <w:proofErr w:type="spellEnd"/>
      <w:r w:rsidRPr="00FA288E">
        <w:rPr>
          <w:rFonts w:eastAsiaTheme="minorHAnsi" w:cs="Calibri"/>
          <w:sz w:val="20"/>
          <w:szCs w:val="20"/>
        </w:rPr>
        <w:t xml:space="preserve">) ensure, at a minimum, that teachers have in their possession the SBC teachers guides (and are provided training on how to best utilise the guides); ii) seek out and/or develop low-cost supplementary teaching and learning resources that have: a prospective chance of being sustained; are aligned with the SBC; and which have received approval from the NDOE Board of Studies for Curriculum. Projects would be well-advised to avoid the provision of teaching and learning materials that do not meet these considerations.  </w:t>
      </w:r>
    </w:p>
    <w:p w14:paraId="6FD4A50C" w14:textId="77777777" w:rsidR="00436FDA" w:rsidRPr="00FA288E" w:rsidRDefault="00436FDA" w:rsidP="00436FDA">
      <w:pPr>
        <w:spacing w:after="200"/>
        <w:jc w:val="both"/>
        <w:rPr>
          <w:rFonts w:eastAsiaTheme="minorHAnsi" w:cs="Calibri"/>
          <w:sz w:val="20"/>
          <w:szCs w:val="20"/>
        </w:rPr>
      </w:pPr>
      <w:r w:rsidRPr="00FA288E">
        <w:rPr>
          <w:rFonts w:eastAsiaTheme="minorHAnsi" w:cs="Calibri"/>
          <w:sz w:val="20"/>
          <w:szCs w:val="20"/>
        </w:rPr>
        <w:t>It is suggested to continue the piloting of the Bloom Reader and the Education for Life applications for teachers to obtain evidence to inform NDOE policies and plans given their emerging interest in the use of technology to deliver educational services across PNG. Important in this process will be supporting teachers (and others) to become comfortable with and proficient in the use of the underlying technologies as they will be key agents in demonstrating the value of these interventions to others.</w:t>
      </w:r>
    </w:p>
    <w:p w14:paraId="4BCCBF23" w14:textId="77777777" w:rsidR="00436FDA" w:rsidRPr="00FA288E" w:rsidRDefault="00436FDA" w:rsidP="00A34196">
      <w:pPr>
        <w:tabs>
          <w:tab w:val="left" w:pos="1188"/>
        </w:tabs>
        <w:rPr>
          <w:rFonts w:cs="Calibri"/>
          <w:sz w:val="20"/>
          <w:szCs w:val="20"/>
        </w:rPr>
      </w:pPr>
    </w:p>
    <w:p w14:paraId="08CD6C46" w14:textId="77777777" w:rsidR="00643EB3" w:rsidRPr="00FA288E" w:rsidRDefault="00643EB3" w:rsidP="00A34196">
      <w:pPr>
        <w:tabs>
          <w:tab w:val="left" w:pos="1188"/>
        </w:tabs>
        <w:rPr>
          <w:rFonts w:cs="Calibri"/>
          <w:sz w:val="20"/>
          <w:szCs w:val="20"/>
        </w:rPr>
      </w:pPr>
    </w:p>
    <w:p w14:paraId="4BBF62A4" w14:textId="77777777" w:rsidR="00643EB3" w:rsidRPr="00FA288E" w:rsidRDefault="00643EB3" w:rsidP="00A34196">
      <w:pPr>
        <w:tabs>
          <w:tab w:val="left" w:pos="1188"/>
        </w:tabs>
        <w:rPr>
          <w:rFonts w:cs="Calibri"/>
          <w:sz w:val="20"/>
          <w:szCs w:val="20"/>
        </w:rPr>
      </w:pPr>
    </w:p>
    <w:p w14:paraId="083803AD" w14:textId="77777777" w:rsidR="00643EB3" w:rsidRPr="00FA288E" w:rsidRDefault="00643EB3" w:rsidP="00A34196">
      <w:pPr>
        <w:tabs>
          <w:tab w:val="left" w:pos="1188"/>
        </w:tabs>
        <w:rPr>
          <w:rFonts w:cs="Calibri"/>
          <w:sz w:val="20"/>
          <w:szCs w:val="20"/>
        </w:rPr>
      </w:pPr>
    </w:p>
    <w:p w14:paraId="67F1AC02" w14:textId="77777777" w:rsidR="00643EB3" w:rsidRPr="00FA288E" w:rsidRDefault="00643EB3" w:rsidP="00A34196">
      <w:pPr>
        <w:tabs>
          <w:tab w:val="left" w:pos="1188"/>
        </w:tabs>
        <w:rPr>
          <w:rFonts w:cs="Calibri"/>
          <w:sz w:val="20"/>
          <w:szCs w:val="20"/>
        </w:rPr>
      </w:pPr>
    </w:p>
    <w:p w14:paraId="3D60B05A" w14:textId="77777777" w:rsidR="00643EB3" w:rsidRPr="00FA288E" w:rsidRDefault="00643EB3" w:rsidP="00A34196">
      <w:pPr>
        <w:tabs>
          <w:tab w:val="left" w:pos="1188"/>
        </w:tabs>
        <w:rPr>
          <w:rFonts w:cs="Calibri"/>
          <w:sz w:val="20"/>
          <w:szCs w:val="20"/>
        </w:rPr>
      </w:pPr>
    </w:p>
    <w:p w14:paraId="415A4E8D" w14:textId="77777777" w:rsidR="00643EB3" w:rsidRPr="00FA288E" w:rsidRDefault="00643EB3" w:rsidP="00A34196">
      <w:pPr>
        <w:tabs>
          <w:tab w:val="left" w:pos="1188"/>
        </w:tabs>
        <w:rPr>
          <w:rFonts w:cs="Calibri"/>
          <w:sz w:val="20"/>
          <w:szCs w:val="20"/>
        </w:rPr>
      </w:pPr>
    </w:p>
    <w:p w14:paraId="4084599B" w14:textId="77777777" w:rsidR="00643EB3" w:rsidRPr="00FA288E" w:rsidRDefault="00643EB3" w:rsidP="00A34196">
      <w:pPr>
        <w:tabs>
          <w:tab w:val="left" w:pos="1188"/>
        </w:tabs>
        <w:rPr>
          <w:rFonts w:cs="Calibri"/>
          <w:sz w:val="20"/>
          <w:szCs w:val="20"/>
        </w:rPr>
      </w:pPr>
    </w:p>
    <w:p w14:paraId="306E55BE" w14:textId="77777777" w:rsidR="003E1E3E" w:rsidRPr="00FA288E" w:rsidRDefault="003E1E3E">
      <w:pPr>
        <w:rPr>
          <w:rFonts w:eastAsiaTheme="majorEastAsia" w:cstheme="majorBidi"/>
          <w:color w:val="000000" w:themeColor="text1"/>
          <w:sz w:val="28"/>
          <w:szCs w:val="30"/>
        </w:rPr>
      </w:pPr>
      <w:bookmarkStart w:id="147" w:name="_Toc26914391"/>
      <w:r w:rsidRPr="00FA288E">
        <w:br w:type="page"/>
      </w:r>
    </w:p>
    <w:p w14:paraId="13DC29FA" w14:textId="77777777" w:rsidR="00643EB3" w:rsidRPr="00FA288E" w:rsidRDefault="00643EB3" w:rsidP="003E1E3E">
      <w:pPr>
        <w:pStyle w:val="Heading1"/>
        <w:numPr>
          <w:ilvl w:val="0"/>
          <w:numId w:val="0"/>
        </w:numPr>
        <w:jc w:val="both"/>
      </w:pPr>
      <w:bookmarkStart w:id="148" w:name="_Toc31625611"/>
      <w:bookmarkStart w:id="149" w:name="_Toc42075991"/>
      <w:r w:rsidRPr="00FA288E">
        <w:lastRenderedPageBreak/>
        <w:t xml:space="preserve">Annex </w:t>
      </w:r>
      <w:r w:rsidR="003E1E3E" w:rsidRPr="00FA288E">
        <w:t>F</w:t>
      </w:r>
      <w:r w:rsidRPr="00FA288E">
        <w:t>.2:</w:t>
      </w:r>
      <w:r w:rsidR="00C91DCB" w:rsidRPr="00FA288E">
        <w:t xml:space="preserve"> </w:t>
      </w:r>
      <w:r w:rsidRPr="00FA288E">
        <w:t>Interventions to encourage reading</w:t>
      </w:r>
      <w:bookmarkEnd w:id="147"/>
      <w:bookmarkEnd w:id="148"/>
      <w:bookmarkEnd w:id="149"/>
    </w:p>
    <w:p w14:paraId="00430808" w14:textId="77777777" w:rsidR="00643EB3" w:rsidRPr="00FA288E" w:rsidRDefault="00643EB3" w:rsidP="007076BD">
      <w:pPr>
        <w:jc w:val="both"/>
        <w:rPr>
          <w:rFonts w:cs="Calibri"/>
          <w:sz w:val="20"/>
          <w:szCs w:val="20"/>
        </w:rPr>
      </w:pPr>
      <w:r w:rsidRPr="00FA288E">
        <w:rPr>
          <w:rFonts w:cs="Calibri"/>
          <w:sz w:val="20"/>
          <w:szCs w:val="20"/>
        </w:rPr>
        <w:t>This annex is organised into three sections.  The first section discusses the purpose and design of interventions to encourage reading. The second section provides a discussion of implementation progress and issues for each of the three projects plus their contribution to outcomes, while the third section provides summary conclusions and suggestions for moving forward.</w:t>
      </w:r>
    </w:p>
    <w:p w14:paraId="2697D4D4" w14:textId="77777777" w:rsidR="00643EB3" w:rsidRPr="00FA288E" w:rsidRDefault="00643EB3" w:rsidP="007076BD">
      <w:pPr>
        <w:jc w:val="both"/>
        <w:rPr>
          <w:rFonts w:cs="Calibri"/>
          <w:sz w:val="20"/>
          <w:szCs w:val="20"/>
        </w:rPr>
      </w:pPr>
      <w:r w:rsidRPr="00FA288E">
        <w:rPr>
          <w:rFonts w:cs="Calibri"/>
          <w:sz w:val="20"/>
          <w:szCs w:val="20"/>
        </w:rPr>
        <w:t>Design and purpose of the interventions</w:t>
      </w:r>
    </w:p>
    <w:p w14:paraId="29CC8C28" w14:textId="77777777" w:rsidR="00643EB3" w:rsidRPr="00FA288E" w:rsidRDefault="00643EB3" w:rsidP="007076BD">
      <w:pPr>
        <w:jc w:val="both"/>
        <w:rPr>
          <w:rFonts w:cs="Calibri"/>
          <w:sz w:val="20"/>
          <w:szCs w:val="20"/>
        </w:rPr>
      </w:pPr>
      <w:r w:rsidRPr="00FA288E">
        <w:rPr>
          <w:rFonts w:cs="Calibri"/>
          <w:sz w:val="20"/>
          <w:szCs w:val="20"/>
        </w:rPr>
        <w:t xml:space="preserve">All three grantees designed interventions to provide reading materials and engage teachers, volunteers, parents or caregivers in supporting children’s reading skills to a greater or lesser extent. These interventions were conceived of as occurring in a mixture of activities </w:t>
      </w:r>
      <w:r w:rsidRPr="00FA288E">
        <w:rPr>
          <w:rFonts w:cs="Calibri"/>
          <w:i/>
          <w:sz w:val="20"/>
          <w:szCs w:val="20"/>
        </w:rPr>
        <w:t>outside</w:t>
      </w:r>
      <w:r w:rsidRPr="00FA288E">
        <w:rPr>
          <w:rFonts w:cs="Calibri"/>
          <w:sz w:val="20"/>
          <w:szCs w:val="20"/>
        </w:rPr>
        <w:t xml:space="preserve"> the school (reading clubs, parental home reading, books on mobile phone platforms), and inside the school (e-learning activities of Library for All (T4E) and Education for Life (RISE), creation of in-school library spaces (PKS)). At their core, they recognise the SBC does not allocate sufficient reading time to encourage practice, so this time has to be created within the school, or alternatives for encouraging reading found outside the class room. </w:t>
      </w:r>
    </w:p>
    <w:p w14:paraId="272992CE" w14:textId="77777777" w:rsidR="00643EB3" w:rsidRPr="00FA288E" w:rsidRDefault="00643EB3" w:rsidP="007076BD">
      <w:pPr>
        <w:jc w:val="both"/>
        <w:rPr>
          <w:rFonts w:cs="Calibri"/>
          <w:sz w:val="20"/>
          <w:szCs w:val="20"/>
        </w:rPr>
      </w:pPr>
      <w:r w:rsidRPr="00FA288E">
        <w:rPr>
          <w:rFonts w:cs="Calibri"/>
          <w:sz w:val="20"/>
          <w:szCs w:val="20"/>
        </w:rPr>
        <w:t>Both RISE and T4E placed significant emphasis on the creation and use of age and culturally appropriate reading material as a way to stimulate both community involvement and reading as a means to improving literacy. PKS adopted a ‘lighter touch’, originally planning to produce a magazine, but now electing to purchase the titles produced by T4E and distribute them through schools, with less emphasis on parental involvement. RISE has perhaps the most ambitious approach to stimulating community and child engagement through extra-curricular reading activities through their use of CLVs</w:t>
      </w:r>
      <w:r w:rsidR="0049719E" w:rsidRPr="00FA288E">
        <w:rPr>
          <w:rFonts w:cs="Calibri"/>
          <w:sz w:val="20"/>
          <w:szCs w:val="20"/>
        </w:rPr>
        <w:t xml:space="preserve"> </w:t>
      </w:r>
      <w:r w:rsidRPr="00FA288E">
        <w:rPr>
          <w:rFonts w:cs="Calibri"/>
          <w:sz w:val="20"/>
          <w:szCs w:val="20"/>
        </w:rPr>
        <w:t>who act as the intermediary between schools and children, and the program and parents. T4E has adopted a more middle ground, encouraging parental involvement directly as well as reading club volunteers who assist with more schools-centred (after school) approaches to reading clubs. Other teacher related reading as part of the SBC/supplemental training materials are addressed under the case study on teacher training. A summary of the different interventions and reported progress is presented in the table below.</w:t>
      </w:r>
    </w:p>
    <w:p w14:paraId="00F1AC20" w14:textId="77777777" w:rsidR="00643EB3" w:rsidRPr="00FA288E" w:rsidRDefault="00643EB3" w:rsidP="007076BD">
      <w:pPr>
        <w:jc w:val="both"/>
        <w:rPr>
          <w:rFonts w:cs="Calibri"/>
          <w:sz w:val="20"/>
          <w:szCs w:val="20"/>
        </w:rPr>
        <w:sectPr w:rsidR="00643EB3" w:rsidRPr="00FA288E" w:rsidSect="008D2D4A">
          <w:pgSz w:w="11906" w:h="16838"/>
          <w:pgMar w:top="1440" w:right="1440" w:bottom="1440" w:left="1440" w:header="708" w:footer="708" w:gutter="0"/>
          <w:cols w:space="708"/>
          <w:docGrid w:linePitch="360"/>
        </w:sectPr>
      </w:pPr>
    </w:p>
    <w:p w14:paraId="5264FF72" w14:textId="77777777" w:rsidR="00643EB3" w:rsidRPr="00FA288E" w:rsidRDefault="00643EB3" w:rsidP="00E873A4">
      <w:pPr>
        <w:pStyle w:val="Heading2"/>
        <w:ind w:left="360"/>
        <w:rPr>
          <w:b w:val="0"/>
          <w:bCs w:val="0"/>
          <w:sz w:val="20"/>
          <w:szCs w:val="20"/>
        </w:rPr>
      </w:pPr>
      <w:bookmarkStart w:id="150" w:name="_Toc26914392"/>
      <w:bookmarkStart w:id="151" w:name="_Toc31625612"/>
      <w:bookmarkStart w:id="152" w:name="_Toc42075992"/>
      <w:r w:rsidRPr="00FA288E">
        <w:rPr>
          <w:b w:val="0"/>
          <w:bCs w:val="0"/>
          <w:sz w:val="20"/>
          <w:szCs w:val="20"/>
        </w:rPr>
        <w:lastRenderedPageBreak/>
        <w:t xml:space="preserve">Table </w:t>
      </w:r>
      <w:r w:rsidR="003E1E3E" w:rsidRPr="00FA288E">
        <w:rPr>
          <w:b w:val="0"/>
          <w:bCs w:val="0"/>
          <w:sz w:val="20"/>
          <w:szCs w:val="20"/>
        </w:rPr>
        <w:t>F</w:t>
      </w:r>
      <w:r w:rsidRPr="00FA288E">
        <w:rPr>
          <w:b w:val="0"/>
          <w:bCs w:val="0"/>
          <w:sz w:val="20"/>
          <w:szCs w:val="20"/>
        </w:rPr>
        <w:t xml:space="preserve">.2.1. Summary of PPF </w:t>
      </w:r>
      <w:r w:rsidR="00523A75" w:rsidRPr="00FA288E">
        <w:rPr>
          <w:b w:val="0"/>
          <w:bCs w:val="0"/>
          <w:sz w:val="20"/>
          <w:szCs w:val="20"/>
        </w:rPr>
        <w:t>g</w:t>
      </w:r>
      <w:r w:rsidRPr="00FA288E">
        <w:rPr>
          <w:b w:val="0"/>
          <w:bCs w:val="0"/>
          <w:sz w:val="20"/>
          <w:szCs w:val="20"/>
        </w:rPr>
        <w:t>rantee interventions to encourage reading</w:t>
      </w:r>
      <w:bookmarkEnd w:id="150"/>
      <w:bookmarkEnd w:id="151"/>
      <w:bookmarkEnd w:id="152"/>
    </w:p>
    <w:tbl>
      <w:tblPr>
        <w:tblStyle w:val="TableGrid"/>
        <w:tblW w:w="14709" w:type="dxa"/>
        <w:tblInd w:w="0" w:type="dxa"/>
        <w:tblLayout w:type="fixed"/>
        <w:tblLook w:val="04A0" w:firstRow="1" w:lastRow="0" w:firstColumn="1" w:lastColumn="0" w:noHBand="0" w:noVBand="1"/>
        <w:tblCaption w:val="Table F.2.1. Summary of PPF grantee interventions to encourage reading"/>
        <w:tblDescription w:val="This table captures the consortium goals, reading related EOPOs, related intermediate outcomes, reading related Theory of Change, baseline data, key focus unique activites, Core, Key related targets, progress reported, "/>
      </w:tblPr>
      <w:tblGrid>
        <w:gridCol w:w="1242"/>
        <w:gridCol w:w="4086"/>
        <w:gridCol w:w="4590"/>
        <w:gridCol w:w="4791"/>
      </w:tblGrid>
      <w:tr w:rsidR="00643EB3" w:rsidRPr="00FA288E" w14:paraId="72B57B8A" w14:textId="77777777" w:rsidTr="00643EB3">
        <w:trPr>
          <w:tblHeader/>
        </w:trPr>
        <w:tc>
          <w:tcPr>
            <w:tcW w:w="1242" w:type="dxa"/>
            <w:shd w:val="clear" w:color="auto" w:fill="262626" w:themeFill="text1" w:themeFillTint="D9"/>
          </w:tcPr>
          <w:p w14:paraId="07A89E9F" w14:textId="77777777" w:rsidR="00643EB3" w:rsidRPr="00FA288E" w:rsidRDefault="00643EB3" w:rsidP="008D2D4A">
            <w:pPr>
              <w:jc w:val="left"/>
              <w:rPr>
                <w:rFonts w:cs="Calibri"/>
                <w:sz w:val="18"/>
                <w:szCs w:val="18"/>
                <w:lang w:val="en-AU"/>
              </w:rPr>
            </w:pPr>
          </w:p>
        </w:tc>
        <w:tc>
          <w:tcPr>
            <w:tcW w:w="4086" w:type="dxa"/>
            <w:shd w:val="clear" w:color="auto" w:fill="262626" w:themeFill="text1" w:themeFillTint="D9"/>
          </w:tcPr>
          <w:p w14:paraId="6AD9EF68" w14:textId="77777777" w:rsidR="00643EB3" w:rsidRPr="00FA288E" w:rsidRDefault="00643EB3" w:rsidP="008D2D4A">
            <w:pPr>
              <w:rPr>
                <w:rFonts w:cs="Calibri"/>
                <w:sz w:val="18"/>
                <w:szCs w:val="18"/>
                <w:lang w:val="en-AU"/>
              </w:rPr>
            </w:pPr>
            <w:r w:rsidRPr="00FA288E">
              <w:rPr>
                <w:rFonts w:cs="Calibri"/>
                <w:sz w:val="18"/>
                <w:szCs w:val="18"/>
                <w:lang w:val="en-AU"/>
              </w:rPr>
              <w:t xml:space="preserve">CARE – </w:t>
            </w:r>
            <w:proofErr w:type="spellStart"/>
            <w:r w:rsidRPr="00FA288E">
              <w:rPr>
                <w:rFonts w:cs="Calibri"/>
                <w:sz w:val="18"/>
                <w:szCs w:val="18"/>
                <w:lang w:val="en-AU"/>
              </w:rPr>
              <w:t>Pikini</w:t>
            </w:r>
            <w:r w:rsidR="00F34C8F" w:rsidRPr="00FA288E">
              <w:rPr>
                <w:rFonts w:cs="Calibri"/>
                <w:sz w:val="18"/>
                <w:szCs w:val="18"/>
                <w:lang w:val="en-AU"/>
              </w:rPr>
              <w:t>ni</w:t>
            </w:r>
            <w:proofErr w:type="spellEnd"/>
            <w:r w:rsidRPr="00FA288E">
              <w:rPr>
                <w:rFonts w:cs="Calibri"/>
                <w:sz w:val="18"/>
                <w:szCs w:val="18"/>
                <w:lang w:val="en-AU"/>
              </w:rPr>
              <w:t xml:space="preserve"> </w:t>
            </w:r>
            <w:proofErr w:type="spellStart"/>
            <w:r w:rsidRPr="00FA288E">
              <w:rPr>
                <w:rFonts w:cs="Calibri"/>
                <w:sz w:val="18"/>
                <w:szCs w:val="18"/>
                <w:lang w:val="en-AU"/>
              </w:rPr>
              <w:t>Kisim</w:t>
            </w:r>
            <w:proofErr w:type="spellEnd"/>
            <w:r w:rsidRPr="00FA288E">
              <w:rPr>
                <w:rFonts w:cs="Calibri"/>
                <w:sz w:val="18"/>
                <w:szCs w:val="18"/>
                <w:lang w:val="en-AU"/>
              </w:rPr>
              <w:t xml:space="preserve"> Save (PKS)</w:t>
            </w:r>
          </w:p>
        </w:tc>
        <w:tc>
          <w:tcPr>
            <w:tcW w:w="4590" w:type="dxa"/>
            <w:shd w:val="clear" w:color="auto" w:fill="262626" w:themeFill="text1" w:themeFillTint="D9"/>
          </w:tcPr>
          <w:p w14:paraId="45C26B15" w14:textId="77777777" w:rsidR="00643EB3" w:rsidRPr="00FA288E" w:rsidRDefault="00643EB3" w:rsidP="008D2D4A">
            <w:pPr>
              <w:rPr>
                <w:rFonts w:cs="Calibri"/>
                <w:sz w:val="18"/>
                <w:szCs w:val="18"/>
                <w:lang w:val="en-AU"/>
              </w:rPr>
            </w:pPr>
            <w:r w:rsidRPr="00FA288E">
              <w:rPr>
                <w:rFonts w:cs="Calibri"/>
                <w:sz w:val="18"/>
                <w:szCs w:val="18"/>
                <w:lang w:val="en-AU"/>
              </w:rPr>
              <w:t>STC – Rapidly Improving Standards in Education (RISE)</w:t>
            </w:r>
          </w:p>
        </w:tc>
        <w:tc>
          <w:tcPr>
            <w:tcW w:w="4791" w:type="dxa"/>
            <w:shd w:val="clear" w:color="auto" w:fill="262626" w:themeFill="text1" w:themeFillTint="D9"/>
          </w:tcPr>
          <w:p w14:paraId="4E92D9AC" w14:textId="77777777" w:rsidR="00643EB3" w:rsidRPr="00FA288E" w:rsidRDefault="00643EB3" w:rsidP="008D2D4A">
            <w:pPr>
              <w:rPr>
                <w:rFonts w:cs="Calibri"/>
                <w:sz w:val="18"/>
                <w:szCs w:val="18"/>
                <w:lang w:val="en-AU"/>
              </w:rPr>
            </w:pPr>
            <w:r w:rsidRPr="00FA288E">
              <w:rPr>
                <w:rFonts w:cs="Calibri"/>
                <w:sz w:val="18"/>
                <w:szCs w:val="18"/>
                <w:lang w:val="en-AU"/>
              </w:rPr>
              <w:t>WV – Together for Education (T4E)</w:t>
            </w:r>
          </w:p>
        </w:tc>
      </w:tr>
      <w:tr w:rsidR="00643EB3" w:rsidRPr="00FA288E" w14:paraId="1F608849" w14:textId="77777777" w:rsidTr="00643EB3">
        <w:tc>
          <w:tcPr>
            <w:tcW w:w="1242" w:type="dxa"/>
            <w:shd w:val="clear" w:color="auto" w:fill="262626" w:themeFill="text1" w:themeFillTint="D9"/>
          </w:tcPr>
          <w:p w14:paraId="37515817" w14:textId="77777777" w:rsidR="00643EB3" w:rsidRPr="00FA288E" w:rsidRDefault="00643EB3" w:rsidP="008D2D4A">
            <w:pPr>
              <w:jc w:val="left"/>
              <w:rPr>
                <w:rFonts w:cs="Calibri"/>
                <w:sz w:val="18"/>
                <w:szCs w:val="18"/>
                <w:lang w:val="en-AU"/>
              </w:rPr>
            </w:pPr>
            <w:r w:rsidRPr="00FA288E">
              <w:rPr>
                <w:rFonts w:cs="Calibri"/>
                <w:sz w:val="18"/>
                <w:szCs w:val="18"/>
                <w:lang w:val="en-AU"/>
              </w:rPr>
              <w:t>Consortium</w:t>
            </w:r>
          </w:p>
        </w:tc>
        <w:tc>
          <w:tcPr>
            <w:tcW w:w="4086" w:type="dxa"/>
            <w:shd w:val="clear" w:color="auto" w:fill="auto"/>
          </w:tcPr>
          <w:p w14:paraId="46AD470B" w14:textId="77777777" w:rsidR="00643EB3" w:rsidRPr="00FA288E" w:rsidRDefault="00643EB3" w:rsidP="008D2D4A">
            <w:pPr>
              <w:rPr>
                <w:rFonts w:cs="Calibri"/>
                <w:sz w:val="18"/>
                <w:szCs w:val="18"/>
                <w:lang w:val="en-AU"/>
              </w:rPr>
            </w:pPr>
            <w:r w:rsidRPr="00FA288E">
              <w:rPr>
                <w:rFonts w:cs="Calibri"/>
                <w:sz w:val="18"/>
                <w:szCs w:val="18"/>
                <w:lang w:val="en-AU"/>
              </w:rPr>
              <w:t>Queensland University of Technology; Adventist Development Relief Agency (ADRA); University of Goroka</w:t>
            </w:r>
          </w:p>
        </w:tc>
        <w:tc>
          <w:tcPr>
            <w:tcW w:w="4590" w:type="dxa"/>
            <w:shd w:val="clear" w:color="auto" w:fill="auto"/>
          </w:tcPr>
          <w:p w14:paraId="008B3EED" w14:textId="77777777" w:rsidR="00643EB3" w:rsidRPr="00FA288E" w:rsidRDefault="00643EB3" w:rsidP="008D2D4A">
            <w:pPr>
              <w:rPr>
                <w:rFonts w:cs="Calibri"/>
                <w:sz w:val="18"/>
                <w:szCs w:val="18"/>
                <w:lang w:val="en-AU"/>
              </w:rPr>
            </w:pPr>
            <w:r w:rsidRPr="00FA288E">
              <w:rPr>
                <w:rFonts w:cs="Calibri"/>
                <w:sz w:val="18"/>
                <w:szCs w:val="18"/>
                <w:lang w:val="en-AU"/>
              </w:rPr>
              <w:t>Callan Services for Persons with Disabilities - National Unit; Summer Institute of Linguistics – Papua New Guinea Branch (SIL)</w:t>
            </w:r>
          </w:p>
        </w:tc>
        <w:tc>
          <w:tcPr>
            <w:tcW w:w="4791" w:type="dxa"/>
            <w:shd w:val="clear" w:color="auto" w:fill="auto"/>
          </w:tcPr>
          <w:p w14:paraId="78F9B9F9" w14:textId="77777777" w:rsidR="00643EB3" w:rsidRPr="00FA288E" w:rsidRDefault="00643EB3" w:rsidP="008D2D4A">
            <w:pPr>
              <w:rPr>
                <w:rFonts w:cs="Calibri"/>
                <w:sz w:val="18"/>
                <w:szCs w:val="18"/>
                <w:lang w:val="en-AU"/>
              </w:rPr>
            </w:pPr>
            <w:r w:rsidRPr="00FA288E">
              <w:rPr>
                <w:rFonts w:cs="Calibri"/>
                <w:sz w:val="18"/>
                <w:szCs w:val="18"/>
                <w:lang w:val="en-AU"/>
              </w:rPr>
              <w:t>Child Fund, Consultative Implementation and Monitoring Council (CIMC), Library for All, University of Canberra</w:t>
            </w:r>
          </w:p>
        </w:tc>
      </w:tr>
      <w:tr w:rsidR="00643EB3" w:rsidRPr="00FA288E" w14:paraId="2700EAC0" w14:textId="77777777" w:rsidTr="00643EB3">
        <w:tc>
          <w:tcPr>
            <w:tcW w:w="1242" w:type="dxa"/>
            <w:shd w:val="clear" w:color="auto" w:fill="262626" w:themeFill="text1" w:themeFillTint="D9"/>
          </w:tcPr>
          <w:p w14:paraId="55591D14" w14:textId="77777777" w:rsidR="00643EB3" w:rsidRPr="00FA288E" w:rsidRDefault="00643EB3" w:rsidP="008D2D4A">
            <w:pPr>
              <w:jc w:val="left"/>
              <w:rPr>
                <w:rFonts w:cs="Calibri"/>
                <w:sz w:val="18"/>
                <w:szCs w:val="18"/>
                <w:lang w:val="en-AU"/>
              </w:rPr>
            </w:pPr>
            <w:r w:rsidRPr="00FA288E">
              <w:rPr>
                <w:rFonts w:cs="Calibri"/>
                <w:sz w:val="18"/>
                <w:szCs w:val="18"/>
                <w:lang w:val="en-AU"/>
              </w:rPr>
              <w:t>Goal</w:t>
            </w:r>
          </w:p>
        </w:tc>
        <w:tc>
          <w:tcPr>
            <w:tcW w:w="4086" w:type="dxa"/>
            <w:shd w:val="clear" w:color="auto" w:fill="auto"/>
          </w:tcPr>
          <w:p w14:paraId="56BD69D2" w14:textId="77777777" w:rsidR="00643EB3" w:rsidRPr="00FA288E" w:rsidRDefault="00643EB3" w:rsidP="008D2D4A">
            <w:pPr>
              <w:rPr>
                <w:rFonts w:cs="Calibri"/>
                <w:sz w:val="18"/>
                <w:szCs w:val="18"/>
                <w:lang w:val="en-AU"/>
              </w:rPr>
            </w:pPr>
            <w:r w:rsidRPr="00FA288E">
              <w:rPr>
                <w:rFonts w:cs="Calibri"/>
                <w:sz w:val="18"/>
                <w:szCs w:val="18"/>
                <w:lang w:val="en-AU"/>
              </w:rPr>
              <w:t>All children, including girls and children with disabilities, have improved access to quality elementary education …</w:t>
            </w:r>
          </w:p>
        </w:tc>
        <w:tc>
          <w:tcPr>
            <w:tcW w:w="4590" w:type="dxa"/>
            <w:shd w:val="clear" w:color="auto" w:fill="auto"/>
          </w:tcPr>
          <w:p w14:paraId="3B918A29" w14:textId="77777777" w:rsidR="00643EB3" w:rsidRPr="00FA288E" w:rsidRDefault="00643EB3" w:rsidP="008D2D4A">
            <w:pPr>
              <w:rPr>
                <w:rFonts w:cs="Calibri"/>
                <w:sz w:val="18"/>
                <w:szCs w:val="18"/>
                <w:lang w:val="en-AU"/>
              </w:rPr>
            </w:pPr>
            <w:r w:rsidRPr="00FA288E">
              <w:rPr>
                <w:rFonts w:cs="Calibri"/>
                <w:sz w:val="18"/>
                <w:szCs w:val="18"/>
                <w:lang w:val="en-AU"/>
              </w:rPr>
              <w:t>RISE PNG will improve the quality of learning outcomes for children aged four to eight years …</w:t>
            </w:r>
          </w:p>
        </w:tc>
        <w:tc>
          <w:tcPr>
            <w:tcW w:w="4791" w:type="dxa"/>
            <w:shd w:val="clear" w:color="auto" w:fill="auto"/>
          </w:tcPr>
          <w:p w14:paraId="596E1DCF" w14:textId="77777777" w:rsidR="00643EB3" w:rsidRPr="00FA288E" w:rsidRDefault="00643EB3" w:rsidP="008D2D4A">
            <w:pPr>
              <w:rPr>
                <w:rFonts w:cs="Calibri"/>
                <w:sz w:val="18"/>
                <w:szCs w:val="18"/>
                <w:lang w:val="en-AU"/>
              </w:rPr>
            </w:pPr>
            <w:r w:rsidRPr="00FA288E">
              <w:rPr>
                <w:rFonts w:cs="Calibri"/>
                <w:sz w:val="18"/>
                <w:szCs w:val="18"/>
                <w:lang w:val="en-AU"/>
              </w:rPr>
              <w:t>Girls and boys access and complete a quality elementary</w:t>
            </w:r>
          </w:p>
          <w:p w14:paraId="707A8303" w14:textId="77777777" w:rsidR="00643EB3" w:rsidRPr="00FA288E" w:rsidRDefault="00643EB3" w:rsidP="008D2D4A">
            <w:pPr>
              <w:rPr>
                <w:rFonts w:cs="Calibri"/>
                <w:sz w:val="18"/>
                <w:szCs w:val="18"/>
                <w:lang w:val="en-AU"/>
              </w:rPr>
            </w:pPr>
            <w:r w:rsidRPr="00FA288E">
              <w:rPr>
                <w:rFonts w:cs="Calibri"/>
                <w:sz w:val="18"/>
                <w:szCs w:val="18"/>
                <w:lang w:val="en-AU"/>
              </w:rPr>
              <w:t>education focused on learning and literacy…</w:t>
            </w:r>
          </w:p>
        </w:tc>
      </w:tr>
      <w:tr w:rsidR="00643EB3" w:rsidRPr="00FA288E" w14:paraId="43F13791" w14:textId="77777777" w:rsidTr="00643EB3">
        <w:tc>
          <w:tcPr>
            <w:tcW w:w="1242" w:type="dxa"/>
            <w:shd w:val="clear" w:color="auto" w:fill="262626" w:themeFill="text1" w:themeFillTint="D9"/>
          </w:tcPr>
          <w:p w14:paraId="693A8783" w14:textId="77777777" w:rsidR="00643EB3" w:rsidRPr="00FA288E" w:rsidRDefault="00643EB3" w:rsidP="008D2D4A">
            <w:pPr>
              <w:jc w:val="left"/>
              <w:rPr>
                <w:rFonts w:cs="Calibri"/>
                <w:sz w:val="18"/>
                <w:szCs w:val="18"/>
                <w:lang w:val="en-AU"/>
              </w:rPr>
            </w:pPr>
            <w:r w:rsidRPr="00FA288E">
              <w:rPr>
                <w:rFonts w:cs="Calibri"/>
                <w:sz w:val="18"/>
                <w:szCs w:val="18"/>
                <w:lang w:val="en-AU"/>
              </w:rPr>
              <w:t>Reading related EOPOs</w:t>
            </w:r>
          </w:p>
        </w:tc>
        <w:tc>
          <w:tcPr>
            <w:tcW w:w="4086" w:type="dxa"/>
            <w:shd w:val="clear" w:color="auto" w:fill="auto"/>
          </w:tcPr>
          <w:p w14:paraId="056D9C89" w14:textId="77777777" w:rsidR="00643EB3" w:rsidRPr="00FA288E" w:rsidRDefault="00643EB3" w:rsidP="008D2D4A">
            <w:pPr>
              <w:rPr>
                <w:rFonts w:cs="Calibri"/>
                <w:sz w:val="18"/>
                <w:szCs w:val="18"/>
                <w:lang w:val="en-AU"/>
              </w:rPr>
            </w:pPr>
            <w:r w:rsidRPr="00FA288E">
              <w:rPr>
                <w:rFonts w:cs="Calibri"/>
                <w:sz w:val="18"/>
                <w:szCs w:val="18"/>
                <w:lang w:val="en-AU"/>
              </w:rPr>
              <w:t>EOPO 1: Children attending elementary school demonstrate improved English and Maths learning outcomes</w:t>
            </w:r>
          </w:p>
        </w:tc>
        <w:tc>
          <w:tcPr>
            <w:tcW w:w="4590" w:type="dxa"/>
            <w:shd w:val="clear" w:color="auto" w:fill="auto"/>
          </w:tcPr>
          <w:p w14:paraId="591AF57B" w14:textId="77777777" w:rsidR="00643EB3" w:rsidRPr="00FA288E" w:rsidRDefault="00643EB3" w:rsidP="008D2D4A">
            <w:pPr>
              <w:rPr>
                <w:rFonts w:cs="Calibri"/>
                <w:sz w:val="18"/>
                <w:szCs w:val="18"/>
                <w:lang w:val="en-AU"/>
              </w:rPr>
            </w:pPr>
            <w:r w:rsidRPr="00FA288E">
              <w:rPr>
                <w:rFonts w:cs="Calibri"/>
                <w:sz w:val="18"/>
                <w:szCs w:val="18"/>
                <w:lang w:val="en-AU"/>
              </w:rPr>
              <w:t>O1. Improved literacy and numeracy learning outcomes for elementary -aged students</w:t>
            </w:r>
          </w:p>
        </w:tc>
        <w:tc>
          <w:tcPr>
            <w:tcW w:w="4791" w:type="dxa"/>
            <w:shd w:val="clear" w:color="auto" w:fill="auto"/>
          </w:tcPr>
          <w:p w14:paraId="7A4854FC" w14:textId="77777777" w:rsidR="00643EB3" w:rsidRPr="00FA288E" w:rsidRDefault="00643EB3" w:rsidP="008D2D4A">
            <w:pPr>
              <w:rPr>
                <w:rFonts w:cs="Calibri"/>
                <w:sz w:val="18"/>
                <w:szCs w:val="18"/>
                <w:lang w:val="en-AU"/>
              </w:rPr>
            </w:pPr>
            <w:r w:rsidRPr="00FA288E">
              <w:rPr>
                <w:rFonts w:cs="Calibri"/>
                <w:sz w:val="18"/>
                <w:szCs w:val="18"/>
                <w:lang w:val="en-AU"/>
              </w:rPr>
              <w:t>Outcome 1: Increased parent/caregiver and community demand for, and support of, quality inclusive education</w:t>
            </w:r>
          </w:p>
        </w:tc>
      </w:tr>
      <w:tr w:rsidR="00643EB3" w:rsidRPr="00FA288E" w14:paraId="6944C555" w14:textId="77777777" w:rsidTr="00643EB3">
        <w:tc>
          <w:tcPr>
            <w:tcW w:w="1242" w:type="dxa"/>
            <w:shd w:val="clear" w:color="auto" w:fill="262626" w:themeFill="text1" w:themeFillTint="D9"/>
          </w:tcPr>
          <w:p w14:paraId="17ED7E6F" w14:textId="77777777" w:rsidR="00643EB3" w:rsidRPr="00FA288E" w:rsidRDefault="00643EB3" w:rsidP="008D2D4A">
            <w:pPr>
              <w:jc w:val="left"/>
              <w:rPr>
                <w:rFonts w:cs="Calibri"/>
                <w:sz w:val="18"/>
                <w:szCs w:val="18"/>
                <w:lang w:val="en-AU"/>
              </w:rPr>
            </w:pPr>
          </w:p>
        </w:tc>
        <w:tc>
          <w:tcPr>
            <w:tcW w:w="4086" w:type="dxa"/>
            <w:shd w:val="clear" w:color="auto" w:fill="auto"/>
          </w:tcPr>
          <w:p w14:paraId="0D182A1D" w14:textId="77777777" w:rsidR="00643EB3" w:rsidRPr="00FA288E" w:rsidRDefault="00643EB3" w:rsidP="008D2D4A">
            <w:pPr>
              <w:rPr>
                <w:rFonts w:cs="Calibri"/>
                <w:sz w:val="18"/>
                <w:szCs w:val="18"/>
                <w:lang w:val="en-AU"/>
              </w:rPr>
            </w:pPr>
          </w:p>
        </w:tc>
        <w:tc>
          <w:tcPr>
            <w:tcW w:w="4590" w:type="dxa"/>
            <w:shd w:val="clear" w:color="auto" w:fill="auto"/>
          </w:tcPr>
          <w:p w14:paraId="73146071" w14:textId="77777777" w:rsidR="00643EB3" w:rsidRPr="00FA288E" w:rsidRDefault="00643EB3" w:rsidP="008D2D4A">
            <w:pPr>
              <w:rPr>
                <w:rFonts w:cs="Calibri"/>
                <w:sz w:val="18"/>
                <w:szCs w:val="18"/>
                <w:lang w:val="en-AU"/>
              </w:rPr>
            </w:pPr>
          </w:p>
        </w:tc>
        <w:tc>
          <w:tcPr>
            <w:tcW w:w="4791" w:type="dxa"/>
            <w:shd w:val="clear" w:color="auto" w:fill="auto"/>
          </w:tcPr>
          <w:p w14:paraId="6FC4BAF2" w14:textId="77777777" w:rsidR="00643EB3" w:rsidRPr="00FA288E" w:rsidRDefault="00643EB3" w:rsidP="008D2D4A">
            <w:pPr>
              <w:rPr>
                <w:rFonts w:cs="Calibri"/>
                <w:sz w:val="18"/>
                <w:szCs w:val="18"/>
                <w:lang w:val="en-AU"/>
              </w:rPr>
            </w:pPr>
            <w:r w:rsidRPr="00FA288E">
              <w:rPr>
                <w:rFonts w:cs="Calibri"/>
                <w:sz w:val="18"/>
                <w:szCs w:val="18"/>
                <w:lang w:val="en-AU"/>
              </w:rPr>
              <w:t>Outcome 3: Increased access to stimulating and relevant learning materials and safe and child-friendly learning environments</w:t>
            </w:r>
          </w:p>
        </w:tc>
      </w:tr>
      <w:tr w:rsidR="00643EB3" w:rsidRPr="00FA288E" w14:paraId="32DE831B" w14:textId="77777777" w:rsidTr="00643EB3">
        <w:tc>
          <w:tcPr>
            <w:tcW w:w="1242" w:type="dxa"/>
            <w:shd w:val="clear" w:color="auto" w:fill="262626" w:themeFill="text1" w:themeFillTint="D9"/>
          </w:tcPr>
          <w:p w14:paraId="0E532B9E" w14:textId="77777777" w:rsidR="00643EB3" w:rsidRPr="00FA288E" w:rsidRDefault="00643EB3" w:rsidP="008D2D4A">
            <w:pPr>
              <w:jc w:val="left"/>
              <w:rPr>
                <w:rFonts w:cs="Calibri"/>
                <w:sz w:val="18"/>
                <w:szCs w:val="18"/>
                <w:lang w:val="en-AU"/>
              </w:rPr>
            </w:pPr>
            <w:r w:rsidRPr="00FA288E">
              <w:rPr>
                <w:rFonts w:cs="Calibri"/>
                <w:sz w:val="18"/>
                <w:szCs w:val="18"/>
                <w:lang w:val="en-AU"/>
              </w:rPr>
              <w:t>Related Intermediate outcomes</w:t>
            </w:r>
          </w:p>
        </w:tc>
        <w:tc>
          <w:tcPr>
            <w:tcW w:w="4086" w:type="dxa"/>
            <w:shd w:val="clear" w:color="auto" w:fill="auto"/>
          </w:tcPr>
          <w:p w14:paraId="27BD08CB" w14:textId="77777777" w:rsidR="00643EB3" w:rsidRPr="00FA288E" w:rsidRDefault="00643EB3" w:rsidP="008D2D4A">
            <w:pPr>
              <w:rPr>
                <w:rFonts w:cs="Calibri"/>
                <w:sz w:val="18"/>
                <w:szCs w:val="18"/>
                <w:lang w:val="en-AU"/>
              </w:rPr>
            </w:pPr>
            <w:r w:rsidRPr="00FA288E">
              <w:rPr>
                <w:rFonts w:cs="Calibri"/>
                <w:sz w:val="18"/>
                <w:szCs w:val="18"/>
                <w:lang w:val="en-AU"/>
              </w:rPr>
              <w:t>1.1 Teachers are using better skills and knowledge to teach the SBC English and Maths syllabuses</w:t>
            </w:r>
          </w:p>
        </w:tc>
        <w:tc>
          <w:tcPr>
            <w:tcW w:w="4590" w:type="dxa"/>
            <w:shd w:val="clear" w:color="auto" w:fill="auto"/>
          </w:tcPr>
          <w:p w14:paraId="1A0716A9" w14:textId="77777777" w:rsidR="00643EB3" w:rsidRPr="00FA288E" w:rsidRDefault="00643EB3" w:rsidP="008D2D4A">
            <w:pPr>
              <w:rPr>
                <w:rFonts w:cs="Calibri"/>
                <w:sz w:val="18"/>
                <w:szCs w:val="18"/>
                <w:lang w:val="en-AU"/>
              </w:rPr>
            </w:pPr>
            <w:r w:rsidRPr="00FA288E">
              <w:rPr>
                <w:rFonts w:cs="Calibri"/>
                <w:sz w:val="18"/>
                <w:szCs w:val="18"/>
                <w:lang w:val="en-AU"/>
              </w:rPr>
              <w:t>1.1: Elementary teachers demonstrate confidence and competence teaching and assessing SBC English, Language and Maths</w:t>
            </w:r>
          </w:p>
        </w:tc>
        <w:tc>
          <w:tcPr>
            <w:tcW w:w="4791" w:type="dxa"/>
            <w:shd w:val="clear" w:color="auto" w:fill="auto"/>
          </w:tcPr>
          <w:p w14:paraId="1CFD0CBD" w14:textId="77777777" w:rsidR="00643EB3" w:rsidRPr="00FA288E" w:rsidRDefault="00643EB3" w:rsidP="008D2D4A">
            <w:pPr>
              <w:rPr>
                <w:rFonts w:cs="Calibri"/>
                <w:sz w:val="18"/>
                <w:szCs w:val="18"/>
                <w:lang w:val="en-AU"/>
              </w:rPr>
            </w:pPr>
            <w:r w:rsidRPr="00FA288E">
              <w:rPr>
                <w:rFonts w:cs="Calibri"/>
                <w:sz w:val="18"/>
                <w:szCs w:val="18"/>
                <w:lang w:val="en-AU"/>
              </w:rPr>
              <w:t>1.2   Parents/ caregivers participate in their child's learning and development.</w:t>
            </w:r>
          </w:p>
        </w:tc>
      </w:tr>
      <w:tr w:rsidR="00643EB3" w:rsidRPr="00FA288E" w14:paraId="4BDB823E" w14:textId="77777777" w:rsidTr="00643EB3">
        <w:tc>
          <w:tcPr>
            <w:tcW w:w="1242" w:type="dxa"/>
            <w:shd w:val="clear" w:color="auto" w:fill="262626" w:themeFill="text1" w:themeFillTint="D9"/>
          </w:tcPr>
          <w:p w14:paraId="1D58717C" w14:textId="77777777" w:rsidR="00643EB3" w:rsidRPr="00FA288E" w:rsidRDefault="00643EB3" w:rsidP="008D2D4A">
            <w:pPr>
              <w:jc w:val="left"/>
              <w:rPr>
                <w:rFonts w:cs="Calibri"/>
                <w:sz w:val="18"/>
                <w:szCs w:val="18"/>
                <w:lang w:val="en-AU"/>
              </w:rPr>
            </w:pPr>
          </w:p>
        </w:tc>
        <w:tc>
          <w:tcPr>
            <w:tcW w:w="4086" w:type="dxa"/>
            <w:shd w:val="clear" w:color="auto" w:fill="auto"/>
          </w:tcPr>
          <w:p w14:paraId="6506713F" w14:textId="77777777" w:rsidR="00643EB3" w:rsidRPr="00FA288E" w:rsidRDefault="00643EB3" w:rsidP="008D2D4A">
            <w:pPr>
              <w:rPr>
                <w:rFonts w:cs="Calibri"/>
                <w:sz w:val="18"/>
                <w:szCs w:val="18"/>
                <w:lang w:val="en-AU"/>
              </w:rPr>
            </w:pPr>
            <w:r w:rsidRPr="00FA288E">
              <w:rPr>
                <w:rFonts w:cs="Calibri"/>
                <w:sz w:val="18"/>
                <w:szCs w:val="18"/>
                <w:lang w:val="en-AU"/>
              </w:rPr>
              <w:t>1.2 Use of appropriate gender and disability-inclusive reading materials</w:t>
            </w:r>
          </w:p>
        </w:tc>
        <w:tc>
          <w:tcPr>
            <w:tcW w:w="4590" w:type="dxa"/>
            <w:shd w:val="clear" w:color="auto" w:fill="auto"/>
          </w:tcPr>
          <w:p w14:paraId="43335780" w14:textId="77777777" w:rsidR="00643EB3" w:rsidRPr="00FA288E" w:rsidRDefault="00643EB3" w:rsidP="008D2D4A">
            <w:pPr>
              <w:rPr>
                <w:rFonts w:cs="Calibri"/>
                <w:sz w:val="18"/>
                <w:szCs w:val="18"/>
                <w:lang w:val="en-AU"/>
              </w:rPr>
            </w:pPr>
            <w:r w:rsidRPr="00FA288E">
              <w:rPr>
                <w:rFonts w:cs="Calibri"/>
                <w:sz w:val="18"/>
                <w:szCs w:val="18"/>
                <w:lang w:val="en-AU"/>
              </w:rPr>
              <w:t>1.3: Parents and caregivers of early grade children demonstrate improved home reading practices and community reading culture</w:t>
            </w:r>
          </w:p>
        </w:tc>
        <w:tc>
          <w:tcPr>
            <w:tcW w:w="4791" w:type="dxa"/>
            <w:shd w:val="clear" w:color="auto" w:fill="auto"/>
          </w:tcPr>
          <w:p w14:paraId="23B0ACA2" w14:textId="77777777" w:rsidR="00643EB3" w:rsidRPr="00FA288E" w:rsidRDefault="00643EB3" w:rsidP="008D2D4A">
            <w:pPr>
              <w:tabs>
                <w:tab w:val="left" w:pos="915"/>
              </w:tabs>
              <w:rPr>
                <w:rFonts w:cs="Calibri"/>
                <w:sz w:val="18"/>
                <w:szCs w:val="18"/>
                <w:lang w:val="en-AU"/>
              </w:rPr>
            </w:pPr>
            <w:r w:rsidRPr="00FA288E">
              <w:rPr>
                <w:rFonts w:cs="Calibri"/>
                <w:sz w:val="18"/>
                <w:szCs w:val="18"/>
                <w:lang w:val="en-AU"/>
              </w:rPr>
              <w:t>2.2 Students developing literacy and numeracy skills during classroom instruction</w:t>
            </w:r>
          </w:p>
        </w:tc>
      </w:tr>
      <w:tr w:rsidR="00643EB3" w:rsidRPr="00FA288E" w14:paraId="7B09BEE4" w14:textId="77777777" w:rsidTr="00643EB3">
        <w:tc>
          <w:tcPr>
            <w:tcW w:w="1242" w:type="dxa"/>
            <w:shd w:val="clear" w:color="auto" w:fill="262626" w:themeFill="text1" w:themeFillTint="D9"/>
          </w:tcPr>
          <w:p w14:paraId="3F2051A0" w14:textId="77777777" w:rsidR="00643EB3" w:rsidRPr="00FA288E" w:rsidRDefault="00643EB3" w:rsidP="008D2D4A">
            <w:pPr>
              <w:jc w:val="left"/>
              <w:rPr>
                <w:rFonts w:cs="Calibri"/>
                <w:sz w:val="18"/>
                <w:szCs w:val="18"/>
                <w:lang w:val="en-AU"/>
              </w:rPr>
            </w:pPr>
          </w:p>
        </w:tc>
        <w:tc>
          <w:tcPr>
            <w:tcW w:w="4086" w:type="dxa"/>
            <w:shd w:val="clear" w:color="auto" w:fill="auto"/>
          </w:tcPr>
          <w:p w14:paraId="55E83D71" w14:textId="77777777" w:rsidR="00643EB3" w:rsidRPr="00FA288E" w:rsidRDefault="00643EB3" w:rsidP="008D2D4A">
            <w:pPr>
              <w:rPr>
                <w:rFonts w:cs="Calibri"/>
                <w:sz w:val="18"/>
                <w:szCs w:val="18"/>
                <w:lang w:val="en-AU"/>
              </w:rPr>
            </w:pPr>
            <w:r w:rsidRPr="00FA288E">
              <w:rPr>
                <w:rFonts w:cs="Calibri"/>
                <w:sz w:val="18"/>
                <w:szCs w:val="18"/>
                <w:lang w:val="en-AU"/>
              </w:rPr>
              <w:t>1.3 Students are actively engaged in reading</w:t>
            </w:r>
          </w:p>
        </w:tc>
        <w:tc>
          <w:tcPr>
            <w:tcW w:w="4590" w:type="dxa"/>
            <w:shd w:val="clear" w:color="auto" w:fill="auto"/>
          </w:tcPr>
          <w:p w14:paraId="4989FB7B" w14:textId="77777777" w:rsidR="00643EB3" w:rsidRPr="00FA288E" w:rsidRDefault="00643EB3" w:rsidP="008D2D4A">
            <w:pPr>
              <w:rPr>
                <w:rFonts w:cs="Calibri"/>
                <w:sz w:val="18"/>
                <w:szCs w:val="18"/>
                <w:lang w:val="en-AU"/>
              </w:rPr>
            </w:pPr>
          </w:p>
        </w:tc>
        <w:tc>
          <w:tcPr>
            <w:tcW w:w="4791" w:type="dxa"/>
            <w:shd w:val="clear" w:color="auto" w:fill="auto"/>
          </w:tcPr>
          <w:p w14:paraId="4D8178F2" w14:textId="77777777" w:rsidR="00643EB3" w:rsidRPr="00FA288E" w:rsidRDefault="00643EB3" w:rsidP="008D2D4A">
            <w:pPr>
              <w:rPr>
                <w:rFonts w:cs="Calibri"/>
                <w:sz w:val="18"/>
                <w:szCs w:val="18"/>
                <w:lang w:val="en-AU"/>
              </w:rPr>
            </w:pPr>
            <w:r w:rsidRPr="00FA288E">
              <w:rPr>
                <w:rFonts w:cs="Calibri"/>
                <w:sz w:val="18"/>
                <w:szCs w:val="18"/>
                <w:lang w:val="en-AU"/>
              </w:rPr>
              <w:t>3.1 Students have access to and read culturally-relevant and language appropriate books.</w:t>
            </w:r>
          </w:p>
        </w:tc>
      </w:tr>
      <w:tr w:rsidR="00643EB3" w:rsidRPr="00FA288E" w14:paraId="749B2AEF" w14:textId="77777777" w:rsidTr="00643EB3">
        <w:trPr>
          <w:trHeight w:val="1587"/>
        </w:trPr>
        <w:tc>
          <w:tcPr>
            <w:tcW w:w="1242" w:type="dxa"/>
            <w:shd w:val="clear" w:color="auto" w:fill="262626" w:themeFill="text1" w:themeFillTint="D9"/>
          </w:tcPr>
          <w:p w14:paraId="3FED2F02" w14:textId="77777777" w:rsidR="00643EB3" w:rsidRPr="00FA288E" w:rsidRDefault="00643EB3" w:rsidP="008D2D4A">
            <w:pPr>
              <w:jc w:val="left"/>
              <w:rPr>
                <w:rFonts w:cs="Calibri"/>
                <w:sz w:val="18"/>
                <w:szCs w:val="18"/>
                <w:lang w:val="en-AU"/>
              </w:rPr>
            </w:pPr>
            <w:r w:rsidRPr="00FA288E">
              <w:rPr>
                <w:rFonts w:cs="Calibri"/>
                <w:sz w:val="18"/>
                <w:szCs w:val="18"/>
                <w:lang w:val="en-AU"/>
              </w:rPr>
              <w:t>Reading related Theory of Change</w:t>
            </w:r>
          </w:p>
          <w:p w14:paraId="09313513" w14:textId="77777777" w:rsidR="00643EB3" w:rsidRPr="00FA288E" w:rsidRDefault="00643EB3" w:rsidP="008D2D4A">
            <w:pPr>
              <w:jc w:val="left"/>
              <w:rPr>
                <w:rFonts w:cs="Calibri"/>
                <w:sz w:val="18"/>
                <w:szCs w:val="18"/>
                <w:lang w:val="en-AU"/>
              </w:rPr>
            </w:pPr>
          </w:p>
        </w:tc>
        <w:tc>
          <w:tcPr>
            <w:tcW w:w="4086" w:type="dxa"/>
          </w:tcPr>
          <w:p w14:paraId="3FCDC91C" w14:textId="77777777" w:rsidR="00643EB3" w:rsidRPr="00FA288E" w:rsidRDefault="00643EB3" w:rsidP="008D2D4A">
            <w:pPr>
              <w:rPr>
                <w:rFonts w:cs="Calibri"/>
                <w:sz w:val="18"/>
                <w:szCs w:val="18"/>
                <w:lang w:val="en-AU"/>
              </w:rPr>
            </w:pPr>
            <w:r w:rsidRPr="00FA288E">
              <w:rPr>
                <w:rFonts w:cs="Calibri"/>
                <w:sz w:val="18"/>
                <w:szCs w:val="18"/>
                <w:lang w:val="en-AU"/>
              </w:rPr>
              <w:t>… children’s literacy learning outcomes improve when children consistently attend school; receive better quality teaching; have better access to reading materials; and engage in reading at home.</w:t>
            </w:r>
          </w:p>
        </w:tc>
        <w:tc>
          <w:tcPr>
            <w:tcW w:w="4590" w:type="dxa"/>
          </w:tcPr>
          <w:p w14:paraId="54A8FB48" w14:textId="77777777" w:rsidR="00643EB3" w:rsidRPr="00FA288E" w:rsidRDefault="00643EB3" w:rsidP="008D2D4A">
            <w:pPr>
              <w:rPr>
                <w:rFonts w:cs="Calibri"/>
                <w:sz w:val="18"/>
                <w:szCs w:val="18"/>
                <w:lang w:val="en-AU"/>
              </w:rPr>
            </w:pPr>
            <w:r w:rsidRPr="00FA288E">
              <w:rPr>
                <w:rFonts w:cs="Calibri"/>
                <w:sz w:val="18"/>
                <w:szCs w:val="18"/>
                <w:lang w:val="en-AU"/>
              </w:rPr>
              <w:t>… Improving literacy and numeracy learning outcomes begins at home with caregivers who read to their children. … Elementary teachers can deliver well designed teacher guides and these will be coupled with sufficient levelled reading books, particularly in the children’s home language and reinforced at home….</w:t>
            </w:r>
          </w:p>
        </w:tc>
        <w:tc>
          <w:tcPr>
            <w:tcW w:w="4791" w:type="dxa"/>
          </w:tcPr>
          <w:p w14:paraId="71BCD743" w14:textId="77777777" w:rsidR="00643EB3" w:rsidRPr="00FA288E" w:rsidRDefault="00643EB3" w:rsidP="008D2D4A">
            <w:pPr>
              <w:rPr>
                <w:rFonts w:cs="Calibri"/>
                <w:sz w:val="18"/>
                <w:szCs w:val="18"/>
                <w:lang w:val="en-AU"/>
              </w:rPr>
            </w:pPr>
            <w:r w:rsidRPr="00FA288E">
              <w:rPr>
                <w:rFonts w:cs="Calibri"/>
                <w:sz w:val="18"/>
                <w:szCs w:val="18"/>
                <w:lang w:val="en-AU"/>
              </w:rPr>
              <w:t xml:space="preserve">… IF … parents and communities are active participants in education, THEN literacy and numeracy will improve. </w:t>
            </w:r>
            <w:r w:rsidRPr="00FA288E">
              <w:rPr>
                <w:rFonts w:cs="Calibri"/>
                <w:sz w:val="18"/>
                <w:szCs w:val="18"/>
                <w:u w:val="single"/>
                <w:lang w:val="en-AU"/>
              </w:rPr>
              <w:t>Demand</w:t>
            </w:r>
            <w:r w:rsidRPr="00FA288E">
              <w:rPr>
                <w:rFonts w:cs="Calibri"/>
                <w:sz w:val="18"/>
                <w:szCs w:val="18"/>
                <w:lang w:val="en-AU"/>
              </w:rPr>
              <w:t xml:space="preserve"> is best ignited through … equipping parents to engage actively in their child’s education. </w:t>
            </w:r>
            <w:r w:rsidRPr="00FA288E">
              <w:rPr>
                <w:rFonts w:cs="Calibri"/>
                <w:sz w:val="18"/>
                <w:szCs w:val="18"/>
                <w:u w:val="single"/>
                <w:lang w:val="en-AU"/>
              </w:rPr>
              <w:t>Quality</w:t>
            </w:r>
            <w:r w:rsidRPr="00FA288E">
              <w:rPr>
                <w:rFonts w:cs="Calibri"/>
                <w:sz w:val="18"/>
                <w:szCs w:val="18"/>
                <w:lang w:val="en-AU"/>
              </w:rPr>
              <w:t xml:space="preserve"> is best enhanced through interactive in-service sessions that equip teachers with age-appropriate approaches and strategies to support early literacy…</w:t>
            </w:r>
          </w:p>
        </w:tc>
      </w:tr>
      <w:tr w:rsidR="00643EB3" w:rsidRPr="00FA288E" w14:paraId="0448EEA1" w14:textId="77777777" w:rsidTr="00643EB3">
        <w:tc>
          <w:tcPr>
            <w:tcW w:w="1242" w:type="dxa"/>
            <w:shd w:val="clear" w:color="auto" w:fill="262626" w:themeFill="text1" w:themeFillTint="D9"/>
          </w:tcPr>
          <w:p w14:paraId="7FCB0DEE" w14:textId="77777777" w:rsidR="00643EB3" w:rsidRPr="00FA288E" w:rsidRDefault="00643EB3" w:rsidP="008D2D4A">
            <w:pPr>
              <w:jc w:val="left"/>
              <w:rPr>
                <w:rFonts w:cs="Calibri"/>
                <w:sz w:val="18"/>
                <w:szCs w:val="18"/>
                <w:lang w:val="en-AU"/>
              </w:rPr>
            </w:pPr>
            <w:r w:rsidRPr="00FA288E">
              <w:rPr>
                <w:rFonts w:cs="Calibri"/>
                <w:sz w:val="18"/>
                <w:szCs w:val="18"/>
                <w:lang w:val="en-AU"/>
              </w:rPr>
              <w:t xml:space="preserve">Baseline data </w:t>
            </w:r>
          </w:p>
          <w:p w14:paraId="2BE24E16" w14:textId="77777777" w:rsidR="00643EB3" w:rsidRPr="00FA288E" w:rsidRDefault="00643EB3" w:rsidP="008D2D4A">
            <w:pPr>
              <w:jc w:val="left"/>
              <w:rPr>
                <w:rFonts w:cs="Calibri"/>
                <w:sz w:val="18"/>
                <w:szCs w:val="18"/>
                <w:lang w:val="en-AU"/>
              </w:rPr>
            </w:pPr>
          </w:p>
        </w:tc>
        <w:tc>
          <w:tcPr>
            <w:tcW w:w="4086" w:type="dxa"/>
          </w:tcPr>
          <w:p w14:paraId="23DA67C1" w14:textId="77777777" w:rsidR="00643EB3" w:rsidRPr="00FA288E" w:rsidRDefault="00643EB3" w:rsidP="008D2D4A">
            <w:pPr>
              <w:rPr>
                <w:rFonts w:cs="Calibri"/>
                <w:sz w:val="18"/>
                <w:szCs w:val="18"/>
                <w:lang w:val="en-AU"/>
              </w:rPr>
            </w:pPr>
            <w:r w:rsidRPr="00FA288E">
              <w:rPr>
                <w:rFonts w:cs="Calibri"/>
                <w:sz w:val="18"/>
                <w:szCs w:val="18"/>
                <w:lang w:val="en-AU"/>
              </w:rPr>
              <w:t>- 57.40% of schools surveyed had age appropriate storybooks in English, and 11% had them in Tok Pisin</w:t>
            </w:r>
          </w:p>
          <w:p w14:paraId="0CCB0EB7" w14:textId="77777777" w:rsidR="00643EB3" w:rsidRPr="00FA288E" w:rsidRDefault="00643EB3" w:rsidP="008D2D4A">
            <w:pPr>
              <w:rPr>
                <w:rFonts w:cs="Calibri"/>
                <w:sz w:val="18"/>
                <w:szCs w:val="18"/>
                <w:lang w:val="en-AU"/>
              </w:rPr>
            </w:pPr>
            <w:r w:rsidRPr="00FA288E">
              <w:rPr>
                <w:rFonts w:cs="Calibri"/>
                <w:sz w:val="18"/>
                <w:szCs w:val="18"/>
                <w:lang w:val="en-AU"/>
              </w:rPr>
              <w:t>- 91% of teachers read to students</w:t>
            </w:r>
          </w:p>
          <w:p w14:paraId="65002D6A" w14:textId="77777777" w:rsidR="00643EB3" w:rsidRPr="00FA288E" w:rsidRDefault="00643EB3" w:rsidP="008D2D4A">
            <w:pPr>
              <w:rPr>
                <w:rFonts w:cs="Calibri"/>
                <w:sz w:val="18"/>
                <w:szCs w:val="18"/>
                <w:lang w:val="en-AU"/>
              </w:rPr>
            </w:pPr>
            <w:r w:rsidRPr="00FA288E">
              <w:rPr>
                <w:rFonts w:cs="Calibri"/>
                <w:sz w:val="18"/>
                <w:szCs w:val="18"/>
                <w:lang w:val="en-AU"/>
              </w:rPr>
              <w:t>- 22% of schools run reading events (camps, readathons etc) or library activities</w:t>
            </w:r>
          </w:p>
        </w:tc>
        <w:tc>
          <w:tcPr>
            <w:tcW w:w="4590" w:type="dxa"/>
          </w:tcPr>
          <w:p w14:paraId="52DB186B" w14:textId="77777777" w:rsidR="00643EB3" w:rsidRPr="00FA288E" w:rsidRDefault="00643EB3" w:rsidP="008D2D4A">
            <w:pPr>
              <w:rPr>
                <w:rFonts w:cs="Calibri"/>
                <w:sz w:val="18"/>
                <w:szCs w:val="18"/>
                <w:lang w:val="en-AU"/>
              </w:rPr>
            </w:pPr>
            <w:r w:rsidRPr="00FA288E">
              <w:rPr>
                <w:rFonts w:cs="Calibri"/>
                <w:sz w:val="18"/>
                <w:szCs w:val="18"/>
                <w:lang w:val="en-AU"/>
              </w:rPr>
              <w:t xml:space="preserve">- 13.94% teachers engaged students in reading </w:t>
            </w:r>
          </w:p>
          <w:p w14:paraId="3A44A3B4" w14:textId="77777777" w:rsidR="00643EB3" w:rsidRPr="00FA288E" w:rsidRDefault="00643EB3" w:rsidP="008D2D4A">
            <w:pPr>
              <w:rPr>
                <w:rFonts w:cs="Calibri"/>
                <w:sz w:val="18"/>
                <w:szCs w:val="18"/>
                <w:lang w:val="en-AU"/>
              </w:rPr>
            </w:pPr>
            <w:r w:rsidRPr="00FA288E">
              <w:rPr>
                <w:rFonts w:cs="Calibri"/>
                <w:sz w:val="18"/>
                <w:szCs w:val="18"/>
                <w:lang w:val="en-AU"/>
              </w:rPr>
              <w:t>- 49% Children had story books at home</w:t>
            </w:r>
          </w:p>
          <w:p w14:paraId="7648FA44" w14:textId="77777777" w:rsidR="00643EB3" w:rsidRPr="00FA288E" w:rsidRDefault="00643EB3" w:rsidP="008D2D4A">
            <w:pPr>
              <w:rPr>
                <w:rFonts w:cs="Calibri"/>
                <w:sz w:val="18"/>
                <w:szCs w:val="18"/>
                <w:lang w:val="en-AU"/>
              </w:rPr>
            </w:pPr>
            <w:r w:rsidRPr="00FA288E">
              <w:rPr>
                <w:rFonts w:cs="Calibri"/>
                <w:sz w:val="18"/>
                <w:szCs w:val="18"/>
                <w:lang w:val="en-AU"/>
              </w:rPr>
              <w:t>- 57% had been read to by a parent in the past week</w:t>
            </w:r>
          </w:p>
          <w:p w14:paraId="68B606A6" w14:textId="77777777" w:rsidR="00643EB3" w:rsidRPr="00FA288E" w:rsidRDefault="00643EB3" w:rsidP="008D2D4A">
            <w:pPr>
              <w:rPr>
                <w:rFonts w:cs="Calibri"/>
                <w:sz w:val="18"/>
                <w:szCs w:val="18"/>
                <w:lang w:val="en-AU"/>
              </w:rPr>
            </w:pPr>
            <w:r w:rsidRPr="00FA288E">
              <w:rPr>
                <w:rFonts w:cs="Calibri"/>
                <w:sz w:val="18"/>
                <w:szCs w:val="18"/>
                <w:lang w:val="en-AU"/>
              </w:rPr>
              <w:t>- data about reading habits outside school inconclusive</w:t>
            </w:r>
          </w:p>
          <w:p w14:paraId="2A2A0990" w14:textId="77777777" w:rsidR="00643EB3" w:rsidRPr="00FA288E" w:rsidRDefault="00643EB3" w:rsidP="008D2D4A">
            <w:pPr>
              <w:rPr>
                <w:rFonts w:cs="Calibri"/>
                <w:sz w:val="18"/>
                <w:szCs w:val="18"/>
                <w:lang w:val="en-AU"/>
              </w:rPr>
            </w:pPr>
          </w:p>
        </w:tc>
        <w:tc>
          <w:tcPr>
            <w:tcW w:w="4791" w:type="dxa"/>
          </w:tcPr>
          <w:p w14:paraId="29BDAB70" w14:textId="77777777" w:rsidR="00643EB3" w:rsidRPr="00FA288E" w:rsidRDefault="00643EB3" w:rsidP="008D2D4A">
            <w:pPr>
              <w:rPr>
                <w:rFonts w:cs="Calibri"/>
                <w:sz w:val="18"/>
                <w:szCs w:val="18"/>
                <w:lang w:val="en-AU"/>
              </w:rPr>
            </w:pPr>
            <w:r w:rsidRPr="00FA288E">
              <w:rPr>
                <w:rFonts w:cs="Calibri"/>
                <w:sz w:val="18"/>
                <w:szCs w:val="18"/>
                <w:lang w:val="en-AU"/>
              </w:rPr>
              <w:t>- 55% of children reported parents/caregivers reading to them</w:t>
            </w:r>
          </w:p>
          <w:p w14:paraId="6C669E28" w14:textId="77777777" w:rsidR="00643EB3" w:rsidRPr="00FA288E" w:rsidRDefault="00643EB3" w:rsidP="008D2D4A">
            <w:pPr>
              <w:rPr>
                <w:rFonts w:cs="Calibri"/>
                <w:sz w:val="18"/>
                <w:szCs w:val="18"/>
                <w:lang w:val="en-AU"/>
              </w:rPr>
            </w:pPr>
            <w:r w:rsidRPr="00FA288E">
              <w:rPr>
                <w:rFonts w:cs="Calibri"/>
                <w:sz w:val="18"/>
                <w:szCs w:val="18"/>
                <w:lang w:val="en-AU"/>
              </w:rPr>
              <w:t>- 6% of children reported going to a reading club</w:t>
            </w:r>
          </w:p>
          <w:p w14:paraId="37CE66C2" w14:textId="77777777" w:rsidR="00643EB3" w:rsidRPr="00FA288E" w:rsidRDefault="00643EB3" w:rsidP="008D2D4A">
            <w:pPr>
              <w:rPr>
                <w:rFonts w:cs="Calibri"/>
                <w:sz w:val="18"/>
                <w:szCs w:val="18"/>
                <w:lang w:val="en-AU"/>
              </w:rPr>
            </w:pPr>
            <w:r w:rsidRPr="00FA288E">
              <w:rPr>
                <w:rFonts w:cs="Calibri"/>
                <w:sz w:val="18"/>
                <w:szCs w:val="18"/>
                <w:lang w:val="en-AU"/>
              </w:rPr>
              <w:t>- 33% of children were considered readers</w:t>
            </w:r>
          </w:p>
        </w:tc>
      </w:tr>
      <w:tr w:rsidR="00643EB3" w:rsidRPr="00FA288E" w14:paraId="56EC7C23" w14:textId="77777777" w:rsidTr="00643EB3">
        <w:tc>
          <w:tcPr>
            <w:tcW w:w="1242" w:type="dxa"/>
            <w:shd w:val="clear" w:color="auto" w:fill="262626" w:themeFill="text1" w:themeFillTint="D9"/>
          </w:tcPr>
          <w:p w14:paraId="7CF75B45" w14:textId="77777777" w:rsidR="00643EB3" w:rsidRPr="00FA288E" w:rsidRDefault="00643EB3" w:rsidP="008D2D4A">
            <w:pPr>
              <w:jc w:val="left"/>
              <w:rPr>
                <w:rFonts w:cs="Calibri"/>
                <w:sz w:val="18"/>
                <w:szCs w:val="18"/>
                <w:lang w:val="en-AU"/>
              </w:rPr>
            </w:pPr>
            <w:r w:rsidRPr="00FA288E">
              <w:rPr>
                <w:rFonts w:cs="Calibri"/>
                <w:sz w:val="18"/>
                <w:szCs w:val="18"/>
                <w:lang w:val="en-AU"/>
              </w:rPr>
              <w:t>Key focus of unique activities</w:t>
            </w:r>
          </w:p>
        </w:tc>
        <w:tc>
          <w:tcPr>
            <w:tcW w:w="4086" w:type="dxa"/>
          </w:tcPr>
          <w:p w14:paraId="38755C87" w14:textId="77777777" w:rsidR="00643EB3" w:rsidRPr="00FA288E" w:rsidRDefault="00643EB3" w:rsidP="008D2D4A">
            <w:pPr>
              <w:rPr>
                <w:rFonts w:cs="Calibri"/>
                <w:sz w:val="18"/>
                <w:szCs w:val="18"/>
                <w:lang w:val="en-AU"/>
              </w:rPr>
            </w:pPr>
            <w:r w:rsidRPr="00FA288E">
              <w:rPr>
                <w:rFonts w:cs="Calibri"/>
                <w:sz w:val="18"/>
                <w:szCs w:val="18"/>
                <w:lang w:val="en-AU"/>
              </w:rPr>
              <w:t xml:space="preserve">-Originally intended developing their own reading material in the form of a magazine, now sourcing 55,000 titles from </w:t>
            </w:r>
            <w:proofErr w:type="spellStart"/>
            <w:r w:rsidRPr="00FA288E">
              <w:rPr>
                <w:rFonts w:cs="Calibri"/>
                <w:sz w:val="18"/>
                <w:szCs w:val="18"/>
                <w:lang w:val="en-AU"/>
              </w:rPr>
              <w:t>LfA</w:t>
            </w:r>
            <w:proofErr w:type="spellEnd"/>
            <w:r w:rsidRPr="00FA288E">
              <w:rPr>
                <w:rFonts w:cs="Calibri"/>
                <w:sz w:val="18"/>
                <w:szCs w:val="18"/>
                <w:lang w:val="en-AU"/>
              </w:rPr>
              <w:t xml:space="preserve"> collection), providing a half/ </w:t>
            </w:r>
            <w:r w:rsidRPr="00FA288E">
              <w:rPr>
                <w:rFonts w:cs="Calibri"/>
                <w:sz w:val="18"/>
                <w:szCs w:val="18"/>
                <w:lang w:val="en-AU"/>
              </w:rPr>
              <w:lastRenderedPageBreak/>
              <w:t xml:space="preserve">one day session to teachers on establishing classroom libraries (‘reading corners’) for the books </w:t>
            </w:r>
          </w:p>
          <w:p w14:paraId="096B87A1" w14:textId="77777777" w:rsidR="00643EB3" w:rsidRPr="00FA288E" w:rsidRDefault="00643EB3" w:rsidP="008D2D4A">
            <w:pPr>
              <w:rPr>
                <w:rFonts w:cs="Calibri"/>
                <w:sz w:val="18"/>
                <w:szCs w:val="18"/>
                <w:lang w:val="en-AU"/>
              </w:rPr>
            </w:pPr>
            <w:r w:rsidRPr="00FA288E">
              <w:rPr>
                <w:rFonts w:cs="Calibri"/>
                <w:sz w:val="18"/>
                <w:szCs w:val="18"/>
                <w:lang w:val="en-AU"/>
              </w:rPr>
              <w:t xml:space="preserve">- Encouraging communities/parents to support girls and boys in their education, (running inclusive school reading camps/events etc.) </w:t>
            </w:r>
          </w:p>
          <w:p w14:paraId="7D3EE421" w14:textId="77777777" w:rsidR="00643EB3" w:rsidRPr="00FA288E" w:rsidRDefault="00643EB3" w:rsidP="008D2D4A">
            <w:pPr>
              <w:rPr>
                <w:rFonts w:cs="Calibri"/>
                <w:sz w:val="18"/>
                <w:szCs w:val="18"/>
                <w:lang w:val="en-AU"/>
              </w:rPr>
            </w:pPr>
            <w:r w:rsidRPr="00FA288E">
              <w:rPr>
                <w:rFonts w:cs="Calibri"/>
                <w:sz w:val="18"/>
                <w:szCs w:val="18"/>
                <w:lang w:val="en-AU"/>
              </w:rPr>
              <w:t>- ADRA is providing adult literacy training to parents to equip them to support children’s learning</w:t>
            </w:r>
          </w:p>
        </w:tc>
        <w:tc>
          <w:tcPr>
            <w:tcW w:w="4590" w:type="dxa"/>
          </w:tcPr>
          <w:p w14:paraId="70C2D27A" w14:textId="77777777" w:rsidR="00643EB3" w:rsidRPr="00FA288E" w:rsidRDefault="00643EB3" w:rsidP="008D2D4A">
            <w:pPr>
              <w:rPr>
                <w:rFonts w:cs="Calibri"/>
                <w:sz w:val="18"/>
                <w:szCs w:val="18"/>
                <w:lang w:val="en-AU"/>
              </w:rPr>
            </w:pPr>
            <w:r w:rsidRPr="00FA288E">
              <w:rPr>
                <w:rFonts w:cs="Calibri"/>
                <w:sz w:val="18"/>
                <w:szCs w:val="18"/>
                <w:lang w:val="en-AU"/>
              </w:rPr>
              <w:lastRenderedPageBreak/>
              <w:t xml:space="preserve">- in partnership with SIL, published stories from the SBC (50%) on the Bloom Reader, plus other titles </w:t>
            </w:r>
          </w:p>
          <w:p w14:paraId="7D118256" w14:textId="77777777" w:rsidR="00643EB3" w:rsidRPr="00FA288E" w:rsidRDefault="00643EB3" w:rsidP="008D2D4A">
            <w:pPr>
              <w:rPr>
                <w:rFonts w:cs="Calibri"/>
                <w:sz w:val="18"/>
                <w:szCs w:val="18"/>
                <w:lang w:val="en-AU"/>
              </w:rPr>
            </w:pPr>
            <w:r w:rsidRPr="00FA288E">
              <w:rPr>
                <w:rFonts w:cs="Calibri"/>
                <w:sz w:val="18"/>
                <w:szCs w:val="18"/>
                <w:lang w:val="en-AU"/>
              </w:rPr>
              <w:lastRenderedPageBreak/>
              <w:t xml:space="preserve">- converted Bloom Reader Books into talking books, translated into English, Tok Pisin, (Motu, and 31 Tok </w:t>
            </w:r>
            <w:proofErr w:type="spellStart"/>
            <w:r w:rsidRPr="00FA288E">
              <w:rPr>
                <w:rFonts w:cs="Calibri"/>
                <w:sz w:val="18"/>
                <w:szCs w:val="18"/>
                <w:lang w:val="en-AU"/>
              </w:rPr>
              <w:t>Ples</w:t>
            </w:r>
            <w:proofErr w:type="spellEnd"/>
            <w:r w:rsidRPr="00FA288E">
              <w:rPr>
                <w:rFonts w:cs="Calibri"/>
                <w:sz w:val="18"/>
                <w:szCs w:val="18"/>
                <w:lang w:val="en-AU"/>
              </w:rPr>
              <w:t>), and now incorporating sign language for deaf students.</w:t>
            </w:r>
          </w:p>
          <w:p w14:paraId="23C20C5D" w14:textId="77777777" w:rsidR="00643EB3" w:rsidRPr="00FA288E" w:rsidRDefault="00643EB3" w:rsidP="008D2D4A">
            <w:pPr>
              <w:rPr>
                <w:rFonts w:cs="Calibri"/>
                <w:sz w:val="18"/>
                <w:szCs w:val="18"/>
                <w:lang w:val="en-AU"/>
              </w:rPr>
            </w:pPr>
            <w:r w:rsidRPr="00FA288E">
              <w:rPr>
                <w:rFonts w:cs="Calibri"/>
                <w:sz w:val="18"/>
                <w:szCs w:val="18"/>
                <w:lang w:val="en-AU"/>
              </w:rPr>
              <w:t>- Training</w:t>
            </w:r>
            <w:r w:rsidR="0049719E" w:rsidRPr="00FA288E">
              <w:rPr>
                <w:rFonts w:cs="Calibri"/>
                <w:sz w:val="18"/>
                <w:szCs w:val="18"/>
                <w:lang w:val="en-AU"/>
              </w:rPr>
              <w:t xml:space="preserve"> </w:t>
            </w:r>
            <w:r w:rsidRPr="00FA288E">
              <w:rPr>
                <w:rFonts w:cs="Calibri"/>
                <w:sz w:val="18"/>
                <w:szCs w:val="18"/>
                <w:lang w:val="en-AU"/>
              </w:rPr>
              <w:t>CLVs to run reading clubs / coach parents in reading to their children</w:t>
            </w:r>
          </w:p>
          <w:p w14:paraId="66610DA5" w14:textId="77777777" w:rsidR="00643EB3" w:rsidRPr="00FA288E" w:rsidRDefault="00643EB3" w:rsidP="008D2D4A">
            <w:pPr>
              <w:rPr>
                <w:rFonts w:cs="Calibri"/>
                <w:sz w:val="18"/>
                <w:szCs w:val="18"/>
                <w:lang w:val="en-AU"/>
              </w:rPr>
            </w:pPr>
            <w:r w:rsidRPr="00FA288E">
              <w:rPr>
                <w:rFonts w:cs="Calibri"/>
                <w:sz w:val="18"/>
                <w:szCs w:val="18"/>
                <w:lang w:val="en-AU"/>
              </w:rPr>
              <w:t>- Provide CLVs with offline Bloom Reader App resources to transfer to other mobile phones for free</w:t>
            </w:r>
          </w:p>
          <w:p w14:paraId="3455662F" w14:textId="77777777" w:rsidR="00643EB3" w:rsidRPr="00FA288E" w:rsidRDefault="00643EB3" w:rsidP="008D2D4A">
            <w:pPr>
              <w:rPr>
                <w:rFonts w:cs="Calibri"/>
                <w:sz w:val="18"/>
                <w:szCs w:val="18"/>
                <w:lang w:val="en-AU"/>
              </w:rPr>
            </w:pPr>
            <w:r w:rsidRPr="00FA288E">
              <w:rPr>
                <w:rFonts w:cs="Calibri"/>
                <w:sz w:val="18"/>
                <w:szCs w:val="18"/>
                <w:lang w:val="en-AU"/>
              </w:rPr>
              <w:t>- Trial</w:t>
            </w:r>
            <w:r w:rsidR="0049719E" w:rsidRPr="00FA288E">
              <w:rPr>
                <w:rFonts w:cs="Calibri"/>
                <w:sz w:val="18"/>
                <w:szCs w:val="18"/>
                <w:lang w:val="en-AU"/>
              </w:rPr>
              <w:t>l</w:t>
            </w:r>
            <w:r w:rsidRPr="00FA288E">
              <w:rPr>
                <w:rFonts w:cs="Calibri"/>
                <w:sz w:val="18"/>
                <w:szCs w:val="18"/>
                <w:lang w:val="en-AU"/>
              </w:rPr>
              <w:t xml:space="preserve">ing Education for Life kits – a projector, solar panel and speaker which connects to Bloom Reader resources for use in classroom settings </w:t>
            </w:r>
          </w:p>
        </w:tc>
        <w:tc>
          <w:tcPr>
            <w:tcW w:w="4791" w:type="dxa"/>
          </w:tcPr>
          <w:p w14:paraId="4B3DDA7C" w14:textId="77777777" w:rsidR="00643EB3" w:rsidRPr="00FA288E" w:rsidRDefault="00643EB3" w:rsidP="008D2D4A">
            <w:pPr>
              <w:rPr>
                <w:rFonts w:cs="Calibri"/>
                <w:sz w:val="18"/>
                <w:szCs w:val="18"/>
                <w:lang w:val="en-AU"/>
              </w:rPr>
            </w:pPr>
            <w:r w:rsidRPr="00FA288E">
              <w:rPr>
                <w:rFonts w:cs="Calibri"/>
                <w:sz w:val="18"/>
                <w:szCs w:val="18"/>
                <w:lang w:val="en-AU"/>
              </w:rPr>
              <w:lastRenderedPageBreak/>
              <w:t>- producing locally written, language and culturally appropriate reading books for print and E-library versions</w:t>
            </w:r>
          </w:p>
          <w:p w14:paraId="1EF3B6D8" w14:textId="77777777" w:rsidR="00643EB3" w:rsidRPr="00FA288E" w:rsidRDefault="00643EB3" w:rsidP="008D2D4A">
            <w:pPr>
              <w:rPr>
                <w:rFonts w:cs="Calibri"/>
                <w:sz w:val="18"/>
                <w:szCs w:val="18"/>
                <w:lang w:val="en-AU"/>
              </w:rPr>
            </w:pPr>
            <w:r w:rsidRPr="00FA288E">
              <w:rPr>
                <w:rFonts w:cs="Calibri"/>
                <w:sz w:val="18"/>
                <w:szCs w:val="18"/>
                <w:lang w:val="en-AU"/>
              </w:rPr>
              <w:t>- distributing print versions to schools in ‘resource kits’</w:t>
            </w:r>
          </w:p>
          <w:p w14:paraId="06BA303F" w14:textId="77777777" w:rsidR="00643EB3" w:rsidRPr="00FA288E" w:rsidRDefault="00643EB3" w:rsidP="008D2D4A">
            <w:pPr>
              <w:rPr>
                <w:rFonts w:cs="Calibri"/>
                <w:sz w:val="18"/>
                <w:szCs w:val="18"/>
                <w:u w:val="single"/>
                <w:lang w:val="en-AU"/>
              </w:rPr>
            </w:pPr>
            <w:r w:rsidRPr="00FA288E">
              <w:rPr>
                <w:rFonts w:cs="Calibri"/>
                <w:sz w:val="18"/>
                <w:szCs w:val="18"/>
                <w:lang w:val="en-AU"/>
              </w:rPr>
              <w:lastRenderedPageBreak/>
              <w:t xml:space="preserve">- encouraging Parents and caregivers to support their child’s acquisition of literacy and numeracy skills </w:t>
            </w:r>
            <w:r w:rsidRPr="00FA288E">
              <w:rPr>
                <w:rFonts w:cs="Calibri"/>
                <w:sz w:val="18"/>
                <w:szCs w:val="18"/>
                <w:u w:val="single"/>
                <w:lang w:val="en-AU"/>
              </w:rPr>
              <w:t>(</w:t>
            </w:r>
            <w:r w:rsidRPr="00FA288E">
              <w:rPr>
                <w:rFonts w:cs="Calibri"/>
                <w:sz w:val="18"/>
                <w:szCs w:val="18"/>
                <w:lang w:val="en-AU"/>
              </w:rPr>
              <w:t>also training volunteers to assist with reading clubs</w:t>
            </w:r>
            <w:r w:rsidRPr="00FA288E">
              <w:rPr>
                <w:rFonts w:cs="Calibri"/>
                <w:sz w:val="18"/>
                <w:szCs w:val="18"/>
                <w:u w:val="single"/>
                <w:lang w:val="en-AU"/>
              </w:rPr>
              <w:t>)</w:t>
            </w:r>
            <w:r w:rsidRPr="00FA288E">
              <w:rPr>
                <w:rFonts w:cs="Calibri"/>
                <w:sz w:val="18"/>
                <w:szCs w:val="18"/>
                <w:lang w:val="en-AU"/>
              </w:rPr>
              <w:t xml:space="preserve">, </w:t>
            </w:r>
          </w:p>
          <w:p w14:paraId="2FD9A812" w14:textId="77777777" w:rsidR="00643EB3" w:rsidRPr="00FA288E" w:rsidRDefault="00643EB3" w:rsidP="008D2D4A">
            <w:pPr>
              <w:rPr>
                <w:rFonts w:cs="Calibri"/>
                <w:sz w:val="18"/>
                <w:szCs w:val="18"/>
                <w:lang w:val="en-AU"/>
              </w:rPr>
            </w:pPr>
            <w:r w:rsidRPr="00FA288E">
              <w:rPr>
                <w:rFonts w:cs="Calibri"/>
                <w:sz w:val="18"/>
                <w:szCs w:val="18"/>
                <w:lang w:val="en-AU"/>
              </w:rPr>
              <w:t>- trialling e-book versions on tablets for use in schools (</w:t>
            </w:r>
            <w:proofErr w:type="spellStart"/>
            <w:r w:rsidRPr="00FA288E">
              <w:rPr>
                <w:rFonts w:cs="Calibri"/>
                <w:sz w:val="18"/>
                <w:szCs w:val="18"/>
                <w:lang w:val="en-AU"/>
              </w:rPr>
              <w:t>LfA</w:t>
            </w:r>
            <w:proofErr w:type="spellEnd"/>
            <w:r w:rsidRPr="00FA288E">
              <w:rPr>
                <w:rFonts w:cs="Calibri"/>
                <w:sz w:val="18"/>
                <w:szCs w:val="18"/>
                <w:lang w:val="en-AU"/>
              </w:rPr>
              <w:t xml:space="preserve">) </w:t>
            </w:r>
          </w:p>
          <w:p w14:paraId="4C118372" w14:textId="77777777" w:rsidR="00643EB3" w:rsidRPr="00FA288E" w:rsidRDefault="00643EB3" w:rsidP="008D2D4A">
            <w:pPr>
              <w:rPr>
                <w:rFonts w:cs="Calibri"/>
                <w:sz w:val="18"/>
                <w:szCs w:val="18"/>
                <w:lang w:val="en-AU"/>
              </w:rPr>
            </w:pPr>
          </w:p>
        </w:tc>
      </w:tr>
      <w:tr w:rsidR="0090297E" w:rsidRPr="00FA288E" w14:paraId="45DDBAC0" w14:textId="77777777" w:rsidTr="00643EB3">
        <w:tc>
          <w:tcPr>
            <w:tcW w:w="1242" w:type="dxa"/>
            <w:shd w:val="clear" w:color="auto" w:fill="262626" w:themeFill="text1" w:themeFillTint="D9"/>
          </w:tcPr>
          <w:p w14:paraId="151A28A9" w14:textId="5892A1DA" w:rsidR="0090297E" w:rsidRPr="00FA288E" w:rsidRDefault="0090297E" w:rsidP="0090297E">
            <w:pPr>
              <w:rPr>
                <w:rFonts w:cs="Calibri"/>
                <w:sz w:val="18"/>
                <w:szCs w:val="18"/>
              </w:rPr>
            </w:pPr>
            <w:r>
              <w:rPr>
                <w:rFonts w:cs="Calibri"/>
                <w:sz w:val="18"/>
                <w:szCs w:val="18"/>
              </w:rPr>
              <w:lastRenderedPageBreak/>
              <w:t>Core</w:t>
            </w:r>
          </w:p>
        </w:tc>
        <w:tc>
          <w:tcPr>
            <w:tcW w:w="4086" w:type="dxa"/>
          </w:tcPr>
          <w:p w14:paraId="27969983" w14:textId="7EE10578" w:rsidR="0090297E" w:rsidRPr="00FA288E" w:rsidRDefault="0090297E" w:rsidP="0090297E">
            <w:pPr>
              <w:rPr>
                <w:rFonts w:cs="Calibri"/>
                <w:sz w:val="18"/>
                <w:szCs w:val="18"/>
              </w:rPr>
            </w:pPr>
            <w:r w:rsidRPr="00FA288E">
              <w:rPr>
                <w:rFonts w:cs="Calibri"/>
                <w:sz w:val="18"/>
                <w:szCs w:val="18"/>
                <w:lang w:val="en-AU"/>
              </w:rPr>
              <w:t>All 3 focus heavily on the SBC and teacher professional development in literacy, numeracy, with a focus on SBC teaching guides, familiarisation of scripted lessons and use of supplementary teaching strategies (including books) to support literacy and numeracy acquisitio</w:t>
            </w:r>
            <w:r>
              <w:rPr>
                <w:rFonts w:cs="Calibri"/>
                <w:sz w:val="18"/>
                <w:szCs w:val="18"/>
                <w:lang w:val="en-AU"/>
              </w:rPr>
              <w:t>n.</w:t>
            </w:r>
          </w:p>
        </w:tc>
        <w:tc>
          <w:tcPr>
            <w:tcW w:w="4590" w:type="dxa"/>
          </w:tcPr>
          <w:p w14:paraId="578C0051" w14:textId="741C6DB3" w:rsidR="0090297E" w:rsidRPr="00FA288E" w:rsidRDefault="0090297E" w:rsidP="0090297E">
            <w:pPr>
              <w:rPr>
                <w:rFonts w:cs="Calibri"/>
                <w:sz w:val="18"/>
                <w:szCs w:val="18"/>
              </w:rPr>
            </w:pPr>
            <w:r w:rsidRPr="00FA288E">
              <w:rPr>
                <w:rFonts w:cs="Calibri"/>
                <w:sz w:val="18"/>
                <w:szCs w:val="18"/>
                <w:lang w:val="en-AU"/>
              </w:rPr>
              <w:t>All 3 focus heavily on the SBC and teacher professional development in literacy, numeracy, with a focus on SBC teaching guides, familiarisation of scripted lessons and use of supplementary teaching strategies (including books) to support literacy and numeracy acquisitio</w:t>
            </w:r>
            <w:r>
              <w:rPr>
                <w:rFonts w:cs="Calibri"/>
                <w:sz w:val="18"/>
                <w:szCs w:val="18"/>
                <w:lang w:val="en-AU"/>
              </w:rPr>
              <w:t>n.</w:t>
            </w:r>
          </w:p>
        </w:tc>
        <w:tc>
          <w:tcPr>
            <w:tcW w:w="4791" w:type="dxa"/>
          </w:tcPr>
          <w:p w14:paraId="30F51970" w14:textId="3E96DEA0" w:rsidR="0090297E" w:rsidRPr="00FA288E" w:rsidRDefault="0090297E" w:rsidP="0090297E">
            <w:pPr>
              <w:rPr>
                <w:rFonts w:cs="Calibri"/>
                <w:sz w:val="18"/>
                <w:szCs w:val="18"/>
              </w:rPr>
            </w:pPr>
            <w:r w:rsidRPr="00FA288E">
              <w:rPr>
                <w:rFonts w:cs="Calibri"/>
                <w:sz w:val="18"/>
                <w:szCs w:val="18"/>
                <w:lang w:val="en-AU"/>
              </w:rPr>
              <w:t>All 3 focus heavily on the SBC and teacher professional development in literacy, numeracy, with a focus on SBC teaching guides, familiarisation of scripted lessons and use of supplementary teaching strategies (including books) to support literacy and numeracy acquisitio</w:t>
            </w:r>
            <w:r>
              <w:rPr>
                <w:rFonts w:cs="Calibri"/>
                <w:sz w:val="18"/>
                <w:szCs w:val="18"/>
                <w:lang w:val="en-AU"/>
              </w:rPr>
              <w:t>n.</w:t>
            </w:r>
          </w:p>
        </w:tc>
      </w:tr>
      <w:tr w:rsidR="0090297E" w:rsidRPr="00FA288E" w14:paraId="14510FBB" w14:textId="77777777" w:rsidTr="00643EB3">
        <w:tc>
          <w:tcPr>
            <w:tcW w:w="1242" w:type="dxa"/>
            <w:shd w:val="clear" w:color="auto" w:fill="262626" w:themeFill="text1" w:themeFillTint="D9"/>
          </w:tcPr>
          <w:p w14:paraId="43407E06" w14:textId="77777777" w:rsidR="0090297E" w:rsidRPr="00FA288E" w:rsidRDefault="0090297E" w:rsidP="0090297E">
            <w:pPr>
              <w:jc w:val="left"/>
              <w:rPr>
                <w:rFonts w:cs="Calibri"/>
                <w:sz w:val="18"/>
                <w:szCs w:val="18"/>
                <w:lang w:val="en-AU"/>
              </w:rPr>
            </w:pPr>
            <w:r w:rsidRPr="00FA288E">
              <w:rPr>
                <w:rFonts w:cs="Calibri"/>
                <w:sz w:val="18"/>
                <w:szCs w:val="18"/>
                <w:lang w:val="en-AU"/>
              </w:rPr>
              <w:t xml:space="preserve">Key related Targets </w:t>
            </w:r>
          </w:p>
        </w:tc>
        <w:tc>
          <w:tcPr>
            <w:tcW w:w="4086" w:type="dxa"/>
          </w:tcPr>
          <w:p w14:paraId="1C2F92AF" w14:textId="77777777" w:rsidR="0090297E" w:rsidRPr="00FA288E" w:rsidRDefault="0090297E" w:rsidP="0090297E">
            <w:pPr>
              <w:rPr>
                <w:rFonts w:cs="Calibri"/>
                <w:sz w:val="18"/>
                <w:szCs w:val="18"/>
                <w:lang w:val="en-AU"/>
              </w:rPr>
            </w:pPr>
            <w:r w:rsidRPr="00FA288E">
              <w:rPr>
                <w:rFonts w:cs="Calibri"/>
                <w:sz w:val="18"/>
                <w:szCs w:val="18"/>
                <w:lang w:val="en-AU"/>
              </w:rPr>
              <w:t>- 423 schools trained, 188 establish reading corners</w:t>
            </w:r>
          </w:p>
          <w:p w14:paraId="681B09A1" w14:textId="77777777" w:rsidR="0090297E" w:rsidRPr="00FA288E" w:rsidRDefault="0090297E" w:rsidP="0090297E">
            <w:pPr>
              <w:rPr>
                <w:rFonts w:cs="Calibri"/>
                <w:sz w:val="18"/>
                <w:szCs w:val="18"/>
                <w:lang w:val="en-AU"/>
              </w:rPr>
            </w:pPr>
            <w:r w:rsidRPr="00FA288E">
              <w:rPr>
                <w:rFonts w:cs="Calibri"/>
                <w:sz w:val="18"/>
                <w:szCs w:val="18"/>
                <w:lang w:val="en-AU"/>
              </w:rPr>
              <w:t xml:space="preserve">- 55,000 </w:t>
            </w:r>
            <w:proofErr w:type="spellStart"/>
            <w:r w:rsidRPr="00FA288E">
              <w:rPr>
                <w:rFonts w:cs="Calibri"/>
                <w:sz w:val="18"/>
                <w:szCs w:val="18"/>
                <w:lang w:val="en-AU"/>
              </w:rPr>
              <w:t>LfA</w:t>
            </w:r>
            <w:proofErr w:type="spellEnd"/>
            <w:r w:rsidRPr="00FA288E">
              <w:rPr>
                <w:rFonts w:cs="Calibri"/>
                <w:sz w:val="18"/>
                <w:szCs w:val="18"/>
                <w:lang w:val="en-AU"/>
              </w:rPr>
              <w:t xml:space="preserve"> books distributed, with mentoring sessions for teachers</w:t>
            </w:r>
          </w:p>
          <w:p w14:paraId="704D5F52" w14:textId="77777777" w:rsidR="0090297E" w:rsidRPr="00FA288E" w:rsidRDefault="0090297E" w:rsidP="0090297E">
            <w:pPr>
              <w:rPr>
                <w:rFonts w:cs="Calibri"/>
                <w:sz w:val="18"/>
                <w:szCs w:val="18"/>
                <w:lang w:val="en-AU"/>
              </w:rPr>
            </w:pPr>
            <w:r w:rsidRPr="00FA288E">
              <w:rPr>
                <w:rFonts w:cs="Calibri"/>
                <w:sz w:val="18"/>
                <w:szCs w:val="18"/>
                <w:lang w:val="en-AU"/>
              </w:rPr>
              <w:t>- 941Teachers in-service – SBC English and Maths with reading resources on SD cards</w:t>
            </w:r>
          </w:p>
          <w:p w14:paraId="634EB3F7" w14:textId="77777777" w:rsidR="0090297E" w:rsidRPr="00FA288E" w:rsidRDefault="0090297E" w:rsidP="0090297E">
            <w:pPr>
              <w:rPr>
                <w:rFonts w:cs="Calibri"/>
                <w:sz w:val="18"/>
                <w:szCs w:val="18"/>
                <w:lang w:val="en-AU"/>
              </w:rPr>
            </w:pPr>
            <w:r w:rsidRPr="00FA288E">
              <w:rPr>
                <w:rFonts w:cs="Calibri"/>
                <w:sz w:val="18"/>
                <w:szCs w:val="18"/>
                <w:lang w:val="en-AU"/>
              </w:rPr>
              <w:t xml:space="preserve">- 12 LLGs participate in Community Leadership Program </w:t>
            </w:r>
          </w:p>
          <w:p w14:paraId="5D5AE937" w14:textId="77777777" w:rsidR="0090297E" w:rsidRPr="00FA288E" w:rsidRDefault="0090297E" w:rsidP="0090297E">
            <w:pPr>
              <w:rPr>
                <w:rFonts w:cs="Calibri"/>
                <w:sz w:val="18"/>
                <w:szCs w:val="18"/>
                <w:lang w:val="en-AU"/>
              </w:rPr>
            </w:pPr>
            <w:r w:rsidRPr="00FA288E">
              <w:rPr>
                <w:rFonts w:cs="Calibri"/>
                <w:sz w:val="18"/>
                <w:szCs w:val="18"/>
                <w:lang w:val="en-AU"/>
              </w:rPr>
              <w:t>- Adult literacy classes to support child reading (1 province)</w:t>
            </w:r>
          </w:p>
          <w:p w14:paraId="03B1BEB2" w14:textId="77777777" w:rsidR="0090297E" w:rsidRPr="00FA288E" w:rsidRDefault="0090297E" w:rsidP="0090297E">
            <w:pPr>
              <w:rPr>
                <w:rFonts w:cs="Calibri"/>
                <w:sz w:val="18"/>
                <w:szCs w:val="18"/>
                <w:lang w:val="en-AU"/>
              </w:rPr>
            </w:pPr>
            <w:r w:rsidRPr="00FA288E">
              <w:rPr>
                <w:rFonts w:cs="Calibri"/>
                <w:sz w:val="18"/>
                <w:szCs w:val="18"/>
                <w:lang w:val="en-AU"/>
              </w:rPr>
              <w:t>- 25 ‘Reading events’ held</w:t>
            </w:r>
          </w:p>
          <w:p w14:paraId="54ED72BA" w14:textId="77777777" w:rsidR="0090297E" w:rsidRPr="00FA288E" w:rsidRDefault="0090297E" w:rsidP="0090297E">
            <w:pPr>
              <w:rPr>
                <w:rFonts w:cs="Calibri"/>
                <w:sz w:val="18"/>
                <w:szCs w:val="18"/>
                <w:lang w:val="en-AU"/>
              </w:rPr>
            </w:pPr>
            <w:r w:rsidRPr="00FA288E">
              <w:rPr>
                <w:rFonts w:cs="Calibri"/>
                <w:sz w:val="18"/>
                <w:szCs w:val="18"/>
                <w:lang w:val="en-AU"/>
              </w:rPr>
              <w:t xml:space="preserve">- 30% of children using school libraries / attending camps/events (39,000 children) </w:t>
            </w:r>
          </w:p>
        </w:tc>
        <w:tc>
          <w:tcPr>
            <w:tcW w:w="4590" w:type="dxa"/>
          </w:tcPr>
          <w:p w14:paraId="34572F06" w14:textId="77777777" w:rsidR="0090297E" w:rsidRPr="00FA288E" w:rsidRDefault="0090297E" w:rsidP="0090297E">
            <w:pPr>
              <w:rPr>
                <w:rFonts w:cs="Calibri"/>
                <w:sz w:val="18"/>
                <w:szCs w:val="18"/>
                <w:lang w:val="en-AU"/>
              </w:rPr>
            </w:pPr>
            <w:r w:rsidRPr="00FA288E">
              <w:rPr>
                <w:rFonts w:cs="Calibri"/>
                <w:sz w:val="18"/>
                <w:szCs w:val="18"/>
                <w:lang w:val="en-AU"/>
              </w:rPr>
              <w:t xml:space="preserve">- 650 schools / reading clubs </w:t>
            </w:r>
          </w:p>
          <w:p w14:paraId="0FB3D0C6" w14:textId="77777777" w:rsidR="0090297E" w:rsidRPr="00FA288E" w:rsidRDefault="0090297E" w:rsidP="0090297E">
            <w:pPr>
              <w:rPr>
                <w:rFonts w:cs="Calibri"/>
                <w:sz w:val="18"/>
                <w:szCs w:val="18"/>
                <w:lang w:val="en-AU"/>
              </w:rPr>
            </w:pPr>
            <w:r w:rsidRPr="00FA288E">
              <w:rPr>
                <w:rFonts w:cs="Calibri"/>
                <w:sz w:val="18"/>
                <w:szCs w:val="18"/>
                <w:lang w:val="en-AU"/>
              </w:rPr>
              <w:t xml:space="preserve">- 30 schools trialling ‘Education for Life’ Kits </w:t>
            </w:r>
          </w:p>
          <w:p w14:paraId="005CFC5F" w14:textId="77777777" w:rsidR="0090297E" w:rsidRPr="00FA288E" w:rsidRDefault="0090297E" w:rsidP="0090297E">
            <w:pPr>
              <w:rPr>
                <w:rFonts w:cs="Calibri"/>
                <w:sz w:val="18"/>
                <w:szCs w:val="18"/>
                <w:lang w:val="en-AU"/>
              </w:rPr>
            </w:pPr>
            <w:r w:rsidRPr="00FA288E">
              <w:rPr>
                <w:rFonts w:cs="Calibri"/>
                <w:sz w:val="18"/>
                <w:szCs w:val="18"/>
                <w:lang w:val="en-AU"/>
              </w:rPr>
              <w:t>- 834 CLVs trained and equipped -with book kits of 100 books</w:t>
            </w:r>
          </w:p>
          <w:p w14:paraId="0A4A8415" w14:textId="77777777" w:rsidR="0090297E" w:rsidRPr="00FA288E" w:rsidRDefault="0090297E" w:rsidP="0090297E">
            <w:pPr>
              <w:rPr>
                <w:rFonts w:cs="Calibri"/>
                <w:sz w:val="18"/>
                <w:szCs w:val="18"/>
                <w:lang w:val="en-AU"/>
              </w:rPr>
            </w:pPr>
            <w:r w:rsidRPr="00FA288E">
              <w:rPr>
                <w:rFonts w:cs="Calibri"/>
                <w:sz w:val="18"/>
                <w:szCs w:val="18"/>
                <w:lang w:val="en-AU"/>
              </w:rPr>
              <w:t>- 11,024 parents/caregivers trained in reading</w:t>
            </w:r>
          </w:p>
          <w:p w14:paraId="67B9DC9D" w14:textId="77777777" w:rsidR="0090297E" w:rsidRPr="00FA288E" w:rsidRDefault="0090297E" w:rsidP="0090297E">
            <w:pPr>
              <w:rPr>
                <w:rFonts w:cs="Calibri"/>
                <w:sz w:val="18"/>
                <w:szCs w:val="18"/>
                <w:lang w:val="en-AU"/>
              </w:rPr>
            </w:pPr>
            <w:r w:rsidRPr="00FA288E">
              <w:rPr>
                <w:rFonts w:cs="Calibri"/>
                <w:sz w:val="18"/>
                <w:szCs w:val="18"/>
                <w:lang w:val="en-AU"/>
              </w:rPr>
              <w:t>(84,200 children access improved programs)</w:t>
            </w:r>
          </w:p>
          <w:p w14:paraId="60516A16" w14:textId="77777777" w:rsidR="0090297E" w:rsidRPr="00FA288E" w:rsidRDefault="0090297E" w:rsidP="0090297E">
            <w:pPr>
              <w:rPr>
                <w:rFonts w:cs="Calibri"/>
                <w:sz w:val="18"/>
                <w:szCs w:val="18"/>
                <w:lang w:val="en-AU"/>
              </w:rPr>
            </w:pPr>
          </w:p>
        </w:tc>
        <w:tc>
          <w:tcPr>
            <w:tcW w:w="4791" w:type="dxa"/>
          </w:tcPr>
          <w:p w14:paraId="2E5FB099" w14:textId="77777777" w:rsidR="0090297E" w:rsidRPr="00FA288E" w:rsidRDefault="0090297E" w:rsidP="0090297E">
            <w:pPr>
              <w:rPr>
                <w:rFonts w:cs="Calibri"/>
                <w:sz w:val="18"/>
                <w:szCs w:val="18"/>
                <w:lang w:val="en-AU"/>
              </w:rPr>
            </w:pPr>
            <w:r w:rsidRPr="00FA288E">
              <w:rPr>
                <w:rFonts w:cs="Calibri"/>
                <w:sz w:val="18"/>
                <w:szCs w:val="18"/>
                <w:lang w:val="en-AU"/>
              </w:rPr>
              <w:t xml:space="preserve">- 300 Schools/ communities </w:t>
            </w:r>
          </w:p>
          <w:p w14:paraId="2806B8EC" w14:textId="77777777" w:rsidR="0090297E" w:rsidRPr="00FA288E" w:rsidRDefault="0090297E" w:rsidP="0090297E">
            <w:pPr>
              <w:rPr>
                <w:rFonts w:cs="Calibri"/>
                <w:sz w:val="18"/>
                <w:szCs w:val="18"/>
                <w:lang w:val="en-AU"/>
              </w:rPr>
            </w:pPr>
            <w:r w:rsidRPr="00FA288E">
              <w:rPr>
                <w:rFonts w:cs="Calibri"/>
                <w:sz w:val="18"/>
                <w:szCs w:val="18"/>
                <w:lang w:val="en-AU"/>
              </w:rPr>
              <w:t>- 500 culturally relevant books written and printed</w:t>
            </w:r>
          </w:p>
          <w:p w14:paraId="24F0F952" w14:textId="77777777" w:rsidR="0090297E" w:rsidRPr="00FA288E" w:rsidRDefault="0090297E" w:rsidP="0090297E">
            <w:pPr>
              <w:rPr>
                <w:rFonts w:cs="Calibri"/>
                <w:sz w:val="18"/>
                <w:szCs w:val="18"/>
                <w:lang w:val="en-AU"/>
              </w:rPr>
            </w:pPr>
            <w:r w:rsidRPr="00FA288E">
              <w:rPr>
                <w:rFonts w:cs="Calibri"/>
                <w:sz w:val="18"/>
                <w:szCs w:val="18"/>
                <w:lang w:val="en-AU"/>
              </w:rPr>
              <w:t xml:space="preserve">- 12 schools trialling 40 tablets each, with 500 e-books </w:t>
            </w:r>
          </w:p>
          <w:p w14:paraId="4B99927C" w14:textId="77777777" w:rsidR="0090297E" w:rsidRPr="00FA288E" w:rsidRDefault="0090297E" w:rsidP="0090297E">
            <w:pPr>
              <w:rPr>
                <w:rFonts w:cs="Calibri"/>
                <w:sz w:val="18"/>
                <w:szCs w:val="18"/>
                <w:lang w:val="en-AU"/>
              </w:rPr>
            </w:pPr>
            <w:r w:rsidRPr="00FA288E">
              <w:rPr>
                <w:rFonts w:cs="Calibri"/>
                <w:sz w:val="18"/>
                <w:szCs w:val="18"/>
                <w:lang w:val="en-AU"/>
              </w:rPr>
              <w:t>- 100% children reading e-books for 3 hours/week</w:t>
            </w:r>
          </w:p>
          <w:p w14:paraId="5D9574C3" w14:textId="77777777" w:rsidR="0090297E" w:rsidRPr="00FA288E" w:rsidRDefault="0090297E" w:rsidP="0090297E">
            <w:pPr>
              <w:rPr>
                <w:rFonts w:cs="Calibri"/>
                <w:sz w:val="18"/>
                <w:szCs w:val="18"/>
                <w:lang w:val="en-AU"/>
              </w:rPr>
            </w:pPr>
            <w:r w:rsidRPr="00FA288E">
              <w:rPr>
                <w:rFonts w:cs="Calibri"/>
                <w:sz w:val="18"/>
                <w:szCs w:val="18"/>
                <w:lang w:val="en-AU"/>
              </w:rPr>
              <w:t>- 500 teachers receive resource kits (print versions)</w:t>
            </w:r>
          </w:p>
          <w:p w14:paraId="49AD5540" w14:textId="77777777" w:rsidR="0090297E" w:rsidRPr="00FA288E" w:rsidRDefault="0090297E" w:rsidP="0090297E">
            <w:pPr>
              <w:rPr>
                <w:rFonts w:cs="Calibri"/>
                <w:sz w:val="18"/>
                <w:szCs w:val="18"/>
                <w:lang w:val="en-AU"/>
              </w:rPr>
            </w:pPr>
            <w:r w:rsidRPr="00FA288E">
              <w:rPr>
                <w:rFonts w:cs="Calibri"/>
                <w:sz w:val="18"/>
                <w:szCs w:val="18"/>
                <w:lang w:val="en-AU"/>
              </w:rPr>
              <w:t>- 4,800 parents/ caregivers trained in reading skills</w:t>
            </w:r>
          </w:p>
          <w:p w14:paraId="19AC4E1F" w14:textId="77777777" w:rsidR="0090297E" w:rsidRPr="00FA288E" w:rsidRDefault="0090297E" w:rsidP="0090297E">
            <w:pPr>
              <w:rPr>
                <w:rFonts w:cs="Calibri"/>
                <w:sz w:val="18"/>
                <w:szCs w:val="18"/>
                <w:lang w:val="en-AU"/>
              </w:rPr>
            </w:pPr>
            <w:r w:rsidRPr="00FA288E">
              <w:rPr>
                <w:rFonts w:cs="Calibri"/>
                <w:sz w:val="18"/>
                <w:szCs w:val="18"/>
                <w:lang w:val="en-AU"/>
              </w:rPr>
              <w:t>- (20,000 children – 6,000 attending reading clubs)</w:t>
            </w:r>
          </w:p>
          <w:p w14:paraId="023DB4E3" w14:textId="77777777" w:rsidR="0090297E" w:rsidRPr="00FA288E" w:rsidRDefault="0090297E" w:rsidP="0090297E">
            <w:pPr>
              <w:rPr>
                <w:rFonts w:cs="Calibri"/>
                <w:sz w:val="18"/>
                <w:szCs w:val="18"/>
                <w:lang w:val="en-AU"/>
              </w:rPr>
            </w:pPr>
          </w:p>
        </w:tc>
      </w:tr>
      <w:tr w:rsidR="0090297E" w:rsidRPr="00FA288E" w14:paraId="5784B204" w14:textId="77777777" w:rsidTr="00643EB3">
        <w:tc>
          <w:tcPr>
            <w:tcW w:w="1242" w:type="dxa"/>
            <w:shd w:val="clear" w:color="auto" w:fill="262626" w:themeFill="text1" w:themeFillTint="D9"/>
          </w:tcPr>
          <w:p w14:paraId="04D5334F" w14:textId="77777777" w:rsidR="0090297E" w:rsidRPr="00FA288E" w:rsidRDefault="0090297E" w:rsidP="0090297E">
            <w:pPr>
              <w:jc w:val="left"/>
              <w:rPr>
                <w:rFonts w:cs="Calibri"/>
                <w:sz w:val="18"/>
                <w:szCs w:val="18"/>
                <w:lang w:val="en-AU"/>
              </w:rPr>
            </w:pPr>
            <w:r w:rsidRPr="00FA288E">
              <w:rPr>
                <w:rFonts w:cs="Calibri"/>
                <w:sz w:val="18"/>
                <w:szCs w:val="18"/>
                <w:lang w:val="en-AU"/>
              </w:rPr>
              <w:t>Progress Reported</w:t>
            </w:r>
          </w:p>
        </w:tc>
        <w:tc>
          <w:tcPr>
            <w:tcW w:w="4086" w:type="dxa"/>
          </w:tcPr>
          <w:p w14:paraId="021E14ED" w14:textId="77777777" w:rsidR="0090297E" w:rsidRPr="00FA288E" w:rsidRDefault="0090297E" w:rsidP="0090297E">
            <w:pPr>
              <w:rPr>
                <w:rFonts w:cs="Calibri"/>
                <w:sz w:val="18"/>
                <w:szCs w:val="18"/>
                <w:lang w:val="en-AU"/>
              </w:rPr>
            </w:pPr>
            <w:r w:rsidRPr="00FA288E">
              <w:rPr>
                <w:rFonts w:cs="Calibri"/>
                <w:sz w:val="18"/>
                <w:szCs w:val="18"/>
                <w:lang w:val="en-AU"/>
              </w:rPr>
              <w:t>- 1,313 teachers (423 schools) trained in SBC (including setting up ‘reading corners’)</w:t>
            </w:r>
          </w:p>
          <w:p w14:paraId="5715768D" w14:textId="77777777" w:rsidR="0090297E" w:rsidRPr="00FA288E" w:rsidRDefault="0090297E" w:rsidP="0090297E">
            <w:pPr>
              <w:rPr>
                <w:rFonts w:cs="Calibri"/>
                <w:sz w:val="18"/>
                <w:szCs w:val="18"/>
                <w:lang w:val="en-AU"/>
              </w:rPr>
            </w:pPr>
            <w:r w:rsidRPr="00FA288E">
              <w:rPr>
                <w:rFonts w:cs="Calibri"/>
                <w:sz w:val="18"/>
                <w:szCs w:val="18"/>
                <w:lang w:val="en-AU"/>
              </w:rPr>
              <w:t>- Book distribution and mentoring commenced in October 2019</w:t>
            </w:r>
          </w:p>
          <w:p w14:paraId="6D71F0BD" w14:textId="77777777" w:rsidR="0090297E" w:rsidRPr="00FA288E" w:rsidRDefault="0090297E" w:rsidP="0090297E">
            <w:pPr>
              <w:rPr>
                <w:rFonts w:cs="Calibri"/>
                <w:sz w:val="18"/>
                <w:szCs w:val="18"/>
                <w:lang w:val="en-AU"/>
              </w:rPr>
            </w:pPr>
            <w:r w:rsidRPr="00FA288E">
              <w:rPr>
                <w:rFonts w:cs="Calibri"/>
                <w:sz w:val="18"/>
                <w:szCs w:val="18"/>
                <w:lang w:val="en-AU"/>
              </w:rPr>
              <w:t>- 20% of 423 schools setting up ‘reading corners’</w:t>
            </w:r>
          </w:p>
          <w:p w14:paraId="472D7A9F" w14:textId="77777777" w:rsidR="0090297E" w:rsidRPr="00FA288E" w:rsidRDefault="0090297E" w:rsidP="0090297E">
            <w:pPr>
              <w:rPr>
                <w:rFonts w:cs="Calibri"/>
                <w:sz w:val="18"/>
                <w:szCs w:val="18"/>
                <w:lang w:val="en-AU"/>
              </w:rPr>
            </w:pPr>
            <w:r w:rsidRPr="00FA288E">
              <w:rPr>
                <w:rFonts w:cs="Calibri"/>
                <w:sz w:val="18"/>
                <w:szCs w:val="18"/>
                <w:lang w:val="en-AU"/>
              </w:rPr>
              <w:t>- SBC, including songs and reading materials distributed on SD cards to all teachers trained</w:t>
            </w:r>
          </w:p>
          <w:p w14:paraId="36C5F842" w14:textId="77777777" w:rsidR="0090297E" w:rsidRPr="00FA288E" w:rsidRDefault="0090297E" w:rsidP="0090297E">
            <w:pPr>
              <w:rPr>
                <w:rFonts w:cs="Calibri"/>
                <w:sz w:val="18"/>
                <w:szCs w:val="18"/>
                <w:lang w:val="en-AU"/>
              </w:rPr>
            </w:pPr>
            <w:r w:rsidRPr="00FA288E">
              <w:rPr>
                <w:rFonts w:cs="Calibri"/>
                <w:sz w:val="18"/>
                <w:szCs w:val="18"/>
                <w:lang w:val="en-AU"/>
              </w:rPr>
              <w:t>- 329 graduated from basic adult literacy, with 667 more enrolled (1 province)</w:t>
            </w:r>
          </w:p>
        </w:tc>
        <w:tc>
          <w:tcPr>
            <w:tcW w:w="4590" w:type="dxa"/>
          </w:tcPr>
          <w:p w14:paraId="63D1D54A" w14:textId="77777777" w:rsidR="0090297E" w:rsidRPr="00FA288E" w:rsidRDefault="0090297E" w:rsidP="0090297E">
            <w:pPr>
              <w:rPr>
                <w:rFonts w:cs="Calibri"/>
                <w:sz w:val="18"/>
                <w:szCs w:val="18"/>
                <w:lang w:val="en-AU"/>
              </w:rPr>
            </w:pPr>
            <w:r w:rsidRPr="00FA288E">
              <w:rPr>
                <w:rFonts w:cs="Calibri"/>
                <w:sz w:val="18"/>
                <w:szCs w:val="18"/>
                <w:lang w:val="en-AU"/>
              </w:rPr>
              <w:t>- 30 schools trialling ‘Education for Life’ Kits ($1,000 per kit)</w:t>
            </w:r>
          </w:p>
          <w:p w14:paraId="03F06582" w14:textId="77777777" w:rsidR="0090297E" w:rsidRPr="00FA288E" w:rsidRDefault="0090297E" w:rsidP="0090297E">
            <w:pPr>
              <w:rPr>
                <w:rFonts w:cs="Calibri"/>
                <w:sz w:val="18"/>
                <w:szCs w:val="18"/>
                <w:lang w:val="en-AU"/>
              </w:rPr>
            </w:pPr>
            <w:r w:rsidRPr="00FA288E">
              <w:rPr>
                <w:rFonts w:cs="Calibri"/>
                <w:sz w:val="18"/>
                <w:szCs w:val="18"/>
                <w:lang w:val="en-AU"/>
              </w:rPr>
              <w:t>- 884 CLVs trained</w:t>
            </w:r>
          </w:p>
          <w:p w14:paraId="3872D5BD" w14:textId="77777777" w:rsidR="0090297E" w:rsidRPr="00FA288E" w:rsidRDefault="0090297E" w:rsidP="0090297E">
            <w:pPr>
              <w:rPr>
                <w:rFonts w:cs="Calibri"/>
                <w:sz w:val="18"/>
                <w:szCs w:val="18"/>
                <w:lang w:val="en-AU"/>
              </w:rPr>
            </w:pPr>
            <w:r w:rsidRPr="00FA288E">
              <w:rPr>
                <w:rFonts w:cs="Calibri"/>
                <w:sz w:val="18"/>
                <w:szCs w:val="18"/>
                <w:lang w:val="en-AU"/>
              </w:rPr>
              <w:t>- 537 reading clubs established. 8,320 children attended (commutative attendance N/A)</w:t>
            </w:r>
          </w:p>
          <w:p w14:paraId="287E7F44" w14:textId="77777777" w:rsidR="0090297E" w:rsidRPr="00FA288E" w:rsidRDefault="0090297E" w:rsidP="0090297E">
            <w:pPr>
              <w:rPr>
                <w:rFonts w:cs="Calibri"/>
                <w:sz w:val="18"/>
                <w:szCs w:val="18"/>
                <w:lang w:val="en-AU"/>
              </w:rPr>
            </w:pPr>
            <w:r w:rsidRPr="00FA288E">
              <w:rPr>
                <w:rFonts w:cs="Calibri"/>
                <w:sz w:val="18"/>
                <w:szCs w:val="18"/>
                <w:lang w:val="en-AU"/>
              </w:rPr>
              <w:t>- 3,024 parents/caregivers trained in reading; 4,480 attend caregiver workshops</w:t>
            </w:r>
          </w:p>
          <w:p w14:paraId="17E511BF" w14:textId="77777777" w:rsidR="0090297E" w:rsidRPr="00FA288E" w:rsidRDefault="0090297E" w:rsidP="0090297E">
            <w:pPr>
              <w:rPr>
                <w:rFonts w:cs="Calibri"/>
                <w:sz w:val="18"/>
                <w:szCs w:val="18"/>
                <w:lang w:val="en-AU"/>
              </w:rPr>
            </w:pPr>
            <w:r w:rsidRPr="00FA288E">
              <w:rPr>
                <w:rFonts w:cs="Calibri"/>
                <w:sz w:val="18"/>
                <w:szCs w:val="18"/>
                <w:lang w:val="en-AU"/>
              </w:rPr>
              <w:t>- 640 story-time sessions held. 8,960 children attended</w:t>
            </w:r>
          </w:p>
          <w:p w14:paraId="49E68F26" w14:textId="77777777" w:rsidR="0090297E" w:rsidRPr="00FA288E" w:rsidRDefault="0090297E" w:rsidP="0090297E">
            <w:pPr>
              <w:rPr>
                <w:rFonts w:cs="Calibri"/>
                <w:sz w:val="18"/>
                <w:szCs w:val="18"/>
                <w:lang w:val="en-AU"/>
              </w:rPr>
            </w:pPr>
            <w:r w:rsidRPr="00FA288E">
              <w:rPr>
                <w:rFonts w:cs="Calibri"/>
                <w:sz w:val="18"/>
                <w:szCs w:val="18"/>
                <w:lang w:val="en-AU"/>
              </w:rPr>
              <w:t>- 966 Bloom reader downloads captured (Bluetooth transfer data unknown)</w:t>
            </w:r>
          </w:p>
          <w:p w14:paraId="2D0E7893" w14:textId="77777777" w:rsidR="0090297E" w:rsidRPr="00FA288E" w:rsidRDefault="0090297E" w:rsidP="0090297E">
            <w:pPr>
              <w:rPr>
                <w:rFonts w:cs="Calibri"/>
                <w:sz w:val="18"/>
                <w:szCs w:val="18"/>
                <w:lang w:val="en-AU"/>
              </w:rPr>
            </w:pPr>
          </w:p>
        </w:tc>
        <w:tc>
          <w:tcPr>
            <w:tcW w:w="4791" w:type="dxa"/>
          </w:tcPr>
          <w:p w14:paraId="1F347C17" w14:textId="77777777" w:rsidR="0090297E" w:rsidRPr="00FA288E" w:rsidRDefault="0090297E" w:rsidP="0090297E">
            <w:pPr>
              <w:rPr>
                <w:rFonts w:cs="Calibri"/>
                <w:sz w:val="18"/>
                <w:szCs w:val="18"/>
                <w:lang w:val="en-AU"/>
              </w:rPr>
            </w:pPr>
            <w:r w:rsidRPr="00FA288E">
              <w:rPr>
                <w:rFonts w:cs="Calibri"/>
                <w:sz w:val="18"/>
                <w:szCs w:val="18"/>
                <w:lang w:val="en-AU"/>
              </w:rPr>
              <w:t>- 500 culturally relevant books written and printed</w:t>
            </w:r>
          </w:p>
          <w:p w14:paraId="3B894C48" w14:textId="77777777" w:rsidR="0090297E" w:rsidRPr="00FA288E" w:rsidRDefault="0090297E" w:rsidP="0090297E">
            <w:pPr>
              <w:rPr>
                <w:rFonts w:cs="Calibri"/>
                <w:sz w:val="18"/>
                <w:szCs w:val="18"/>
                <w:lang w:val="en-AU"/>
              </w:rPr>
            </w:pPr>
            <w:r w:rsidRPr="00FA288E">
              <w:rPr>
                <w:rFonts w:cs="Calibri"/>
                <w:sz w:val="18"/>
                <w:szCs w:val="18"/>
                <w:lang w:val="en-AU"/>
              </w:rPr>
              <w:t>- 12 schools trialling 40 tablets, 500 e-books ($7,700 per kit)</w:t>
            </w:r>
          </w:p>
          <w:p w14:paraId="1D403C67" w14:textId="77777777" w:rsidR="0090297E" w:rsidRPr="00FA288E" w:rsidRDefault="0090297E" w:rsidP="0090297E">
            <w:pPr>
              <w:rPr>
                <w:rFonts w:cs="Calibri"/>
                <w:sz w:val="18"/>
                <w:szCs w:val="18"/>
                <w:lang w:val="en-AU"/>
              </w:rPr>
            </w:pPr>
            <w:r w:rsidRPr="00FA288E">
              <w:rPr>
                <w:rFonts w:cs="Calibri"/>
                <w:sz w:val="18"/>
                <w:szCs w:val="18"/>
                <w:lang w:val="en-AU"/>
              </w:rPr>
              <w:t>- 100% of Children in 6 schools reading books</w:t>
            </w:r>
          </w:p>
          <w:p w14:paraId="4459F184" w14:textId="77777777" w:rsidR="0090297E" w:rsidRPr="00FA288E" w:rsidRDefault="0090297E" w:rsidP="0090297E">
            <w:pPr>
              <w:rPr>
                <w:rFonts w:cs="Calibri"/>
                <w:sz w:val="18"/>
                <w:szCs w:val="18"/>
                <w:lang w:val="en-AU"/>
              </w:rPr>
            </w:pPr>
            <w:r w:rsidRPr="00FA288E">
              <w:rPr>
                <w:rFonts w:cs="Calibri"/>
                <w:sz w:val="18"/>
                <w:szCs w:val="18"/>
                <w:lang w:val="en-AU"/>
              </w:rPr>
              <w:t>- 363 teachers received resource kits (June 2019)</w:t>
            </w:r>
          </w:p>
          <w:p w14:paraId="49933456" w14:textId="77777777" w:rsidR="0090297E" w:rsidRPr="00FA288E" w:rsidRDefault="0090297E" w:rsidP="0090297E">
            <w:pPr>
              <w:rPr>
                <w:rFonts w:cs="Calibri"/>
                <w:sz w:val="18"/>
                <w:szCs w:val="18"/>
                <w:lang w:val="en-AU"/>
              </w:rPr>
            </w:pPr>
            <w:r w:rsidRPr="00FA288E">
              <w:rPr>
                <w:rFonts w:cs="Calibri"/>
                <w:sz w:val="18"/>
                <w:szCs w:val="18"/>
                <w:lang w:val="en-AU"/>
              </w:rPr>
              <w:t>- 275 Reading club volunteers trained</w:t>
            </w:r>
          </w:p>
          <w:p w14:paraId="2F4BA9D9" w14:textId="77777777" w:rsidR="0090297E" w:rsidRPr="00FA288E" w:rsidRDefault="0090297E" w:rsidP="0090297E">
            <w:pPr>
              <w:rPr>
                <w:rFonts w:cs="Calibri"/>
                <w:sz w:val="18"/>
                <w:szCs w:val="18"/>
                <w:lang w:val="en-AU"/>
              </w:rPr>
            </w:pPr>
            <w:r w:rsidRPr="00FA288E">
              <w:rPr>
                <w:rFonts w:cs="Calibri"/>
                <w:sz w:val="18"/>
                <w:szCs w:val="18"/>
                <w:lang w:val="en-AU"/>
              </w:rPr>
              <w:t>- 116 Reading clubs established and equipped</w:t>
            </w:r>
          </w:p>
          <w:p w14:paraId="04BFC52C" w14:textId="77777777" w:rsidR="0090297E" w:rsidRPr="00FA288E" w:rsidRDefault="0090297E" w:rsidP="0090297E">
            <w:pPr>
              <w:rPr>
                <w:rFonts w:cs="Calibri"/>
                <w:sz w:val="18"/>
                <w:szCs w:val="18"/>
                <w:lang w:val="en-AU"/>
              </w:rPr>
            </w:pPr>
            <w:r w:rsidRPr="00FA288E">
              <w:rPr>
                <w:rFonts w:cs="Calibri"/>
                <w:sz w:val="18"/>
                <w:szCs w:val="18"/>
                <w:lang w:val="en-AU"/>
              </w:rPr>
              <w:t>- 25,060 books distributed to reading clubs</w:t>
            </w:r>
          </w:p>
          <w:p w14:paraId="4BFBEC92" w14:textId="77777777" w:rsidR="0090297E" w:rsidRPr="00FA288E" w:rsidRDefault="0090297E" w:rsidP="0090297E">
            <w:pPr>
              <w:rPr>
                <w:rFonts w:cs="Calibri"/>
                <w:sz w:val="18"/>
                <w:szCs w:val="18"/>
                <w:lang w:val="en-AU"/>
              </w:rPr>
            </w:pPr>
            <w:r w:rsidRPr="00FA288E">
              <w:rPr>
                <w:rFonts w:cs="Calibri"/>
                <w:sz w:val="18"/>
                <w:szCs w:val="18"/>
                <w:lang w:val="en-AU"/>
              </w:rPr>
              <w:t>- 5,582 parents/caregivers trained in reading skills</w:t>
            </w:r>
          </w:p>
          <w:p w14:paraId="1AAF70BD" w14:textId="77777777" w:rsidR="0090297E" w:rsidRPr="00FA288E" w:rsidRDefault="0090297E" w:rsidP="0090297E">
            <w:pPr>
              <w:rPr>
                <w:rFonts w:cs="Calibri"/>
                <w:sz w:val="18"/>
                <w:szCs w:val="18"/>
                <w:lang w:val="en-AU"/>
              </w:rPr>
            </w:pPr>
            <w:r w:rsidRPr="00FA288E">
              <w:rPr>
                <w:rFonts w:cs="Calibri"/>
                <w:sz w:val="18"/>
                <w:szCs w:val="18"/>
                <w:lang w:val="en-AU"/>
              </w:rPr>
              <w:t>- 3,443 attendees at reading clubs (54% girls)</w:t>
            </w:r>
          </w:p>
        </w:tc>
      </w:tr>
    </w:tbl>
    <w:p w14:paraId="18AE1581" w14:textId="77777777" w:rsidR="00643EB3" w:rsidRPr="00FA288E" w:rsidRDefault="00643EB3" w:rsidP="00643EB3">
      <w:pPr>
        <w:rPr>
          <w:rFonts w:cs="Calibri"/>
          <w:sz w:val="20"/>
          <w:szCs w:val="20"/>
        </w:rPr>
        <w:sectPr w:rsidR="00643EB3" w:rsidRPr="00FA288E" w:rsidSect="008D2D4A">
          <w:pgSz w:w="16838" w:h="11906" w:orient="landscape"/>
          <w:pgMar w:top="1440" w:right="1440" w:bottom="1440" w:left="1440" w:header="708" w:footer="708" w:gutter="0"/>
          <w:cols w:space="708"/>
          <w:docGrid w:linePitch="360"/>
        </w:sectPr>
      </w:pPr>
    </w:p>
    <w:p w14:paraId="697BA55E" w14:textId="77777777" w:rsidR="00643EB3" w:rsidRPr="00FA288E" w:rsidRDefault="00643EB3" w:rsidP="00643EB3">
      <w:pPr>
        <w:rPr>
          <w:rFonts w:cs="Calibri"/>
          <w:i/>
          <w:iCs/>
          <w:sz w:val="20"/>
          <w:szCs w:val="20"/>
          <w:u w:val="single"/>
        </w:rPr>
      </w:pPr>
      <w:proofErr w:type="spellStart"/>
      <w:r w:rsidRPr="00FA288E">
        <w:rPr>
          <w:rFonts w:cs="Calibri"/>
          <w:sz w:val="20"/>
          <w:szCs w:val="20"/>
        </w:rPr>
        <w:lastRenderedPageBreak/>
        <w:t>i</w:t>
      </w:r>
      <w:proofErr w:type="spellEnd"/>
      <w:r w:rsidRPr="00FA288E">
        <w:rPr>
          <w:rFonts w:cs="Calibri"/>
          <w:sz w:val="20"/>
          <w:szCs w:val="20"/>
        </w:rPr>
        <w:t>) Observations on implementation</w:t>
      </w:r>
      <w:r w:rsidRPr="00FA288E" w:rsidDel="002C5607">
        <w:rPr>
          <w:rFonts w:cs="Calibri"/>
          <w:sz w:val="20"/>
          <w:szCs w:val="20"/>
        </w:rPr>
        <w:t xml:space="preserve"> </w:t>
      </w:r>
      <w:proofErr w:type="spellStart"/>
      <w:r w:rsidRPr="00FA288E">
        <w:rPr>
          <w:rFonts w:cs="Calibri"/>
          <w:i/>
          <w:iCs/>
          <w:sz w:val="20"/>
          <w:szCs w:val="20"/>
          <w:u w:val="single"/>
        </w:rPr>
        <w:t>Pikinini</w:t>
      </w:r>
      <w:proofErr w:type="spellEnd"/>
      <w:r w:rsidRPr="00FA288E">
        <w:rPr>
          <w:rFonts w:cs="Calibri"/>
          <w:i/>
          <w:iCs/>
          <w:sz w:val="20"/>
          <w:szCs w:val="20"/>
          <w:u w:val="single"/>
        </w:rPr>
        <w:t xml:space="preserve"> </w:t>
      </w:r>
      <w:proofErr w:type="spellStart"/>
      <w:r w:rsidRPr="00FA288E">
        <w:rPr>
          <w:rFonts w:cs="Calibri"/>
          <w:i/>
          <w:iCs/>
          <w:sz w:val="20"/>
          <w:szCs w:val="20"/>
          <w:u w:val="single"/>
        </w:rPr>
        <w:t>Kisim</w:t>
      </w:r>
      <w:proofErr w:type="spellEnd"/>
      <w:r w:rsidRPr="00FA288E">
        <w:rPr>
          <w:rFonts w:cs="Calibri"/>
          <w:i/>
          <w:iCs/>
          <w:sz w:val="20"/>
          <w:szCs w:val="20"/>
          <w:u w:val="single"/>
        </w:rPr>
        <w:t xml:space="preserve"> Save project reading activities</w:t>
      </w:r>
    </w:p>
    <w:p w14:paraId="4783E722" w14:textId="77777777" w:rsidR="00643EB3" w:rsidRPr="00FA288E" w:rsidRDefault="00643EB3" w:rsidP="00061FD0">
      <w:pPr>
        <w:spacing w:after="120"/>
        <w:jc w:val="both"/>
        <w:rPr>
          <w:rFonts w:cs="Calibri"/>
          <w:sz w:val="20"/>
          <w:szCs w:val="20"/>
        </w:rPr>
      </w:pPr>
      <w:r w:rsidRPr="00FA288E">
        <w:rPr>
          <w:rFonts w:cs="Calibri"/>
          <w:sz w:val="20"/>
          <w:szCs w:val="20"/>
        </w:rPr>
        <w:t>PKS reading activities only commenced in October 2019 with the procurement of 55,000 L</w:t>
      </w:r>
      <w:r w:rsidR="00A60A26" w:rsidRPr="00FA288E">
        <w:rPr>
          <w:rFonts w:cs="Calibri"/>
          <w:sz w:val="20"/>
          <w:szCs w:val="20"/>
        </w:rPr>
        <w:t>ibrary for All (</w:t>
      </w:r>
      <w:proofErr w:type="spellStart"/>
      <w:r w:rsidR="00A60A26" w:rsidRPr="00FA288E">
        <w:rPr>
          <w:rFonts w:cs="Calibri"/>
          <w:sz w:val="20"/>
          <w:szCs w:val="20"/>
        </w:rPr>
        <w:t>L</w:t>
      </w:r>
      <w:r w:rsidRPr="00FA288E">
        <w:rPr>
          <w:rFonts w:cs="Calibri"/>
          <w:sz w:val="20"/>
          <w:szCs w:val="20"/>
        </w:rPr>
        <w:t>fA</w:t>
      </w:r>
      <w:proofErr w:type="spellEnd"/>
      <w:r w:rsidR="00A60A26" w:rsidRPr="00FA288E">
        <w:rPr>
          <w:rFonts w:cs="Calibri"/>
          <w:sz w:val="20"/>
          <w:szCs w:val="20"/>
        </w:rPr>
        <w:t>)</w:t>
      </w:r>
      <w:r w:rsidRPr="00FA288E">
        <w:rPr>
          <w:rFonts w:cs="Calibri"/>
          <w:sz w:val="20"/>
          <w:szCs w:val="20"/>
        </w:rPr>
        <w:t xml:space="preserve"> books (70 titles across four levels). Initially, this activity was conceived as involving book distribution alone, however early observation indicated there was a need to provide more support to teachers in the management of these resources if they were to be used sustainably. Pro</w:t>
      </w:r>
      <w:r w:rsidR="00686098" w:rsidRPr="00FA288E">
        <w:rPr>
          <w:rFonts w:cs="Calibri"/>
          <w:sz w:val="20"/>
          <w:szCs w:val="20"/>
        </w:rPr>
        <w:t>ject</w:t>
      </w:r>
      <w:r w:rsidRPr="00FA288E">
        <w:rPr>
          <w:rFonts w:cs="Calibri"/>
          <w:sz w:val="20"/>
          <w:szCs w:val="20"/>
        </w:rPr>
        <w:t xml:space="preserve"> staff noted a mismatch between the concept of establishing a ‘Library’, which teachers saw as beyond their means (i.e. implying additional infrastructure and shelving etc.), so the requirement was less ambitiously described as ‘reading corners’. Book distribution was then accompanied by half /one day coaching sessions for teachers in establishing reading corners. This has also been incorporated into the remaining SBC training sessions. The unease around utilising scarce resources was witnessed during the review observation visits, and the added coaching appears to be a necessary and appropriate response (see Box 4 below) </w:t>
      </w:r>
    </w:p>
    <w:p w14:paraId="2A46D0FB" w14:textId="77777777" w:rsidR="00643EB3" w:rsidRPr="00FA288E" w:rsidRDefault="00643EB3" w:rsidP="00E873A4">
      <w:pPr>
        <w:pStyle w:val="Heading2"/>
        <w:ind w:left="360"/>
        <w:rPr>
          <w:b w:val="0"/>
          <w:bCs w:val="0"/>
          <w:sz w:val="20"/>
          <w:szCs w:val="20"/>
        </w:rPr>
      </w:pPr>
      <w:bookmarkStart w:id="153" w:name="_Toc26914393"/>
      <w:bookmarkStart w:id="154" w:name="_Toc31625613"/>
      <w:bookmarkStart w:id="155" w:name="_Toc42075993"/>
      <w:r w:rsidRPr="00FA288E">
        <w:rPr>
          <w:b w:val="0"/>
          <w:bCs w:val="0"/>
          <w:sz w:val="20"/>
          <w:szCs w:val="20"/>
        </w:rPr>
        <w:t>Box 4. A clear need for teacher mentoring in reading resource use and management</w:t>
      </w:r>
      <w:bookmarkEnd w:id="153"/>
      <w:bookmarkEnd w:id="154"/>
      <w:bookmarkEnd w:id="155"/>
    </w:p>
    <w:p w14:paraId="79CBE78D" w14:textId="77777777" w:rsidR="00643EB3" w:rsidRPr="00FA288E" w:rsidRDefault="00643EB3" w:rsidP="00643EB3">
      <w:pPr>
        <w:rPr>
          <w:rFonts w:cs="Calibri"/>
          <w:sz w:val="20"/>
          <w:szCs w:val="20"/>
        </w:rPr>
      </w:pPr>
      <w:r w:rsidRPr="00FA288E">
        <w:rPr>
          <w:rFonts w:cs="Calibri"/>
          <w:noProof/>
          <w:sz w:val="20"/>
          <w:szCs w:val="20"/>
          <w:lang w:eastAsia="en-AU"/>
        </w:rPr>
        <mc:AlternateContent>
          <mc:Choice Requires="wps">
            <w:drawing>
              <wp:inline distT="0" distB="0" distL="0" distR="0" wp14:anchorId="186BFCD3" wp14:editId="01CEE94C">
                <wp:extent cx="5953125" cy="2318446"/>
                <wp:effectExtent l="0" t="0" r="28575"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318446"/>
                        </a:xfrm>
                        <a:prstGeom prst="rect">
                          <a:avLst/>
                        </a:prstGeom>
                        <a:solidFill>
                          <a:schemeClr val="accent3">
                            <a:lumMod val="20000"/>
                            <a:lumOff val="80000"/>
                          </a:schemeClr>
                        </a:solidFill>
                        <a:ln w="9525">
                          <a:solidFill>
                            <a:srgbClr val="000000"/>
                          </a:solidFill>
                          <a:miter lim="800000"/>
                          <a:headEnd/>
                          <a:tailEnd/>
                        </a:ln>
                      </wps:spPr>
                      <wps:txbx>
                        <w:txbxContent>
                          <w:p w14:paraId="14E89BA4" w14:textId="77777777" w:rsidR="009F310F" w:rsidRPr="007B7C85" w:rsidRDefault="009F310F" w:rsidP="00643EB3">
                            <w:pPr>
                              <w:rPr>
                                <w:sz w:val="20"/>
                              </w:rPr>
                            </w:pPr>
                            <w:r w:rsidRPr="007B7C85">
                              <w:rPr>
                                <w:sz w:val="20"/>
                              </w:rPr>
                              <w:t>In one of the PKS schools visited</w:t>
                            </w:r>
                            <w:r>
                              <w:rPr>
                                <w:sz w:val="20"/>
                              </w:rPr>
                              <w:t xml:space="preserve"> in November,</w:t>
                            </w:r>
                            <w:r w:rsidRPr="007B7C85">
                              <w:rPr>
                                <w:sz w:val="20"/>
                              </w:rPr>
                              <w:t xml:space="preserve"> the Teacher in Charge was inter</w:t>
                            </w:r>
                            <w:r>
                              <w:rPr>
                                <w:sz w:val="20"/>
                              </w:rPr>
                              <w:t>viewed in her office about the school’s</w:t>
                            </w:r>
                            <w:r w:rsidRPr="007B7C85">
                              <w:rPr>
                                <w:sz w:val="20"/>
                              </w:rPr>
                              <w:t xml:space="preserve"> experience with SLIPs</w:t>
                            </w:r>
                            <w:r>
                              <w:rPr>
                                <w:sz w:val="20"/>
                              </w:rPr>
                              <w:t xml:space="preserve">, noting a good level of interest in school management and resourcing. Following the interview, the review team </w:t>
                            </w:r>
                            <w:r w:rsidRPr="007B7C85">
                              <w:rPr>
                                <w:sz w:val="20"/>
                              </w:rPr>
                              <w:t xml:space="preserve">observed </w:t>
                            </w:r>
                            <w:r>
                              <w:rPr>
                                <w:sz w:val="20"/>
                              </w:rPr>
                              <w:t>about</w:t>
                            </w:r>
                            <w:r w:rsidRPr="007B7C85">
                              <w:rPr>
                                <w:sz w:val="20"/>
                              </w:rPr>
                              <w:t xml:space="preserve"> 10 </w:t>
                            </w:r>
                            <w:r>
                              <w:rPr>
                                <w:sz w:val="20"/>
                              </w:rPr>
                              <w:t xml:space="preserve">cardboard </w:t>
                            </w:r>
                            <w:r w:rsidRPr="007B7C85">
                              <w:rPr>
                                <w:sz w:val="20"/>
                              </w:rPr>
                              <w:t xml:space="preserve">boxes </w:t>
                            </w:r>
                            <w:r>
                              <w:rPr>
                                <w:sz w:val="20"/>
                              </w:rPr>
                              <w:t>bearing “booksforPNGkids</w:t>
                            </w:r>
                            <w:r w:rsidRPr="007B7C85">
                              <w:rPr>
                                <w:sz w:val="20"/>
                              </w:rPr>
                              <w:t>.org</w:t>
                            </w:r>
                            <w:r>
                              <w:rPr>
                                <w:sz w:val="20"/>
                              </w:rPr>
                              <w:t>” labels. When questioned, t</w:t>
                            </w:r>
                            <w:r w:rsidRPr="007B7C85">
                              <w:rPr>
                                <w:sz w:val="20"/>
                              </w:rPr>
                              <w:t>he T</w:t>
                            </w:r>
                            <w:r>
                              <w:rPr>
                                <w:sz w:val="20"/>
                              </w:rPr>
                              <w:t>i</w:t>
                            </w:r>
                            <w:r w:rsidRPr="007B7C85">
                              <w:rPr>
                                <w:sz w:val="20"/>
                              </w:rPr>
                              <w:t xml:space="preserve">C </w:t>
                            </w:r>
                            <w:r>
                              <w:rPr>
                                <w:sz w:val="20"/>
                              </w:rPr>
                              <w:t>said they had been donated, arriving</w:t>
                            </w:r>
                            <w:r w:rsidRPr="007B7C85">
                              <w:rPr>
                                <w:sz w:val="20"/>
                              </w:rPr>
                              <w:t xml:space="preserve"> “</w:t>
                            </w:r>
                            <w:r>
                              <w:rPr>
                                <w:sz w:val="20"/>
                              </w:rPr>
                              <w:t>around</w:t>
                            </w:r>
                            <w:r w:rsidRPr="007B7C85">
                              <w:rPr>
                                <w:sz w:val="20"/>
                              </w:rPr>
                              <w:t xml:space="preserve"> the start of the scho</w:t>
                            </w:r>
                            <w:r>
                              <w:rPr>
                                <w:sz w:val="20"/>
                              </w:rPr>
                              <w:t>ol year”. When questioned on the quality of these reading resources, she admitted she had not opened any of the boxes to look</w:t>
                            </w:r>
                            <w:r w:rsidRPr="007B7C85">
                              <w:rPr>
                                <w:sz w:val="20"/>
                              </w:rPr>
                              <w:t xml:space="preserve"> because the school “had no shelves to put the books on”.</w:t>
                            </w:r>
                            <w:r>
                              <w:rPr>
                                <w:sz w:val="20"/>
                              </w:rPr>
                              <w:t xml:space="preserve"> We suggested a box be opened in order to examine the suitability of the content, </w:t>
                            </w:r>
                            <w:r w:rsidRPr="007B7C85">
                              <w:rPr>
                                <w:sz w:val="20"/>
                              </w:rPr>
                              <w:t xml:space="preserve">and </w:t>
                            </w:r>
                            <w:r>
                              <w:rPr>
                                <w:sz w:val="20"/>
                              </w:rPr>
                              <w:t xml:space="preserve">the TiC </w:t>
                            </w:r>
                            <w:r w:rsidRPr="007B7C85">
                              <w:rPr>
                                <w:sz w:val="20"/>
                              </w:rPr>
                              <w:t xml:space="preserve">expressed surprise and delight when a number of good quality books of different </w:t>
                            </w:r>
                            <w:r>
                              <w:rPr>
                                <w:sz w:val="20"/>
                              </w:rPr>
                              <w:t>age appropriateness were revealed</w:t>
                            </w:r>
                            <w:r w:rsidRPr="007B7C85">
                              <w:rPr>
                                <w:sz w:val="20"/>
                              </w:rPr>
                              <w:t>. She had no pa</w:t>
                            </w:r>
                            <w:r>
                              <w:rPr>
                                <w:sz w:val="20"/>
                              </w:rPr>
                              <w:t xml:space="preserve">rticular plan to distribute the books as yet, however </w:t>
                            </w:r>
                            <w:r w:rsidRPr="007B7C85">
                              <w:rPr>
                                <w:sz w:val="20"/>
                              </w:rPr>
                              <w:t xml:space="preserve">when asked what </w:t>
                            </w:r>
                            <w:r>
                              <w:rPr>
                                <w:sz w:val="20"/>
                              </w:rPr>
                              <w:t xml:space="preserve">resources </w:t>
                            </w:r>
                            <w:r w:rsidRPr="007B7C85">
                              <w:rPr>
                                <w:sz w:val="20"/>
                              </w:rPr>
                              <w:t>the schoo</w:t>
                            </w:r>
                            <w:r>
                              <w:rPr>
                                <w:sz w:val="20"/>
                              </w:rPr>
                              <w:t>l needed, she said “more books”, pointing</w:t>
                            </w:r>
                            <w:r w:rsidRPr="007B7C85">
                              <w:rPr>
                                <w:sz w:val="20"/>
                              </w:rPr>
                              <w:t xml:space="preserve"> out there were over 300 </w:t>
                            </w:r>
                            <w:r>
                              <w:rPr>
                                <w:sz w:val="20"/>
                              </w:rPr>
                              <w:t>children</w:t>
                            </w:r>
                            <w:r w:rsidRPr="007B7C85">
                              <w:rPr>
                                <w:sz w:val="20"/>
                              </w:rPr>
                              <w:t xml:space="preserve"> at the school </w:t>
                            </w:r>
                            <w:r>
                              <w:rPr>
                                <w:sz w:val="20"/>
                              </w:rPr>
                              <w:t xml:space="preserve">but not enough books to go around </w:t>
                            </w:r>
                            <w:r w:rsidRPr="007B7C85">
                              <w:rPr>
                                <w:sz w:val="20"/>
                              </w:rPr>
                              <w:t>(there were probabl</w:t>
                            </w:r>
                            <w:r>
                              <w:rPr>
                                <w:sz w:val="20"/>
                              </w:rPr>
                              <w:t>y easily 300 books in the boxes).  This school will likely also receive books from the LfA supply through PKS, and it would seem that without some additional coaching, they may remain safely boxed in order to be protected and accounted for rather than used as intended.</w:t>
                            </w:r>
                          </w:p>
                        </w:txbxContent>
                      </wps:txbx>
                      <wps:bodyPr rot="0" vert="horz" wrap="square" lIns="91440" tIns="45720" rIns="91440" bIns="45720" anchor="t" anchorCtr="0">
                        <a:noAutofit/>
                      </wps:bodyPr>
                    </wps:wsp>
                  </a:graphicData>
                </a:graphic>
              </wp:inline>
            </w:drawing>
          </mc:Choice>
          <mc:Fallback>
            <w:pict>
              <v:shape w14:anchorId="186BFCD3" id="_x0000_s1029" type="#_x0000_t202" style="width:468.75pt;height:1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" fillcolor="#ededed [662]">
                <v:textbox>
                  <w:txbxContent>
                    <w:p w14:paraId="14E89BA4" w14:textId="77777777" w:rsidR="009F310F" w:rsidRPr="007B7C85" w:rsidRDefault="009F310F" w:rsidP="00643EB3">
                      <w:pPr>
                        <w:rPr>
                          <w:sz w:val="20"/>
                        </w:rPr>
                      </w:pPr>
                      <w:r w:rsidRPr="007B7C85">
                        <w:rPr>
                          <w:sz w:val="20"/>
                        </w:rPr>
                        <w:t>In one of the PKS schools visited</w:t>
                      </w:r>
                      <w:r>
                        <w:rPr>
                          <w:sz w:val="20"/>
                        </w:rPr>
                        <w:t xml:space="preserve"> in November,</w:t>
                      </w:r>
                      <w:r w:rsidRPr="007B7C85">
                        <w:rPr>
                          <w:sz w:val="20"/>
                        </w:rPr>
                        <w:t xml:space="preserve"> the Teacher in Charge was inter</w:t>
                      </w:r>
                      <w:r>
                        <w:rPr>
                          <w:sz w:val="20"/>
                        </w:rPr>
                        <w:t>viewed in her office about the school’s</w:t>
                      </w:r>
                      <w:r w:rsidRPr="007B7C85">
                        <w:rPr>
                          <w:sz w:val="20"/>
                        </w:rPr>
                        <w:t xml:space="preserve"> experience with SLIPs</w:t>
                      </w:r>
                      <w:r>
                        <w:rPr>
                          <w:sz w:val="20"/>
                        </w:rPr>
                        <w:t xml:space="preserve">, noting a good level of interest in school management and resourcing. Following the interview, the review team </w:t>
                      </w:r>
                      <w:r w:rsidRPr="007B7C85">
                        <w:rPr>
                          <w:sz w:val="20"/>
                        </w:rPr>
                        <w:t xml:space="preserve">observed </w:t>
                      </w:r>
                      <w:r>
                        <w:rPr>
                          <w:sz w:val="20"/>
                        </w:rPr>
                        <w:t>about</w:t>
                      </w:r>
                      <w:r w:rsidRPr="007B7C85">
                        <w:rPr>
                          <w:sz w:val="20"/>
                        </w:rPr>
                        <w:t xml:space="preserve"> 10 </w:t>
                      </w:r>
                      <w:r>
                        <w:rPr>
                          <w:sz w:val="20"/>
                        </w:rPr>
                        <w:t xml:space="preserve">cardboard </w:t>
                      </w:r>
                      <w:r w:rsidRPr="007B7C85">
                        <w:rPr>
                          <w:sz w:val="20"/>
                        </w:rPr>
                        <w:t xml:space="preserve">boxes </w:t>
                      </w:r>
                      <w:r>
                        <w:rPr>
                          <w:sz w:val="20"/>
                        </w:rPr>
                        <w:t>bearing “booksforPNGkids</w:t>
                      </w:r>
                      <w:r w:rsidRPr="007B7C85">
                        <w:rPr>
                          <w:sz w:val="20"/>
                        </w:rPr>
                        <w:t>.org</w:t>
                      </w:r>
                      <w:r>
                        <w:rPr>
                          <w:sz w:val="20"/>
                        </w:rPr>
                        <w:t>” labels. When questioned, t</w:t>
                      </w:r>
                      <w:r w:rsidRPr="007B7C85">
                        <w:rPr>
                          <w:sz w:val="20"/>
                        </w:rPr>
                        <w:t>he T</w:t>
                      </w:r>
                      <w:r>
                        <w:rPr>
                          <w:sz w:val="20"/>
                        </w:rPr>
                        <w:t>i</w:t>
                      </w:r>
                      <w:r w:rsidRPr="007B7C85">
                        <w:rPr>
                          <w:sz w:val="20"/>
                        </w:rPr>
                        <w:t xml:space="preserve">C </w:t>
                      </w:r>
                      <w:r>
                        <w:rPr>
                          <w:sz w:val="20"/>
                        </w:rPr>
                        <w:t>said they had been donated, arriving</w:t>
                      </w:r>
                      <w:r w:rsidRPr="007B7C85">
                        <w:rPr>
                          <w:sz w:val="20"/>
                        </w:rPr>
                        <w:t xml:space="preserve"> “</w:t>
                      </w:r>
                      <w:r>
                        <w:rPr>
                          <w:sz w:val="20"/>
                        </w:rPr>
                        <w:t>around</w:t>
                      </w:r>
                      <w:r w:rsidRPr="007B7C85">
                        <w:rPr>
                          <w:sz w:val="20"/>
                        </w:rPr>
                        <w:t xml:space="preserve"> the start of the scho</w:t>
                      </w:r>
                      <w:r>
                        <w:rPr>
                          <w:sz w:val="20"/>
                        </w:rPr>
                        <w:t>ol year”. When questioned on the quality of these reading resources, she admitted she had not opened any of the boxes to look</w:t>
                      </w:r>
                      <w:r w:rsidRPr="007B7C85">
                        <w:rPr>
                          <w:sz w:val="20"/>
                        </w:rPr>
                        <w:t xml:space="preserve"> because the school “had no shelves to put the books on”.</w:t>
                      </w:r>
                      <w:r>
                        <w:rPr>
                          <w:sz w:val="20"/>
                        </w:rPr>
                        <w:t xml:space="preserve"> We suggested a box be opened in order to examine the suitability of the content, </w:t>
                      </w:r>
                      <w:r w:rsidRPr="007B7C85">
                        <w:rPr>
                          <w:sz w:val="20"/>
                        </w:rPr>
                        <w:t xml:space="preserve">and </w:t>
                      </w:r>
                      <w:r>
                        <w:rPr>
                          <w:sz w:val="20"/>
                        </w:rPr>
                        <w:t xml:space="preserve">the TiC </w:t>
                      </w:r>
                      <w:r w:rsidRPr="007B7C85">
                        <w:rPr>
                          <w:sz w:val="20"/>
                        </w:rPr>
                        <w:t xml:space="preserve">expressed surprise and delight when a number of good quality books of different </w:t>
                      </w:r>
                      <w:r>
                        <w:rPr>
                          <w:sz w:val="20"/>
                        </w:rPr>
                        <w:t>age appropriateness were revealed</w:t>
                      </w:r>
                      <w:r w:rsidRPr="007B7C85">
                        <w:rPr>
                          <w:sz w:val="20"/>
                        </w:rPr>
                        <w:t>. She had no pa</w:t>
                      </w:r>
                      <w:r>
                        <w:rPr>
                          <w:sz w:val="20"/>
                        </w:rPr>
                        <w:t xml:space="preserve">rticular plan to distribute the books as yet, however </w:t>
                      </w:r>
                      <w:r w:rsidRPr="007B7C85">
                        <w:rPr>
                          <w:sz w:val="20"/>
                        </w:rPr>
                        <w:t xml:space="preserve">when asked what </w:t>
                      </w:r>
                      <w:r>
                        <w:rPr>
                          <w:sz w:val="20"/>
                        </w:rPr>
                        <w:t xml:space="preserve">resources </w:t>
                      </w:r>
                      <w:r w:rsidRPr="007B7C85">
                        <w:rPr>
                          <w:sz w:val="20"/>
                        </w:rPr>
                        <w:t>the schoo</w:t>
                      </w:r>
                      <w:r>
                        <w:rPr>
                          <w:sz w:val="20"/>
                        </w:rPr>
                        <w:t>l needed, she said “more books”, pointing</w:t>
                      </w:r>
                      <w:r w:rsidRPr="007B7C85">
                        <w:rPr>
                          <w:sz w:val="20"/>
                        </w:rPr>
                        <w:t xml:space="preserve"> out there were over 300 </w:t>
                      </w:r>
                      <w:r>
                        <w:rPr>
                          <w:sz w:val="20"/>
                        </w:rPr>
                        <w:t>children</w:t>
                      </w:r>
                      <w:r w:rsidRPr="007B7C85">
                        <w:rPr>
                          <w:sz w:val="20"/>
                        </w:rPr>
                        <w:t xml:space="preserve"> at the school </w:t>
                      </w:r>
                      <w:r>
                        <w:rPr>
                          <w:sz w:val="20"/>
                        </w:rPr>
                        <w:t xml:space="preserve">but not enough books to go around </w:t>
                      </w:r>
                      <w:r w:rsidRPr="007B7C85">
                        <w:rPr>
                          <w:sz w:val="20"/>
                        </w:rPr>
                        <w:t>(there were probabl</w:t>
                      </w:r>
                      <w:r>
                        <w:rPr>
                          <w:sz w:val="20"/>
                        </w:rPr>
                        <w:t>y easily 300 books in the boxes).  This school will likely also receive books from the LfA supply through PKS, and it would seem that without some additional coaching, they may remain safely boxed in order to be protected and accounted for rather than used as intended.</w:t>
                      </w:r>
                    </w:p>
                  </w:txbxContent>
                </v:textbox>
                <w10:anchorlock/>
              </v:shape>
            </w:pict>
          </mc:Fallback>
        </mc:AlternateContent>
      </w:r>
    </w:p>
    <w:p w14:paraId="1E7EF92C" w14:textId="77777777" w:rsidR="00643EB3" w:rsidRPr="00FA288E" w:rsidRDefault="00643EB3" w:rsidP="00643EB3">
      <w:pPr>
        <w:rPr>
          <w:rFonts w:cs="Calibri"/>
          <w:sz w:val="20"/>
          <w:szCs w:val="20"/>
        </w:rPr>
      </w:pPr>
    </w:p>
    <w:p w14:paraId="0829C4A9" w14:textId="77777777" w:rsidR="00643EB3" w:rsidRPr="00FA288E" w:rsidRDefault="00643EB3" w:rsidP="00061FD0">
      <w:pPr>
        <w:jc w:val="both"/>
        <w:rPr>
          <w:rFonts w:cs="Calibri"/>
          <w:sz w:val="20"/>
          <w:szCs w:val="20"/>
        </w:rPr>
      </w:pPr>
      <w:r w:rsidRPr="00FA288E">
        <w:rPr>
          <w:rFonts w:cs="Calibri"/>
          <w:sz w:val="20"/>
          <w:szCs w:val="20"/>
        </w:rPr>
        <w:t>The PKS monitoring and evaluation roadmap and tools (developed prior to the reading corner activity being developed) does not at this stage include monitoring the use of the books once distributed. This would appear to be an oversight, as data about their level of use; whether the school could manage them appropriately; and how many remained at project end would be useful to assess their likely contribution to any improvements in literacy skills, as well as the sustainability of distributing reading resources to schools.</w:t>
      </w:r>
    </w:p>
    <w:p w14:paraId="456A394C" w14:textId="77777777" w:rsidR="00643EB3" w:rsidRPr="00FA288E" w:rsidRDefault="00643EB3" w:rsidP="00061FD0">
      <w:pPr>
        <w:jc w:val="both"/>
        <w:rPr>
          <w:rFonts w:cs="Calibri"/>
          <w:i/>
          <w:iCs/>
          <w:sz w:val="20"/>
          <w:szCs w:val="20"/>
          <w:u w:val="single"/>
        </w:rPr>
      </w:pPr>
      <w:r w:rsidRPr="00FA288E">
        <w:rPr>
          <w:rFonts w:cs="Calibri"/>
          <w:i/>
          <w:iCs/>
          <w:sz w:val="20"/>
          <w:szCs w:val="20"/>
          <w:u w:val="single"/>
        </w:rPr>
        <w:t>Rapidly Improving Standards in Education project reading activities</w:t>
      </w:r>
    </w:p>
    <w:p w14:paraId="1724F167" w14:textId="77777777" w:rsidR="00643EB3" w:rsidRPr="00FA288E" w:rsidRDefault="00643EB3" w:rsidP="00061FD0">
      <w:pPr>
        <w:spacing w:after="120"/>
        <w:jc w:val="both"/>
        <w:rPr>
          <w:rFonts w:cs="Calibri"/>
          <w:sz w:val="20"/>
          <w:szCs w:val="20"/>
        </w:rPr>
      </w:pPr>
      <w:r w:rsidRPr="00FA288E">
        <w:rPr>
          <w:rFonts w:cs="Calibri"/>
          <w:sz w:val="20"/>
          <w:szCs w:val="20"/>
        </w:rPr>
        <w:t>The Bloom reader mobile phone app has over 50 books written by local authors and digitised (50% taken directly from the SBC). Thirty of these are in local vernacular (the RISE target for this was much higher but proved difficult to achieve). They are accompanied by audio, in which a native speaker reads the book aloud, as well as sign language, making them an accessible resource for hearing and sight impaired readers. They also make up part of the Education for Life kit, trialled in 30 schools (10 per province) in 2019.</w:t>
      </w:r>
    </w:p>
    <w:p w14:paraId="7F4DB942" w14:textId="77777777" w:rsidR="00643EB3" w:rsidRPr="00FA288E" w:rsidRDefault="00643EB3" w:rsidP="00061FD0">
      <w:pPr>
        <w:spacing w:after="120"/>
        <w:jc w:val="both"/>
        <w:rPr>
          <w:rFonts w:cs="Calibri"/>
          <w:iCs/>
          <w:sz w:val="20"/>
          <w:szCs w:val="20"/>
        </w:rPr>
      </w:pPr>
      <w:r w:rsidRPr="00FA288E">
        <w:rPr>
          <w:rFonts w:cs="Calibri"/>
          <w:sz w:val="20"/>
          <w:szCs w:val="20"/>
        </w:rPr>
        <w:t>The role of C</w:t>
      </w:r>
      <w:r w:rsidR="0049719E" w:rsidRPr="00FA288E">
        <w:rPr>
          <w:rFonts w:cs="Calibri"/>
          <w:sz w:val="20"/>
          <w:szCs w:val="20"/>
        </w:rPr>
        <w:t>LV</w:t>
      </w:r>
      <w:r w:rsidRPr="00FA288E">
        <w:rPr>
          <w:rFonts w:cs="Calibri"/>
          <w:sz w:val="20"/>
          <w:szCs w:val="20"/>
        </w:rPr>
        <w:t>s is instrumental in promoting extra curricula activity. RISE employs 1</w:t>
      </w:r>
      <w:r w:rsidRPr="00FA288E">
        <w:rPr>
          <w:rFonts w:cs="Calibri"/>
          <w:iCs/>
          <w:sz w:val="20"/>
          <w:szCs w:val="20"/>
        </w:rPr>
        <w:t xml:space="preserve"> Community Engagement Officer (CEO) per district, and they are responsible for the CLV program. CLVs receive a week of training, and are then responsible for delivering five programs in their communities: </w:t>
      </w:r>
    </w:p>
    <w:p w14:paraId="63C905B2" w14:textId="77777777" w:rsidR="00643EB3" w:rsidRPr="00FA288E" w:rsidRDefault="00643EB3" w:rsidP="00E873A4">
      <w:pPr>
        <w:pStyle w:val="Heading2"/>
        <w:ind w:left="360"/>
        <w:rPr>
          <w:b w:val="0"/>
          <w:bCs w:val="0"/>
          <w:sz w:val="20"/>
          <w:szCs w:val="20"/>
        </w:rPr>
      </w:pPr>
      <w:bookmarkStart w:id="156" w:name="_Toc26914394"/>
      <w:bookmarkStart w:id="157" w:name="_Toc31625614"/>
      <w:bookmarkStart w:id="158" w:name="_Toc42075994"/>
      <w:r w:rsidRPr="00FA288E">
        <w:rPr>
          <w:b w:val="0"/>
          <w:bCs w:val="0"/>
          <w:sz w:val="20"/>
          <w:szCs w:val="20"/>
        </w:rPr>
        <w:lastRenderedPageBreak/>
        <w:t>Box 5. CLV responsibilities following one week of training</w:t>
      </w:r>
      <w:bookmarkEnd w:id="156"/>
      <w:bookmarkEnd w:id="157"/>
      <w:bookmarkEnd w:id="158"/>
    </w:p>
    <w:p w14:paraId="31EC6D15" w14:textId="77777777" w:rsidR="00643EB3" w:rsidRPr="00FA288E" w:rsidRDefault="00643EB3" w:rsidP="00643EB3">
      <w:pPr>
        <w:spacing w:after="120"/>
        <w:rPr>
          <w:rFonts w:cs="Calibri"/>
          <w:iCs/>
          <w:sz w:val="20"/>
          <w:szCs w:val="20"/>
          <w:u w:val="single"/>
        </w:rPr>
      </w:pPr>
      <w:r w:rsidRPr="00FA288E">
        <w:rPr>
          <w:rFonts w:cs="Calibri"/>
          <w:iCs/>
          <w:noProof/>
          <w:sz w:val="20"/>
          <w:szCs w:val="20"/>
          <w:u w:val="single"/>
          <w:lang w:eastAsia="en-AU"/>
        </w:rPr>
        <mc:AlternateContent>
          <mc:Choice Requires="wps">
            <w:drawing>
              <wp:inline distT="0" distB="0" distL="0" distR="0" wp14:anchorId="79D8B663" wp14:editId="09D9F380">
                <wp:extent cx="6047117" cy="2283050"/>
                <wp:effectExtent l="0" t="0" r="10795" b="222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17" cy="2283050"/>
                        </a:xfrm>
                        <a:prstGeom prst="rect">
                          <a:avLst/>
                        </a:prstGeom>
                        <a:solidFill>
                          <a:srgbClr val="EAEAEA"/>
                        </a:solidFill>
                        <a:ln w="9525">
                          <a:solidFill>
                            <a:srgbClr val="000000"/>
                          </a:solidFill>
                          <a:miter lim="800000"/>
                          <a:headEnd/>
                          <a:tailEnd/>
                        </a:ln>
                      </wps:spPr>
                      <wps:txbx>
                        <w:txbxContent>
                          <w:p w14:paraId="4C95CD57" w14:textId="77777777" w:rsidR="009F310F" w:rsidRPr="00E66525" w:rsidRDefault="009F310F" w:rsidP="00643EB3">
                            <w:pPr>
                              <w:shd w:val="clear" w:color="auto" w:fill="EDEDED" w:themeFill="accent3" w:themeFillTint="33"/>
                              <w:spacing w:after="120"/>
                              <w:rPr>
                                <w:sz w:val="20"/>
                              </w:rPr>
                            </w:pPr>
                            <w:r w:rsidRPr="00E66525">
                              <w:rPr>
                                <w:b/>
                                <w:sz w:val="20"/>
                              </w:rPr>
                              <w:t>Reading Club:</w:t>
                            </w:r>
                            <w:r w:rsidRPr="00E66525">
                              <w:rPr>
                                <w:sz w:val="20"/>
                              </w:rPr>
                              <w:t xml:space="preserve"> </w:t>
                            </w:r>
                            <w:r>
                              <w:rPr>
                                <w:sz w:val="20"/>
                              </w:rPr>
                              <w:t>CLVs are provided with</w:t>
                            </w:r>
                            <w:r w:rsidRPr="00E66525">
                              <w:rPr>
                                <w:sz w:val="20"/>
                              </w:rPr>
                              <w:t xml:space="preserve"> a kit of up t</w:t>
                            </w:r>
                            <w:r>
                              <w:rPr>
                                <w:sz w:val="20"/>
                              </w:rPr>
                              <w:t>o 100 books across three levels and a smart phone with</w:t>
                            </w:r>
                            <w:r w:rsidRPr="00E66525">
                              <w:rPr>
                                <w:sz w:val="20"/>
                              </w:rPr>
                              <w:t xml:space="preserve"> the Bloom reader</w:t>
                            </w:r>
                            <w:r>
                              <w:rPr>
                                <w:sz w:val="20"/>
                              </w:rPr>
                              <w:t xml:space="preserve"> bools loaded. They</w:t>
                            </w:r>
                            <w:r w:rsidRPr="00E66525">
                              <w:rPr>
                                <w:sz w:val="20"/>
                              </w:rPr>
                              <w:t xml:space="preserve"> are expected to run one </w:t>
                            </w:r>
                            <w:r>
                              <w:rPr>
                                <w:sz w:val="20"/>
                              </w:rPr>
                              <w:t xml:space="preserve">reading club </w:t>
                            </w:r>
                            <w:r w:rsidRPr="00E66525">
                              <w:rPr>
                                <w:sz w:val="20"/>
                              </w:rPr>
                              <w:t>session per week over 14 weeks. They are provided with an activity book which sets out how to run the reading sessions and other activities, as well as providing attendance list and book borrowing list templates, and a monthly monitoring form. Reading clubs are expected to be conducted either in the community</w:t>
                            </w:r>
                            <w:r>
                              <w:rPr>
                                <w:sz w:val="20"/>
                              </w:rPr>
                              <w:t xml:space="preserve"> or at school</w:t>
                            </w:r>
                            <w:r w:rsidRPr="00E66525">
                              <w:rPr>
                                <w:sz w:val="20"/>
                              </w:rPr>
                              <w:t>.</w:t>
                            </w:r>
                          </w:p>
                          <w:p w14:paraId="29F364B0" w14:textId="77777777" w:rsidR="009F310F" w:rsidRPr="00E66525" w:rsidRDefault="009F310F" w:rsidP="00643EB3">
                            <w:pPr>
                              <w:shd w:val="clear" w:color="auto" w:fill="EDEDED" w:themeFill="accent3" w:themeFillTint="33"/>
                              <w:spacing w:after="120"/>
                              <w:rPr>
                                <w:sz w:val="20"/>
                              </w:rPr>
                            </w:pPr>
                            <w:r w:rsidRPr="00E66525">
                              <w:rPr>
                                <w:b/>
                                <w:sz w:val="20"/>
                              </w:rPr>
                              <w:t xml:space="preserve">Story Time: </w:t>
                            </w:r>
                            <w:r w:rsidRPr="00E66525">
                              <w:rPr>
                                <w:sz w:val="20"/>
                              </w:rPr>
                              <w:t>Which involves inviting parents</w:t>
                            </w:r>
                            <w:r>
                              <w:rPr>
                                <w:sz w:val="20"/>
                              </w:rPr>
                              <w:t xml:space="preserve"> /</w:t>
                            </w:r>
                            <w:r w:rsidRPr="00E66525">
                              <w:rPr>
                                <w:sz w:val="20"/>
                              </w:rPr>
                              <w:t xml:space="preserve"> elders to tell stories to children during reading group sessions.</w:t>
                            </w:r>
                          </w:p>
                          <w:p w14:paraId="796A84DB" w14:textId="77777777" w:rsidR="009F310F" w:rsidRPr="00E66525" w:rsidRDefault="009F310F" w:rsidP="00643EB3">
                            <w:pPr>
                              <w:shd w:val="clear" w:color="auto" w:fill="EDEDED" w:themeFill="accent3" w:themeFillTint="33"/>
                              <w:spacing w:after="120"/>
                              <w:rPr>
                                <w:sz w:val="20"/>
                              </w:rPr>
                            </w:pPr>
                            <w:r w:rsidRPr="00E66525">
                              <w:rPr>
                                <w:b/>
                                <w:sz w:val="20"/>
                              </w:rPr>
                              <w:t>Reading Fest:</w:t>
                            </w:r>
                            <w:r w:rsidRPr="00E66525">
                              <w:rPr>
                                <w:sz w:val="20"/>
                              </w:rPr>
                              <w:t xml:space="preserve"> </w:t>
                            </w:r>
                            <w:r>
                              <w:rPr>
                                <w:sz w:val="20"/>
                              </w:rPr>
                              <w:t>T</w:t>
                            </w:r>
                            <w:r w:rsidRPr="00E66525">
                              <w:rPr>
                                <w:sz w:val="20"/>
                              </w:rPr>
                              <w:t>he CLV is expected to organize a community activity/day to celebrate reading.</w:t>
                            </w:r>
                          </w:p>
                          <w:p w14:paraId="0677CC5C" w14:textId="77777777" w:rsidR="009F310F" w:rsidRDefault="009F310F" w:rsidP="00643EB3">
                            <w:pPr>
                              <w:shd w:val="clear" w:color="auto" w:fill="EDEDED" w:themeFill="accent3" w:themeFillTint="33"/>
                              <w:spacing w:after="120"/>
                              <w:rPr>
                                <w:sz w:val="20"/>
                              </w:rPr>
                            </w:pPr>
                            <w:r w:rsidRPr="00E66525">
                              <w:rPr>
                                <w:b/>
                                <w:sz w:val="20"/>
                              </w:rPr>
                              <w:t>Caregivers workshops:</w:t>
                            </w:r>
                            <w:r w:rsidRPr="00E66525">
                              <w:rPr>
                                <w:sz w:val="20"/>
                              </w:rPr>
                              <w:t xml:space="preserve"> </w:t>
                            </w:r>
                            <w:r>
                              <w:rPr>
                                <w:sz w:val="20"/>
                              </w:rPr>
                              <w:t>CLVs invite</w:t>
                            </w:r>
                            <w:r w:rsidRPr="00E66525">
                              <w:rPr>
                                <w:sz w:val="20"/>
                              </w:rPr>
                              <w:t xml:space="preserve"> parents/caregivers to attend 7 sessions on different topics, </w:t>
                            </w:r>
                            <w:r>
                              <w:rPr>
                                <w:sz w:val="20"/>
                              </w:rPr>
                              <w:t>including</w:t>
                            </w:r>
                            <w:r w:rsidRPr="00E66525">
                              <w:rPr>
                                <w:sz w:val="20"/>
                              </w:rPr>
                              <w:t xml:space="preserve"> expressive storytelling</w:t>
                            </w:r>
                            <w:r>
                              <w:rPr>
                                <w:sz w:val="20"/>
                              </w:rPr>
                              <w:t>/reading with children</w:t>
                            </w:r>
                            <w:r w:rsidRPr="00E66525">
                              <w:rPr>
                                <w:sz w:val="20"/>
                              </w:rPr>
                              <w:t xml:space="preserve">. </w:t>
                            </w:r>
                          </w:p>
                          <w:p w14:paraId="3CE79035" w14:textId="77777777" w:rsidR="009F310F" w:rsidRPr="00E66525" w:rsidRDefault="009F310F" w:rsidP="00643EB3">
                            <w:pPr>
                              <w:shd w:val="clear" w:color="auto" w:fill="EDEDED" w:themeFill="accent3" w:themeFillTint="33"/>
                              <w:spacing w:after="120"/>
                              <w:rPr>
                                <w:sz w:val="20"/>
                              </w:rPr>
                            </w:pPr>
                            <w:r w:rsidRPr="00E66525">
                              <w:rPr>
                                <w:b/>
                                <w:sz w:val="20"/>
                              </w:rPr>
                              <w:t>Bloom reader:</w:t>
                            </w:r>
                            <w:r w:rsidRPr="00E66525">
                              <w:rPr>
                                <w:sz w:val="20"/>
                              </w:rPr>
                              <w:t xml:space="preserve"> </w:t>
                            </w:r>
                            <w:r>
                              <w:rPr>
                                <w:sz w:val="20"/>
                              </w:rPr>
                              <w:t>CLVs are expected to</w:t>
                            </w:r>
                            <w:r w:rsidRPr="00E66525">
                              <w:rPr>
                                <w:sz w:val="20"/>
                              </w:rPr>
                              <w:t xml:space="preserve"> </w:t>
                            </w:r>
                            <w:r>
                              <w:rPr>
                                <w:sz w:val="20"/>
                              </w:rPr>
                              <w:t>promote the download of the Bloom Reader App from the Google Playstore, or transfer the</w:t>
                            </w:r>
                            <w:r w:rsidRPr="00E66525">
                              <w:rPr>
                                <w:sz w:val="20"/>
                              </w:rPr>
                              <w:t xml:space="preserve"> </w:t>
                            </w:r>
                            <w:r>
                              <w:rPr>
                                <w:sz w:val="20"/>
                              </w:rPr>
                              <w:t xml:space="preserve">reader content offline via Bluetooth </w:t>
                            </w:r>
                            <w:r w:rsidRPr="00E66525">
                              <w:rPr>
                                <w:sz w:val="20"/>
                              </w:rPr>
                              <w:t xml:space="preserve">to </w:t>
                            </w:r>
                            <w:r>
                              <w:rPr>
                                <w:sz w:val="20"/>
                              </w:rPr>
                              <w:t xml:space="preserve">the mobile phone of </w:t>
                            </w:r>
                            <w:r w:rsidRPr="00E66525">
                              <w:rPr>
                                <w:sz w:val="20"/>
                              </w:rPr>
                              <w:t>parents/care</w:t>
                            </w:r>
                            <w:r>
                              <w:rPr>
                                <w:sz w:val="20"/>
                              </w:rPr>
                              <w:t>givers.</w:t>
                            </w:r>
                          </w:p>
                        </w:txbxContent>
                      </wps:txbx>
                      <wps:bodyPr rot="0" vert="horz" wrap="square" lIns="91440" tIns="45720" rIns="91440" bIns="45720" anchor="t" anchorCtr="0">
                        <a:noAutofit/>
                      </wps:bodyPr>
                    </wps:wsp>
                  </a:graphicData>
                </a:graphic>
              </wp:inline>
            </w:drawing>
          </mc:Choice>
          <mc:Fallback>
            <w:pict>
              <v:shape w14:anchorId="79D8B663" id="_x0000_s1030" type="#_x0000_t202" style="width:476.15pt;height:17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" fillcolor="#eaeaea">
                <v:textbox>
                  <w:txbxContent>
                    <w:p w14:paraId="4C95CD57" w14:textId="77777777" w:rsidR="009F310F" w:rsidRPr="00E66525" w:rsidRDefault="009F310F" w:rsidP="00643EB3">
                      <w:pPr>
                        <w:shd w:val="clear" w:color="auto" w:fill="EDEDED" w:themeFill="accent3" w:themeFillTint="33"/>
                        <w:spacing w:after="120"/>
                        <w:rPr>
                          <w:sz w:val="20"/>
                        </w:rPr>
                      </w:pPr>
                      <w:r w:rsidRPr="00E66525">
                        <w:rPr>
                          <w:b/>
                          <w:sz w:val="20"/>
                        </w:rPr>
                        <w:t>Reading Club:</w:t>
                      </w:r>
                      <w:r w:rsidRPr="00E66525">
                        <w:rPr>
                          <w:sz w:val="20"/>
                        </w:rPr>
                        <w:t xml:space="preserve"> </w:t>
                      </w:r>
                      <w:r>
                        <w:rPr>
                          <w:sz w:val="20"/>
                        </w:rPr>
                        <w:t>CLVs are provided with</w:t>
                      </w:r>
                      <w:r w:rsidRPr="00E66525">
                        <w:rPr>
                          <w:sz w:val="20"/>
                        </w:rPr>
                        <w:t xml:space="preserve"> a kit of up t</w:t>
                      </w:r>
                      <w:r>
                        <w:rPr>
                          <w:sz w:val="20"/>
                        </w:rPr>
                        <w:t>o 100 books across three levels and a smart phone with</w:t>
                      </w:r>
                      <w:r w:rsidRPr="00E66525">
                        <w:rPr>
                          <w:sz w:val="20"/>
                        </w:rPr>
                        <w:t xml:space="preserve"> the Bloom reader</w:t>
                      </w:r>
                      <w:r>
                        <w:rPr>
                          <w:sz w:val="20"/>
                        </w:rPr>
                        <w:t xml:space="preserve"> bools loaded. They</w:t>
                      </w:r>
                      <w:r w:rsidRPr="00E66525">
                        <w:rPr>
                          <w:sz w:val="20"/>
                        </w:rPr>
                        <w:t xml:space="preserve"> are expected to run one </w:t>
                      </w:r>
                      <w:r>
                        <w:rPr>
                          <w:sz w:val="20"/>
                        </w:rPr>
                        <w:t xml:space="preserve">reading club </w:t>
                      </w:r>
                      <w:r w:rsidRPr="00E66525">
                        <w:rPr>
                          <w:sz w:val="20"/>
                        </w:rPr>
                        <w:t>session per week over 14 weeks. They are provided with an activity book which sets out how to run the reading sessions and other activities, as well as providing attendance list and book borrowing list templates, and a monthly monitoring form. Reading clubs are expected to be conducted either in the community</w:t>
                      </w:r>
                      <w:r>
                        <w:rPr>
                          <w:sz w:val="20"/>
                        </w:rPr>
                        <w:t xml:space="preserve"> or at school</w:t>
                      </w:r>
                      <w:r w:rsidRPr="00E66525">
                        <w:rPr>
                          <w:sz w:val="20"/>
                        </w:rPr>
                        <w:t>.</w:t>
                      </w:r>
                    </w:p>
                    <w:p w14:paraId="29F364B0" w14:textId="77777777" w:rsidR="009F310F" w:rsidRPr="00E66525" w:rsidRDefault="009F310F" w:rsidP="00643EB3">
                      <w:pPr>
                        <w:shd w:val="clear" w:color="auto" w:fill="EDEDED" w:themeFill="accent3" w:themeFillTint="33"/>
                        <w:spacing w:after="120"/>
                        <w:rPr>
                          <w:sz w:val="20"/>
                        </w:rPr>
                      </w:pPr>
                      <w:r w:rsidRPr="00E66525">
                        <w:rPr>
                          <w:b/>
                          <w:sz w:val="20"/>
                        </w:rPr>
                        <w:t xml:space="preserve">Story Time: </w:t>
                      </w:r>
                      <w:r w:rsidRPr="00E66525">
                        <w:rPr>
                          <w:sz w:val="20"/>
                        </w:rPr>
                        <w:t>Which involves inviting parents</w:t>
                      </w:r>
                      <w:r>
                        <w:rPr>
                          <w:sz w:val="20"/>
                        </w:rPr>
                        <w:t xml:space="preserve"> /</w:t>
                      </w:r>
                      <w:r w:rsidRPr="00E66525">
                        <w:rPr>
                          <w:sz w:val="20"/>
                        </w:rPr>
                        <w:t xml:space="preserve"> elders to tell stories to children during reading group sessions.</w:t>
                      </w:r>
                    </w:p>
                    <w:p w14:paraId="796A84DB" w14:textId="77777777" w:rsidR="009F310F" w:rsidRPr="00E66525" w:rsidRDefault="009F310F" w:rsidP="00643EB3">
                      <w:pPr>
                        <w:shd w:val="clear" w:color="auto" w:fill="EDEDED" w:themeFill="accent3" w:themeFillTint="33"/>
                        <w:spacing w:after="120"/>
                        <w:rPr>
                          <w:sz w:val="20"/>
                        </w:rPr>
                      </w:pPr>
                      <w:r w:rsidRPr="00E66525">
                        <w:rPr>
                          <w:b/>
                          <w:sz w:val="20"/>
                        </w:rPr>
                        <w:t>Reading Fest:</w:t>
                      </w:r>
                      <w:r w:rsidRPr="00E66525">
                        <w:rPr>
                          <w:sz w:val="20"/>
                        </w:rPr>
                        <w:t xml:space="preserve"> </w:t>
                      </w:r>
                      <w:r>
                        <w:rPr>
                          <w:sz w:val="20"/>
                        </w:rPr>
                        <w:t>T</w:t>
                      </w:r>
                      <w:r w:rsidRPr="00E66525">
                        <w:rPr>
                          <w:sz w:val="20"/>
                        </w:rPr>
                        <w:t>he CLV is expected to organize a community activity/day to celebrate reading.</w:t>
                      </w:r>
                    </w:p>
                    <w:p w14:paraId="0677CC5C" w14:textId="77777777" w:rsidR="009F310F" w:rsidRDefault="009F310F" w:rsidP="00643EB3">
                      <w:pPr>
                        <w:shd w:val="clear" w:color="auto" w:fill="EDEDED" w:themeFill="accent3" w:themeFillTint="33"/>
                        <w:spacing w:after="120"/>
                        <w:rPr>
                          <w:sz w:val="20"/>
                        </w:rPr>
                      </w:pPr>
                      <w:r w:rsidRPr="00E66525">
                        <w:rPr>
                          <w:b/>
                          <w:sz w:val="20"/>
                        </w:rPr>
                        <w:t>Caregivers workshops:</w:t>
                      </w:r>
                      <w:r w:rsidRPr="00E66525">
                        <w:rPr>
                          <w:sz w:val="20"/>
                        </w:rPr>
                        <w:t xml:space="preserve"> </w:t>
                      </w:r>
                      <w:r>
                        <w:rPr>
                          <w:sz w:val="20"/>
                        </w:rPr>
                        <w:t>CLVs invite</w:t>
                      </w:r>
                      <w:r w:rsidRPr="00E66525">
                        <w:rPr>
                          <w:sz w:val="20"/>
                        </w:rPr>
                        <w:t xml:space="preserve"> parents/caregivers to attend 7 sessions on different topics, </w:t>
                      </w:r>
                      <w:r>
                        <w:rPr>
                          <w:sz w:val="20"/>
                        </w:rPr>
                        <w:t>including</w:t>
                      </w:r>
                      <w:r w:rsidRPr="00E66525">
                        <w:rPr>
                          <w:sz w:val="20"/>
                        </w:rPr>
                        <w:t xml:space="preserve"> expressive storytelling</w:t>
                      </w:r>
                      <w:r>
                        <w:rPr>
                          <w:sz w:val="20"/>
                        </w:rPr>
                        <w:t>/reading with children</w:t>
                      </w:r>
                      <w:r w:rsidRPr="00E66525">
                        <w:rPr>
                          <w:sz w:val="20"/>
                        </w:rPr>
                        <w:t xml:space="preserve">. </w:t>
                      </w:r>
                    </w:p>
                    <w:p w14:paraId="3CE79035" w14:textId="77777777" w:rsidR="009F310F" w:rsidRPr="00E66525" w:rsidRDefault="009F310F" w:rsidP="00643EB3">
                      <w:pPr>
                        <w:shd w:val="clear" w:color="auto" w:fill="EDEDED" w:themeFill="accent3" w:themeFillTint="33"/>
                        <w:spacing w:after="120"/>
                        <w:rPr>
                          <w:sz w:val="20"/>
                        </w:rPr>
                      </w:pPr>
                      <w:r w:rsidRPr="00E66525">
                        <w:rPr>
                          <w:b/>
                          <w:sz w:val="20"/>
                        </w:rPr>
                        <w:t>Bloom reader:</w:t>
                      </w:r>
                      <w:r w:rsidRPr="00E66525">
                        <w:rPr>
                          <w:sz w:val="20"/>
                        </w:rPr>
                        <w:t xml:space="preserve"> </w:t>
                      </w:r>
                      <w:r>
                        <w:rPr>
                          <w:sz w:val="20"/>
                        </w:rPr>
                        <w:t>CLVs are expected to</w:t>
                      </w:r>
                      <w:r w:rsidRPr="00E66525">
                        <w:rPr>
                          <w:sz w:val="20"/>
                        </w:rPr>
                        <w:t xml:space="preserve"> </w:t>
                      </w:r>
                      <w:r>
                        <w:rPr>
                          <w:sz w:val="20"/>
                        </w:rPr>
                        <w:t>promote the download of the Bloom Reader App from the Google Playstore, or transfer the</w:t>
                      </w:r>
                      <w:r w:rsidRPr="00E66525">
                        <w:rPr>
                          <w:sz w:val="20"/>
                        </w:rPr>
                        <w:t xml:space="preserve"> </w:t>
                      </w:r>
                      <w:r>
                        <w:rPr>
                          <w:sz w:val="20"/>
                        </w:rPr>
                        <w:t xml:space="preserve">reader content offline via Bluetooth </w:t>
                      </w:r>
                      <w:r w:rsidRPr="00E66525">
                        <w:rPr>
                          <w:sz w:val="20"/>
                        </w:rPr>
                        <w:t xml:space="preserve">to </w:t>
                      </w:r>
                      <w:r>
                        <w:rPr>
                          <w:sz w:val="20"/>
                        </w:rPr>
                        <w:t xml:space="preserve">the mobile phone of </w:t>
                      </w:r>
                      <w:r w:rsidRPr="00E66525">
                        <w:rPr>
                          <w:sz w:val="20"/>
                        </w:rPr>
                        <w:t>parents/care</w:t>
                      </w:r>
                      <w:r>
                        <w:rPr>
                          <w:sz w:val="20"/>
                        </w:rPr>
                        <w:t>givers.</w:t>
                      </w:r>
                    </w:p>
                  </w:txbxContent>
                </v:textbox>
                <w10:anchorlock/>
              </v:shape>
            </w:pict>
          </mc:Fallback>
        </mc:AlternateContent>
      </w:r>
    </w:p>
    <w:p w14:paraId="56219C4A" w14:textId="77777777" w:rsidR="00643EB3" w:rsidRPr="00FA288E" w:rsidRDefault="00643EB3" w:rsidP="00643EB3">
      <w:pPr>
        <w:spacing w:after="120"/>
        <w:rPr>
          <w:rFonts w:cs="Calibri"/>
          <w:sz w:val="20"/>
          <w:szCs w:val="20"/>
        </w:rPr>
      </w:pPr>
      <w:proofErr w:type="spellStart"/>
      <w:r w:rsidRPr="00FA288E">
        <w:rPr>
          <w:rFonts w:cs="Calibri"/>
          <w:sz w:val="20"/>
          <w:szCs w:val="20"/>
        </w:rPr>
        <w:t>i</w:t>
      </w:r>
      <w:proofErr w:type="spellEnd"/>
      <w:r w:rsidRPr="00FA288E">
        <w:rPr>
          <w:rFonts w:cs="Calibri"/>
          <w:sz w:val="20"/>
          <w:szCs w:val="20"/>
        </w:rPr>
        <w:t>) Observations on implementation</w:t>
      </w:r>
    </w:p>
    <w:p w14:paraId="62759EAB" w14:textId="77777777" w:rsidR="00643EB3" w:rsidRPr="00FA288E" w:rsidRDefault="00643EB3" w:rsidP="00061FD0">
      <w:pPr>
        <w:spacing w:after="120"/>
        <w:jc w:val="both"/>
        <w:rPr>
          <w:rFonts w:cs="Calibri"/>
          <w:i/>
          <w:sz w:val="20"/>
          <w:szCs w:val="20"/>
          <w:u w:val="single"/>
        </w:rPr>
      </w:pPr>
      <w:r w:rsidRPr="00FA288E">
        <w:rPr>
          <w:rFonts w:cs="Calibri"/>
          <w:i/>
          <w:sz w:val="20"/>
          <w:szCs w:val="20"/>
          <w:u w:val="single"/>
        </w:rPr>
        <w:t>a. CLVs, Reading clubs and the Bloom mobile app</w:t>
      </w:r>
    </w:p>
    <w:p w14:paraId="5554F384" w14:textId="77777777" w:rsidR="00643EB3" w:rsidRPr="00FA288E" w:rsidRDefault="00643EB3" w:rsidP="00061FD0">
      <w:pPr>
        <w:spacing w:after="120"/>
        <w:jc w:val="both"/>
        <w:rPr>
          <w:rFonts w:cs="Calibri"/>
          <w:sz w:val="20"/>
          <w:szCs w:val="20"/>
        </w:rPr>
      </w:pPr>
      <w:r w:rsidRPr="00FA288E">
        <w:rPr>
          <w:rFonts w:cs="Calibri"/>
          <w:sz w:val="20"/>
          <w:szCs w:val="20"/>
        </w:rPr>
        <w:t xml:space="preserve">The review team conducted interviews and observations with two (male) CEOs and three CLVs (one female) in East Sepik province only.  Varying degrees of community/school support were evident, with a clear need for further assistance to promote reach and sustainability of reading resources noted. </w:t>
      </w:r>
    </w:p>
    <w:p w14:paraId="370EF049" w14:textId="77777777" w:rsidR="00643EB3" w:rsidRPr="00FA288E" w:rsidRDefault="00643EB3" w:rsidP="00E873A4">
      <w:pPr>
        <w:pStyle w:val="Heading2"/>
        <w:ind w:left="360"/>
        <w:rPr>
          <w:b w:val="0"/>
          <w:bCs w:val="0"/>
          <w:sz w:val="20"/>
          <w:szCs w:val="20"/>
        </w:rPr>
      </w:pPr>
      <w:bookmarkStart w:id="159" w:name="_Box_6._While"/>
      <w:bookmarkStart w:id="160" w:name="_Toc26914395"/>
      <w:bookmarkStart w:id="161" w:name="_Toc31625615"/>
      <w:bookmarkStart w:id="162" w:name="_Toc42075995"/>
      <w:bookmarkEnd w:id="159"/>
      <w:r w:rsidRPr="00FA288E">
        <w:rPr>
          <w:b w:val="0"/>
          <w:bCs w:val="0"/>
          <w:sz w:val="20"/>
          <w:szCs w:val="20"/>
        </w:rPr>
        <w:t>Box 6. While successful and appreciated by participants, CLVs required further support for reading clubs</w:t>
      </w:r>
      <w:bookmarkEnd w:id="160"/>
      <w:bookmarkEnd w:id="161"/>
      <w:bookmarkEnd w:id="162"/>
    </w:p>
    <w:p w14:paraId="5324F87C" w14:textId="77777777" w:rsidR="00643EB3" w:rsidRPr="00FA288E" w:rsidRDefault="00643EB3" w:rsidP="00643EB3">
      <w:pPr>
        <w:rPr>
          <w:rFonts w:cs="Calibri"/>
          <w:sz w:val="20"/>
          <w:szCs w:val="20"/>
        </w:rPr>
      </w:pPr>
      <w:r w:rsidRPr="00FA288E">
        <w:rPr>
          <w:rFonts w:cs="Calibri"/>
          <w:noProof/>
          <w:sz w:val="20"/>
          <w:szCs w:val="20"/>
          <w:lang w:eastAsia="en-AU"/>
        </w:rPr>
        <mc:AlternateContent>
          <mc:Choice Requires="wps">
            <w:drawing>
              <wp:inline distT="0" distB="0" distL="0" distR="0" wp14:anchorId="095F1F8A" wp14:editId="2149A0CA">
                <wp:extent cx="5829300" cy="3914775"/>
                <wp:effectExtent l="0" t="0" r="19050" b="2857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914775"/>
                        </a:xfrm>
                        <a:prstGeom prst="rect">
                          <a:avLst/>
                        </a:prstGeom>
                        <a:solidFill>
                          <a:srgbClr val="EAEAEA"/>
                        </a:solidFill>
                        <a:ln w="9525">
                          <a:solidFill>
                            <a:schemeClr val="tx1"/>
                          </a:solidFill>
                          <a:miter lim="800000"/>
                          <a:headEnd/>
                          <a:tailEnd/>
                        </a:ln>
                      </wps:spPr>
                      <wps:txbx>
                        <w:txbxContent>
                          <w:p w14:paraId="3D3F6C25" w14:textId="77777777" w:rsidR="009F310F" w:rsidRPr="003D088B" w:rsidRDefault="009F310F" w:rsidP="00643EB3">
                            <w:pPr>
                              <w:shd w:val="clear" w:color="auto" w:fill="EDEDED" w:themeFill="accent3" w:themeFillTint="33"/>
                              <w:spacing w:after="120"/>
                              <w:rPr>
                                <w:sz w:val="20"/>
                              </w:rPr>
                            </w:pPr>
                            <w:r>
                              <w:rPr>
                                <w:sz w:val="20"/>
                              </w:rPr>
                              <w:t>A RISE school visited</w:t>
                            </w:r>
                            <w:r w:rsidRPr="003D088B">
                              <w:rPr>
                                <w:sz w:val="20"/>
                              </w:rPr>
                              <w:t xml:space="preserve"> </w:t>
                            </w:r>
                            <w:r>
                              <w:rPr>
                                <w:sz w:val="20"/>
                              </w:rPr>
                              <w:t>during the review serves</w:t>
                            </w:r>
                            <w:r w:rsidRPr="003D088B">
                              <w:rPr>
                                <w:sz w:val="20"/>
                              </w:rPr>
                              <w:t xml:space="preserve"> children from 7 surrounding villages. The CLVs interviewed (one male and one female) </w:t>
                            </w:r>
                            <w:r>
                              <w:rPr>
                                <w:sz w:val="20"/>
                              </w:rPr>
                              <w:t>run a reading club</w:t>
                            </w:r>
                            <w:r w:rsidRPr="003D088B">
                              <w:rPr>
                                <w:sz w:val="20"/>
                              </w:rPr>
                              <w:t xml:space="preserve"> </w:t>
                            </w:r>
                            <w:r>
                              <w:rPr>
                                <w:sz w:val="20"/>
                              </w:rPr>
                              <w:t xml:space="preserve">with 29 members </w:t>
                            </w:r>
                            <w:r w:rsidRPr="003D088B">
                              <w:rPr>
                                <w:sz w:val="20"/>
                              </w:rPr>
                              <w:t xml:space="preserve">in </w:t>
                            </w:r>
                            <w:r>
                              <w:rPr>
                                <w:sz w:val="20"/>
                              </w:rPr>
                              <w:t>their own their village where the</w:t>
                            </w:r>
                            <w:r w:rsidRPr="003D088B">
                              <w:rPr>
                                <w:sz w:val="20"/>
                              </w:rPr>
                              <w:t xml:space="preserve"> book kit is presently </w:t>
                            </w:r>
                            <w:r>
                              <w:rPr>
                                <w:sz w:val="20"/>
                              </w:rPr>
                              <w:t>stored</w:t>
                            </w:r>
                            <w:r w:rsidRPr="003D088B">
                              <w:rPr>
                                <w:sz w:val="20"/>
                              </w:rPr>
                              <w:t xml:space="preserve">. </w:t>
                            </w:r>
                            <w:r>
                              <w:rPr>
                                <w:sz w:val="20"/>
                              </w:rPr>
                              <w:t xml:space="preserve">About 50% </w:t>
                            </w:r>
                            <w:r w:rsidRPr="003D088B">
                              <w:rPr>
                                <w:sz w:val="20"/>
                              </w:rPr>
                              <w:t>of</w:t>
                            </w:r>
                            <w:r>
                              <w:rPr>
                                <w:sz w:val="20"/>
                              </w:rPr>
                              <w:t xml:space="preserve"> their</w:t>
                            </w:r>
                            <w:r w:rsidRPr="003D088B">
                              <w:rPr>
                                <w:sz w:val="20"/>
                              </w:rPr>
                              <w:t xml:space="preserve"> </w:t>
                            </w:r>
                            <w:r>
                              <w:rPr>
                                <w:sz w:val="20"/>
                              </w:rPr>
                              <w:t>members</w:t>
                            </w:r>
                            <w:r w:rsidRPr="003D088B">
                              <w:rPr>
                                <w:sz w:val="20"/>
                              </w:rPr>
                              <w:t xml:space="preserve"> are girls, reflecting children’s interest to attend rather than </w:t>
                            </w:r>
                            <w:r>
                              <w:rPr>
                                <w:sz w:val="20"/>
                              </w:rPr>
                              <w:t>any special encouragement</w:t>
                            </w:r>
                            <w:r w:rsidRPr="003D088B">
                              <w:rPr>
                                <w:sz w:val="20"/>
                              </w:rPr>
                              <w:t xml:space="preserve">. They have completed their 14 reading group sessions. Children borrow books and take them home, and the return rate is high because the CLVs know each family intimately. </w:t>
                            </w:r>
                            <w:r>
                              <w:rPr>
                                <w:iCs/>
                                <w:sz w:val="20"/>
                              </w:rPr>
                              <w:t>The CLVs had not conducted the ‘story time’ or ‘reading fest’ activities expected of CLVs as they did not think the community was particularly interested in either activity.</w:t>
                            </w:r>
                          </w:p>
                          <w:p w14:paraId="45249092" w14:textId="77777777" w:rsidR="009F310F" w:rsidRPr="003D088B" w:rsidRDefault="009F310F" w:rsidP="00643EB3">
                            <w:pPr>
                              <w:shd w:val="clear" w:color="auto" w:fill="EDEDED" w:themeFill="accent3" w:themeFillTint="33"/>
                              <w:spacing w:after="120"/>
                              <w:rPr>
                                <w:sz w:val="20"/>
                              </w:rPr>
                            </w:pPr>
                            <w:r w:rsidRPr="003D088B">
                              <w:rPr>
                                <w:sz w:val="20"/>
                              </w:rPr>
                              <w:t xml:space="preserve">Rather than commence another 14 sessions in another village, the CLV’s preference was to hold </w:t>
                            </w:r>
                            <w:r>
                              <w:rPr>
                                <w:sz w:val="20"/>
                              </w:rPr>
                              <w:t>further sessions at</w:t>
                            </w:r>
                            <w:r w:rsidRPr="003D088B">
                              <w:rPr>
                                <w:sz w:val="20"/>
                              </w:rPr>
                              <w:t xml:space="preserve"> </w:t>
                            </w:r>
                            <w:r>
                              <w:rPr>
                                <w:sz w:val="20"/>
                              </w:rPr>
                              <w:t>a centralized location - the elementary school</w:t>
                            </w:r>
                            <w:r w:rsidRPr="003D088B">
                              <w:rPr>
                                <w:sz w:val="20"/>
                              </w:rPr>
                              <w:t xml:space="preserve">. They had asked permission from </w:t>
                            </w:r>
                            <w:r>
                              <w:rPr>
                                <w:sz w:val="20"/>
                              </w:rPr>
                              <w:t xml:space="preserve">the </w:t>
                            </w:r>
                            <w:r w:rsidRPr="003D088B">
                              <w:rPr>
                                <w:sz w:val="20"/>
                              </w:rPr>
                              <w:t>T</w:t>
                            </w:r>
                            <w:r>
                              <w:rPr>
                                <w:sz w:val="20"/>
                              </w:rPr>
                              <w:t>i</w:t>
                            </w:r>
                            <w:r w:rsidRPr="003D088B">
                              <w:rPr>
                                <w:sz w:val="20"/>
                              </w:rPr>
                              <w:t>C and the School</w:t>
                            </w:r>
                            <w:r>
                              <w:rPr>
                                <w:sz w:val="20"/>
                              </w:rPr>
                              <w:t>’</w:t>
                            </w:r>
                            <w:r w:rsidRPr="003D088B">
                              <w:rPr>
                                <w:sz w:val="20"/>
                              </w:rPr>
                              <w:t>s Board of Management</w:t>
                            </w:r>
                            <w:r>
                              <w:rPr>
                                <w:sz w:val="20"/>
                              </w:rPr>
                              <w:t>.</w:t>
                            </w:r>
                            <w:r w:rsidRPr="003D088B">
                              <w:rPr>
                                <w:sz w:val="20"/>
                              </w:rPr>
                              <w:t xml:space="preserve"> </w:t>
                            </w:r>
                            <w:r>
                              <w:rPr>
                                <w:sz w:val="20"/>
                              </w:rPr>
                              <w:t>H</w:t>
                            </w:r>
                            <w:r w:rsidRPr="003D088B">
                              <w:rPr>
                                <w:sz w:val="20"/>
                              </w:rPr>
                              <w:t>owever</w:t>
                            </w:r>
                            <w:r>
                              <w:rPr>
                                <w:sz w:val="20"/>
                              </w:rPr>
                              <w:t>,</w:t>
                            </w:r>
                            <w:r w:rsidRPr="003D088B">
                              <w:rPr>
                                <w:sz w:val="20"/>
                              </w:rPr>
                              <w:t xml:space="preserve"> the school</w:t>
                            </w:r>
                            <w:r>
                              <w:rPr>
                                <w:sz w:val="20"/>
                              </w:rPr>
                              <w:t>’</w:t>
                            </w:r>
                            <w:r w:rsidRPr="003D088B">
                              <w:rPr>
                                <w:sz w:val="20"/>
                              </w:rPr>
                              <w:t>s view was that the CLVs should repeat the reading club in each of the other 6 villages</w:t>
                            </w:r>
                            <w:r>
                              <w:rPr>
                                <w:sz w:val="20"/>
                              </w:rPr>
                              <w:t xml:space="preserve"> first</w:t>
                            </w:r>
                            <w:r w:rsidRPr="003D088B">
                              <w:rPr>
                                <w:sz w:val="20"/>
                              </w:rPr>
                              <w:t>.</w:t>
                            </w:r>
                            <w:r>
                              <w:rPr>
                                <w:sz w:val="20"/>
                              </w:rPr>
                              <w:t xml:space="preserve"> T</w:t>
                            </w:r>
                            <w:r w:rsidRPr="003D088B">
                              <w:rPr>
                                <w:sz w:val="20"/>
                              </w:rPr>
                              <w:t>he CLVs were</w:t>
                            </w:r>
                            <w:r>
                              <w:rPr>
                                <w:sz w:val="20"/>
                              </w:rPr>
                              <w:t xml:space="preserve"> not</w:t>
                            </w:r>
                            <w:r w:rsidRPr="003D088B">
                              <w:rPr>
                                <w:sz w:val="20"/>
                              </w:rPr>
                              <w:t xml:space="preserve"> prepared </w:t>
                            </w:r>
                            <w:r>
                              <w:rPr>
                                <w:sz w:val="20"/>
                              </w:rPr>
                              <w:t>to undertake such a time-intensive commitment</w:t>
                            </w:r>
                            <w:r w:rsidRPr="003D088B">
                              <w:rPr>
                                <w:sz w:val="20"/>
                              </w:rPr>
                              <w:t xml:space="preserve">. Instead of compromising, the </w:t>
                            </w:r>
                            <w:r>
                              <w:rPr>
                                <w:sz w:val="20"/>
                              </w:rPr>
                              <w:t>SBoM</w:t>
                            </w:r>
                            <w:r w:rsidRPr="003D088B">
                              <w:rPr>
                                <w:sz w:val="20"/>
                              </w:rPr>
                              <w:t xml:space="preserve"> chair’s </w:t>
                            </w:r>
                            <w:r>
                              <w:rPr>
                                <w:sz w:val="20"/>
                              </w:rPr>
                              <w:t>solution</w:t>
                            </w:r>
                            <w:r w:rsidRPr="003D088B">
                              <w:rPr>
                                <w:sz w:val="20"/>
                              </w:rPr>
                              <w:t xml:space="preserve"> was for RISE to provide a CLV and book kit for </w:t>
                            </w:r>
                            <w:r w:rsidRPr="003D088B">
                              <w:rPr>
                                <w:i/>
                                <w:sz w:val="20"/>
                              </w:rPr>
                              <w:t>every</w:t>
                            </w:r>
                            <w:r w:rsidRPr="003D088B">
                              <w:rPr>
                                <w:sz w:val="20"/>
                              </w:rPr>
                              <w:t xml:space="preserve"> village</w:t>
                            </w:r>
                            <w:r>
                              <w:rPr>
                                <w:sz w:val="20"/>
                              </w:rPr>
                              <w:t xml:space="preserve">. </w:t>
                            </w:r>
                            <w:r w:rsidRPr="003D088B">
                              <w:rPr>
                                <w:sz w:val="20"/>
                              </w:rPr>
                              <w:t>Parents from the CLV</w:t>
                            </w:r>
                            <w:r>
                              <w:rPr>
                                <w:sz w:val="20"/>
                              </w:rPr>
                              <w:t>’s</w:t>
                            </w:r>
                            <w:r w:rsidRPr="003D088B">
                              <w:rPr>
                                <w:sz w:val="20"/>
                              </w:rPr>
                              <w:t xml:space="preserve"> village also did not particularly want the books to be moved from their village, and had a high degree of ownership of the localized </w:t>
                            </w:r>
                            <w:r>
                              <w:rPr>
                                <w:sz w:val="20"/>
                              </w:rPr>
                              <w:t>resource, seeing clear benefits for</w:t>
                            </w:r>
                            <w:r w:rsidRPr="003D088B">
                              <w:rPr>
                                <w:sz w:val="20"/>
                              </w:rPr>
                              <w:t xml:space="preserve"> their children. Although aimed at Elementary children, they believed that it was useful to send their pre-schoolers </w:t>
                            </w:r>
                            <w:r>
                              <w:rPr>
                                <w:sz w:val="20"/>
                              </w:rPr>
                              <w:t>as well</w:t>
                            </w:r>
                            <w:r w:rsidRPr="003D088B">
                              <w:rPr>
                                <w:sz w:val="20"/>
                              </w:rPr>
                              <w:t xml:space="preserve"> so they </w:t>
                            </w:r>
                            <w:r>
                              <w:rPr>
                                <w:sz w:val="20"/>
                              </w:rPr>
                              <w:t xml:space="preserve">would be able to read when they went to school: </w:t>
                            </w:r>
                            <w:r w:rsidRPr="003D088B">
                              <w:rPr>
                                <w:sz w:val="20"/>
                              </w:rPr>
                              <w:t>“the children learn the sounds at school, but reading club improved their reading”.</w:t>
                            </w:r>
                          </w:p>
                          <w:p w14:paraId="26CB15AB" w14:textId="77777777" w:rsidR="009F310F" w:rsidRPr="005C4A07" w:rsidRDefault="009F310F" w:rsidP="00643EB3">
                            <w:pPr>
                              <w:shd w:val="clear" w:color="auto" w:fill="EDEDED" w:themeFill="accent3" w:themeFillTint="33"/>
                              <w:spacing w:after="120"/>
                              <w:rPr>
                                <w:sz w:val="20"/>
                              </w:rPr>
                            </w:pPr>
                            <w:r w:rsidRPr="003D088B">
                              <w:rPr>
                                <w:sz w:val="20"/>
                              </w:rPr>
                              <w:t xml:space="preserve">It is therefore not clear whether the reading resources will extend beyond the </w:t>
                            </w:r>
                            <w:r>
                              <w:rPr>
                                <w:sz w:val="20"/>
                              </w:rPr>
                              <w:t xml:space="preserve">29 children in the </w:t>
                            </w:r>
                            <w:r w:rsidRPr="003D088B">
                              <w:rPr>
                                <w:sz w:val="20"/>
                              </w:rPr>
                              <w:t>CLV’s own village.</w:t>
                            </w:r>
                            <w:r>
                              <w:rPr>
                                <w:sz w:val="20"/>
                              </w:rPr>
                              <w:t xml:space="preserve"> </w:t>
                            </w:r>
                            <w:r w:rsidRPr="003D088B">
                              <w:rPr>
                                <w:sz w:val="20"/>
                              </w:rPr>
                              <w:t xml:space="preserve">The CEOs indicated that most schools in the other districts do allow the CLVs to operate from the school, though this </w:t>
                            </w:r>
                            <w:r>
                              <w:rPr>
                                <w:sz w:val="20"/>
                              </w:rPr>
                              <w:t>did</w:t>
                            </w:r>
                            <w:r w:rsidRPr="003D088B">
                              <w:rPr>
                                <w:sz w:val="20"/>
                              </w:rPr>
                              <w:t xml:space="preserve"> not often </w:t>
                            </w:r>
                            <w:r>
                              <w:rPr>
                                <w:sz w:val="20"/>
                              </w:rPr>
                              <w:t xml:space="preserve">happen </w:t>
                            </w:r>
                            <w:r w:rsidRPr="003D088B">
                              <w:rPr>
                                <w:sz w:val="20"/>
                              </w:rPr>
                              <w:t xml:space="preserve">through invitation, but only after the CEO had </w:t>
                            </w:r>
                            <w:r>
                              <w:rPr>
                                <w:sz w:val="20"/>
                              </w:rPr>
                              <w:t>intervened by approaching the school head to explain</w:t>
                            </w:r>
                            <w:r w:rsidRPr="003D088B">
                              <w:rPr>
                                <w:sz w:val="20"/>
                              </w:rPr>
                              <w:t xml:space="preserve"> th</w:t>
                            </w:r>
                            <w:r>
                              <w:rPr>
                                <w:sz w:val="20"/>
                              </w:rPr>
                              <w:t xml:space="preserve">e role of the CLV more clearly and to seek permission to work from the school. </w:t>
                            </w:r>
                          </w:p>
                        </w:txbxContent>
                      </wps:txbx>
                      <wps:bodyPr rot="0" vert="horz" wrap="square" lIns="91440" tIns="45720" rIns="91440" bIns="45720" anchor="t" anchorCtr="0">
                        <a:noAutofit/>
                      </wps:bodyPr>
                    </wps:wsp>
                  </a:graphicData>
                </a:graphic>
              </wp:inline>
            </w:drawing>
          </mc:Choice>
          <mc:Fallback>
            <w:pict>
              <v:shape w14:anchorId="095F1F8A" id="Text Box 9" o:spid="_x0000_s1031" type="#_x0000_t202" style="width:459pt;height:30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" fillcolor="#eaeaea" strokecolor="black [3213]">
                <v:textbox>
                  <w:txbxContent>
                    <w:p w14:paraId="3D3F6C25" w14:textId="77777777" w:rsidR="009F310F" w:rsidRPr="003D088B" w:rsidRDefault="009F310F" w:rsidP="00643EB3">
                      <w:pPr>
                        <w:shd w:val="clear" w:color="auto" w:fill="EDEDED" w:themeFill="accent3" w:themeFillTint="33"/>
                        <w:spacing w:after="120"/>
                        <w:rPr>
                          <w:sz w:val="20"/>
                        </w:rPr>
                      </w:pPr>
                      <w:r>
                        <w:rPr>
                          <w:sz w:val="20"/>
                        </w:rPr>
                        <w:t>A RISE school visited</w:t>
                      </w:r>
                      <w:r w:rsidRPr="003D088B">
                        <w:rPr>
                          <w:sz w:val="20"/>
                        </w:rPr>
                        <w:t xml:space="preserve"> </w:t>
                      </w:r>
                      <w:r>
                        <w:rPr>
                          <w:sz w:val="20"/>
                        </w:rPr>
                        <w:t>during the review serves</w:t>
                      </w:r>
                      <w:r w:rsidRPr="003D088B">
                        <w:rPr>
                          <w:sz w:val="20"/>
                        </w:rPr>
                        <w:t xml:space="preserve"> children from 7 surrounding villages. The CLVs interviewed (one male and one female) </w:t>
                      </w:r>
                      <w:r>
                        <w:rPr>
                          <w:sz w:val="20"/>
                        </w:rPr>
                        <w:t>run a reading club</w:t>
                      </w:r>
                      <w:r w:rsidRPr="003D088B">
                        <w:rPr>
                          <w:sz w:val="20"/>
                        </w:rPr>
                        <w:t xml:space="preserve"> </w:t>
                      </w:r>
                      <w:r>
                        <w:rPr>
                          <w:sz w:val="20"/>
                        </w:rPr>
                        <w:t xml:space="preserve">with 29 members </w:t>
                      </w:r>
                      <w:r w:rsidRPr="003D088B">
                        <w:rPr>
                          <w:sz w:val="20"/>
                        </w:rPr>
                        <w:t xml:space="preserve">in </w:t>
                      </w:r>
                      <w:r>
                        <w:rPr>
                          <w:sz w:val="20"/>
                        </w:rPr>
                        <w:t>their own their village where the</w:t>
                      </w:r>
                      <w:r w:rsidRPr="003D088B">
                        <w:rPr>
                          <w:sz w:val="20"/>
                        </w:rPr>
                        <w:t xml:space="preserve"> book kit is presently </w:t>
                      </w:r>
                      <w:r>
                        <w:rPr>
                          <w:sz w:val="20"/>
                        </w:rPr>
                        <w:t>stored</w:t>
                      </w:r>
                      <w:r w:rsidRPr="003D088B">
                        <w:rPr>
                          <w:sz w:val="20"/>
                        </w:rPr>
                        <w:t xml:space="preserve">. </w:t>
                      </w:r>
                      <w:r>
                        <w:rPr>
                          <w:sz w:val="20"/>
                        </w:rPr>
                        <w:t xml:space="preserve">About 50% </w:t>
                      </w:r>
                      <w:r w:rsidRPr="003D088B">
                        <w:rPr>
                          <w:sz w:val="20"/>
                        </w:rPr>
                        <w:t>of</w:t>
                      </w:r>
                      <w:r>
                        <w:rPr>
                          <w:sz w:val="20"/>
                        </w:rPr>
                        <w:t xml:space="preserve"> their</w:t>
                      </w:r>
                      <w:r w:rsidRPr="003D088B">
                        <w:rPr>
                          <w:sz w:val="20"/>
                        </w:rPr>
                        <w:t xml:space="preserve"> </w:t>
                      </w:r>
                      <w:r>
                        <w:rPr>
                          <w:sz w:val="20"/>
                        </w:rPr>
                        <w:t>members</w:t>
                      </w:r>
                      <w:r w:rsidRPr="003D088B">
                        <w:rPr>
                          <w:sz w:val="20"/>
                        </w:rPr>
                        <w:t xml:space="preserve"> are girls, reflecting children’s interest to attend rather than </w:t>
                      </w:r>
                      <w:r>
                        <w:rPr>
                          <w:sz w:val="20"/>
                        </w:rPr>
                        <w:t>any special encouragement</w:t>
                      </w:r>
                      <w:r w:rsidRPr="003D088B">
                        <w:rPr>
                          <w:sz w:val="20"/>
                        </w:rPr>
                        <w:t xml:space="preserve">. They have completed their 14 reading group sessions. Children borrow books and take them home, and the return rate is high because the CLVs know each family intimately. </w:t>
                      </w:r>
                      <w:r>
                        <w:rPr>
                          <w:iCs/>
                          <w:sz w:val="20"/>
                        </w:rPr>
                        <w:t>The CLVs had not conducted the ‘story time’ or ‘reading fest’ activities expected of CLVs as they did not think the community was particularly interested in either activity.</w:t>
                      </w:r>
                    </w:p>
                    <w:p w14:paraId="45249092" w14:textId="77777777" w:rsidR="009F310F" w:rsidRPr="003D088B" w:rsidRDefault="009F310F" w:rsidP="00643EB3">
                      <w:pPr>
                        <w:shd w:val="clear" w:color="auto" w:fill="EDEDED" w:themeFill="accent3" w:themeFillTint="33"/>
                        <w:spacing w:after="120"/>
                        <w:rPr>
                          <w:sz w:val="20"/>
                        </w:rPr>
                      </w:pPr>
                      <w:r w:rsidRPr="003D088B">
                        <w:rPr>
                          <w:sz w:val="20"/>
                        </w:rPr>
                        <w:t xml:space="preserve">Rather than commence another 14 sessions in another village, the CLV’s preference was to hold </w:t>
                      </w:r>
                      <w:r>
                        <w:rPr>
                          <w:sz w:val="20"/>
                        </w:rPr>
                        <w:t>further sessions at</w:t>
                      </w:r>
                      <w:r w:rsidRPr="003D088B">
                        <w:rPr>
                          <w:sz w:val="20"/>
                        </w:rPr>
                        <w:t xml:space="preserve"> </w:t>
                      </w:r>
                      <w:r>
                        <w:rPr>
                          <w:sz w:val="20"/>
                        </w:rPr>
                        <w:t>a centralized location - the elementary school</w:t>
                      </w:r>
                      <w:r w:rsidRPr="003D088B">
                        <w:rPr>
                          <w:sz w:val="20"/>
                        </w:rPr>
                        <w:t xml:space="preserve">. They had asked permission from </w:t>
                      </w:r>
                      <w:r>
                        <w:rPr>
                          <w:sz w:val="20"/>
                        </w:rPr>
                        <w:t xml:space="preserve">the </w:t>
                      </w:r>
                      <w:r w:rsidRPr="003D088B">
                        <w:rPr>
                          <w:sz w:val="20"/>
                        </w:rPr>
                        <w:t>T</w:t>
                      </w:r>
                      <w:r>
                        <w:rPr>
                          <w:sz w:val="20"/>
                        </w:rPr>
                        <w:t>i</w:t>
                      </w:r>
                      <w:r w:rsidRPr="003D088B">
                        <w:rPr>
                          <w:sz w:val="20"/>
                        </w:rPr>
                        <w:t>C and the School</w:t>
                      </w:r>
                      <w:r>
                        <w:rPr>
                          <w:sz w:val="20"/>
                        </w:rPr>
                        <w:t>’</w:t>
                      </w:r>
                      <w:r w:rsidRPr="003D088B">
                        <w:rPr>
                          <w:sz w:val="20"/>
                        </w:rPr>
                        <w:t>s Board of Management</w:t>
                      </w:r>
                      <w:r>
                        <w:rPr>
                          <w:sz w:val="20"/>
                        </w:rPr>
                        <w:t>.</w:t>
                      </w:r>
                      <w:r w:rsidRPr="003D088B">
                        <w:rPr>
                          <w:sz w:val="20"/>
                        </w:rPr>
                        <w:t xml:space="preserve"> </w:t>
                      </w:r>
                      <w:r>
                        <w:rPr>
                          <w:sz w:val="20"/>
                        </w:rPr>
                        <w:t>H</w:t>
                      </w:r>
                      <w:r w:rsidRPr="003D088B">
                        <w:rPr>
                          <w:sz w:val="20"/>
                        </w:rPr>
                        <w:t>owever</w:t>
                      </w:r>
                      <w:r>
                        <w:rPr>
                          <w:sz w:val="20"/>
                        </w:rPr>
                        <w:t>,</w:t>
                      </w:r>
                      <w:r w:rsidRPr="003D088B">
                        <w:rPr>
                          <w:sz w:val="20"/>
                        </w:rPr>
                        <w:t xml:space="preserve"> the school</w:t>
                      </w:r>
                      <w:r>
                        <w:rPr>
                          <w:sz w:val="20"/>
                        </w:rPr>
                        <w:t>’</w:t>
                      </w:r>
                      <w:r w:rsidRPr="003D088B">
                        <w:rPr>
                          <w:sz w:val="20"/>
                        </w:rPr>
                        <w:t>s view was that the CLVs should repeat the reading club in each of the other 6 villages</w:t>
                      </w:r>
                      <w:r>
                        <w:rPr>
                          <w:sz w:val="20"/>
                        </w:rPr>
                        <w:t xml:space="preserve"> first</w:t>
                      </w:r>
                      <w:r w:rsidRPr="003D088B">
                        <w:rPr>
                          <w:sz w:val="20"/>
                        </w:rPr>
                        <w:t>.</w:t>
                      </w:r>
                      <w:r>
                        <w:rPr>
                          <w:sz w:val="20"/>
                        </w:rPr>
                        <w:t xml:space="preserve"> T</w:t>
                      </w:r>
                      <w:r w:rsidRPr="003D088B">
                        <w:rPr>
                          <w:sz w:val="20"/>
                        </w:rPr>
                        <w:t>he CLVs were</w:t>
                      </w:r>
                      <w:r>
                        <w:rPr>
                          <w:sz w:val="20"/>
                        </w:rPr>
                        <w:t xml:space="preserve"> not</w:t>
                      </w:r>
                      <w:r w:rsidRPr="003D088B">
                        <w:rPr>
                          <w:sz w:val="20"/>
                        </w:rPr>
                        <w:t xml:space="preserve"> prepared </w:t>
                      </w:r>
                      <w:r>
                        <w:rPr>
                          <w:sz w:val="20"/>
                        </w:rPr>
                        <w:t>to undertake such a time-intensive commitment</w:t>
                      </w:r>
                      <w:r w:rsidRPr="003D088B">
                        <w:rPr>
                          <w:sz w:val="20"/>
                        </w:rPr>
                        <w:t xml:space="preserve">. Instead of compromising, the </w:t>
                      </w:r>
                      <w:r>
                        <w:rPr>
                          <w:sz w:val="20"/>
                        </w:rPr>
                        <w:t>SBoM</w:t>
                      </w:r>
                      <w:r w:rsidRPr="003D088B">
                        <w:rPr>
                          <w:sz w:val="20"/>
                        </w:rPr>
                        <w:t xml:space="preserve"> chair’s </w:t>
                      </w:r>
                      <w:r>
                        <w:rPr>
                          <w:sz w:val="20"/>
                        </w:rPr>
                        <w:t>solution</w:t>
                      </w:r>
                      <w:r w:rsidRPr="003D088B">
                        <w:rPr>
                          <w:sz w:val="20"/>
                        </w:rPr>
                        <w:t xml:space="preserve"> was for RISE to provide a CLV and book kit for </w:t>
                      </w:r>
                      <w:r w:rsidRPr="003D088B">
                        <w:rPr>
                          <w:i/>
                          <w:sz w:val="20"/>
                        </w:rPr>
                        <w:t>every</w:t>
                      </w:r>
                      <w:r w:rsidRPr="003D088B">
                        <w:rPr>
                          <w:sz w:val="20"/>
                        </w:rPr>
                        <w:t xml:space="preserve"> village</w:t>
                      </w:r>
                      <w:r>
                        <w:rPr>
                          <w:sz w:val="20"/>
                        </w:rPr>
                        <w:t xml:space="preserve">. </w:t>
                      </w:r>
                      <w:r w:rsidRPr="003D088B">
                        <w:rPr>
                          <w:sz w:val="20"/>
                        </w:rPr>
                        <w:t>Parents from the CLV</w:t>
                      </w:r>
                      <w:r>
                        <w:rPr>
                          <w:sz w:val="20"/>
                        </w:rPr>
                        <w:t>’s</w:t>
                      </w:r>
                      <w:r w:rsidRPr="003D088B">
                        <w:rPr>
                          <w:sz w:val="20"/>
                        </w:rPr>
                        <w:t xml:space="preserve"> village also did not particularly want the books to be moved from their village, and had a high degree of ownership of the localized </w:t>
                      </w:r>
                      <w:r>
                        <w:rPr>
                          <w:sz w:val="20"/>
                        </w:rPr>
                        <w:t>resource, seeing clear benefits for</w:t>
                      </w:r>
                      <w:r w:rsidRPr="003D088B">
                        <w:rPr>
                          <w:sz w:val="20"/>
                        </w:rPr>
                        <w:t xml:space="preserve"> their children. Although aimed at Elementary children, they believed that it was useful to send their pre-schoolers </w:t>
                      </w:r>
                      <w:r>
                        <w:rPr>
                          <w:sz w:val="20"/>
                        </w:rPr>
                        <w:t>as well</w:t>
                      </w:r>
                      <w:r w:rsidRPr="003D088B">
                        <w:rPr>
                          <w:sz w:val="20"/>
                        </w:rPr>
                        <w:t xml:space="preserve"> so they </w:t>
                      </w:r>
                      <w:r>
                        <w:rPr>
                          <w:sz w:val="20"/>
                        </w:rPr>
                        <w:t xml:space="preserve">would be able to read when they went to school: </w:t>
                      </w:r>
                      <w:r w:rsidRPr="003D088B">
                        <w:rPr>
                          <w:sz w:val="20"/>
                        </w:rPr>
                        <w:t>“the children learn the sounds at school, but reading club improved their reading”.</w:t>
                      </w:r>
                    </w:p>
                    <w:p w14:paraId="26CB15AB" w14:textId="77777777" w:rsidR="009F310F" w:rsidRPr="005C4A07" w:rsidRDefault="009F310F" w:rsidP="00643EB3">
                      <w:pPr>
                        <w:shd w:val="clear" w:color="auto" w:fill="EDEDED" w:themeFill="accent3" w:themeFillTint="33"/>
                        <w:spacing w:after="120"/>
                        <w:rPr>
                          <w:sz w:val="20"/>
                        </w:rPr>
                      </w:pPr>
                      <w:r w:rsidRPr="003D088B">
                        <w:rPr>
                          <w:sz w:val="20"/>
                        </w:rPr>
                        <w:t xml:space="preserve">It is therefore not clear whether the reading resources will extend beyond the </w:t>
                      </w:r>
                      <w:r>
                        <w:rPr>
                          <w:sz w:val="20"/>
                        </w:rPr>
                        <w:t xml:space="preserve">29 children in the </w:t>
                      </w:r>
                      <w:r w:rsidRPr="003D088B">
                        <w:rPr>
                          <w:sz w:val="20"/>
                        </w:rPr>
                        <w:t>CLV’s own village.</w:t>
                      </w:r>
                      <w:r>
                        <w:rPr>
                          <w:sz w:val="20"/>
                        </w:rPr>
                        <w:t xml:space="preserve"> </w:t>
                      </w:r>
                      <w:r w:rsidRPr="003D088B">
                        <w:rPr>
                          <w:sz w:val="20"/>
                        </w:rPr>
                        <w:t xml:space="preserve">The CEOs indicated that most schools in the other districts do allow the CLVs to operate from the school, though this </w:t>
                      </w:r>
                      <w:r>
                        <w:rPr>
                          <w:sz w:val="20"/>
                        </w:rPr>
                        <w:t>did</w:t>
                      </w:r>
                      <w:r w:rsidRPr="003D088B">
                        <w:rPr>
                          <w:sz w:val="20"/>
                        </w:rPr>
                        <w:t xml:space="preserve"> not often </w:t>
                      </w:r>
                      <w:r>
                        <w:rPr>
                          <w:sz w:val="20"/>
                        </w:rPr>
                        <w:t xml:space="preserve">happen </w:t>
                      </w:r>
                      <w:r w:rsidRPr="003D088B">
                        <w:rPr>
                          <w:sz w:val="20"/>
                        </w:rPr>
                        <w:t xml:space="preserve">through invitation, but only after the CEO had </w:t>
                      </w:r>
                      <w:r>
                        <w:rPr>
                          <w:sz w:val="20"/>
                        </w:rPr>
                        <w:t>intervened by approaching the school head to explain</w:t>
                      </w:r>
                      <w:r w:rsidRPr="003D088B">
                        <w:rPr>
                          <w:sz w:val="20"/>
                        </w:rPr>
                        <w:t xml:space="preserve"> th</w:t>
                      </w:r>
                      <w:r>
                        <w:rPr>
                          <w:sz w:val="20"/>
                        </w:rPr>
                        <w:t xml:space="preserve">e role of the CLV more clearly and to seek permission to work from the school. </w:t>
                      </w:r>
                    </w:p>
                  </w:txbxContent>
                </v:textbox>
                <w10:anchorlock/>
              </v:shape>
            </w:pict>
          </mc:Fallback>
        </mc:AlternateContent>
      </w:r>
    </w:p>
    <w:p w14:paraId="4C5D9054" w14:textId="77777777" w:rsidR="00643EB3" w:rsidRPr="00FA288E" w:rsidRDefault="00643EB3" w:rsidP="00061FD0">
      <w:pPr>
        <w:spacing w:after="120"/>
        <w:jc w:val="both"/>
        <w:rPr>
          <w:rFonts w:cs="Calibri"/>
          <w:sz w:val="20"/>
          <w:szCs w:val="20"/>
        </w:rPr>
      </w:pPr>
      <w:r w:rsidRPr="00FA288E">
        <w:rPr>
          <w:rFonts w:cs="Calibri"/>
          <w:sz w:val="20"/>
          <w:szCs w:val="20"/>
        </w:rPr>
        <w:t xml:space="preserve">As the RISE </w:t>
      </w:r>
      <w:r w:rsidR="00C12692" w:rsidRPr="00FA288E">
        <w:rPr>
          <w:rFonts w:cs="Calibri"/>
          <w:sz w:val="20"/>
          <w:szCs w:val="20"/>
        </w:rPr>
        <w:t>Six-M</w:t>
      </w:r>
      <w:r w:rsidRPr="00FA288E">
        <w:rPr>
          <w:rFonts w:cs="Calibri"/>
          <w:sz w:val="20"/>
          <w:szCs w:val="20"/>
        </w:rPr>
        <w:t xml:space="preserve">onthly </w:t>
      </w:r>
      <w:r w:rsidR="00C12692" w:rsidRPr="00FA288E">
        <w:rPr>
          <w:rFonts w:cs="Calibri"/>
          <w:sz w:val="20"/>
          <w:szCs w:val="20"/>
        </w:rPr>
        <w:t>Pr</w:t>
      </w:r>
      <w:r w:rsidRPr="00FA288E">
        <w:rPr>
          <w:rFonts w:cs="Calibri"/>
          <w:sz w:val="20"/>
          <w:szCs w:val="20"/>
        </w:rPr>
        <w:t xml:space="preserve">ogress </w:t>
      </w:r>
      <w:r w:rsidR="00C12692" w:rsidRPr="00FA288E">
        <w:rPr>
          <w:rFonts w:cs="Calibri"/>
          <w:sz w:val="20"/>
          <w:szCs w:val="20"/>
        </w:rPr>
        <w:t>R</w:t>
      </w:r>
      <w:r w:rsidRPr="00FA288E">
        <w:rPr>
          <w:rFonts w:cs="Calibri"/>
          <w:sz w:val="20"/>
          <w:szCs w:val="20"/>
        </w:rPr>
        <w:t xml:space="preserve">eport noted (2019), although </w:t>
      </w:r>
      <w:proofErr w:type="spellStart"/>
      <w:r w:rsidRPr="00FA288E">
        <w:rPr>
          <w:rFonts w:cs="Calibri"/>
          <w:sz w:val="20"/>
          <w:szCs w:val="20"/>
        </w:rPr>
        <w:t>T</w:t>
      </w:r>
      <w:r w:rsidR="004F0B91" w:rsidRPr="00FA288E">
        <w:rPr>
          <w:rFonts w:cs="Calibri"/>
          <w:sz w:val="20"/>
          <w:szCs w:val="20"/>
        </w:rPr>
        <w:t>iCs</w:t>
      </w:r>
      <w:proofErr w:type="spellEnd"/>
      <w:r w:rsidRPr="00FA288E">
        <w:rPr>
          <w:rFonts w:cs="Calibri"/>
          <w:sz w:val="20"/>
          <w:szCs w:val="20"/>
        </w:rPr>
        <w:t xml:space="preserve"> and school boards were involved in CLV selection, they do not always support them. This was mostly due to a lack of understanding of their role, and perceived jealousy over the resources they are given as incentives (mobile phones, books, T-shirts etc). CLVs can </w:t>
      </w:r>
      <w:r w:rsidRPr="00FA288E">
        <w:rPr>
          <w:rFonts w:cs="Calibri"/>
          <w:sz w:val="20"/>
          <w:szCs w:val="20"/>
        </w:rPr>
        <w:lastRenderedPageBreak/>
        <w:t>also suffer from a lack of authority with regards to the control of the resources, even where school support is strong and activities are tied to a school:</w:t>
      </w:r>
    </w:p>
    <w:p w14:paraId="3C76B3D8" w14:textId="77777777" w:rsidR="00643EB3" w:rsidRPr="00FA288E" w:rsidRDefault="00643EB3" w:rsidP="00E873A4">
      <w:pPr>
        <w:pStyle w:val="Heading2"/>
        <w:ind w:left="360"/>
        <w:rPr>
          <w:b w:val="0"/>
          <w:bCs w:val="0"/>
          <w:sz w:val="20"/>
          <w:szCs w:val="20"/>
        </w:rPr>
      </w:pPr>
      <w:bookmarkStart w:id="163" w:name="_Box_7._"/>
      <w:bookmarkStart w:id="164" w:name="_Toc26914396"/>
      <w:bookmarkStart w:id="165" w:name="_Toc31625616"/>
      <w:bookmarkStart w:id="166" w:name="_Toc42075996"/>
      <w:bookmarkEnd w:id="163"/>
      <w:r w:rsidRPr="00FA288E">
        <w:rPr>
          <w:b w:val="0"/>
          <w:bCs w:val="0"/>
          <w:sz w:val="20"/>
          <w:szCs w:val="20"/>
        </w:rPr>
        <w:t>Box 7.  A valued resource, books are not always returned for re-borrowing</w:t>
      </w:r>
      <w:bookmarkEnd w:id="164"/>
      <w:bookmarkEnd w:id="165"/>
      <w:bookmarkEnd w:id="166"/>
    </w:p>
    <w:p w14:paraId="30DE2A54" w14:textId="77777777" w:rsidR="00643EB3" w:rsidRPr="00FA288E" w:rsidRDefault="00643EB3" w:rsidP="00643EB3">
      <w:pPr>
        <w:rPr>
          <w:rFonts w:cs="Calibri"/>
          <w:sz w:val="20"/>
          <w:szCs w:val="20"/>
        </w:rPr>
      </w:pPr>
      <w:r w:rsidRPr="00FA288E">
        <w:rPr>
          <w:rFonts w:cs="Calibri"/>
          <w:noProof/>
          <w:sz w:val="20"/>
          <w:szCs w:val="20"/>
          <w:lang w:eastAsia="en-AU"/>
        </w:rPr>
        <mc:AlternateContent>
          <mc:Choice Requires="wps">
            <w:drawing>
              <wp:inline distT="0" distB="0" distL="0" distR="0" wp14:anchorId="20AA2CF1" wp14:editId="3B8ADEEF">
                <wp:extent cx="5731510" cy="5632863"/>
                <wp:effectExtent l="0" t="0" r="21590" b="2032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632863"/>
                        </a:xfrm>
                        <a:prstGeom prst="rect">
                          <a:avLst/>
                        </a:prstGeom>
                        <a:solidFill>
                          <a:srgbClr val="EAEAEA"/>
                        </a:solidFill>
                        <a:ln w="9525">
                          <a:solidFill>
                            <a:srgbClr val="000000"/>
                          </a:solidFill>
                          <a:miter lim="800000"/>
                          <a:headEnd/>
                          <a:tailEnd/>
                        </a:ln>
                      </wps:spPr>
                      <wps:txbx>
                        <w:txbxContent>
                          <w:p w14:paraId="3CC2C4CA" w14:textId="77777777" w:rsidR="009F310F" w:rsidRPr="003D088B" w:rsidRDefault="009F310F" w:rsidP="00643EB3">
                            <w:pPr>
                              <w:shd w:val="clear" w:color="auto" w:fill="EDEDED" w:themeFill="accent3" w:themeFillTint="33"/>
                              <w:spacing w:after="120"/>
                              <w:rPr>
                                <w:iCs/>
                                <w:sz w:val="20"/>
                              </w:rPr>
                            </w:pPr>
                            <w:r w:rsidRPr="00524F05">
                              <w:rPr>
                                <w:iCs/>
                                <w:sz w:val="20"/>
                              </w:rPr>
                              <w:t xml:space="preserve">Another RISE school visited </w:t>
                            </w:r>
                            <w:r>
                              <w:rPr>
                                <w:iCs/>
                                <w:sz w:val="20"/>
                              </w:rPr>
                              <w:t xml:space="preserve">during the review </w:t>
                            </w:r>
                            <w:r w:rsidRPr="00524F05">
                              <w:rPr>
                                <w:iCs/>
                                <w:sz w:val="20"/>
                              </w:rPr>
                              <w:t>w</w:t>
                            </w:r>
                            <w:r w:rsidRPr="005B7A90">
                              <w:rPr>
                                <w:iCs/>
                                <w:sz w:val="20"/>
                              </w:rPr>
                              <w:t>as</w:t>
                            </w:r>
                            <w:r w:rsidRPr="003D088B">
                              <w:rPr>
                                <w:iCs/>
                                <w:sz w:val="20"/>
                              </w:rPr>
                              <w:t xml:space="preserve"> located on a main road, taking in children from </w:t>
                            </w:r>
                            <w:r>
                              <w:rPr>
                                <w:iCs/>
                                <w:sz w:val="20"/>
                              </w:rPr>
                              <w:t>three</w:t>
                            </w:r>
                            <w:r w:rsidRPr="003D088B">
                              <w:rPr>
                                <w:iCs/>
                                <w:sz w:val="20"/>
                              </w:rPr>
                              <w:t xml:space="preserve"> villages. The</w:t>
                            </w:r>
                            <w:r>
                              <w:rPr>
                                <w:iCs/>
                                <w:sz w:val="20"/>
                              </w:rPr>
                              <w:t xml:space="preserve"> (male) CLV</w:t>
                            </w:r>
                            <w:r w:rsidRPr="003D088B">
                              <w:rPr>
                                <w:iCs/>
                                <w:sz w:val="20"/>
                              </w:rPr>
                              <w:t xml:space="preserve"> operate</w:t>
                            </w:r>
                            <w:r>
                              <w:rPr>
                                <w:iCs/>
                                <w:sz w:val="20"/>
                              </w:rPr>
                              <w:t>d</w:t>
                            </w:r>
                            <w:r w:rsidRPr="003D088B">
                              <w:rPr>
                                <w:iCs/>
                                <w:sz w:val="20"/>
                              </w:rPr>
                              <w:t xml:space="preserve"> from the school, and had about 40 members (about 50% girls), </w:t>
                            </w:r>
                            <w:r>
                              <w:rPr>
                                <w:iCs/>
                                <w:sz w:val="20"/>
                              </w:rPr>
                              <w:t xml:space="preserve">who were </w:t>
                            </w:r>
                            <w:r w:rsidRPr="003D088B">
                              <w:rPr>
                                <w:iCs/>
                                <w:sz w:val="20"/>
                              </w:rPr>
                              <w:t xml:space="preserve">a mixture of EP and E1. </w:t>
                            </w:r>
                            <w:r>
                              <w:rPr>
                                <w:iCs/>
                                <w:sz w:val="20"/>
                              </w:rPr>
                              <w:t>Reading</w:t>
                            </w:r>
                            <w:r w:rsidRPr="003D088B">
                              <w:rPr>
                                <w:iCs/>
                                <w:sz w:val="20"/>
                              </w:rPr>
                              <w:t xml:space="preserve"> club is conducted in the morning </w:t>
                            </w:r>
                            <w:r>
                              <w:rPr>
                                <w:iCs/>
                                <w:sz w:val="20"/>
                              </w:rPr>
                              <w:t xml:space="preserve">here </w:t>
                            </w:r>
                            <w:r w:rsidRPr="003D088B">
                              <w:rPr>
                                <w:iCs/>
                                <w:sz w:val="20"/>
                              </w:rPr>
                              <w:t xml:space="preserve">because the </w:t>
                            </w:r>
                            <w:r>
                              <w:rPr>
                                <w:iCs/>
                                <w:sz w:val="20"/>
                              </w:rPr>
                              <w:t xml:space="preserve">very supportive </w:t>
                            </w:r>
                            <w:r w:rsidRPr="003D088B">
                              <w:rPr>
                                <w:iCs/>
                                <w:sz w:val="20"/>
                              </w:rPr>
                              <w:t>T</w:t>
                            </w:r>
                            <w:r>
                              <w:rPr>
                                <w:iCs/>
                                <w:sz w:val="20"/>
                              </w:rPr>
                              <w:t>i</w:t>
                            </w:r>
                            <w:r w:rsidRPr="003D088B">
                              <w:rPr>
                                <w:iCs/>
                                <w:sz w:val="20"/>
                              </w:rPr>
                              <w:t>C believes that</w:t>
                            </w:r>
                            <w:r>
                              <w:rPr>
                                <w:iCs/>
                                <w:sz w:val="20"/>
                              </w:rPr>
                              <w:t xml:space="preserve"> this</w:t>
                            </w:r>
                            <w:r w:rsidRPr="003D088B">
                              <w:rPr>
                                <w:iCs/>
                                <w:sz w:val="20"/>
                              </w:rPr>
                              <w:t xml:space="preserve"> is when children are most receptive</w:t>
                            </w:r>
                            <w:r>
                              <w:rPr>
                                <w:iCs/>
                                <w:sz w:val="20"/>
                              </w:rPr>
                              <w:t xml:space="preserve"> to learning</w:t>
                            </w:r>
                            <w:r w:rsidRPr="003D088B">
                              <w:rPr>
                                <w:iCs/>
                                <w:sz w:val="20"/>
                              </w:rPr>
                              <w:t xml:space="preserve">. About half the </w:t>
                            </w:r>
                            <w:r>
                              <w:rPr>
                                <w:iCs/>
                                <w:sz w:val="20"/>
                              </w:rPr>
                              <w:t xml:space="preserve">reading club </w:t>
                            </w:r>
                            <w:r w:rsidRPr="003D088B">
                              <w:rPr>
                                <w:iCs/>
                                <w:sz w:val="20"/>
                              </w:rPr>
                              <w:t>books had been l</w:t>
                            </w:r>
                            <w:r>
                              <w:rPr>
                                <w:iCs/>
                                <w:sz w:val="20"/>
                              </w:rPr>
                              <w:t>oaned</w:t>
                            </w:r>
                            <w:r w:rsidRPr="003D088B">
                              <w:rPr>
                                <w:iCs/>
                                <w:sz w:val="20"/>
                              </w:rPr>
                              <w:t xml:space="preserve"> out </w:t>
                            </w:r>
                            <w:r>
                              <w:rPr>
                                <w:iCs/>
                                <w:sz w:val="20"/>
                              </w:rPr>
                              <w:t>to members, but</w:t>
                            </w:r>
                            <w:r w:rsidRPr="003D088B">
                              <w:rPr>
                                <w:iCs/>
                                <w:sz w:val="20"/>
                              </w:rPr>
                              <w:t xml:space="preserve"> had not been returned, so the CLV </w:t>
                            </w:r>
                            <w:r>
                              <w:rPr>
                                <w:iCs/>
                                <w:sz w:val="20"/>
                              </w:rPr>
                              <w:t>took the decision to stop</w:t>
                            </w:r>
                            <w:r w:rsidRPr="003D088B">
                              <w:rPr>
                                <w:iCs/>
                                <w:sz w:val="20"/>
                              </w:rPr>
                              <w:t xml:space="preserve"> lending them, and the other half were sitting untouched in the</w:t>
                            </w:r>
                            <w:r>
                              <w:rPr>
                                <w:iCs/>
                                <w:sz w:val="20"/>
                              </w:rPr>
                              <w:t xml:space="preserve">ir container. Apparently, the children (and their parents) were reluctant to return them. </w:t>
                            </w:r>
                            <w:r w:rsidRPr="003D088B">
                              <w:rPr>
                                <w:iCs/>
                                <w:sz w:val="20"/>
                              </w:rPr>
                              <w:t xml:space="preserve"> </w:t>
                            </w:r>
                            <w:r>
                              <w:rPr>
                                <w:iCs/>
                                <w:sz w:val="20"/>
                              </w:rPr>
                              <w:t>It was suggested by RISE staff present</w:t>
                            </w:r>
                            <w:r w:rsidRPr="003D088B">
                              <w:rPr>
                                <w:iCs/>
                                <w:sz w:val="20"/>
                              </w:rPr>
                              <w:t xml:space="preserve"> that they should swap them amongst each other so </w:t>
                            </w:r>
                            <w:r>
                              <w:rPr>
                                <w:iCs/>
                                <w:sz w:val="20"/>
                              </w:rPr>
                              <w:t>children</w:t>
                            </w:r>
                            <w:r w:rsidRPr="003D088B">
                              <w:rPr>
                                <w:iCs/>
                                <w:sz w:val="20"/>
                              </w:rPr>
                              <w:t xml:space="preserve"> could read a different </w:t>
                            </w:r>
                            <w:r>
                              <w:rPr>
                                <w:iCs/>
                                <w:sz w:val="20"/>
                              </w:rPr>
                              <w:t xml:space="preserve">book at least, however it </w:t>
                            </w:r>
                            <w:r w:rsidRPr="003D088B">
                              <w:rPr>
                                <w:iCs/>
                                <w:sz w:val="20"/>
                              </w:rPr>
                              <w:t xml:space="preserve">is unclear if this will happen </w:t>
                            </w:r>
                            <w:r>
                              <w:rPr>
                                <w:iCs/>
                                <w:sz w:val="20"/>
                              </w:rPr>
                              <w:t>without further intervention from RISE</w:t>
                            </w:r>
                            <w:r w:rsidRPr="003D088B">
                              <w:rPr>
                                <w:iCs/>
                                <w:sz w:val="20"/>
                              </w:rPr>
                              <w:t>.</w:t>
                            </w:r>
                            <w:r>
                              <w:rPr>
                                <w:iCs/>
                                <w:sz w:val="20"/>
                              </w:rPr>
                              <w:t xml:space="preserve"> The CLV had not conducted the ‘story time’ or ‘reading fest’ activity as he did not think the community was particularly interested. </w:t>
                            </w:r>
                          </w:p>
                          <w:p w14:paraId="17045732" w14:textId="77777777" w:rsidR="009F310F" w:rsidRPr="00643A38" w:rsidRDefault="009F310F" w:rsidP="00643EB3">
                            <w:pPr>
                              <w:shd w:val="clear" w:color="auto" w:fill="EDEDED" w:themeFill="accent3" w:themeFillTint="33"/>
                              <w:rPr>
                                <w:iCs/>
                                <w:sz w:val="20"/>
                              </w:rPr>
                            </w:pPr>
                            <w:r w:rsidRPr="003D088B">
                              <w:rPr>
                                <w:iCs/>
                                <w:sz w:val="20"/>
                              </w:rPr>
                              <w:t xml:space="preserve">Changes </w:t>
                            </w:r>
                            <w:r>
                              <w:rPr>
                                <w:iCs/>
                                <w:sz w:val="20"/>
                              </w:rPr>
                              <w:t xml:space="preserve">as a result of reading club attendance </w:t>
                            </w:r>
                            <w:r w:rsidRPr="003D088B">
                              <w:rPr>
                                <w:iCs/>
                                <w:sz w:val="20"/>
                              </w:rPr>
                              <w:t xml:space="preserve">noted by </w:t>
                            </w:r>
                            <w:r w:rsidRPr="003D088B">
                              <w:rPr>
                                <w:b/>
                                <w:i/>
                                <w:iCs/>
                                <w:sz w:val="20"/>
                              </w:rPr>
                              <w:t xml:space="preserve">caregivers </w:t>
                            </w:r>
                            <w:r>
                              <w:rPr>
                                <w:iCs/>
                                <w:sz w:val="20"/>
                              </w:rPr>
                              <w:t>included: “B</w:t>
                            </w:r>
                            <w:r w:rsidRPr="003D088B">
                              <w:rPr>
                                <w:iCs/>
                                <w:sz w:val="20"/>
                              </w:rPr>
                              <w:t xml:space="preserve">efore the children could not read or write, but now they are doing better </w:t>
                            </w:r>
                            <w:r>
                              <w:rPr>
                                <w:iCs/>
                                <w:sz w:val="20"/>
                              </w:rPr>
                              <w:t>–</w:t>
                            </w:r>
                            <w:r w:rsidRPr="003D088B">
                              <w:rPr>
                                <w:iCs/>
                                <w:sz w:val="20"/>
                              </w:rPr>
                              <w:t xml:space="preserve"> </w:t>
                            </w:r>
                            <w:r>
                              <w:rPr>
                                <w:iCs/>
                                <w:sz w:val="20"/>
                              </w:rPr>
                              <w:t>especially in E</w:t>
                            </w:r>
                            <w:r w:rsidRPr="003D088B">
                              <w:rPr>
                                <w:iCs/>
                                <w:sz w:val="20"/>
                              </w:rPr>
                              <w:t>nglish</w:t>
                            </w:r>
                            <w:r>
                              <w:rPr>
                                <w:iCs/>
                                <w:sz w:val="20"/>
                              </w:rPr>
                              <w:t>”.</w:t>
                            </w:r>
                          </w:p>
                        </w:txbxContent>
                      </wps:txbx>
                      <wps:bodyPr rot="0" vert="horz" wrap="square" lIns="91440" tIns="45720" rIns="91440" bIns="45720" anchor="t" anchorCtr="0">
                        <a:spAutoFit/>
                      </wps:bodyPr>
                    </wps:wsp>
                  </a:graphicData>
                </a:graphic>
              </wp:inline>
            </w:drawing>
          </mc:Choice>
          <mc:Fallback>
            <w:pict>
              <v:shape w14:anchorId="20AA2CF1" id="Text Box 10" o:spid="_x0000_s1032" type="#_x0000_t202" style="width:451.3pt;height:4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" fillcolor="#eaeaea">
                <v:textbox style="mso-fit-shape-to-text:t">
                  <w:txbxContent>
                    <w:p w14:paraId="3CC2C4CA" w14:textId="77777777" w:rsidR="009F310F" w:rsidRPr="003D088B" w:rsidRDefault="009F310F" w:rsidP="00643EB3">
                      <w:pPr>
                        <w:shd w:val="clear" w:color="auto" w:fill="EDEDED" w:themeFill="accent3" w:themeFillTint="33"/>
                        <w:spacing w:after="120"/>
                        <w:rPr>
                          <w:iCs/>
                          <w:sz w:val="20"/>
                        </w:rPr>
                      </w:pPr>
                      <w:r w:rsidRPr="00524F05">
                        <w:rPr>
                          <w:iCs/>
                          <w:sz w:val="20"/>
                        </w:rPr>
                        <w:t xml:space="preserve">Another RISE school visited </w:t>
                      </w:r>
                      <w:r>
                        <w:rPr>
                          <w:iCs/>
                          <w:sz w:val="20"/>
                        </w:rPr>
                        <w:t xml:space="preserve">during the review </w:t>
                      </w:r>
                      <w:r w:rsidRPr="00524F05">
                        <w:rPr>
                          <w:iCs/>
                          <w:sz w:val="20"/>
                        </w:rPr>
                        <w:t>w</w:t>
                      </w:r>
                      <w:r w:rsidRPr="005B7A90">
                        <w:rPr>
                          <w:iCs/>
                          <w:sz w:val="20"/>
                        </w:rPr>
                        <w:t>as</w:t>
                      </w:r>
                      <w:r w:rsidRPr="003D088B">
                        <w:rPr>
                          <w:iCs/>
                          <w:sz w:val="20"/>
                        </w:rPr>
                        <w:t xml:space="preserve"> located on a main road, taking in children from </w:t>
                      </w:r>
                      <w:r>
                        <w:rPr>
                          <w:iCs/>
                          <w:sz w:val="20"/>
                        </w:rPr>
                        <w:t>three</w:t>
                      </w:r>
                      <w:r w:rsidRPr="003D088B">
                        <w:rPr>
                          <w:iCs/>
                          <w:sz w:val="20"/>
                        </w:rPr>
                        <w:t xml:space="preserve"> villages. The</w:t>
                      </w:r>
                      <w:r>
                        <w:rPr>
                          <w:iCs/>
                          <w:sz w:val="20"/>
                        </w:rPr>
                        <w:t xml:space="preserve"> (male) CLV</w:t>
                      </w:r>
                      <w:r w:rsidRPr="003D088B">
                        <w:rPr>
                          <w:iCs/>
                          <w:sz w:val="20"/>
                        </w:rPr>
                        <w:t xml:space="preserve"> operate</w:t>
                      </w:r>
                      <w:r>
                        <w:rPr>
                          <w:iCs/>
                          <w:sz w:val="20"/>
                        </w:rPr>
                        <w:t>d</w:t>
                      </w:r>
                      <w:r w:rsidRPr="003D088B">
                        <w:rPr>
                          <w:iCs/>
                          <w:sz w:val="20"/>
                        </w:rPr>
                        <w:t xml:space="preserve"> from the school, and had about 40 members (about 50% girls), </w:t>
                      </w:r>
                      <w:r>
                        <w:rPr>
                          <w:iCs/>
                          <w:sz w:val="20"/>
                        </w:rPr>
                        <w:t xml:space="preserve">who were </w:t>
                      </w:r>
                      <w:r w:rsidRPr="003D088B">
                        <w:rPr>
                          <w:iCs/>
                          <w:sz w:val="20"/>
                        </w:rPr>
                        <w:t xml:space="preserve">a mixture of EP and E1. </w:t>
                      </w:r>
                      <w:r>
                        <w:rPr>
                          <w:iCs/>
                          <w:sz w:val="20"/>
                        </w:rPr>
                        <w:t>Reading</w:t>
                      </w:r>
                      <w:r w:rsidRPr="003D088B">
                        <w:rPr>
                          <w:iCs/>
                          <w:sz w:val="20"/>
                        </w:rPr>
                        <w:t xml:space="preserve"> club is conducted in the morning </w:t>
                      </w:r>
                      <w:r>
                        <w:rPr>
                          <w:iCs/>
                          <w:sz w:val="20"/>
                        </w:rPr>
                        <w:t xml:space="preserve">here </w:t>
                      </w:r>
                      <w:r w:rsidRPr="003D088B">
                        <w:rPr>
                          <w:iCs/>
                          <w:sz w:val="20"/>
                        </w:rPr>
                        <w:t xml:space="preserve">because the </w:t>
                      </w:r>
                      <w:r>
                        <w:rPr>
                          <w:iCs/>
                          <w:sz w:val="20"/>
                        </w:rPr>
                        <w:t xml:space="preserve">very supportive </w:t>
                      </w:r>
                      <w:r w:rsidRPr="003D088B">
                        <w:rPr>
                          <w:iCs/>
                          <w:sz w:val="20"/>
                        </w:rPr>
                        <w:t>T</w:t>
                      </w:r>
                      <w:r>
                        <w:rPr>
                          <w:iCs/>
                          <w:sz w:val="20"/>
                        </w:rPr>
                        <w:t>i</w:t>
                      </w:r>
                      <w:r w:rsidRPr="003D088B">
                        <w:rPr>
                          <w:iCs/>
                          <w:sz w:val="20"/>
                        </w:rPr>
                        <w:t>C believes that</w:t>
                      </w:r>
                      <w:r>
                        <w:rPr>
                          <w:iCs/>
                          <w:sz w:val="20"/>
                        </w:rPr>
                        <w:t xml:space="preserve"> this</w:t>
                      </w:r>
                      <w:r w:rsidRPr="003D088B">
                        <w:rPr>
                          <w:iCs/>
                          <w:sz w:val="20"/>
                        </w:rPr>
                        <w:t xml:space="preserve"> is when children are most receptive</w:t>
                      </w:r>
                      <w:r>
                        <w:rPr>
                          <w:iCs/>
                          <w:sz w:val="20"/>
                        </w:rPr>
                        <w:t xml:space="preserve"> to learning</w:t>
                      </w:r>
                      <w:r w:rsidRPr="003D088B">
                        <w:rPr>
                          <w:iCs/>
                          <w:sz w:val="20"/>
                        </w:rPr>
                        <w:t xml:space="preserve">. About half the </w:t>
                      </w:r>
                      <w:r>
                        <w:rPr>
                          <w:iCs/>
                          <w:sz w:val="20"/>
                        </w:rPr>
                        <w:t xml:space="preserve">reading club </w:t>
                      </w:r>
                      <w:r w:rsidRPr="003D088B">
                        <w:rPr>
                          <w:iCs/>
                          <w:sz w:val="20"/>
                        </w:rPr>
                        <w:t>books had been l</w:t>
                      </w:r>
                      <w:r>
                        <w:rPr>
                          <w:iCs/>
                          <w:sz w:val="20"/>
                        </w:rPr>
                        <w:t>oaned</w:t>
                      </w:r>
                      <w:r w:rsidRPr="003D088B">
                        <w:rPr>
                          <w:iCs/>
                          <w:sz w:val="20"/>
                        </w:rPr>
                        <w:t xml:space="preserve"> out </w:t>
                      </w:r>
                      <w:r>
                        <w:rPr>
                          <w:iCs/>
                          <w:sz w:val="20"/>
                        </w:rPr>
                        <w:t>to members, but</w:t>
                      </w:r>
                      <w:r w:rsidRPr="003D088B">
                        <w:rPr>
                          <w:iCs/>
                          <w:sz w:val="20"/>
                        </w:rPr>
                        <w:t xml:space="preserve"> had not been returned, so the CLV </w:t>
                      </w:r>
                      <w:r>
                        <w:rPr>
                          <w:iCs/>
                          <w:sz w:val="20"/>
                        </w:rPr>
                        <w:t>took the decision to stop</w:t>
                      </w:r>
                      <w:r w:rsidRPr="003D088B">
                        <w:rPr>
                          <w:iCs/>
                          <w:sz w:val="20"/>
                        </w:rPr>
                        <w:t xml:space="preserve"> lending them, and the other half were sitting untouched in the</w:t>
                      </w:r>
                      <w:r>
                        <w:rPr>
                          <w:iCs/>
                          <w:sz w:val="20"/>
                        </w:rPr>
                        <w:t xml:space="preserve">ir container. Apparently, the children (and their parents) were reluctant to return them. </w:t>
                      </w:r>
                      <w:r w:rsidRPr="003D088B">
                        <w:rPr>
                          <w:iCs/>
                          <w:sz w:val="20"/>
                        </w:rPr>
                        <w:t xml:space="preserve"> </w:t>
                      </w:r>
                      <w:r>
                        <w:rPr>
                          <w:iCs/>
                          <w:sz w:val="20"/>
                        </w:rPr>
                        <w:t>It was suggested by RISE staff present</w:t>
                      </w:r>
                      <w:r w:rsidRPr="003D088B">
                        <w:rPr>
                          <w:iCs/>
                          <w:sz w:val="20"/>
                        </w:rPr>
                        <w:t xml:space="preserve"> that they should swap them amongst each other so </w:t>
                      </w:r>
                      <w:r>
                        <w:rPr>
                          <w:iCs/>
                          <w:sz w:val="20"/>
                        </w:rPr>
                        <w:t>children</w:t>
                      </w:r>
                      <w:r w:rsidRPr="003D088B">
                        <w:rPr>
                          <w:iCs/>
                          <w:sz w:val="20"/>
                        </w:rPr>
                        <w:t xml:space="preserve"> could read a different </w:t>
                      </w:r>
                      <w:r>
                        <w:rPr>
                          <w:iCs/>
                          <w:sz w:val="20"/>
                        </w:rPr>
                        <w:t xml:space="preserve">book at least, however it </w:t>
                      </w:r>
                      <w:r w:rsidRPr="003D088B">
                        <w:rPr>
                          <w:iCs/>
                          <w:sz w:val="20"/>
                        </w:rPr>
                        <w:t xml:space="preserve">is unclear if this will happen </w:t>
                      </w:r>
                      <w:r>
                        <w:rPr>
                          <w:iCs/>
                          <w:sz w:val="20"/>
                        </w:rPr>
                        <w:t>without further intervention from RISE</w:t>
                      </w:r>
                      <w:r w:rsidRPr="003D088B">
                        <w:rPr>
                          <w:iCs/>
                          <w:sz w:val="20"/>
                        </w:rPr>
                        <w:t>.</w:t>
                      </w:r>
                      <w:r>
                        <w:rPr>
                          <w:iCs/>
                          <w:sz w:val="20"/>
                        </w:rPr>
                        <w:t xml:space="preserve"> The CLV had not conducted the ‘story time’ or ‘reading fest’ activity as he did not think the community was particularly interested. </w:t>
                      </w:r>
                    </w:p>
                    <w:p w14:paraId="17045732" w14:textId="77777777" w:rsidR="009F310F" w:rsidRPr="00643A38" w:rsidRDefault="009F310F" w:rsidP="00643EB3">
                      <w:pPr>
                        <w:shd w:val="clear" w:color="auto" w:fill="EDEDED" w:themeFill="accent3" w:themeFillTint="33"/>
                        <w:rPr>
                          <w:iCs/>
                          <w:sz w:val="20"/>
                        </w:rPr>
                      </w:pPr>
                      <w:r w:rsidRPr="003D088B">
                        <w:rPr>
                          <w:iCs/>
                          <w:sz w:val="20"/>
                        </w:rPr>
                        <w:t xml:space="preserve">Changes </w:t>
                      </w:r>
                      <w:r>
                        <w:rPr>
                          <w:iCs/>
                          <w:sz w:val="20"/>
                        </w:rPr>
                        <w:t xml:space="preserve">as a result of reading club attendance </w:t>
                      </w:r>
                      <w:r w:rsidRPr="003D088B">
                        <w:rPr>
                          <w:iCs/>
                          <w:sz w:val="20"/>
                        </w:rPr>
                        <w:t xml:space="preserve">noted by </w:t>
                      </w:r>
                      <w:r w:rsidRPr="003D088B">
                        <w:rPr>
                          <w:b/>
                          <w:i/>
                          <w:iCs/>
                          <w:sz w:val="20"/>
                        </w:rPr>
                        <w:t xml:space="preserve">caregivers </w:t>
                      </w:r>
                      <w:r>
                        <w:rPr>
                          <w:iCs/>
                          <w:sz w:val="20"/>
                        </w:rPr>
                        <w:t>included: “B</w:t>
                      </w:r>
                      <w:r w:rsidRPr="003D088B">
                        <w:rPr>
                          <w:iCs/>
                          <w:sz w:val="20"/>
                        </w:rPr>
                        <w:t xml:space="preserve">efore the children could not read or write, but now they are doing better </w:t>
                      </w:r>
                      <w:r>
                        <w:rPr>
                          <w:iCs/>
                          <w:sz w:val="20"/>
                        </w:rPr>
                        <w:t>–</w:t>
                      </w:r>
                      <w:r w:rsidRPr="003D088B">
                        <w:rPr>
                          <w:iCs/>
                          <w:sz w:val="20"/>
                        </w:rPr>
                        <w:t xml:space="preserve"> </w:t>
                      </w:r>
                      <w:r>
                        <w:rPr>
                          <w:iCs/>
                          <w:sz w:val="20"/>
                        </w:rPr>
                        <w:t>especially in E</w:t>
                      </w:r>
                      <w:r w:rsidRPr="003D088B">
                        <w:rPr>
                          <w:iCs/>
                          <w:sz w:val="20"/>
                        </w:rPr>
                        <w:t>nglish</w:t>
                      </w:r>
                      <w:r>
                        <w:rPr>
                          <w:iCs/>
                          <w:sz w:val="20"/>
                        </w:rPr>
                        <w:t>”.</w:t>
                      </w:r>
                    </w:p>
                  </w:txbxContent>
                </v:textbox>
                <w10:anchorlock/>
              </v:shape>
            </w:pict>
          </mc:Fallback>
        </mc:AlternateContent>
      </w:r>
    </w:p>
    <w:p w14:paraId="560AAF95" w14:textId="77777777" w:rsidR="00643EB3" w:rsidRPr="00FA288E" w:rsidRDefault="00643EB3" w:rsidP="00061FD0">
      <w:pPr>
        <w:spacing w:after="120"/>
        <w:jc w:val="both"/>
        <w:rPr>
          <w:rFonts w:cs="Calibri"/>
          <w:sz w:val="20"/>
          <w:szCs w:val="20"/>
        </w:rPr>
      </w:pPr>
      <w:r w:rsidRPr="00FA288E">
        <w:rPr>
          <w:rFonts w:cs="Calibri"/>
          <w:sz w:val="20"/>
          <w:szCs w:val="20"/>
        </w:rPr>
        <w:t xml:space="preserve">While the two examples of reading clubs do indicate they are valued by the families who participate, and that CLVs can be effective in facilitating them, the potential of the Bloom reader resources remain underutilised, through a combination of lack of mobile ownership and </w:t>
      </w:r>
      <w:r w:rsidR="00A07B4A" w:rsidRPr="00FA288E">
        <w:rPr>
          <w:rFonts w:cs="Calibri"/>
          <w:sz w:val="20"/>
          <w:szCs w:val="20"/>
        </w:rPr>
        <w:t>limited abil</w:t>
      </w:r>
      <w:r w:rsidRPr="00FA288E">
        <w:rPr>
          <w:rFonts w:cs="Calibri"/>
          <w:sz w:val="20"/>
          <w:szCs w:val="20"/>
        </w:rPr>
        <w:t>ity to use it.</w:t>
      </w:r>
    </w:p>
    <w:p w14:paraId="72FEC383" w14:textId="77777777" w:rsidR="00643EB3" w:rsidRPr="00FA288E" w:rsidRDefault="00643EB3" w:rsidP="00E873A4">
      <w:pPr>
        <w:pStyle w:val="Heading2"/>
        <w:ind w:left="360"/>
        <w:rPr>
          <w:b w:val="0"/>
          <w:bCs w:val="0"/>
          <w:sz w:val="20"/>
          <w:szCs w:val="20"/>
        </w:rPr>
      </w:pPr>
      <w:bookmarkStart w:id="167" w:name="_Box_8._Mobile"/>
      <w:bookmarkStart w:id="168" w:name="_Toc26914397"/>
      <w:bookmarkStart w:id="169" w:name="_Toc31625617"/>
      <w:bookmarkStart w:id="170" w:name="_Toc42075997"/>
      <w:bookmarkEnd w:id="167"/>
      <w:r w:rsidRPr="00FA288E">
        <w:rPr>
          <w:b w:val="0"/>
          <w:bCs w:val="0"/>
          <w:sz w:val="20"/>
          <w:szCs w:val="20"/>
        </w:rPr>
        <w:t>Box 8. Mobile technology, while promising, presents challenges to users</w:t>
      </w:r>
      <w:bookmarkEnd w:id="168"/>
      <w:bookmarkEnd w:id="169"/>
      <w:bookmarkEnd w:id="170"/>
    </w:p>
    <w:p w14:paraId="329F775F" w14:textId="77777777" w:rsidR="00643EB3" w:rsidRPr="00FA288E" w:rsidRDefault="00643EB3" w:rsidP="00643EB3">
      <w:pPr>
        <w:rPr>
          <w:rFonts w:cs="Calibri"/>
          <w:sz w:val="20"/>
          <w:szCs w:val="20"/>
        </w:rPr>
      </w:pPr>
      <w:r w:rsidRPr="00FA288E">
        <w:rPr>
          <w:rFonts w:cs="Calibri"/>
          <w:noProof/>
          <w:sz w:val="20"/>
          <w:szCs w:val="20"/>
          <w:lang w:eastAsia="en-AU"/>
        </w:rPr>
        <mc:AlternateContent>
          <mc:Choice Requires="wps">
            <w:drawing>
              <wp:inline distT="0" distB="0" distL="0" distR="0" wp14:anchorId="5997584E" wp14:editId="1E238E3E">
                <wp:extent cx="5731510" cy="2412837"/>
                <wp:effectExtent l="0" t="0" r="21590" b="2603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412837"/>
                        </a:xfrm>
                        <a:prstGeom prst="rect">
                          <a:avLst/>
                        </a:prstGeom>
                        <a:solidFill>
                          <a:schemeClr val="bg2"/>
                        </a:solidFill>
                        <a:ln w="9525">
                          <a:solidFill>
                            <a:srgbClr val="000000"/>
                          </a:solidFill>
                          <a:miter lim="800000"/>
                          <a:headEnd/>
                          <a:tailEnd/>
                        </a:ln>
                      </wps:spPr>
                      <wps:txbx>
                        <w:txbxContent>
                          <w:p w14:paraId="22C5E5D6" w14:textId="77777777" w:rsidR="009F310F" w:rsidRPr="005C4A07" w:rsidRDefault="009F310F" w:rsidP="00643EB3">
                            <w:pPr>
                              <w:shd w:val="clear" w:color="auto" w:fill="EDEDED" w:themeFill="accent3" w:themeFillTint="33"/>
                              <w:spacing w:after="120"/>
                              <w:rPr>
                                <w:b/>
                                <w:sz w:val="20"/>
                              </w:rPr>
                            </w:pPr>
                            <w:r w:rsidRPr="00524F05">
                              <w:rPr>
                                <w:sz w:val="20"/>
                              </w:rPr>
                              <w:t>In one RISE school visited</w:t>
                            </w:r>
                            <w:r>
                              <w:rPr>
                                <w:sz w:val="20"/>
                              </w:rPr>
                              <w:t>,</w:t>
                            </w:r>
                            <w:r w:rsidRPr="003D088B">
                              <w:rPr>
                                <w:sz w:val="20"/>
                              </w:rPr>
                              <w:t xml:space="preserve"> </w:t>
                            </w:r>
                            <w:r w:rsidRPr="005C4A07">
                              <w:rPr>
                                <w:sz w:val="20"/>
                              </w:rPr>
                              <w:t>CLVs</w:t>
                            </w:r>
                            <w:r>
                              <w:rPr>
                                <w:b/>
                                <w:sz w:val="20"/>
                              </w:rPr>
                              <w:t xml:space="preserve"> </w:t>
                            </w:r>
                            <w:r>
                              <w:rPr>
                                <w:sz w:val="20"/>
                              </w:rPr>
                              <w:t xml:space="preserve">preferred using </w:t>
                            </w:r>
                            <w:r w:rsidRPr="003D088B">
                              <w:rPr>
                                <w:sz w:val="20"/>
                              </w:rPr>
                              <w:t xml:space="preserve">books to the Bloom reader, as </w:t>
                            </w:r>
                            <w:r>
                              <w:rPr>
                                <w:sz w:val="20"/>
                              </w:rPr>
                              <w:t>mobile phones are</w:t>
                            </w:r>
                            <w:r w:rsidRPr="003D088B">
                              <w:rPr>
                                <w:sz w:val="20"/>
                              </w:rPr>
                              <w:t xml:space="preserve"> too small to use in a group situation. They also did not have bas</w:t>
                            </w:r>
                            <w:r>
                              <w:rPr>
                                <w:sz w:val="20"/>
                              </w:rPr>
                              <w:t xml:space="preserve">ic mastery of the mobile phone, e.g. in demonstrating the app, they needed assistance </w:t>
                            </w:r>
                            <w:r w:rsidRPr="003D088B">
                              <w:rPr>
                                <w:sz w:val="20"/>
                              </w:rPr>
                              <w:t>adjust</w:t>
                            </w:r>
                            <w:r>
                              <w:rPr>
                                <w:sz w:val="20"/>
                              </w:rPr>
                              <w:t>ing</w:t>
                            </w:r>
                            <w:r w:rsidRPr="003D088B">
                              <w:rPr>
                                <w:sz w:val="20"/>
                              </w:rPr>
                              <w:t xml:space="preserve"> screen brightness</w:t>
                            </w:r>
                            <w:r>
                              <w:rPr>
                                <w:sz w:val="20"/>
                              </w:rPr>
                              <w:t xml:space="preserve"> so the app could be seen</w:t>
                            </w:r>
                            <w:r w:rsidRPr="003D088B">
                              <w:rPr>
                                <w:sz w:val="20"/>
                              </w:rPr>
                              <w:t>.</w:t>
                            </w:r>
                            <w:r>
                              <w:rPr>
                                <w:sz w:val="20"/>
                              </w:rPr>
                              <w:t xml:space="preserve"> They reported that only three families in their village had access to mobile phones – not because they could not afford them, but because they either lacked connectivity or did not know how to use them. The TiC from the Elementary school had just purchased a mobile phone for completing the school census and intended downloading the Bloom books onto it, which may increase its usefulness at the school level.</w:t>
                            </w:r>
                          </w:p>
                          <w:p w14:paraId="1D0EFE76" w14:textId="77777777" w:rsidR="009F310F" w:rsidRDefault="009F310F" w:rsidP="00643EB3">
                            <w:pPr>
                              <w:shd w:val="clear" w:color="auto" w:fill="EDEDED" w:themeFill="accent3" w:themeFillTint="33"/>
                              <w:rPr>
                                <w:iCs/>
                                <w:sz w:val="20"/>
                              </w:rPr>
                            </w:pPr>
                            <w:r w:rsidRPr="001D50F5">
                              <w:rPr>
                                <w:sz w:val="20"/>
                              </w:rPr>
                              <w:t xml:space="preserve">In </w:t>
                            </w:r>
                            <w:r>
                              <w:rPr>
                                <w:sz w:val="20"/>
                              </w:rPr>
                              <w:t>another</w:t>
                            </w:r>
                            <w:r w:rsidRPr="001D50F5">
                              <w:rPr>
                                <w:sz w:val="20"/>
                              </w:rPr>
                              <w:t xml:space="preserve"> RISE school visited</w:t>
                            </w:r>
                            <w:r>
                              <w:rPr>
                                <w:sz w:val="20"/>
                              </w:rPr>
                              <w:t>,</w:t>
                            </w:r>
                            <w:r w:rsidRPr="003D088B">
                              <w:rPr>
                                <w:sz w:val="20"/>
                              </w:rPr>
                              <w:t xml:space="preserve"> </w:t>
                            </w:r>
                            <w:r w:rsidRPr="003D088B">
                              <w:rPr>
                                <w:iCs/>
                                <w:sz w:val="20"/>
                              </w:rPr>
                              <w:t xml:space="preserve">The CLV was observed doing a truncated </w:t>
                            </w:r>
                            <w:r>
                              <w:rPr>
                                <w:iCs/>
                                <w:sz w:val="20"/>
                              </w:rPr>
                              <w:t>reading club</w:t>
                            </w:r>
                            <w:r w:rsidRPr="003D088B">
                              <w:rPr>
                                <w:iCs/>
                                <w:sz w:val="20"/>
                              </w:rPr>
                              <w:t xml:space="preserve"> session, which involved </w:t>
                            </w:r>
                            <w:r>
                              <w:rPr>
                                <w:iCs/>
                                <w:sz w:val="20"/>
                              </w:rPr>
                              <w:t>him reading</w:t>
                            </w:r>
                            <w:r w:rsidRPr="003D088B">
                              <w:rPr>
                                <w:iCs/>
                                <w:sz w:val="20"/>
                              </w:rPr>
                              <w:t xml:space="preserve"> a bo</w:t>
                            </w:r>
                            <w:r>
                              <w:rPr>
                                <w:iCs/>
                                <w:sz w:val="20"/>
                              </w:rPr>
                              <w:t>ok to them using the Bloom reader. T</w:t>
                            </w:r>
                            <w:r w:rsidRPr="003D088B">
                              <w:rPr>
                                <w:iCs/>
                                <w:sz w:val="20"/>
                              </w:rPr>
                              <w:t xml:space="preserve">he </w:t>
                            </w:r>
                            <w:r>
                              <w:rPr>
                                <w:iCs/>
                                <w:sz w:val="20"/>
                              </w:rPr>
                              <w:t>children</w:t>
                            </w:r>
                            <w:r w:rsidRPr="003D088B">
                              <w:rPr>
                                <w:iCs/>
                                <w:sz w:val="20"/>
                              </w:rPr>
                              <w:t xml:space="preserve"> </w:t>
                            </w:r>
                            <w:r>
                              <w:rPr>
                                <w:iCs/>
                                <w:sz w:val="20"/>
                              </w:rPr>
                              <w:t>enthusiastically gathered around</w:t>
                            </w:r>
                            <w:r w:rsidRPr="003D088B">
                              <w:rPr>
                                <w:iCs/>
                                <w:sz w:val="20"/>
                              </w:rPr>
                              <w:t xml:space="preserve"> </w:t>
                            </w:r>
                            <w:r>
                              <w:rPr>
                                <w:iCs/>
                                <w:sz w:val="20"/>
                              </w:rPr>
                              <w:t xml:space="preserve">the mobile phone </w:t>
                            </w:r>
                            <w:r w:rsidRPr="003D088B">
                              <w:rPr>
                                <w:iCs/>
                                <w:sz w:val="20"/>
                              </w:rPr>
                              <w:t>but could not see</w:t>
                            </w:r>
                            <w:r>
                              <w:rPr>
                                <w:iCs/>
                                <w:sz w:val="20"/>
                              </w:rPr>
                              <w:t xml:space="preserve"> it</w:t>
                            </w:r>
                            <w:r w:rsidRPr="003D088B">
                              <w:rPr>
                                <w:iCs/>
                                <w:sz w:val="20"/>
                              </w:rPr>
                              <w:t xml:space="preserve">, so </w:t>
                            </w:r>
                            <w:r>
                              <w:rPr>
                                <w:iCs/>
                                <w:sz w:val="20"/>
                              </w:rPr>
                              <w:t>audio</w:t>
                            </w:r>
                            <w:r w:rsidRPr="003D088B">
                              <w:rPr>
                                <w:iCs/>
                                <w:sz w:val="20"/>
                              </w:rPr>
                              <w:t xml:space="preserve"> was </w:t>
                            </w:r>
                            <w:r>
                              <w:rPr>
                                <w:iCs/>
                                <w:sz w:val="20"/>
                              </w:rPr>
                              <w:t>turned up</w:t>
                            </w:r>
                            <w:r w:rsidRPr="003D088B">
                              <w:rPr>
                                <w:iCs/>
                                <w:sz w:val="20"/>
                              </w:rPr>
                              <w:t xml:space="preserve"> and they chanted the lines</w:t>
                            </w:r>
                            <w:r>
                              <w:rPr>
                                <w:iCs/>
                                <w:sz w:val="20"/>
                              </w:rPr>
                              <w:t xml:space="preserve"> aloud. This effectively meant they did not do any reading at all during the session</w:t>
                            </w:r>
                            <w:r w:rsidRPr="003D088B">
                              <w:rPr>
                                <w:iCs/>
                                <w:sz w:val="20"/>
                              </w:rPr>
                              <w:t xml:space="preserve">. </w:t>
                            </w:r>
                            <w:r>
                              <w:rPr>
                                <w:iCs/>
                                <w:sz w:val="20"/>
                              </w:rPr>
                              <w:t>T</w:t>
                            </w:r>
                            <w:r w:rsidRPr="003D088B">
                              <w:rPr>
                                <w:iCs/>
                                <w:sz w:val="20"/>
                              </w:rPr>
                              <w:t xml:space="preserve">he CLV </w:t>
                            </w:r>
                            <w:r>
                              <w:rPr>
                                <w:iCs/>
                                <w:sz w:val="20"/>
                              </w:rPr>
                              <w:t>did however ask</w:t>
                            </w:r>
                            <w:r w:rsidRPr="003D088B">
                              <w:rPr>
                                <w:iCs/>
                                <w:sz w:val="20"/>
                              </w:rPr>
                              <w:t xml:space="preserve"> questions about the story</w:t>
                            </w:r>
                            <w:r>
                              <w:rPr>
                                <w:iCs/>
                                <w:sz w:val="20"/>
                              </w:rPr>
                              <w:t xml:space="preserve"> to test their comprehension of English</w:t>
                            </w:r>
                            <w:r w:rsidRPr="003D088B">
                              <w:rPr>
                                <w:iCs/>
                                <w:sz w:val="20"/>
                              </w:rPr>
                              <w:t xml:space="preserve">. </w:t>
                            </w:r>
                            <w:r>
                              <w:rPr>
                                <w:iCs/>
                                <w:sz w:val="20"/>
                              </w:rPr>
                              <w:t>Only two children from an E2 class observed indicated their parents had mobile phones and had the Bloom Reader loaded on them.</w:t>
                            </w:r>
                          </w:p>
                          <w:p w14:paraId="6344C5CA" w14:textId="77777777" w:rsidR="009F310F" w:rsidRPr="00643A38" w:rsidRDefault="009F310F" w:rsidP="00643EB3">
                            <w:pPr>
                              <w:shd w:val="clear" w:color="auto" w:fill="EDEDED" w:themeFill="accent3" w:themeFillTint="33"/>
                              <w:rPr>
                                <w:iCs/>
                                <w:sz w:val="20"/>
                              </w:rPr>
                            </w:pPr>
                          </w:p>
                        </w:txbxContent>
                      </wps:txbx>
                      <wps:bodyPr rot="0" vert="horz" wrap="square" lIns="91440" tIns="45720" rIns="91440" bIns="45720" anchor="t" anchorCtr="0">
                        <a:noAutofit/>
                      </wps:bodyPr>
                    </wps:wsp>
                  </a:graphicData>
                </a:graphic>
              </wp:inline>
            </w:drawing>
          </mc:Choice>
          <mc:Fallback>
            <w:pict>
              <v:shape w14:anchorId="5997584E" id="Text Box 11" o:spid="_x0000_s1033" type="#_x0000_t202" style="width:451.3pt;height:1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" fillcolor="#e7e6e6 [3214]">
                <v:textbox>
                  <w:txbxContent>
                    <w:p w14:paraId="22C5E5D6" w14:textId="77777777" w:rsidR="009F310F" w:rsidRPr="005C4A07" w:rsidRDefault="009F310F" w:rsidP="00643EB3">
                      <w:pPr>
                        <w:shd w:val="clear" w:color="auto" w:fill="EDEDED" w:themeFill="accent3" w:themeFillTint="33"/>
                        <w:spacing w:after="120"/>
                        <w:rPr>
                          <w:b/>
                          <w:sz w:val="20"/>
                        </w:rPr>
                      </w:pPr>
                      <w:r w:rsidRPr="00524F05">
                        <w:rPr>
                          <w:sz w:val="20"/>
                        </w:rPr>
                        <w:t>In one RISE school visited</w:t>
                      </w:r>
                      <w:r>
                        <w:rPr>
                          <w:sz w:val="20"/>
                        </w:rPr>
                        <w:t>,</w:t>
                      </w:r>
                      <w:r w:rsidRPr="003D088B">
                        <w:rPr>
                          <w:sz w:val="20"/>
                        </w:rPr>
                        <w:t xml:space="preserve"> </w:t>
                      </w:r>
                      <w:r w:rsidRPr="005C4A07">
                        <w:rPr>
                          <w:sz w:val="20"/>
                        </w:rPr>
                        <w:t>CLVs</w:t>
                      </w:r>
                      <w:r>
                        <w:rPr>
                          <w:b/>
                          <w:sz w:val="20"/>
                        </w:rPr>
                        <w:t xml:space="preserve"> </w:t>
                      </w:r>
                      <w:r>
                        <w:rPr>
                          <w:sz w:val="20"/>
                        </w:rPr>
                        <w:t xml:space="preserve">preferred using </w:t>
                      </w:r>
                      <w:r w:rsidRPr="003D088B">
                        <w:rPr>
                          <w:sz w:val="20"/>
                        </w:rPr>
                        <w:t xml:space="preserve">books to the Bloom reader, as </w:t>
                      </w:r>
                      <w:r>
                        <w:rPr>
                          <w:sz w:val="20"/>
                        </w:rPr>
                        <w:t>mobile phones are</w:t>
                      </w:r>
                      <w:r w:rsidRPr="003D088B">
                        <w:rPr>
                          <w:sz w:val="20"/>
                        </w:rPr>
                        <w:t xml:space="preserve"> too small to use in a group situation. They also did not have bas</w:t>
                      </w:r>
                      <w:r>
                        <w:rPr>
                          <w:sz w:val="20"/>
                        </w:rPr>
                        <w:t xml:space="preserve">ic mastery of the mobile phone, e.g. in demonstrating the app, they needed assistance </w:t>
                      </w:r>
                      <w:r w:rsidRPr="003D088B">
                        <w:rPr>
                          <w:sz w:val="20"/>
                        </w:rPr>
                        <w:t>adjust</w:t>
                      </w:r>
                      <w:r>
                        <w:rPr>
                          <w:sz w:val="20"/>
                        </w:rPr>
                        <w:t>ing</w:t>
                      </w:r>
                      <w:r w:rsidRPr="003D088B">
                        <w:rPr>
                          <w:sz w:val="20"/>
                        </w:rPr>
                        <w:t xml:space="preserve"> screen brightness</w:t>
                      </w:r>
                      <w:r>
                        <w:rPr>
                          <w:sz w:val="20"/>
                        </w:rPr>
                        <w:t xml:space="preserve"> so the app could be seen</w:t>
                      </w:r>
                      <w:r w:rsidRPr="003D088B">
                        <w:rPr>
                          <w:sz w:val="20"/>
                        </w:rPr>
                        <w:t>.</w:t>
                      </w:r>
                      <w:r>
                        <w:rPr>
                          <w:sz w:val="20"/>
                        </w:rPr>
                        <w:t xml:space="preserve"> They reported that only three families in their village had access to mobile phones – not because they could not afford them, but because they either lacked connectivity or did not know how to use them. The TiC from the Elementary school had just purchased a mobile phone for completing the school census and intended downloading the Bloom books onto it, which may increase its usefulness at the school level.</w:t>
                      </w:r>
                    </w:p>
                    <w:p w14:paraId="1D0EFE76" w14:textId="77777777" w:rsidR="009F310F" w:rsidRDefault="009F310F" w:rsidP="00643EB3">
                      <w:pPr>
                        <w:shd w:val="clear" w:color="auto" w:fill="EDEDED" w:themeFill="accent3" w:themeFillTint="33"/>
                        <w:rPr>
                          <w:iCs/>
                          <w:sz w:val="20"/>
                        </w:rPr>
                      </w:pPr>
                      <w:r w:rsidRPr="001D50F5">
                        <w:rPr>
                          <w:sz w:val="20"/>
                        </w:rPr>
                        <w:t xml:space="preserve">In </w:t>
                      </w:r>
                      <w:r>
                        <w:rPr>
                          <w:sz w:val="20"/>
                        </w:rPr>
                        <w:t>another</w:t>
                      </w:r>
                      <w:r w:rsidRPr="001D50F5">
                        <w:rPr>
                          <w:sz w:val="20"/>
                        </w:rPr>
                        <w:t xml:space="preserve"> RISE school visited</w:t>
                      </w:r>
                      <w:r>
                        <w:rPr>
                          <w:sz w:val="20"/>
                        </w:rPr>
                        <w:t>,</w:t>
                      </w:r>
                      <w:r w:rsidRPr="003D088B">
                        <w:rPr>
                          <w:sz w:val="20"/>
                        </w:rPr>
                        <w:t xml:space="preserve"> </w:t>
                      </w:r>
                      <w:r w:rsidRPr="003D088B">
                        <w:rPr>
                          <w:iCs/>
                          <w:sz w:val="20"/>
                        </w:rPr>
                        <w:t xml:space="preserve">The CLV was observed doing a truncated </w:t>
                      </w:r>
                      <w:r>
                        <w:rPr>
                          <w:iCs/>
                          <w:sz w:val="20"/>
                        </w:rPr>
                        <w:t>reading club</w:t>
                      </w:r>
                      <w:r w:rsidRPr="003D088B">
                        <w:rPr>
                          <w:iCs/>
                          <w:sz w:val="20"/>
                        </w:rPr>
                        <w:t xml:space="preserve"> session, which involved </w:t>
                      </w:r>
                      <w:r>
                        <w:rPr>
                          <w:iCs/>
                          <w:sz w:val="20"/>
                        </w:rPr>
                        <w:t>him reading</w:t>
                      </w:r>
                      <w:r w:rsidRPr="003D088B">
                        <w:rPr>
                          <w:iCs/>
                          <w:sz w:val="20"/>
                        </w:rPr>
                        <w:t xml:space="preserve"> a bo</w:t>
                      </w:r>
                      <w:r>
                        <w:rPr>
                          <w:iCs/>
                          <w:sz w:val="20"/>
                        </w:rPr>
                        <w:t>ok to them using the Bloom reader. T</w:t>
                      </w:r>
                      <w:r w:rsidRPr="003D088B">
                        <w:rPr>
                          <w:iCs/>
                          <w:sz w:val="20"/>
                        </w:rPr>
                        <w:t xml:space="preserve">he </w:t>
                      </w:r>
                      <w:r>
                        <w:rPr>
                          <w:iCs/>
                          <w:sz w:val="20"/>
                        </w:rPr>
                        <w:t>children</w:t>
                      </w:r>
                      <w:r w:rsidRPr="003D088B">
                        <w:rPr>
                          <w:iCs/>
                          <w:sz w:val="20"/>
                        </w:rPr>
                        <w:t xml:space="preserve"> </w:t>
                      </w:r>
                      <w:r>
                        <w:rPr>
                          <w:iCs/>
                          <w:sz w:val="20"/>
                        </w:rPr>
                        <w:t>enthusiastically gathered around</w:t>
                      </w:r>
                      <w:r w:rsidRPr="003D088B">
                        <w:rPr>
                          <w:iCs/>
                          <w:sz w:val="20"/>
                        </w:rPr>
                        <w:t xml:space="preserve"> </w:t>
                      </w:r>
                      <w:r>
                        <w:rPr>
                          <w:iCs/>
                          <w:sz w:val="20"/>
                        </w:rPr>
                        <w:t xml:space="preserve">the mobile phone </w:t>
                      </w:r>
                      <w:r w:rsidRPr="003D088B">
                        <w:rPr>
                          <w:iCs/>
                          <w:sz w:val="20"/>
                        </w:rPr>
                        <w:t>but could not see</w:t>
                      </w:r>
                      <w:r>
                        <w:rPr>
                          <w:iCs/>
                          <w:sz w:val="20"/>
                        </w:rPr>
                        <w:t xml:space="preserve"> it</w:t>
                      </w:r>
                      <w:r w:rsidRPr="003D088B">
                        <w:rPr>
                          <w:iCs/>
                          <w:sz w:val="20"/>
                        </w:rPr>
                        <w:t xml:space="preserve">, so </w:t>
                      </w:r>
                      <w:r>
                        <w:rPr>
                          <w:iCs/>
                          <w:sz w:val="20"/>
                        </w:rPr>
                        <w:t>audio</w:t>
                      </w:r>
                      <w:r w:rsidRPr="003D088B">
                        <w:rPr>
                          <w:iCs/>
                          <w:sz w:val="20"/>
                        </w:rPr>
                        <w:t xml:space="preserve"> was </w:t>
                      </w:r>
                      <w:r>
                        <w:rPr>
                          <w:iCs/>
                          <w:sz w:val="20"/>
                        </w:rPr>
                        <w:t>turned up</w:t>
                      </w:r>
                      <w:r w:rsidRPr="003D088B">
                        <w:rPr>
                          <w:iCs/>
                          <w:sz w:val="20"/>
                        </w:rPr>
                        <w:t xml:space="preserve"> and they chanted the lines</w:t>
                      </w:r>
                      <w:r>
                        <w:rPr>
                          <w:iCs/>
                          <w:sz w:val="20"/>
                        </w:rPr>
                        <w:t xml:space="preserve"> aloud. This effectively meant they did not do any reading at all during the session</w:t>
                      </w:r>
                      <w:r w:rsidRPr="003D088B">
                        <w:rPr>
                          <w:iCs/>
                          <w:sz w:val="20"/>
                        </w:rPr>
                        <w:t xml:space="preserve">. </w:t>
                      </w:r>
                      <w:r>
                        <w:rPr>
                          <w:iCs/>
                          <w:sz w:val="20"/>
                        </w:rPr>
                        <w:t>T</w:t>
                      </w:r>
                      <w:r w:rsidRPr="003D088B">
                        <w:rPr>
                          <w:iCs/>
                          <w:sz w:val="20"/>
                        </w:rPr>
                        <w:t xml:space="preserve">he CLV </w:t>
                      </w:r>
                      <w:r>
                        <w:rPr>
                          <w:iCs/>
                          <w:sz w:val="20"/>
                        </w:rPr>
                        <w:t>did however ask</w:t>
                      </w:r>
                      <w:r w:rsidRPr="003D088B">
                        <w:rPr>
                          <w:iCs/>
                          <w:sz w:val="20"/>
                        </w:rPr>
                        <w:t xml:space="preserve"> questions about the story</w:t>
                      </w:r>
                      <w:r>
                        <w:rPr>
                          <w:iCs/>
                          <w:sz w:val="20"/>
                        </w:rPr>
                        <w:t xml:space="preserve"> to test their comprehension of English</w:t>
                      </w:r>
                      <w:r w:rsidRPr="003D088B">
                        <w:rPr>
                          <w:iCs/>
                          <w:sz w:val="20"/>
                        </w:rPr>
                        <w:t xml:space="preserve">. </w:t>
                      </w:r>
                      <w:r>
                        <w:rPr>
                          <w:iCs/>
                          <w:sz w:val="20"/>
                        </w:rPr>
                        <w:t>Only two children from an E2 class observed indicated their parents had mobile phones and had the Bloom Reader loaded on them.</w:t>
                      </w:r>
                    </w:p>
                    <w:p w14:paraId="6344C5CA" w14:textId="77777777" w:rsidR="009F310F" w:rsidRPr="00643A38" w:rsidRDefault="009F310F" w:rsidP="00643EB3">
                      <w:pPr>
                        <w:shd w:val="clear" w:color="auto" w:fill="EDEDED" w:themeFill="accent3" w:themeFillTint="33"/>
                        <w:rPr>
                          <w:iCs/>
                          <w:sz w:val="20"/>
                        </w:rPr>
                      </w:pPr>
                    </w:p>
                  </w:txbxContent>
                </v:textbox>
                <w10:anchorlock/>
              </v:shape>
            </w:pict>
          </mc:Fallback>
        </mc:AlternateContent>
      </w:r>
    </w:p>
    <w:p w14:paraId="2AB337E0" w14:textId="77777777" w:rsidR="00643EB3" w:rsidRPr="00FA288E" w:rsidRDefault="00643EB3" w:rsidP="00061FD0">
      <w:pPr>
        <w:jc w:val="both"/>
        <w:rPr>
          <w:rFonts w:cs="Calibri"/>
          <w:sz w:val="20"/>
          <w:szCs w:val="20"/>
        </w:rPr>
      </w:pPr>
      <w:r w:rsidRPr="00FA288E">
        <w:rPr>
          <w:rFonts w:cs="Calibri"/>
          <w:sz w:val="20"/>
          <w:szCs w:val="20"/>
        </w:rPr>
        <w:t xml:space="preserve">These examples highlight significant capacity and sustainability issues of the CLV model, where the provision of ongoing monitoring and closer supervision may have helped maximise their use of the resources and extended their reach beyond the average of 26 children per school reportedly participating. The CEOs reported that there was little time for monitoring and follow up with the first 129 CLVs trained in 2018, so it was unclear how many of these were still active, and how many operated from a school as opposed to a community-based location (and which was most successful). In response, the second lot of 91 was being supported more through a mix of physical monitoring and phone monitoring where coverage and transport allowed. Despite this, the CEO from </w:t>
      </w:r>
      <w:proofErr w:type="spellStart"/>
      <w:r w:rsidRPr="00FA288E">
        <w:rPr>
          <w:rFonts w:cs="Calibri"/>
          <w:sz w:val="20"/>
          <w:szCs w:val="20"/>
        </w:rPr>
        <w:t>Angoram</w:t>
      </w:r>
      <w:proofErr w:type="spellEnd"/>
      <w:r w:rsidRPr="00FA288E">
        <w:rPr>
          <w:rFonts w:cs="Calibri"/>
          <w:sz w:val="20"/>
          <w:szCs w:val="20"/>
        </w:rPr>
        <w:t xml:space="preserve"> District, one of the remotest with poor connectivity (where monitoring is therefore particularly difficult) estimated that only 30% (of the 37 trained this year) are still considered to be active. He therefore took the decision to only provide mobile phones to those active, reducing reach of the resource into the remoter areas for which they are intended. The other districts reported (anecdotally) higher participation by CLVs following the training, but were similarly unclear of the numbers. </w:t>
      </w:r>
    </w:p>
    <w:p w14:paraId="38736757" w14:textId="77777777" w:rsidR="00643EB3" w:rsidRPr="00FA288E" w:rsidRDefault="00643EB3" w:rsidP="00061FD0">
      <w:pPr>
        <w:tabs>
          <w:tab w:val="left" w:pos="4253"/>
        </w:tabs>
        <w:jc w:val="both"/>
        <w:rPr>
          <w:rFonts w:cs="Calibri"/>
          <w:sz w:val="20"/>
          <w:szCs w:val="20"/>
        </w:rPr>
      </w:pPr>
      <w:r w:rsidRPr="00FA288E">
        <w:rPr>
          <w:rFonts w:cs="Calibri"/>
          <w:sz w:val="20"/>
          <w:szCs w:val="20"/>
        </w:rPr>
        <w:lastRenderedPageBreak/>
        <w:t xml:space="preserve">The main monitoring tool used by the CEOs to track CLV </w:t>
      </w:r>
      <w:r w:rsidRPr="00FA288E">
        <w:rPr>
          <w:rFonts w:cs="Calibri"/>
          <w:i/>
          <w:sz w:val="20"/>
          <w:szCs w:val="20"/>
        </w:rPr>
        <w:t>performance</w:t>
      </w:r>
      <w:r w:rsidRPr="00FA288E">
        <w:rPr>
          <w:rFonts w:cs="Calibri"/>
          <w:sz w:val="20"/>
          <w:szCs w:val="20"/>
        </w:rPr>
        <w:t xml:space="preserve"> was in the form of a questionnaire administered to CLVs about the successes and difficulties they faced in performing their roles. Uploaded into </w:t>
      </w:r>
      <w:proofErr w:type="spellStart"/>
      <w:r w:rsidRPr="00FA288E">
        <w:rPr>
          <w:rFonts w:cs="Calibri"/>
          <w:sz w:val="20"/>
          <w:szCs w:val="20"/>
        </w:rPr>
        <w:t>KoBo</w:t>
      </w:r>
      <w:proofErr w:type="spellEnd"/>
      <w:r w:rsidRPr="00FA288E">
        <w:rPr>
          <w:rFonts w:cs="Calibri"/>
          <w:sz w:val="20"/>
          <w:szCs w:val="20"/>
        </w:rPr>
        <w:t xml:space="preserve"> and collated by management, this rich and useful data was used to develop a program to support CLVs in their work – mostly in the form of motivational text messages and areas for improved mentoring/support. CLV reflection workshops were also conducted and are a useful information gathering event in which CLVs provide feedback on their experiences. Both provide useful data for the midline report (see below).</w:t>
      </w:r>
    </w:p>
    <w:p w14:paraId="3E503BB6" w14:textId="77777777" w:rsidR="00643EB3" w:rsidRPr="00FA288E" w:rsidRDefault="00643EB3" w:rsidP="00061FD0">
      <w:pPr>
        <w:jc w:val="both"/>
        <w:rPr>
          <w:rFonts w:cs="Calibri"/>
          <w:sz w:val="20"/>
          <w:szCs w:val="20"/>
        </w:rPr>
      </w:pPr>
      <w:r w:rsidRPr="00FA288E">
        <w:rPr>
          <w:rFonts w:cs="Calibri"/>
          <w:sz w:val="20"/>
          <w:szCs w:val="20"/>
        </w:rPr>
        <w:t xml:space="preserve">Monitoring of CLV </w:t>
      </w:r>
      <w:r w:rsidRPr="00FA288E">
        <w:rPr>
          <w:rFonts w:cs="Calibri"/>
          <w:i/>
          <w:sz w:val="20"/>
          <w:szCs w:val="20"/>
        </w:rPr>
        <w:t>activity</w:t>
      </w:r>
      <w:r w:rsidRPr="00FA288E">
        <w:rPr>
          <w:rFonts w:cs="Calibri"/>
          <w:sz w:val="20"/>
          <w:szCs w:val="20"/>
        </w:rPr>
        <w:t xml:space="preserve"> data and beneficiary numbers is particularly difficult. This was raised with the CEOs following an interview with a CLV who, despite being well supported in an easily accessible school, had recorded exactly the same data into his activity book data sheets every month. The CEO queried the data entries, and formed the view that the CLV was not sufficiently familiar with the monitoring task he had been given after only one week of training, yet his data on beneficiaries had been uploaded into the </w:t>
      </w:r>
      <w:proofErr w:type="spellStart"/>
      <w:r w:rsidRPr="00FA288E">
        <w:rPr>
          <w:rFonts w:cs="Calibri"/>
          <w:sz w:val="20"/>
          <w:szCs w:val="20"/>
        </w:rPr>
        <w:t>KoBo</w:t>
      </w:r>
      <w:proofErr w:type="spellEnd"/>
      <w:r w:rsidRPr="00FA288E">
        <w:rPr>
          <w:rFonts w:cs="Calibri"/>
          <w:sz w:val="20"/>
          <w:szCs w:val="20"/>
        </w:rPr>
        <w:t xml:space="preserve"> system. The CEOs recounted other instances where they had doubted the validity of the data provided on community activities/beneficiary numbers and were unable to verify them.</w:t>
      </w:r>
    </w:p>
    <w:p w14:paraId="270F9D6B" w14:textId="77777777" w:rsidR="00643EB3" w:rsidRPr="00FA288E" w:rsidRDefault="00643EB3" w:rsidP="00061FD0">
      <w:pPr>
        <w:tabs>
          <w:tab w:val="left" w:pos="4253"/>
        </w:tabs>
        <w:jc w:val="both"/>
        <w:rPr>
          <w:rFonts w:cs="Calibri"/>
          <w:sz w:val="20"/>
          <w:szCs w:val="20"/>
        </w:rPr>
      </w:pPr>
      <w:r w:rsidRPr="00FA288E">
        <w:rPr>
          <w:rFonts w:cs="Calibri"/>
          <w:sz w:val="20"/>
          <w:szCs w:val="20"/>
        </w:rPr>
        <w:t xml:space="preserve">The limited </w:t>
      </w:r>
      <w:r w:rsidR="00A07B4A" w:rsidRPr="00FA288E">
        <w:rPr>
          <w:rFonts w:cs="Calibri"/>
          <w:sz w:val="20"/>
          <w:szCs w:val="20"/>
        </w:rPr>
        <w:t>abil</w:t>
      </w:r>
      <w:r w:rsidRPr="00FA288E">
        <w:rPr>
          <w:rFonts w:cs="Calibri"/>
          <w:sz w:val="20"/>
          <w:szCs w:val="20"/>
        </w:rPr>
        <w:t>ity of the CEOs to physically monitor and mentor CLVs appeared to miss opportunities to maximise their effectiveness and sustainability – even for those that were relatively engaged and capable as in the examples above.</w:t>
      </w:r>
    </w:p>
    <w:p w14:paraId="1D16E5B8" w14:textId="77777777" w:rsidR="00643EB3" w:rsidRPr="00FA288E" w:rsidRDefault="00643EB3" w:rsidP="00643EB3">
      <w:pPr>
        <w:rPr>
          <w:rFonts w:cs="Calibri"/>
          <w:i/>
          <w:sz w:val="20"/>
          <w:szCs w:val="20"/>
          <w:u w:val="single"/>
        </w:rPr>
      </w:pPr>
      <w:r w:rsidRPr="00FA288E">
        <w:rPr>
          <w:rFonts w:cs="Calibri"/>
          <w:i/>
          <w:sz w:val="20"/>
          <w:szCs w:val="20"/>
          <w:u w:val="single"/>
        </w:rPr>
        <w:t>b. Education for Life School Kits</w:t>
      </w:r>
    </w:p>
    <w:p w14:paraId="12778123" w14:textId="77777777" w:rsidR="001E3185" w:rsidRPr="00FA288E" w:rsidRDefault="00643EB3" w:rsidP="001E3185">
      <w:pPr>
        <w:spacing w:after="120"/>
        <w:rPr>
          <w:rFonts w:cs="Calibri"/>
          <w:iCs/>
          <w:sz w:val="20"/>
          <w:szCs w:val="20"/>
        </w:rPr>
      </w:pPr>
      <w:r w:rsidRPr="00FA288E">
        <w:rPr>
          <w:rFonts w:cs="Calibri"/>
          <w:iCs/>
          <w:sz w:val="20"/>
          <w:szCs w:val="20"/>
        </w:rPr>
        <w:t>Anecdotal evidence from RISE pro</w:t>
      </w:r>
      <w:r w:rsidR="00686098" w:rsidRPr="00FA288E">
        <w:rPr>
          <w:rFonts w:cs="Calibri"/>
          <w:iCs/>
          <w:sz w:val="20"/>
          <w:szCs w:val="20"/>
        </w:rPr>
        <w:t>ject</w:t>
      </w:r>
      <w:r w:rsidRPr="00FA288E">
        <w:rPr>
          <w:rFonts w:cs="Calibri"/>
          <w:iCs/>
          <w:sz w:val="20"/>
          <w:szCs w:val="20"/>
        </w:rPr>
        <w:t xml:space="preserve"> management indicated that this intervention was particularly effective, with schools asking for more kits. Of the 30, 2-3 experienced technical difficulties, and as far as they were aware, had not been fixed. </w:t>
      </w:r>
    </w:p>
    <w:p w14:paraId="0DA1E586" w14:textId="77777777" w:rsidR="001E3185" w:rsidRPr="00FA288E" w:rsidRDefault="001E3185" w:rsidP="003E1E3E">
      <w:pPr>
        <w:pStyle w:val="Heading2"/>
        <w:ind w:left="360"/>
        <w:rPr>
          <w:b w:val="0"/>
          <w:bCs w:val="0"/>
          <w:sz w:val="20"/>
          <w:szCs w:val="20"/>
        </w:rPr>
      </w:pPr>
      <w:bookmarkStart w:id="171" w:name="_Box_9._The"/>
      <w:bookmarkStart w:id="172" w:name="_Toc26914398"/>
      <w:bookmarkStart w:id="173" w:name="_Toc31625618"/>
      <w:bookmarkStart w:id="174" w:name="_Toc42075998"/>
      <w:bookmarkEnd w:id="171"/>
      <w:r w:rsidRPr="00FA288E">
        <w:rPr>
          <w:b w:val="0"/>
          <w:bCs w:val="0"/>
          <w:sz w:val="20"/>
          <w:szCs w:val="20"/>
        </w:rPr>
        <w:t>Box 9. The Bloom reader and projector kits have clear application in classroom settings</w:t>
      </w:r>
      <w:bookmarkEnd w:id="172"/>
      <w:bookmarkEnd w:id="173"/>
      <w:bookmarkEnd w:id="174"/>
    </w:p>
    <w:p w14:paraId="16EEF5F0" w14:textId="77777777" w:rsidR="00416B63" w:rsidRPr="00FA288E" w:rsidRDefault="00416B63" w:rsidP="001E3185">
      <w:pPr>
        <w:rPr>
          <w:rFonts w:cs="Calibri"/>
          <w:sz w:val="20"/>
          <w:szCs w:val="20"/>
        </w:rPr>
      </w:pPr>
      <w:r w:rsidRPr="00FA288E">
        <w:rPr>
          <w:rFonts w:cs="Calibri"/>
          <w:iCs/>
          <w:noProof/>
          <w:sz w:val="20"/>
          <w:szCs w:val="20"/>
          <w:lang w:eastAsia="en-AU"/>
        </w:rPr>
        <mc:AlternateContent>
          <mc:Choice Requires="wps">
            <w:drawing>
              <wp:inline distT="0" distB="0" distL="0" distR="0" wp14:anchorId="55149532" wp14:editId="11AC939B">
                <wp:extent cx="5731510" cy="2489200"/>
                <wp:effectExtent l="0" t="0" r="21590"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489200"/>
                        </a:xfrm>
                        <a:prstGeom prst="rect">
                          <a:avLst/>
                        </a:prstGeom>
                        <a:solidFill>
                          <a:srgbClr val="EAEAEA"/>
                        </a:solidFill>
                        <a:ln w="9525">
                          <a:solidFill>
                            <a:srgbClr val="000000"/>
                          </a:solidFill>
                          <a:miter lim="800000"/>
                          <a:headEnd/>
                          <a:tailEnd/>
                        </a:ln>
                      </wps:spPr>
                      <wps:txbx>
                        <w:txbxContent>
                          <w:p w14:paraId="12C64100" w14:textId="77777777" w:rsidR="009F310F" w:rsidRPr="008F267C" w:rsidRDefault="009F310F" w:rsidP="00416B63">
                            <w:pPr>
                              <w:shd w:val="clear" w:color="auto" w:fill="EDEDED" w:themeFill="accent3" w:themeFillTint="33"/>
                              <w:spacing w:after="120"/>
                              <w:rPr>
                                <w:sz w:val="20"/>
                              </w:rPr>
                            </w:pPr>
                            <w:r w:rsidRPr="00DD25A9">
                              <w:rPr>
                                <w:sz w:val="20"/>
                              </w:rPr>
                              <w:t>A RISE school visited</w:t>
                            </w:r>
                            <w:r w:rsidRPr="008F267C">
                              <w:rPr>
                                <w:sz w:val="20"/>
                              </w:rPr>
                              <w:t xml:space="preserve"> </w:t>
                            </w:r>
                            <w:r>
                              <w:rPr>
                                <w:sz w:val="20"/>
                              </w:rPr>
                              <w:t xml:space="preserve">during the review </w:t>
                            </w:r>
                            <w:r w:rsidRPr="008F267C">
                              <w:rPr>
                                <w:sz w:val="20"/>
                              </w:rPr>
                              <w:t>had a kit which the TIC and E2 Teacher reported using every week. Observation of the E2 teacher setting it up however indicated they still had some difficulty, with one of the RISE staff assisting with set up. Issues included:</w:t>
                            </w:r>
                          </w:p>
                          <w:p w14:paraId="5AB86501" w14:textId="77777777" w:rsidR="009F310F" w:rsidRPr="008F267C" w:rsidRDefault="009F310F" w:rsidP="00416B63">
                            <w:pPr>
                              <w:shd w:val="clear" w:color="auto" w:fill="EDEDED" w:themeFill="accent3" w:themeFillTint="33"/>
                              <w:spacing w:after="120"/>
                              <w:rPr>
                                <w:sz w:val="20"/>
                              </w:rPr>
                            </w:pPr>
                            <w:r w:rsidRPr="008F267C">
                              <w:rPr>
                                <w:sz w:val="20"/>
                              </w:rPr>
                              <w:t>- they were unable to turn up the sound so that the audio could not be heard</w:t>
                            </w:r>
                          </w:p>
                          <w:p w14:paraId="6F07C68E" w14:textId="77777777" w:rsidR="009F310F" w:rsidRPr="008F267C" w:rsidRDefault="009F310F" w:rsidP="00416B63">
                            <w:pPr>
                              <w:shd w:val="clear" w:color="auto" w:fill="EDEDED" w:themeFill="accent3" w:themeFillTint="33"/>
                              <w:spacing w:after="120"/>
                              <w:rPr>
                                <w:sz w:val="20"/>
                              </w:rPr>
                            </w:pPr>
                            <w:r w:rsidRPr="008F267C">
                              <w:rPr>
                                <w:sz w:val="20"/>
                              </w:rPr>
                              <w:t xml:space="preserve">- </w:t>
                            </w:r>
                            <w:r>
                              <w:rPr>
                                <w:sz w:val="20"/>
                              </w:rPr>
                              <w:t xml:space="preserve">windows were not sufficiently </w:t>
                            </w:r>
                            <w:r w:rsidRPr="008F267C">
                              <w:rPr>
                                <w:sz w:val="20"/>
                              </w:rPr>
                              <w:t>dark</w:t>
                            </w:r>
                            <w:r>
                              <w:rPr>
                                <w:sz w:val="20"/>
                              </w:rPr>
                              <w:t>ened</w:t>
                            </w:r>
                            <w:r w:rsidRPr="008F267C">
                              <w:rPr>
                                <w:sz w:val="20"/>
                              </w:rPr>
                              <w:t xml:space="preserve"> to provide contrast</w:t>
                            </w:r>
                          </w:p>
                          <w:p w14:paraId="185924B5" w14:textId="77777777" w:rsidR="009F310F" w:rsidRPr="008F267C" w:rsidRDefault="009F310F" w:rsidP="00416B63">
                            <w:pPr>
                              <w:shd w:val="clear" w:color="auto" w:fill="EDEDED" w:themeFill="accent3" w:themeFillTint="33"/>
                              <w:spacing w:after="120"/>
                              <w:rPr>
                                <w:sz w:val="20"/>
                              </w:rPr>
                            </w:pPr>
                            <w:r w:rsidRPr="008F267C">
                              <w:rPr>
                                <w:sz w:val="20"/>
                              </w:rPr>
                              <w:t>- the cloth screen was taped temporarily over existing posters on the wall, obscuring the text.</w:t>
                            </w:r>
                          </w:p>
                          <w:p w14:paraId="2EE1F59E" w14:textId="77777777" w:rsidR="009F310F" w:rsidRPr="008F267C" w:rsidRDefault="009F310F" w:rsidP="00416B63">
                            <w:pPr>
                              <w:shd w:val="clear" w:color="auto" w:fill="EDEDED" w:themeFill="accent3" w:themeFillTint="33"/>
                              <w:spacing w:after="120"/>
                              <w:rPr>
                                <w:sz w:val="20"/>
                              </w:rPr>
                            </w:pPr>
                            <w:r w:rsidRPr="008F267C">
                              <w:rPr>
                                <w:sz w:val="20"/>
                              </w:rPr>
                              <w:t xml:space="preserve">Despite these difficulties, the children had no trouble reading the text which they had practiced that morning. The teacher asked a series of questions to test comprehension, demonstrating the children had clearly comprehended the English. This was a strategy she used previously with the </w:t>
                            </w:r>
                            <w:r>
                              <w:rPr>
                                <w:sz w:val="20"/>
                              </w:rPr>
                              <w:t>‘</w:t>
                            </w:r>
                            <w:r w:rsidRPr="008F267C">
                              <w:rPr>
                                <w:sz w:val="20"/>
                              </w:rPr>
                              <w:t>big books</w:t>
                            </w:r>
                            <w:r>
                              <w:rPr>
                                <w:sz w:val="20"/>
                              </w:rPr>
                              <w:t>’</w:t>
                            </w:r>
                            <w:r w:rsidRPr="008F267C">
                              <w:rPr>
                                <w:sz w:val="20"/>
                              </w:rPr>
                              <w:t xml:space="preserve">. Benefits of the Education for Life kits noted by the teachers included that </w:t>
                            </w:r>
                            <w:r>
                              <w:rPr>
                                <w:sz w:val="20"/>
                              </w:rPr>
                              <w:t>the technology</w:t>
                            </w:r>
                            <w:r w:rsidRPr="008F267C">
                              <w:rPr>
                                <w:sz w:val="20"/>
                              </w:rPr>
                              <w:t xml:space="preserve"> motivated children to come to school every day</w:t>
                            </w:r>
                            <w:r>
                              <w:rPr>
                                <w:sz w:val="20"/>
                              </w:rPr>
                              <w:t>, and there was less need to make their own reading resources for group reading (big books)</w:t>
                            </w:r>
                            <w:r w:rsidRPr="008F267C">
                              <w:rPr>
                                <w:sz w:val="20"/>
                              </w:rPr>
                              <w:t>.</w:t>
                            </w:r>
                          </w:p>
                        </w:txbxContent>
                      </wps:txbx>
                      <wps:bodyPr rot="0" vert="horz" wrap="square" lIns="91440" tIns="45720" rIns="91440" bIns="45720" anchor="t" anchorCtr="0">
                        <a:noAutofit/>
                      </wps:bodyPr>
                    </wps:wsp>
                  </a:graphicData>
                </a:graphic>
              </wp:inline>
            </w:drawing>
          </mc:Choice>
          <mc:Fallback>
            <w:pict>
              <v:shape w14:anchorId="55149532" id="_x0000_s1034" type="#_x0000_t202" style="width:451.3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" fillcolor="#eaeaea">
                <v:textbox>
                  <w:txbxContent>
                    <w:p w14:paraId="12C64100" w14:textId="77777777" w:rsidR="009F310F" w:rsidRPr="008F267C" w:rsidRDefault="009F310F" w:rsidP="00416B63">
                      <w:pPr>
                        <w:shd w:val="clear" w:color="auto" w:fill="EDEDED" w:themeFill="accent3" w:themeFillTint="33"/>
                        <w:spacing w:after="120"/>
                        <w:rPr>
                          <w:sz w:val="20"/>
                        </w:rPr>
                      </w:pPr>
                      <w:r w:rsidRPr="00DD25A9">
                        <w:rPr>
                          <w:sz w:val="20"/>
                        </w:rPr>
                        <w:t>A RISE school visited</w:t>
                      </w:r>
                      <w:r w:rsidRPr="008F267C">
                        <w:rPr>
                          <w:sz w:val="20"/>
                        </w:rPr>
                        <w:t xml:space="preserve"> </w:t>
                      </w:r>
                      <w:r>
                        <w:rPr>
                          <w:sz w:val="20"/>
                        </w:rPr>
                        <w:t xml:space="preserve">during the review </w:t>
                      </w:r>
                      <w:r w:rsidRPr="008F267C">
                        <w:rPr>
                          <w:sz w:val="20"/>
                        </w:rPr>
                        <w:t>had a kit which the TIC and E2 Teacher reported using every week. Observation of the E2 teacher setting it up however indicated they still had some difficulty, with one of the RISE staff assisting with set up. Issues included:</w:t>
                      </w:r>
                    </w:p>
                    <w:p w14:paraId="5AB86501" w14:textId="77777777" w:rsidR="009F310F" w:rsidRPr="008F267C" w:rsidRDefault="009F310F" w:rsidP="00416B63">
                      <w:pPr>
                        <w:shd w:val="clear" w:color="auto" w:fill="EDEDED" w:themeFill="accent3" w:themeFillTint="33"/>
                        <w:spacing w:after="120"/>
                        <w:rPr>
                          <w:sz w:val="20"/>
                        </w:rPr>
                      </w:pPr>
                      <w:r w:rsidRPr="008F267C">
                        <w:rPr>
                          <w:sz w:val="20"/>
                        </w:rPr>
                        <w:t>- they were unable to turn up the sound so that the audio could not be heard</w:t>
                      </w:r>
                    </w:p>
                    <w:p w14:paraId="6F07C68E" w14:textId="77777777" w:rsidR="009F310F" w:rsidRPr="008F267C" w:rsidRDefault="009F310F" w:rsidP="00416B63">
                      <w:pPr>
                        <w:shd w:val="clear" w:color="auto" w:fill="EDEDED" w:themeFill="accent3" w:themeFillTint="33"/>
                        <w:spacing w:after="120"/>
                        <w:rPr>
                          <w:sz w:val="20"/>
                        </w:rPr>
                      </w:pPr>
                      <w:r w:rsidRPr="008F267C">
                        <w:rPr>
                          <w:sz w:val="20"/>
                        </w:rPr>
                        <w:t xml:space="preserve">- </w:t>
                      </w:r>
                      <w:r>
                        <w:rPr>
                          <w:sz w:val="20"/>
                        </w:rPr>
                        <w:t xml:space="preserve">windows were not sufficiently </w:t>
                      </w:r>
                      <w:r w:rsidRPr="008F267C">
                        <w:rPr>
                          <w:sz w:val="20"/>
                        </w:rPr>
                        <w:t>dark</w:t>
                      </w:r>
                      <w:r>
                        <w:rPr>
                          <w:sz w:val="20"/>
                        </w:rPr>
                        <w:t>ened</w:t>
                      </w:r>
                      <w:r w:rsidRPr="008F267C">
                        <w:rPr>
                          <w:sz w:val="20"/>
                        </w:rPr>
                        <w:t xml:space="preserve"> to provide contrast</w:t>
                      </w:r>
                    </w:p>
                    <w:p w14:paraId="185924B5" w14:textId="77777777" w:rsidR="009F310F" w:rsidRPr="008F267C" w:rsidRDefault="009F310F" w:rsidP="00416B63">
                      <w:pPr>
                        <w:shd w:val="clear" w:color="auto" w:fill="EDEDED" w:themeFill="accent3" w:themeFillTint="33"/>
                        <w:spacing w:after="120"/>
                        <w:rPr>
                          <w:sz w:val="20"/>
                        </w:rPr>
                      </w:pPr>
                      <w:r w:rsidRPr="008F267C">
                        <w:rPr>
                          <w:sz w:val="20"/>
                        </w:rPr>
                        <w:t>- the cloth screen was taped temporarily over existing posters on the wall, obscuring the text.</w:t>
                      </w:r>
                    </w:p>
                    <w:p w14:paraId="2EE1F59E" w14:textId="77777777" w:rsidR="009F310F" w:rsidRPr="008F267C" w:rsidRDefault="009F310F" w:rsidP="00416B63">
                      <w:pPr>
                        <w:shd w:val="clear" w:color="auto" w:fill="EDEDED" w:themeFill="accent3" w:themeFillTint="33"/>
                        <w:spacing w:after="120"/>
                        <w:rPr>
                          <w:sz w:val="20"/>
                        </w:rPr>
                      </w:pPr>
                      <w:r w:rsidRPr="008F267C">
                        <w:rPr>
                          <w:sz w:val="20"/>
                        </w:rPr>
                        <w:t xml:space="preserve">Despite these difficulties, the children had no trouble reading the text which they had practiced that morning. The teacher asked a series of questions to test comprehension, demonstrating the children had clearly comprehended the English. This was a strategy she used previously with the </w:t>
                      </w:r>
                      <w:r>
                        <w:rPr>
                          <w:sz w:val="20"/>
                        </w:rPr>
                        <w:t>‘</w:t>
                      </w:r>
                      <w:r w:rsidRPr="008F267C">
                        <w:rPr>
                          <w:sz w:val="20"/>
                        </w:rPr>
                        <w:t>big books</w:t>
                      </w:r>
                      <w:r>
                        <w:rPr>
                          <w:sz w:val="20"/>
                        </w:rPr>
                        <w:t>’</w:t>
                      </w:r>
                      <w:r w:rsidRPr="008F267C">
                        <w:rPr>
                          <w:sz w:val="20"/>
                        </w:rPr>
                        <w:t xml:space="preserve">. Benefits of the Education for Life kits noted by the teachers included that </w:t>
                      </w:r>
                      <w:r>
                        <w:rPr>
                          <w:sz w:val="20"/>
                        </w:rPr>
                        <w:t>the technology</w:t>
                      </w:r>
                      <w:r w:rsidRPr="008F267C">
                        <w:rPr>
                          <w:sz w:val="20"/>
                        </w:rPr>
                        <w:t xml:space="preserve"> motivated children to come to school every day</w:t>
                      </w:r>
                      <w:r>
                        <w:rPr>
                          <w:sz w:val="20"/>
                        </w:rPr>
                        <w:t>, and there was less need to make their own reading resources for group reading (big books)</w:t>
                      </w:r>
                      <w:r w:rsidRPr="008F267C">
                        <w:rPr>
                          <w:sz w:val="20"/>
                        </w:rPr>
                        <w:t>.</w:t>
                      </w:r>
                    </w:p>
                  </w:txbxContent>
                </v:textbox>
                <w10:anchorlock/>
              </v:shape>
            </w:pict>
          </mc:Fallback>
        </mc:AlternateContent>
      </w:r>
    </w:p>
    <w:p w14:paraId="685DAAC3" w14:textId="77777777" w:rsidR="001E3185" w:rsidRPr="00FA288E" w:rsidRDefault="001E3185" w:rsidP="001E3185">
      <w:pPr>
        <w:rPr>
          <w:rFonts w:cs="Calibri"/>
          <w:sz w:val="20"/>
          <w:szCs w:val="20"/>
        </w:rPr>
      </w:pPr>
      <w:r w:rsidRPr="00FA288E">
        <w:rPr>
          <w:rFonts w:cs="Calibri"/>
          <w:sz w:val="20"/>
          <w:szCs w:val="20"/>
        </w:rPr>
        <w:t>ii) Contribution of RISE reading activities to literacy outco</w:t>
      </w:r>
      <w:r w:rsidR="00005F83" w:rsidRPr="00FA288E">
        <w:rPr>
          <w:rFonts w:cs="Calibri"/>
          <w:sz w:val="20"/>
          <w:szCs w:val="20"/>
        </w:rPr>
        <w:t>mes</w:t>
      </w:r>
    </w:p>
    <w:p w14:paraId="6C6CEBFB" w14:textId="77777777" w:rsidR="001E3185" w:rsidRPr="00FA288E" w:rsidRDefault="001E3185" w:rsidP="00061FD0">
      <w:pPr>
        <w:jc w:val="both"/>
        <w:rPr>
          <w:rFonts w:cs="Calibri"/>
          <w:sz w:val="20"/>
          <w:szCs w:val="20"/>
          <w:lang w:eastAsia="en-AU"/>
        </w:rPr>
      </w:pPr>
      <w:r w:rsidRPr="00FA288E">
        <w:rPr>
          <w:rFonts w:cs="Calibri"/>
          <w:sz w:val="20"/>
          <w:szCs w:val="20"/>
        </w:rPr>
        <w:t>The midline data analysis</w:t>
      </w:r>
      <w:r w:rsidRPr="00FA288E">
        <w:rPr>
          <w:rStyle w:val="FootnoteReference"/>
          <w:rFonts w:eastAsiaTheme="majorEastAsia" w:cs="Calibri"/>
          <w:sz w:val="20"/>
          <w:szCs w:val="20"/>
        </w:rPr>
        <w:footnoteReference w:id="115"/>
      </w:r>
      <w:r w:rsidRPr="00FA288E">
        <w:rPr>
          <w:rFonts w:cs="Calibri"/>
          <w:sz w:val="20"/>
          <w:szCs w:val="20"/>
        </w:rPr>
        <w:t xml:space="preserve"> found that for literacy, the largest effect size between intervention and control students was in relation to the proportion of readers and non-readers. A higher proportion of children in intervention schools (49.5%) could read at least five words of the E2 English passage in 30 seconds compared to 44.7% in control schools. What is not clear is the relative contribution of improved teaching practice vis-à-vis reading activities. </w:t>
      </w:r>
      <w:r w:rsidRPr="00FA288E">
        <w:rPr>
          <w:rFonts w:cs="Calibri"/>
          <w:sz w:val="20"/>
          <w:szCs w:val="20"/>
          <w:lang w:eastAsia="en-AU"/>
        </w:rPr>
        <w:t xml:space="preserve">Across the board, reading comprehension, the variable you would expect to see most improvement in as a result of increased access to age and culturally appropriate reading </w:t>
      </w:r>
      <w:r w:rsidRPr="00FA288E">
        <w:rPr>
          <w:rFonts w:cs="Calibri"/>
          <w:i/>
          <w:sz w:val="20"/>
          <w:szCs w:val="20"/>
          <w:lang w:eastAsia="en-AU"/>
        </w:rPr>
        <w:t>material</w:t>
      </w:r>
      <w:r w:rsidRPr="00FA288E">
        <w:rPr>
          <w:rFonts w:cs="Calibri"/>
          <w:sz w:val="20"/>
          <w:szCs w:val="20"/>
          <w:lang w:eastAsia="en-AU"/>
        </w:rPr>
        <w:t xml:space="preserve">, was only an average of 1 percentage point higher in English and 3.4 percentage points higher in Tok Pisin in intervention </w:t>
      </w:r>
      <w:r w:rsidRPr="00FA288E">
        <w:rPr>
          <w:rFonts w:cs="Calibri"/>
          <w:sz w:val="20"/>
          <w:szCs w:val="20"/>
          <w:lang w:eastAsia="en-AU"/>
        </w:rPr>
        <w:lastRenderedPageBreak/>
        <w:t>than control schools. Nevertheless, some interesting correlations did point to isolated effects of reading-related interventions.</w:t>
      </w:r>
    </w:p>
    <w:p w14:paraId="29A5E0AA" w14:textId="77777777" w:rsidR="001E3185" w:rsidRPr="00FA288E" w:rsidRDefault="001E3185" w:rsidP="001E3185">
      <w:pPr>
        <w:rPr>
          <w:rFonts w:cs="Calibri"/>
          <w:i/>
          <w:sz w:val="20"/>
          <w:szCs w:val="20"/>
        </w:rPr>
      </w:pPr>
      <w:bookmarkStart w:id="175" w:name="_Toc26217829"/>
      <w:r w:rsidRPr="00FA288E">
        <w:rPr>
          <w:rFonts w:cs="Calibri"/>
          <w:i/>
          <w:sz w:val="20"/>
          <w:szCs w:val="20"/>
        </w:rPr>
        <w:t>Effect of the Bloom Reader app</w:t>
      </w:r>
      <w:bookmarkEnd w:id="175"/>
    </w:p>
    <w:p w14:paraId="5BA8A390" w14:textId="77777777" w:rsidR="001E3185" w:rsidRPr="00FA288E" w:rsidRDefault="001E3185" w:rsidP="00061FD0">
      <w:pPr>
        <w:tabs>
          <w:tab w:val="left" w:pos="1395"/>
        </w:tabs>
        <w:jc w:val="both"/>
        <w:rPr>
          <w:rFonts w:cs="Calibri"/>
          <w:sz w:val="20"/>
          <w:szCs w:val="20"/>
        </w:rPr>
      </w:pPr>
      <w:r w:rsidRPr="00FA288E">
        <w:rPr>
          <w:rFonts w:cs="Calibri"/>
          <w:sz w:val="20"/>
          <w:szCs w:val="20"/>
        </w:rPr>
        <w:t>Midline results show a low penetration of Bloom Reader overall in line with low access to mobile technology, with slightly more of the control group (6.8%) reporting they have it at midline than the intervention communities (6.6%). Being an open source app, and an initiative actively promoted by the RISE pro</w:t>
      </w:r>
      <w:r w:rsidR="00686098" w:rsidRPr="00FA288E">
        <w:rPr>
          <w:rFonts w:cs="Calibri"/>
          <w:sz w:val="20"/>
          <w:szCs w:val="20"/>
        </w:rPr>
        <w:t>ject</w:t>
      </w:r>
      <w:r w:rsidRPr="00FA288E">
        <w:rPr>
          <w:rFonts w:cs="Calibri"/>
          <w:sz w:val="20"/>
          <w:szCs w:val="20"/>
        </w:rPr>
        <w:t xml:space="preserve">, it was expected that contamination of the control would occur, and this is perceived to be a positive outcome. While only 7 percent of all students surveyed reported using Bloom Reader, these students scored 7 percent higher on literacy compared to students who did not use the app, particularly in the English word score. Access to Bloom Reader also had a strong association with higher scores in Tok Pisin comprehension. It is not known the extent to which this 7 percent of students using the Bloom reader app overlapped with those attending book clubs (where they are read </w:t>
      </w:r>
      <w:r w:rsidRPr="00FA288E">
        <w:rPr>
          <w:rFonts w:cs="Calibri"/>
          <w:i/>
          <w:sz w:val="20"/>
          <w:szCs w:val="20"/>
        </w:rPr>
        <w:t>to</w:t>
      </w:r>
      <w:r w:rsidRPr="00FA288E">
        <w:rPr>
          <w:rFonts w:cs="Calibri"/>
          <w:sz w:val="20"/>
          <w:szCs w:val="20"/>
        </w:rPr>
        <w:t xml:space="preserve"> using the Bloom reader app), or those borrowing books. </w:t>
      </w:r>
    </w:p>
    <w:p w14:paraId="6F97A1ED" w14:textId="77777777" w:rsidR="001E3185" w:rsidRPr="00FA288E" w:rsidRDefault="001E3185" w:rsidP="001E3185">
      <w:pPr>
        <w:rPr>
          <w:rFonts w:cs="Calibri"/>
          <w:i/>
          <w:sz w:val="20"/>
          <w:szCs w:val="20"/>
        </w:rPr>
      </w:pPr>
      <w:r w:rsidRPr="00FA288E">
        <w:rPr>
          <w:rFonts w:cs="Calibri"/>
          <w:i/>
          <w:sz w:val="20"/>
          <w:szCs w:val="20"/>
        </w:rPr>
        <w:t>Effect of the reading clubs</w:t>
      </w:r>
    </w:p>
    <w:p w14:paraId="272C0067" w14:textId="77777777" w:rsidR="001E3185" w:rsidRPr="00FA288E" w:rsidRDefault="001E3185" w:rsidP="00061FD0">
      <w:pPr>
        <w:jc w:val="both"/>
        <w:rPr>
          <w:rFonts w:cs="Calibri"/>
          <w:i/>
          <w:sz w:val="20"/>
          <w:szCs w:val="20"/>
        </w:rPr>
      </w:pPr>
      <w:r w:rsidRPr="00FA288E">
        <w:rPr>
          <w:rFonts w:cs="Calibri"/>
          <w:sz w:val="20"/>
          <w:szCs w:val="20"/>
        </w:rPr>
        <w:t xml:space="preserve">Reading club/book borrowing data was difficult to interpret. Notwithstanding the </w:t>
      </w:r>
      <w:r w:rsidR="00A07B4A" w:rsidRPr="00FA288E">
        <w:rPr>
          <w:rFonts w:cs="Calibri"/>
          <w:sz w:val="20"/>
          <w:szCs w:val="20"/>
        </w:rPr>
        <w:t>limited abil</w:t>
      </w:r>
      <w:r w:rsidRPr="00FA288E">
        <w:rPr>
          <w:rFonts w:cs="Calibri"/>
          <w:sz w:val="20"/>
          <w:szCs w:val="20"/>
        </w:rPr>
        <w:t>ity of CLVs to provide reliable data as noted above, r</w:t>
      </w:r>
      <w:r w:rsidRPr="00FA288E">
        <w:rPr>
          <w:rFonts w:cs="Calibri"/>
          <w:sz w:val="20"/>
          <w:szCs w:val="20"/>
          <w:lang w:eastAsia="en-AU"/>
        </w:rPr>
        <w:t xml:space="preserve">eading club session data for the six month reporting period in the July 2019 Progress reported 320 reading clubs established (i.e. the same number of volunteers trained, although this is likely to be as low as 160 as CLVs tend to work in pairs); 1,920 </w:t>
      </w:r>
      <w:r w:rsidRPr="00FA288E">
        <w:rPr>
          <w:rFonts w:cs="Calibri"/>
          <w:i/>
          <w:sz w:val="20"/>
          <w:szCs w:val="20"/>
          <w:lang w:eastAsia="en-AU"/>
        </w:rPr>
        <w:t>sessions</w:t>
      </w:r>
      <w:r w:rsidRPr="00FA288E">
        <w:rPr>
          <w:rFonts w:cs="Calibri"/>
          <w:sz w:val="20"/>
          <w:szCs w:val="20"/>
          <w:lang w:eastAsia="en-AU"/>
        </w:rPr>
        <w:t xml:space="preserve">, with 8,320 children attending (this number was halved to estimate the gender balance). It is not clear the extent to which these children are double counted across multiple sessions, rather than just counted when they sign up – and who may or may not attend more than the first session. Regardless, this was deemed to be the most successful and popular community literacy activity by the CLVs themselves (83% of the 172 CLVs surveyed in 2019 reported book clubs were successful/really successful, with 92.7% of children interested/very interested in engaging). </w:t>
      </w:r>
    </w:p>
    <w:p w14:paraId="5E183A45" w14:textId="77777777" w:rsidR="001E3185" w:rsidRPr="00FA288E" w:rsidRDefault="001E3185" w:rsidP="00061FD0">
      <w:pPr>
        <w:spacing w:after="120"/>
        <w:jc w:val="both"/>
        <w:rPr>
          <w:rFonts w:cs="Calibri"/>
          <w:sz w:val="20"/>
          <w:szCs w:val="20"/>
          <w:lang w:eastAsia="en-AU"/>
        </w:rPr>
      </w:pPr>
      <w:r w:rsidRPr="00FA288E">
        <w:rPr>
          <w:rFonts w:cs="Calibri"/>
          <w:sz w:val="20"/>
          <w:szCs w:val="20"/>
          <w:lang w:eastAsia="en-AU"/>
        </w:rPr>
        <w:t xml:space="preserve">Midline data showed that </w:t>
      </w:r>
      <w:r w:rsidRPr="00FA288E">
        <w:rPr>
          <w:rFonts w:cs="Calibri"/>
          <w:sz w:val="20"/>
          <w:szCs w:val="20"/>
        </w:rPr>
        <w:t xml:space="preserve">while 22 percent of 989 intervention school children indicated engagement in reading clubs outside school, 12 percent of the 839 in control schools did also. In the absence of a clear baseline on reading club access, the </w:t>
      </w:r>
      <w:r w:rsidR="002B04B2" w:rsidRPr="00FA288E">
        <w:rPr>
          <w:rFonts w:cs="Calibri"/>
          <w:sz w:val="20"/>
          <w:szCs w:val="20"/>
        </w:rPr>
        <w:t>increase</w:t>
      </w:r>
      <w:r w:rsidRPr="00FA288E">
        <w:rPr>
          <w:rFonts w:cs="Calibri"/>
          <w:sz w:val="20"/>
          <w:szCs w:val="20"/>
        </w:rPr>
        <w:t xml:space="preserve"> in control group accessibility to extra-curricular reading activities was not adequately explained, and may call into question the reliability of the data. For example, children may be misinterpreting the concept of a ‘reading club’ as being: family members reading to them outside of school; church-based religious reading activity; or contamination of the control with the spread of intervention reading resources. </w:t>
      </w:r>
    </w:p>
    <w:p w14:paraId="62805483" w14:textId="77777777" w:rsidR="001E3185" w:rsidRPr="00FA288E" w:rsidRDefault="001E3185" w:rsidP="00061FD0">
      <w:pPr>
        <w:jc w:val="both"/>
        <w:rPr>
          <w:rFonts w:cs="Calibri"/>
          <w:sz w:val="20"/>
          <w:szCs w:val="20"/>
          <w:lang w:eastAsia="en-AU"/>
        </w:rPr>
      </w:pPr>
      <w:r w:rsidRPr="00FA288E">
        <w:rPr>
          <w:rFonts w:cs="Calibri"/>
          <w:sz w:val="20"/>
          <w:szCs w:val="20"/>
        </w:rPr>
        <w:t xml:space="preserve">There was also no baseline for book </w:t>
      </w:r>
      <w:r w:rsidRPr="00FA288E">
        <w:rPr>
          <w:rFonts w:cs="Calibri"/>
          <w:i/>
          <w:sz w:val="20"/>
          <w:szCs w:val="20"/>
        </w:rPr>
        <w:t>borrowing</w:t>
      </w:r>
      <w:r w:rsidRPr="00FA288E">
        <w:rPr>
          <w:rFonts w:cs="Calibri"/>
          <w:sz w:val="20"/>
          <w:szCs w:val="20"/>
        </w:rPr>
        <w:t xml:space="preserve">. Fifteen percent of </w:t>
      </w:r>
      <w:r w:rsidRPr="00FA288E">
        <w:rPr>
          <w:rFonts w:cs="Calibri"/>
          <w:i/>
          <w:sz w:val="20"/>
          <w:szCs w:val="20"/>
        </w:rPr>
        <w:t>all</w:t>
      </w:r>
      <w:r w:rsidRPr="00FA288E">
        <w:rPr>
          <w:rFonts w:cs="Calibri"/>
          <w:sz w:val="20"/>
          <w:szCs w:val="20"/>
        </w:rPr>
        <w:t xml:space="preserve"> children reported to have borrowed books, with only 8 percent </w:t>
      </w:r>
      <w:r w:rsidRPr="00FA288E">
        <w:rPr>
          <w:rFonts w:cs="Calibri"/>
          <w:i/>
          <w:sz w:val="20"/>
          <w:szCs w:val="20"/>
        </w:rPr>
        <w:t>more</w:t>
      </w:r>
      <w:r w:rsidRPr="00FA288E">
        <w:rPr>
          <w:rFonts w:cs="Calibri"/>
          <w:sz w:val="20"/>
          <w:szCs w:val="20"/>
        </w:rPr>
        <w:t xml:space="preserve"> children in intervention schools than control schools doing so, which was a lower than expected result. </w:t>
      </w:r>
      <w:r w:rsidRPr="00FA288E">
        <w:rPr>
          <w:rFonts w:cs="Calibri"/>
          <w:sz w:val="20"/>
          <w:szCs w:val="20"/>
          <w:lang w:eastAsia="en-AU"/>
        </w:rPr>
        <w:t xml:space="preserve">Nonetheless, the midline analysis concluded that for the 15 percent of children who </w:t>
      </w:r>
      <w:r w:rsidRPr="00FA288E">
        <w:rPr>
          <w:rFonts w:cs="Calibri"/>
          <w:i/>
          <w:sz w:val="20"/>
          <w:szCs w:val="20"/>
          <w:lang w:eastAsia="en-AU"/>
        </w:rPr>
        <w:t>had</w:t>
      </w:r>
      <w:r w:rsidRPr="00FA288E">
        <w:rPr>
          <w:rFonts w:cs="Calibri"/>
          <w:sz w:val="20"/>
          <w:szCs w:val="20"/>
          <w:lang w:eastAsia="en-AU"/>
        </w:rPr>
        <w:t xml:space="preserve"> borrowed books, their overall literacy and numeracy scores were 12 percentage points higher than for those who had not. Interestingly, the scores were highest in Tok Pisin, although the number of Tok Pisin books available through the intervention was much lower than those in English. The effect size for English word scores was 9.4 percentage points and for English comprehension, 7.6 percentage points higher than children who did not borrow books. The analysis posits that ‘reverse causality’ may well explain these findings, where the children who are more likely to borrow books are also the ones who read anyway, and would do better on a literacy and numeracy assessment regardless of access to library books. This data did not appear to have been disaggregated by gender to ascertain whether girls or boys are more likely to borrow books. </w:t>
      </w:r>
    </w:p>
    <w:p w14:paraId="7037118F" w14:textId="77777777" w:rsidR="001E3185" w:rsidRPr="00FA288E" w:rsidRDefault="001E3185" w:rsidP="00061FD0">
      <w:pPr>
        <w:jc w:val="both"/>
        <w:rPr>
          <w:rFonts w:cs="Calibri"/>
          <w:i/>
          <w:sz w:val="20"/>
          <w:szCs w:val="20"/>
        </w:rPr>
      </w:pPr>
      <w:r w:rsidRPr="00FA288E">
        <w:rPr>
          <w:rFonts w:cs="Calibri"/>
          <w:i/>
          <w:sz w:val="20"/>
          <w:szCs w:val="20"/>
        </w:rPr>
        <w:t>Effects of other initiatives</w:t>
      </w:r>
    </w:p>
    <w:p w14:paraId="0BA99157" w14:textId="77777777" w:rsidR="001E3185" w:rsidRPr="00FA288E" w:rsidRDefault="001E3185" w:rsidP="00061FD0">
      <w:pPr>
        <w:jc w:val="both"/>
        <w:rPr>
          <w:rFonts w:cs="Calibri"/>
          <w:sz w:val="20"/>
          <w:szCs w:val="20"/>
        </w:rPr>
      </w:pPr>
      <w:r w:rsidRPr="00FA288E">
        <w:rPr>
          <w:rFonts w:cs="Calibri"/>
          <w:sz w:val="20"/>
          <w:szCs w:val="20"/>
        </w:rPr>
        <w:t xml:space="preserve">Midline data of </w:t>
      </w:r>
      <w:r w:rsidRPr="00FA288E">
        <w:rPr>
          <w:rFonts w:cs="Calibri"/>
          <w:i/>
          <w:sz w:val="20"/>
          <w:szCs w:val="20"/>
        </w:rPr>
        <w:t>all</w:t>
      </w:r>
      <w:r w:rsidRPr="00FA288E">
        <w:rPr>
          <w:rFonts w:cs="Calibri"/>
          <w:sz w:val="20"/>
          <w:szCs w:val="20"/>
        </w:rPr>
        <w:t xml:space="preserve"> children indicated a 21 percent increase in the proportion of children who have </w:t>
      </w:r>
      <w:r w:rsidRPr="00FA288E">
        <w:rPr>
          <w:rFonts w:cs="Calibri"/>
          <w:sz w:val="20"/>
          <w:szCs w:val="20"/>
          <w:u w:val="single"/>
        </w:rPr>
        <w:t>been read to at home</w:t>
      </w:r>
      <w:r w:rsidRPr="00FA288E">
        <w:rPr>
          <w:rFonts w:cs="Calibri"/>
          <w:sz w:val="20"/>
          <w:szCs w:val="20"/>
        </w:rPr>
        <w:t xml:space="preserve">, however the data also revealed that the increase was 4 percent higher in the control group (i.e. without direct access to caregiver reading workshops). The midline analysis posits that this may indicate that caregiver workshops designed to help parents and caregivers engage in learning activities at home may not have delivered the desired effect. This is consistent with CLV monitoring data which reported that caregiver workshops were one of the most challenging of all the community literacy activities (e.g. over 25% of caregiver workshops had </w:t>
      </w:r>
      <w:r w:rsidRPr="00FA288E">
        <w:rPr>
          <w:rFonts w:cs="Calibri"/>
          <w:sz w:val="20"/>
          <w:szCs w:val="20"/>
        </w:rPr>
        <w:lastRenderedPageBreak/>
        <w:t xml:space="preserve">issues with administration, coordination with local leaders, or poor attendance). While 73% of the 109 CLVs surveyed indicated the caregiver workshops were successful/really successful, this was for a lower than expected average of 10 caregivers per session. The effect size on literacy total scores for </w:t>
      </w:r>
      <w:r w:rsidRPr="00FA288E">
        <w:rPr>
          <w:rFonts w:cs="Calibri"/>
          <w:sz w:val="20"/>
          <w:szCs w:val="20"/>
          <w:u w:val="single"/>
        </w:rPr>
        <w:t>children read to at home</w:t>
      </w:r>
      <w:r w:rsidRPr="00FA288E">
        <w:rPr>
          <w:rFonts w:cs="Calibri"/>
          <w:sz w:val="20"/>
          <w:szCs w:val="20"/>
        </w:rPr>
        <w:t xml:space="preserve"> was small (1.26%), with higher differences in numeracy (up to 3.5%), which may not be explained by being read to. </w:t>
      </w:r>
    </w:p>
    <w:p w14:paraId="033969C9" w14:textId="77777777" w:rsidR="001E3185" w:rsidRPr="00FA288E" w:rsidRDefault="001E3185" w:rsidP="00061FD0">
      <w:pPr>
        <w:jc w:val="both"/>
        <w:rPr>
          <w:rFonts w:cs="Calibri"/>
          <w:sz w:val="20"/>
          <w:szCs w:val="20"/>
        </w:rPr>
      </w:pPr>
      <w:r w:rsidRPr="00FA288E">
        <w:rPr>
          <w:rFonts w:cs="Calibri"/>
          <w:sz w:val="20"/>
          <w:szCs w:val="20"/>
        </w:rPr>
        <w:t>Data around engagement of children in other CLV activities such as storytelling and reading festivals was lower than expected at 19% and 7% respectively, and this data was not disaggregated in the midline analysis by control/intervention areas. It also confirms the difficulty CLVs had in mobilising community interest in these activities, with CLV reflection workshops indicating these were challenging to implement. There was no data available for estimating the effect of the Education for Life kits correlated to changes in literacy, or the impact of the sight and hearing- impaired features of the reader.</w:t>
      </w:r>
    </w:p>
    <w:p w14:paraId="4C9BF9D1" w14:textId="77777777" w:rsidR="001E3185" w:rsidRPr="00FA288E" w:rsidRDefault="001E3185" w:rsidP="001E3185">
      <w:pPr>
        <w:rPr>
          <w:rFonts w:cs="Calibri"/>
          <w:i/>
          <w:iCs/>
          <w:sz w:val="20"/>
          <w:szCs w:val="20"/>
        </w:rPr>
      </w:pPr>
      <w:r w:rsidRPr="00FA288E">
        <w:rPr>
          <w:rFonts w:cs="Calibri"/>
          <w:i/>
          <w:iCs/>
          <w:sz w:val="20"/>
          <w:szCs w:val="20"/>
        </w:rPr>
        <w:t>Together for Education project reading activities</w:t>
      </w:r>
    </w:p>
    <w:p w14:paraId="16CBB0CE" w14:textId="77777777" w:rsidR="001E3185" w:rsidRPr="00FA288E" w:rsidRDefault="001E3185" w:rsidP="00061FD0">
      <w:pPr>
        <w:jc w:val="both"/>
        <w:rPr>
          <w:rFonts w:cs="Calibri"/>
          <w:sz w:val="20"/>
          <w:szCs w:val="20"/>
        </w:rPr>
      </w:pPr>
      <w:r w:rsidRPr="00FA288E">
        <w:rPr>
          <w:rFonts w:cs="Calibri"/>
          <w:sz w:val="20"/>
          <w:szCs w:val="20"/>
        </w:rPr>
        <w:t xml:space="preserve">Production of the Library for All target of 500 titles from prep to E2 is completed. While not aligned to the SBC specifically, authors were asked to prioritise the first 300 words a child needs to learn. </w:t>
      </w:r>
      <w:proofErr w:type="spellStart"/>
      <w:r w:rsidRPr="00FA288E">
        <w:rPr>
          <w:rFonts w:cs="Calibri"/>
          <w:sz w:val="20"/>
          <w:szCs w:val="20"/>
        </w:rPr>
        <w:t>LfA</w:t>
      </w:r>
      <w:proofErr w:type="spellEnd"/>
      <w:r w:rsidRPr="00FA288E">
        <w:rPr>
          <w:rFonts w:cs="Calibri"/>
          <w:sz w:val="20"/>
          <w:szCs w:val="20"/>
        </w:rPr>
        <w:t xml:space="preserve"> received over 2,000 story submissions, and funded the publication of an additional 235 themselves, including at higher levels so that young readers can go on. These have been loaded onto durable, easy to use tablets that are stored in a single container that charges 40 – 50 tablets with a single power chord. The profiles of several children are loaded on to each tablet so that multiple users can use them. One of the advantages of the tablets is that up to 40 – 50 children in a classroom setting can be reading the same book simultaneously, without the need for a projector, a ‘big book’, or multiple hard copies. </w:t>
      </w:r>
    </w:p>
    <w:p w14:paraId="1F4A8C34" w14:textId="77CC7DDC" w:rsidR="001E3185" w:rsidRPr="00FA288E" w:rsidRDefault="001E3185" w:rsidP="00061FD0">
      <w:pPr>
        <w:jc w:val="both"/>
        <w:rPr>
          <w:rFonts w:cs="Calibri"/>
          <w:sz w:val="20"/>
          <w:szCs w:val="20"/>
        </w:rPr>
      </w:pPr>
      <w:r w:rsidRPr="00FA288E">
        <w:rPr>
          <w:rFonts w:cs="Calibri"/>
          <w:sz w:val="20"/>
          <w:szCs w:val="20"/>
        </w:rPr>
        <w:t xml:space="preserve">The books on the tablets are available off line, but schools are reliant on </w:t>
      </w:r>
      <w:proofErr w:type="spellStart"/>
      <w:r w:rsidRPr="00FA288E">
        <w:rPr>
          <w:rFonts w:cs="Calibri"/>
          <w:sz w:val="20"/>
          <w:szCs w:val="20"/>
        </w:rPr>
        <w:t>LfA</w:t>
      </w:r>
      <w:proofErr w:type="spellEnd"/>
      <w:r w:rsidRPr="00FA288E">
        <w:rPr>
          <w:rFonts w:cs="Calibri"/>
          <w:sz w:val="20"/>
          <w:szCs w:val="20"/>
        </w:rPr>
        <w:t xml:space="preserve"> for any updates/additions to the 500 titles. </w:t>
      </w:r>
      <w:r w:rsidR="00380D34" w:rsidRPr="00FA288E">
        <w:rPr>
          <w:rFonts w:cs="Calibri"/>
          <w:sz w:val="20"/>
          <w:szCs w:val="20"/>
        </w:rPr>
        <w:t>Online</w:t>
      </w:r>
      <w:r w:rsidRPr="00FA288E">
        <w:rPr>
          <w:rFonts w:cs="Calibri"/>
          <w:sz w:val="20"/>
          <w:szCs w:val="20"/>
        </w:rPr>
        <w:t xml:space="preserve">, the titles are available through the Google play store app for parent/teacher use on smartphones. The tablets have an estimated 5 – 10 years longevity at a cost of AUD$7700 per kit of 40-50. Children are protected from receiving inappropriate materials when the devices are on line through a kiosk mode that prevents opening of anything not sent by </w:t>
      </w:r>
      <w:proofErr w:type="spellStart"/>
      <w:r w:rsidRPr="00FA288E">
        <w:rPr>
          <w:rFonts w:cs="Calibri"/>
          <w:sz w:val="20"/>
          <w:szCs w:val="20"/>
        </w:rPr>
        <w:t>LfA</w:t>
      </w:r>
      <w:proofErr w:type="spellEnd"/>
      <w:r w:rsidRPr="00FA288E">
        <w:rPr>
          <w:rFonts w:cs="Calibri"/>
          <w:sz w:val="20"/>
          <w:szCs w:val="20"/>
        </w:rPr>
        <w:t xml:space="preserve">. </w:t>
      </w:r>
      <w:proofErr w:type="spellStart"/>
      <w:r w:rsidRPr="00FA288E">
        <w:rPr>
          <w:rFonts w:cs="Calibri"/>
          <w:sz w:val="20"/>
          <w:szCs w:val="20"/>
        </w:rPr>
        <w:t>LfA</w:t>
      </w:r>
      <w:proofErr w:type="spellEnd"/>
      <w:r w:rsidRPr="00FA288E">
        <w:rPr>
          <w:rFonts w:cs="Calibri"/>
          <w:sz w:val="20"/>
          <w:szCs w:val="20"/>
        </w:rPr>
        <w:t xml:space="preserve"> is currently incorporating audio and PDF's into the LFA app so that teacher training material can be added, which will be available in </w:t>
      </w:r>
      <w:r w:rsidR="00763200" w:rsidRPr="00FA288E">
        <w:rPr>
          <w:rFonts w:cs="Calibri"/>
          <w:sz w:val="20"/>
          <w:szCs w:val="20"/>
        </w:rPr>
        <w:t xml:space="preserve">early </w:t>
      </w:r>
      <w:r w:rsidRPr="00FA288E">
        <w:rPr>
          <w:rFonts w:cs="Calibri"/>
          <w:sz w:val="20"/>
          <w:szCs w:val="20"/>
        </w:rPr>
        <w:t>2020. The ability to incorporate open source sign languages by SIL is also another innovation planned, and Callan Services have ordered tablets for this purpose, indicating good cross pro</w:t>
      </w:r>
      <w:r w:rsidR="00686098" w:rsidRPr="00FA288E">
        <w:rPr>
          <w:rFonts w:cs="Calibri"/>
          <w:sz w:val="20"/>
          <w:szCs w:val="20"/>
        </w:rPr>
        <w:t>ject</w:t>
      </w:r>
      <w:r w:rsidRPr="00FA288E">
        <w:rPr>
          <w:rFonts w:cs="Calibri"/>
          <w:sz w:val="20"/>
          <w:szCs w:val="20"/>
        </w:rPr>
        <w:t xml:space="preserve"> synergies. In the immediate future, small investments are required for data to access ongoing Android updates, cloud infrastructure and downloading additional titles.</w:t>
      </w:r>
    </w:p>
    <w:p w14:paraId="09F177AB" w14:textId="77777777" w:rsidR="001E3185" w:rsidRPr="00FA288E" w:rsidRDefault="001E3185" w:rsidP="00061FD0">
      <w:pPr>
        <w:jc w:val="both"/>
        <w:rPr>
          <w:rFonts w:cs="Calibri"/>
          <w:sz w:val="20"/>
          <w:szCs w:val="20"/>
        </w:rPr>
      </w:pPr>
      <w:r w:rsidRPr="00FA288E">
        <w:rPr>
          <w:rFonts w:cs="Calibri"/>
          <w:sz w:val="20"/>
          <w:szCs w:val="20"/>
        </w:rPr>
        <w:t xml:space="preserve">Criteria for the 12 pilot villages selection included: 1. A reliable electricity supply, 2. A main contact person responsible; 3. Strong justification for why they wanted it, and how they would use it. T4E received over 100 applications. </w:t>
      </w:r>
    </w:p>
    <w:p w14:paraId="0F888742" w14:textId="77777777" w:rsidR="001E3185" w:rsidRPr="00FA288E" w:rsidRDefault="001E3185" w:rsidP="00061FD0">
      <w:pPr>
        <w:jc w:val="both"/>
        <w:rPr>
          <w:rFonts w:cs="Calibri"/>
          <w:sz w:val="20"/>
          <w:szCs w:val="20"/>
        </w:rPr>
      </w:pPr>
      <w:r w:rsidRPr="00FA288E">
        <w:rPr>
          <w:rFonts w:cs="Calibri"/>
          <w:sz w:val="20"/>
          <w:szCs w:val="20"/>
        </w:rPr>
        <w:t xml:space="preserve">As well as the e-library trial, 275 reading club volunteers have been trained, 116 Reading clubs established and equipped with 25,060 print versions of </w:t>
      </w:r>
      <w:proofErr w:type="spellStart"/>
      <w:r w:rsidRPr="00FA288E">
        <w:rPr>
          <w:rFonts w:cs="Calibri"/>
          <w:sz w:val="20"/>
          <w:szCs w:val="20"/>
        </w:rPr>
        <w:t>LfA</w:t>
      </w:r>
      <w:proofErr w:type="spellEnd"/>
      <w:r w:rsidRPr="00FA288E">
        <w:rPr>
          <w:rFonts w:cs="Calibri"/>
          <w:sz w:val="20"/>
          <w:szCs w:val="20"/>
        </w:rPr>
        <w:t xml:space="preserve"> e-books distributed to both these and the teachers through the resource kits. </w:t>
      </w:r>
    </w:p>
    <w:p w14:paraId="03B9A1EF" w14:textId="77777777" w:rsidR="001E3185" w:rsidRPr="00FA288E" w:rsidRDefault="001E3185" w:rsidP="001E3185">
      <w:pPr>
        <w:rPr>
          <w:rFonts w:cs="Calibri"/>
          <w:sz w:val="20"/>
          <w:szCs w:val="20"/>
        </w:rPr>
      </w:pPr>
      <w:proofErr w:type="spellStart"/>
      <w:r w:rsidRPr="00FA288E">
        <w:rPr>
          <w:rFonts w:cs="Calibri"/>
          <w:sz w:val="20"/>
          <w:szCs w:val="20"/>
        </w:rPr>
        <w:t>i</w:t>
      </w:r>
      <w:proofErr w:type="spellEnd"/>
      <w:r w:rsidRPr="00FA288E">
        <w:rPr>
          <w:rFonts w:cs="Calibri"/>
          <w:sz w:val="20"/>
          <w:szCs w:val="20"/>
        </w:rPr>
        <w:t xml:space="preserve">) Observations on Implementation </w:t>
      </w:r>
    </w:p>
    <w:p w14:paraId="0385EEB9" w14:textId="77777777" w:rsidR="001E3185" w:rsidRPr="00FA288E" w:rsidRDefault="001E3185" w:rsidP="001E3185">
      <w:pPr>
        <w:rPr>
          <w:rFonts w:cs="Calibri"/>
          <w:i/>
          <w:iCs/>
          <w:sz w:val="20"/>
          <w:szCs w:val="20"/>
        </w:rPr>
      </w:pPr>
      <w:r w:rsidRPr="00FA288E">
        <w:rPr>
          <w:rFonts w:cs="Calibri"/>
          <w:i/>
          <w:iCs/>
          <w:sz w:val="20"/>
          <w:szCs w:val="20"/>
        </w:rPr>
        <w:t xml:space="preserve">a. </w:t>
      </w:r>
      <w:r w:rsidRPr="00FA288E">
        <w:rPr>
          <w:rFonts w:cs="Calibri"/>
          <w:i/>
          <w:iCs/>
          <w:sz w:val="20"/>
          <w:szCs w:val="20"/>
          <w:u w:val="single"/>
        </w:rPr>
        <w:t>Library for All’s Digital Library Application trial</w:t>
      </w:r>
    </w:p>
    <w:p w14:paraId="4423D8B8" w14:textId="77777777" w:rsidR="001E3185" w:rsidRPr="00FA288E" w:rsidRDefault="001E3185" w:rsidP="00061FD0">
      <w:pPr>
        <w:jc w:val="both"/>
        <w:rPr>
          <w:rFonts w:cs="Calibri"/>
          <w:sz w:val="20"/>
          <w:szCs w:val="20"/>
        </w:rPr>
      </w:pPr>
      <w:r w:rsidRPr="00FA288E">
        <w:rPr>
          <w:rFonts w:cs="Calibri"/>
          <w:sz w:val="20"/>
          <w:szCs w:val="20"/>
        </w:rPr>
        <w:t xml:space="preserve">The review team did not visit any of the 12 schools trialling this technology, however an extensive phone interview was conducted with </w:t>
      </w:r>
      <w:proofErr w:type="spellStart"/>
      <w:r w:rsidRPr="00FA288E">
        <w:rPr>
          <w:rFonts w:cs="Calibri"/>
          <w:sz w:val="20"/>
          <w:szCs w:val="20"/>
        </w:rPr>
        <w:t>LfA</w:t>
      </w:r>
      <w:proofErr w:type="spellEnd"/>
      <w:r w:rsidRPr="00FA288E">
        <w:rPr>
          <w:rFonts w:cs="Calibri"/>
          <w:sz w:val="20"/>
          <w:szCs w:val="20"/>
        </w:rPr>
        <w:t xml:space="preserve"> staff, and they provided a copy of their most recent mid</w:t>
      </w:r>
      <w:r w:rsidR="00196B3F" w:rsidRPr="00FA288E">
        <w:rPr>
          <w:rFonts w:cs="Calibri"/>
          <w:sz w:val="20"/>
          <w:szCs w:val="20"/>
        </w:rPr>
        <w:t>-</w:t>
      </w:r>
      <w:r w:rsidRPr="00FA288E">
        <w:rPr>
          <w:rFonts w:cs="Calibri"/>
          <w:sz w:val="20"/>
          <w:szCs w:val="20"/>
        </w:rPr>
        <w:t>term data. Physical monitoring as at July 2019 indicated only two tablets have been damaged, and three are unaccounted for. Without chargers, and with only children’s books loaded, they are not considered attractive to keep.</w:t>
      </w:r>
    </w:p>
    <w:p w14:paraId="2E3DD673" w14:textId="77777777" w:rsidR="001E3185" w:rsidRPr="00FA288E" w:rsidRDefault="001E3185" w:rsidP="00061FD0">
      <w:pPr>
        <w:jc w:val="both"/>
        <w:rPr>
          <w:rFonts w:cs="Calibri"/>
          <w:sz w:val="20"/>
          <w:szCs w:val="20"/>
        </w:rPr>
      </w:pPr>
      <w:proofErr w:type="spellStart"/>
      <w:r w:rsidRPr="00FA288E">
        <w:rPr>
          <w:rFonts w:cs="Calibri"/>
          <w:sz w:val="20"/>
          <w:szCs w:val="20"/>
        </w:rPr>
        <w:t>LfA</w:t>
      </w:r>
      <w:proofErr w:type="spellEnd"/>
      <w:r w:rsidRPr="00FA288E">
        <w:rPr>
          <w:rFonts w:cs="Calibri"/>
          <w:sz w:val="20"/>
          <w:szCs w:val="20"/>
        </w:rPr>
        <w:t xml:space="preserve"> collect data on 26 data points, including which books children are reading, how long they are spending on each page/book etc. Data accessibility was initially problematic as the schools are largely operating off line, requiring expensive monitoring visits by Australia based </w:t>
      </w:r>
      <w:proofErr w:type="spellStart"/>
      <w:r w:rsidRPr="00FA288E">
        <w:rPr>
          <w:rFonts w:cs="Calibri"/>
          <w:sz w:val="20"/>
          <w:szCs w:val="20"/>
        </w:rPr>
        <w:t>LfA</w:t>
      </w:r>
      <w:proofErr w:type="spellEnd"/>
      <w:r w:rsidRPr="00FA288E">
        <w:rPr>
          <w:rFonts w:cs="Calibri"/>
          <w:sz w:val="20"/>
          <w:szCs w:val="20"/>
        </w:rPr>
        <w:t xml:space="preserve"> staff. They are working on a solution in the form of a dongle that connects the server to the cloud to pull down updates and send usage data up. For a small monthly fee of around $20, they can perform future monitoring remotely. This data is currently collated and analysed in </w:t>
      </w:r>
      <w:r w:rsidRPr="00FA288E">
        <w:rPr>
          <w:rFonts w:cs="Calibri"/>
          <w:sz w:val="20"/>
          <w:szCs w:val="20"/>
        </w:rPr>
        <w:lastRenderedPageBreak/>
        <w:t xml:space="preserve">Australia, but there are plans to make this available in a dashboard format on a per school basis for use by teachers to track and respond to individual children’s reading habits. </w:t>
      </w:r>
    </w:p>
    <w:p w14:paraId="1558B7D2" w14:textId="77777777" w:rsidR="001E3185" w:rsidRPr="00FA288E" w:rsidRDefault="001E3185" w:rsidP="00061FD0">
      <w:pPr>
        <w:jc w:val="both"/>
        <w:rPr>
          <w:rFonts w:cs="Calibri"/>
          <w:sz w:val="20"/>
          <w:szCs w:val="20"/>
        </w:rPr>
      </w:pPr>
      <w:r w:rsidRPr="00FA288E">
        <w:rPr>
          <w:rFonts w:cs="Calibri"/>
          <w:sz w:val="20"/>
          <w:szCs w:val="20"/>
        </w:rPr>
        <w:t xml:space="preserve">Midline data collected by </w:t>
      </w:r>
      <w:proofErr w:type="spellStart"/>
      <w:r w:rsidRPr="00FA288E">
        <w:rPr>
          <w:rFonts w:cs="Calibri"/>
          <w:sz w:val="20"/>
          <w:szCs w:val="20"/>
        </w:rPr>
        <w:t>LfA</w:t>
      </w:r>
      <w:proofErr w:type="spellEnd"/>
      <w:r w:rsidRPr="00FA288E">
        <w:rPr>
          <w:rFonts w:cs="Calibri"/>
          <w:sz w:val="20"/>
          <w:szCs w:val="20"/>
        </w:rPr>
        <w:t xml:space="preserve"> and updated on November 18, 2019</w:t>
      </w:r>
      <w:r w:rsidRPr="00FA288E">
        <w:rPr>
          <w:rStyle w:val="FootnoteReference"/>
          <w:rFonts w:eastAsiaTheme="majorEastAsia" w:cs="Calibri"/>
          <w:sz w:val="20"/>
          <w:szCs w:val="20"/>
        </w:rPr>
        <w:footnoteReference w:id="116"/>
      </w:r>
      <w:r w:rsidRPr="00FA288E">
        <w:rPr>
          <w:rFonts w:cs="Calibri"/>
          <w:sz w:val="20"/>
          <w:szCs w:val="20"/>
        </w:rPr>
        <w:t xml:space="preserve"> indicated a wide discrepancy between teachers</w:t>
      </w:r>
      <w:r w:rsidR="00982BA8" w:rsidRPr="00FA288E">
        <w:rPr>
          <w:rFonts w:cs="Calibri"/>
          <w:sz w:val="20"/>
          <w:szCs w:val="20"/>
        </w:rPr>
        <w:t>’</w:t>
      </w:r>
      <w:r w:rsidRPr="00FA288E">
        <w:rPr>
          <w:rFonts w:cs="Calibri"/>
          <w:sz w:val="20"/>
          <w:szCs w:val="20"/>
        </w:rPr>
        <w:t xml:space="preserve"> accounts of usage, which vastly overestimated active use, possibly due to fears that teachers would lose the valuable resource if underuse was reported. Actual usage has been more limited than anticipated, falling well short of the target of three hours per student per week. Headline aggregated data from 2018 to August 2019 showed that:</w:t>
      </w:r>
    </w:p>
    <w:p w14:paraId="0790B60E" w14:textId="77777777" w:rsidR="001E3185" w:rsidRPr="00FA288E" w:rsidRDefault="001E3185" w:rsidP="00FF62CC">
      <w:pPr>
        <w:pStyle w:val="ListParagraph"/>
        <w:numPr>
          <w:ilvl w:val="0"/>
          <w:numId w:val="41"/>
        </w:numPr>
        <w:autoSpaceDE w:val="0"/>
        <w:autoSpaceDN w:val="0"/>
        <w:adjustRightInd w:val="0"/>
        <w:jc w:val="both"/>
        <w:rPr>
          <w:rFonts w:ascii="Calibri" w:hAnsi="Calibri" w:cs="Calibri"/>
          <w:sz w:val="20"/>
          <w:szCs w:val="20"/>
          <w:lang w:val="en-AU"/>
        </w:rPr>
      </w:pPr>
      <w:r w:rsidRPr="00FA288E">
        <w:rPr>
          <w:rFonts w:ascii="Calibri" w:hAnsi="Calibri" w:cs="Calibri"/>
          <w:sz w:val="20"/>
          <w:szCs w:val="20"/>
          <w:lang w:val="en-AU"/>
        </w:rPr>
        <w:t xml:space="preserve">2,403 students and teachers have used the </w:t>
      </w:r>
      <w:r w:rsidRPr="00FA288E">
        <w:rPr>
          <w:rFonts w:ascii="Calibri" w:hAnsi="Calibri" w:cs="Calibri"/>
          <w:iCs/>
          <w:sz w:val="20"/>
          <w:szCs w:val="20"/>
          <w:lang w:val="en-AU"/>
        </w:rPr>
        <w:t>Library</w:t>
      </w:r>
      <w:r w:rsidRPr="00FA288E">
        <w:rPr>
          <w:rFonts w:ascii="Calibri" w:hAnsi="Calibri" w:cs="Calibri"/>
          <w:i/>
          <w:iCs/>
          <w:sz w:val="20"/>
          <w:szCs w:val="20"/>
          <w:lang w:val="en-AU"/>
        </w:rPr>
        <w:t xml:space="preserve"> </w:t>
      </w:r>
    </w:p>
    <w:p w14:paraId="55A4E47E" w14:textId="77777777" w:rsidR="001E3185" w:rsidRPr="00FA288E" w:rsidRDefault="001E3185" w:rsidP="00FF62CC">
      <w:pPr>
        <w:pStyle w:val="ListParagraph"/>
        <w:numPr>
          <w:ilvl w:val="0"/>
          <w:numId w:val="41"/>
        </w:numPr>
        <w:autoSpaceDE w:val="0"/>
        <w:autoSpaceDN w:val="0"/>
        <w:adjustRightInd w:val="0"/>
        <w:jc w:val="both"/>
        <w:rPr>
          <w:rFonts w:ascii="Calibri" w:hAnsi="Calibri" w:cs="Calibri"/>
          <w:sz w:val="20"/>
          <w:szCs w:val="20"/>
          <w:lang w:val="en-AU"/>
        </w:rPr>
      </w:pPr>
      <w:r w:rsidRPr="00FA288E">
        <w:rPr>
          <w:rFonts w:ascii="Calibri" w:hAnsi="Calibri" w:cs="Calibri"/>
          <w:sz w:val="20"/>
          <w:szCs w:val="20"/>
          <w:lang w:val="en-AU"/>
        </w:rPr>
        <w:t xml:space="preserve">4,765 hours were spent reading </w:t>
      </w:r>
    </w:p>
    <w:p w14:paraId="31DE9276" w14:textId="77777777" w:rsidR="001E3185" w:rsidRPr="00FA288E" w:rsidRDefault="001E3185" w:rsidP="00FF62CC">
      <w:pPr>
        <w:pStyle w:val="ListParagraph"/>
        <w:numPr>
          <w:ilvl w:val="0"/>
          <w:numId w:val="41"/>
        </w:numPr>
        <w:autoSpaceDE w:val="0"/>
        <w:autoSpaceDN w:val="0"/>
        <w:adjustRightInd w:val="0"/>
        <w:jc w:val="both"/>
        <w:rPr>
          <w:rFonts w:ascii="Calibri" w:hAnsi="Calibri" w:cs="Calibri"/>
          <w:sz w:val="20"/>
          <w:szCs w:val="20"/>
          <w:lang w:val="en-AU"/>
        </w:rPr>
      </w:pPr>
      <w:r w:rsidRPr="00FA288E">
        <w:rPr>
          <w:rFonts w:ascii="Calibri" w:hAnsi="Calibri" w:cs="Calibri"/>
          <w:sz w:val="20"/>
          <w:szCs w:val="20"/>
          <w:lang w:val="en-AU"/>
        </w:rPr>
        <w:t xml:space="preserve">85,000 books were opened </w:t>
      </w:r>
    </w:p>
    <w:p w14:paraId="42A586CB" w14:textId="77777777" w:rsidR="001E3185" w:rsidRPr="00FA288E" w:rsidRDefault="001E3185" w:rsidP="00FF62CC">
      <w:pPr>
        <w:pStyle w:val="ListParagraph"/>
        <w:numPr>
          <w:ilvl w:val="0"/>
          <w:numId w:val="41"/>
        </w:numPr>
        <w:autoSpaceDE w:val="0"/>
        <w:autoSpaceDN w:val="0"/>
        <w:adjustRightInd w:val="0"/>
        <w:jc w:val="both"/>
        <w:rPr>
          <w:rFonts w:ascii="Calibri" w:hAnsi="Calibri" w:cs="Calibri"/>
          <w:sz w:val="20"/>
          <w:szCs w:val="20"/>
          <w:lang w:val="en-AU"/>
        </w:rPr>
      </w:pPr>
      <w:r w:rsidRPr="00FA288E">
        <w:rPr>
          <w:rFonts w:ascii="Calibri" w:hAnsi="Calibri" w:cs="Calibri"/>
          <w:sz w:val="20"/>
          <w:szCs w:val="20"/>
          <w:lang w:val="en-AU"/>
        </w:rPr>
        <w:t xml:space="preserve">122,500 pages were read </w:t>
      </w:r>
    </w:p>
    <w:p w14:paraId="6330EFFD" w14:textId="77777777" w:rsidR="001E3185" w:rsidRPr="00FA288E" w:rsidRDefault="001E3185" w:rsidP="00FF62CC">
      <w:pPr>
        <w:pStyle w:val="ListParagraph"/>
        <w:numPr>
          <w:ilvl w:val="0"/>
          <w:numId w:val="41"/>
        </w:numPr>
        <w:autoSpaceDE w:val="0"/>
        <w:autoSpaceDN w:val="0"/>
        <w:adjustRightInd w:val="0"/>
        <w:jc w:val="both"/>
        <w:rPr>
          <w:rFonts w:ascii="Calibri" w:hAnsi="Calibri" w:cs="Calibri"/>
          <w:sz w:val="20"/>
          <w:szCs w:val="20"/>
          <w:lang w:val="en-AU"/>
        </w:rPr>
      </w:pPr>
      <w:r w:rsidRPr="00FA288E">
        <w:rPr>
          <w:rFonts w:ascii="Calibri" w:hAnsi="Calibri" w:cs="Calibri"/>
          <w:sz w:val="20"/>
          <w:szCs w:val="20"/>
          <w:lang w:val="en-AU"/>
        </w:rPr>
        <w:t xml:space="preserve">50-50 was the ratio of usage between male and female students and teachers </w:t>
      </w:r>
    </w:p>
    <w:p w14:paraId="6773995F" w14:textId="77777777" w:rsidR="001E3185" w:rsidRPr="00FA288E" w:rsidRDefault="001E3185" w:rsidP="00FF62CC">
      <w:pPr>
        <w:pStyle w:val="ListParagraph"/>
        <w:numPr>
          <w:ilvl w:val="0"/>
          <w:numId w:val="41"/>
        </w:numPr>
        <w:autoSpaceDE w:val="0"/>
        <w:autoSpaceDN w:val="0"/>
        <w:adjustRightInd w:val="0"/>
        <w:jc w:val="both"/>
        <w:rPr>
          <w:rFonts w:ascii="Calibri" w:hAnsi="Calibri" w:cs="Calibri"/>
          <w:sz w:val="20"/>
          <w:szCs w:val="20"/>
          <w:lang w:val="en-AU"/>
        </w:rPr>
      </w:pPr>
      <w:r w:rsidRPr="00FA288E">
        <w:rPr>
          <w:rFonts w:ascii="Calibri" w:hAnsi="Calibri" w:cs="Calibri"/>
          <w:sz w:val="20"/>
          <w:szCs w:val="20"/>
          <w:lang w:val="en-AU"/>
        </w:rPr>
        <w:t>less than 1 hour was the average reading time spent per student per week, with significant and unexplained variances</w:t>
      </w:r>
    </w:p>
    <w:p w14:paraId="58CFB0E5" w14:textId="77777777" w:rsidR="001E3185" w:rsidRPr="00FA288E" w:rsidRDefault="001E3185" w:rsidP="00FF62CC">
      <w:pPr>
        <w:pStyle w:val="ListParagraph"/>
        <w:numPr>
          <w:ilvl w:val="0"/>
          <w:numId w:val="41"/>
        </w:numPr>
        <w:autoSpaceDE w:val="0"/>
        <w:autoSpaceDN w:val="0"/>
        <w:adjustRightInd w:val="0"/>
        <w:jc w:val="both"/>
        <w:rPr>
          <w:rFonts w:ascii="Calibri" w:hAnsi="Calibri" w:cs="Calibri"/>
          <w:sz w:val="20"/>
          <w:szCs w:val="20"/>
          <w:lang w:val="en-AU"/>
        </w:rPr>
      </w:pPr>
      <w:r w:rsidRPr="00FA288E">
        <w:rPr>
          <w:rFonts w:ascii="Calibri" w:hAnsi="Calibri" w:cs="Calibri"/>
          <w:sz w:val="20"/>
          <w:szCs w:val="20"/>
          <w:lang w:val="en-AU"/>
        </w:rPr>
        <w:t>usage is reducing over time in many schools</w:t>
      </w:r>
    </w:p>
    <w:p w14:paraId="32C223CC" w14:textId="77777777" w:rsidR="001E3185" w:rsidRPr="00FA288E" w:rsidRDefault="001E3185" w:rsidP="00FF62CC">
      <w:pPr>
        <w:pStyle w:val="ListParagraph"/>
        <w:numPr>
          <w:ilvl w:val="0"/>
          <w:numId w:val="41"/>
        </w:numPr>
        <w:autoSpaceDE w:val="0"/>
        <w:autoSpaceDN w:val="0"/>
        <w:adjustRightInd w:val="0"/>
        <w:jc w:val="both"/>
        <w:rPr>
          <w:rFonts w:ascii="Calibri" w:hAnsi="Calibri" w:cs="Calibri"/>
          <w:sz w:val="20"/>
          <w:szCs w:val="20"/>
          <w:lang w:val="en-AU"/>
        </w:rPr>
      </w:pPr>
      <w:r w:rsidRPr="00FA288E">
        <w:rPr>
          <w:rFonts w:ascii="Calibri" w:hAnsi="Calibri" w:cs="Calibri"/>
          <w:sz w:val="20"/>
          <w:szCs w:val="20"/>
          <w:lang w:val="en-AU"/>
        </w:rPr>
        <w:t>children are not progressing to higher level books overtime, returning instead to the same ones – indicating little teacher-led selection of titles</w:t>
      </w:r>
    </w:p>
    <w:p w14:paraId="5CE42472" w14:textId="77777777" w:rsidR="001E3185" w:rsidRPr="00FA288E" w:rsidRDefault="001E3185" w:rsidP="00FF62CC">
      <w:pPr>
        <w:pStyle w:val="ListParagraph"/>
        <w:numPr>
          <w:ilvl w:val="0"/>
          <w:numId w:val="41"/>
        </w:numPr>
        <w:autoSpaceDE w:val="0"/>
        <w:autoSpaceDN w:val="0"/>
        <w:adjustRightInd w:val="0"/>
        <w:jc w:val="both"/>
        <w:rPr>
          <w:rFonts w:ascii="Calibri" w:hAnsi="Calibri" w:cs="Calibri"/>
          <w:sz w:val="20"/>
          <w:szCs w:val="20"/>
          <w:lang w:val="en-AU"/>
        </w:rPr>
      </w:pPr>
      <w:r w:rsidRPr="00FA288E">
        <w:rPr>
          <w:rFonts w:ascii="Calibri" w:hAnsi="Calibri" w:cs="Calibri"/>
          <w:sz w:val="20"/>
          <w:szCs w:val="20"/>
          <w:lang w:val="en-AU"/>
        </w:rPr>
        <w:t>the biggest cohort of readers is the 9 – 10 age group, which is not the target group of the program, and indicates many overaged / repeating students.</w:t>
      </w:r>
    </w:p>
    <w:p w14:paraId="3757135D" w14:textId="77777777" w:rsidR="001E3185" w:rsidRPr="00FA288E" w:rsidRDefault="001E3185" w:rsidP="00061FD0">
      <w:pPr>
        <w:pStyle w:val="ListParagraph"/>
        <w:autoSpaceDE w:val="0"/>
        <w:autoSpaceDN w:val="0"/>
        <w:adjustRightInd w:val="0"/>
        <w:jc w:val="both"/>
        <w:rPr>
          <w:rFonts w:ascii="Calibri" w:hAnsi="Calibri" w:cs="Calibri"/>
          <w:sz w:val="20"/>
          <w:szCs w:val="20"/>
          <w:lang w:val="en-AU"/>
        </w:rPr>
      </w:pPr>
    </w:p>
    <w:p w14:paraId="228EAA7B" w14:textId="77777777" w:rsidR="001E3185" w:rsidRPr="00FA288E" w:rsidRDefault="001E3185" w:rsidP="00061FD0">
      <w:pPr>
        <w:jc w:val="both"/>
        <w:rPr>
          <w:rFonts w:cs="Calibri"/>
          <w:sz w:val="20"/>
          <w:szCs w:val="20"/>
        </w:rPr>
      </w:pPr>
      <w:r w:rsidRPr="00FA288E">
        <w:rPr>
          <w:rFonts w:cs="Calibri"/>
          <w:sz w:val="20"/>
          <w:szCs w:val="20"/>
        </w:rPr>
        <w:t>Several reasons were offered for lower than anticipated usage, including:</w:t>
      </w:r>
    </w:p>
    <w:p w14:paraId="562F0667" w14:textId="77777777" w:rsidR="001E3185" w:rsidRPr="00FA288E" w:rsidRDefault="001E3185" w:rsidP="00FF62CC">
      <w:pPr>
        <w:pStyle w:val="ListParagraph"/>
        <w:numPr>
          <w:ilvl w:val="0"/>
          <w:numId w:val="42"/>
        </w:numPr>
        <w:jc w:val="both"/>
        <w:rPr>
          <w:rFonts w:ascii="Calibri" w:hAnsi="Calibri" w:cs="Calibri"/>
          <w:sz w:val="20"/>
          <w:szCs w:val="20"/>
          <w:lang w:val="en-AU"/>
        </w:rPr>
      </w:pPr>
      <w:r w:rsidRPr="00FA288E">
        <w:rPr>
          <w:rFonts w:ascii="Calibri" w:hAnsi="Calibri" w:cs="Calibri"/>
          <w:sz w:val="20"/>
          <w:szCs w:val="20"/>
          <w:lang w:val="en-AU"/>
        </w:rPr>
        <w:t xml:space="preserve">inadequate training of teachers has led to a lack of understanding about the technology and low proficiency in usage </w:t>
      </w:r>
    </w:p>
    <w:p w14:paraId="65156F76" w14:textId="77777777" w:rsidR="001E3185" w:rsidRPr="00FA288E" w:rsidRDefault="001E3185" w:rsidP="00FF62CC">
      <w:pPr>
        <w:pStyle w:val="ListParagraph"/>
        <w:numPr>
          <w:ilvl w:val="0"/>
          <w:numId w:val="42"/>
        </w:numPr>
        <w:jc w:val="both"/>
        <w:rPr>
          <w:rFonts w:ascii="Calibri" w:hAnsi="Calibri" w:cs="Calibri"/>
          <w:sz w:val="20"/>
          <w:szCs w:val="20"/>
          <w:lang w:val="en-AU"/>
        </w:rPr>
      </w:pPr>
      <w:r w:rsidRPr="00FA288E">
        <w:rPr>
          <w:rFonts w:ascii="Calibri" w:hAnsi="Calibri" w:cs="Calibri"/>
          <w:sz w:val="20"/>
          <w:szCs w:val="20"/>
          <w:lang w:val="en-AU"/>
        </w:rPr>
        <w:t xml:space="preserve">teachers have not received clear guidance on how to incorporate the Library Kits into lesson planning  </w:t>
      </w:r>
    </w:p>
    <w:p w14:paraId="0261FE1A" w14:textId="77777777" w:rsidR="001E3185" w:rsidRPr="00FA288E" w:rsidRDefault="001E3185" w:rsidP="00FF62CC">
      <w:pPr>
        <w:pStyle w:val="ListParagraph"/>
        <w:numPr>
          <w:ilvl w:val="0"/>
          <w:numId w:val="42"/>
        </w:numPr>
        <w:jc w:val="both"/>
        <w:rPr>
          <w:rFonts w:ascii="Calibri" w:hAnsi="Calibri" w:cs="Calibri"/>
          <w:sz w:val="20"/>
          <w:szCs w:val="20"/>
          <w:lang w:val="en-AU"/>
        </w:rPr>
      </w:pPr>
      <w:r w:rsidRPr="00FA288E">
        <w:rPr>
          <w:rFonts w:ascii="Calibri" w:hAnsi="Calibri" w:cs="Calibri"/>
          <w:sz w:val="20"/>
          <w:szCs w:val="20"/>
          <w:lang w:val="en-AU"/>
        </w:rPr>
        <w:t>the three hour per week target cannot be accommodated within the SBC lesson plans, which do not provide time for reading, and teachers are either unable or unwilling to trial alternatives, such as afterschool reading club style reading time</w:t>
      </w:r>
    </w:p>
    <w:p w14:paraId="045DE512" w14:textId="77777777" w:rsidR="00E83D77" w:rsidRPr="00FA288E" w:rsidRDefault="001E3185" w:rsidP="00FF62CC">
      <w:pPr>
        <w:pStyle w:val="ListParagraph"/>
        <w:numPr>
          <w:ilvl w:val="0"/>
          <w:numId w:val="42"/>
        </w:numPr>
        <w:jc w:val="both"/>
        <w:rPr>
          <w:rFonts w:ascii="Calibri" w:hAnsi="Calibri" w:cs="Calibri"/>
          <w:sz w:val="20"/>
          <w:szCs w:val="20"/>
          <w:lang w:val="en-AU"/>
        </w:rPr>
      </w:pPr>
      <w:r w:rsidRPr="00FA288E">
        <w:rPr>
          <w:rFonts w:ascii="Calibri" w:hAnsi="Calibri" w:cs="Calibri"/>
          <w:sz w:val="20"/>
          <w:szCs w:val="20"/>
          <w:lang w:val="en-AU"/>
        </w:rPr>
        <w:t>initially slow data feedback time has not allowed significant time to address the usage issues the data highlighted</w:t>
      </w:r>
    </w:p>
    <w:p w14:paraId="21298ACE" w14:textId="77777777" w:rsidR="001E3185" w:rsidRPr="00FA288E" w:rsidRDefault="001E3185" w:rsidP="00FF62CC">
      <w:pPr>
        <w:pStyle w:val="ListParagraph"/>
        <w:numPr>
          <w:ilvl w:val="0"/>
          <w:numId w:val="42"/>
        </w:numPr>
        <w:jc w:val="both"/>
        <w:rPr>
          <w:rFonts w:ascii="Calibri" w:hAnsi="Calibri" w:cs="Calibri"/>
          <w:sz w:val="20"/>
          <w:szCs w:val="20"/>
          <w:lang w:val="en-AU"/>
        </w:rPr>
      </w:pPr>
      <w:r w:rsidRPr="00FA288E">
        <w:rPr>
          <w:rFonts w:ascii="Calibri" w:hAnsi="Calibri" w:cs="Calibri"/>
          <w:sz w:val="20"/>
          <w:szCs w:val="20"/>
          <w:lang w:val="en-AU"/>
        </w:rPr>
        <w:t>some localised factors may be impacting usage, including unreliable power.</w:t>
      </w:r>
    </w:p>
    <w:p w14:paraId="51BED233" w14:textId="77777777" w:rsidR="001E3185" w:rsidRPr="00FA288E" w:rsidRDefault="001E3185" w:rsidP="00061FD0">
      <w:pPr>
        <w:jc w:val="both"/>
        <w:rPr>
          <w:rFonts w:cs="Calibri"/>
          <w:sz w:val="20"/>
          <w:szCs w:val="20"/>
        </w:rPr>
      </w:pPr>
      <w:r w:rsidRPr="00FA288E">
        <w:rPr>
          <w:rFonts w:cs="Calibri"/>
          <w:sz w:val="20"/>
          <w:szCs w:val="20"/>
        </w:rPr>
        <w:t xml:space="preserve">The rich data provided by the </w:t>
      </w:r>
      <w:proofErr w:type="spellStart"/>
      <w:r w:rsidRPr="00FA288E">
        <w:rPr>
          <w:rFonts w:cs="Calibri"/>
          <w:sz w:val="20"/>
          <w:szCs w:val="20"/>
        </w:rPr>
        <w:t>LfA</w:t>
      </w:r>
      <w:proofErr w:type="spellEnd"/>
      <w:r w:rsidRPr="00FA288E">
        <w:rPr>
          <w:rFonts w:cs="Calibri"/>
          <w:sz w:val="20"/>
          <w:szCs w:val="20"/>
        </w:rPr>
        <w:t xml:space="preserve"> Digital Library Application trial provides many insights for follow up, and may also shed light on the likely use of the print version books. Despite the promise of the e-library resources, initial usage data suggests there is a strong need for closer monitoring of factors contributing to high and low use, and follow up training and support for teachers responsible in order to maximise use of the resource. T4E management indicted they had not yet had the time to fully explore the possibilities of the resource.</w:t>
      </w:r>
    </w:p>
    <w:p w14:paraId="2092C329" w14:textId="77777777" w:rsidR="001E3185" w:rsidRPr="00FA288E" w:rsidRDefault="001E3185" w:rsidP="001E3185">
      <w:pPr>
        <w:rPr>
          <w:rFonts w:cs="Calibri"/>
          <w:i/>
          <w:iCs/>
          <w:sz w:val="20"/>
          <w:szCs w:val="20"/>
          <w:u w:val="single"/>
        </w:rPr>
      </w:pPr>
      <w:r w:rsidRPr="00FA288E">
        <w:rPr>
          <w:rFonts w:cs="Calibri"/>
          <w:i/>
          <w:iCs/>
          <w:sz w:val="20"/>
          <w:szCs w:val="20"/>
          <w:u w:val="single"/>
        </w:rPr>
        <w:t>b. Reading clubs</w:t>
      </w:r>
    </w:p>
    <w:p w14:paraId="3955C8C6" w14:textId="77777777" w:rsidR="001E3185" w:rsidRPr="00FA288E" w:rsidRDefault="001E3185" w:rsidP="00061FD0">
      <w:pPr>
        <w:jc w:val="both"/>
        <w:rPr>
          <w:rFonts w:cs="Calibri"/>
          <w:sz w:val="20"/>
          <w:szCs w:val="20"/>
        </w:rPr>
      </w:pPr>
      <w:r w:rsidRPr="00FA288E">
        <w:rPr>
          <w:rFonts w:cs="Calibri"/>
          <w:sz w:val="20"/>
          <w:szCs w:val="20"/>
        </w:rPr>
        <w:t xml:space="preserve">There is little documentation about the purpose and role of reading club volunteers. They are trained and resourced with printed age and culturally appropriate books from </w:t>
      </w:r>
      <w:proofErr w:type="spellStart"/>
      <w:r w:rsidRPr="00FA288E">
        <w:rPr>
          <w:rFonts w:cs="Calibri"/>
          <w:sz w:val="20"/>
          <w:szCs w:val="20"/>
        </w:rPr>
        <w:t>LfA</w:t>
      </w:r>
      <w:proofErr w:type="spellEnd"/>
      <w:r w:rsidRPr="00FA288E">
        <w:rPr>
          <w:rFonts w:cs="Calibri"/>
          <w:sz w:val="20"/>
          <w:szCs w:val="20"/>
        </w:rPr>
        <w:t xml:space="preserve">. According to T4E management staff, monitoring of the reading volunteers is done by field staff, however they acknowledged it has been difficult to collect the monitoring forms. They recorded initial membership details, but don’t do monthly monitoring of reading members attendance, so sustained numbers are not known. Progress reporting indicates an average of 29 members per reading club. The review team only had the opportunity to interview one reading volunteer, and the teachers and parents associated with the reading club. </w:t>
      </w:r>
    </w:p>
    <w:p w14:paraId="2B041558" w14:textId="77777777" w:rsidR="001E3185" w:rsidRPr="00FA288E" w:rsidRDefault="001E3185" w:rsidP="00320085">
      <w:pPr>
        <w:pStyle w:val="Heading2"/>
        <w:rPr>
          <w:b w:val="0"/>
          <w:bCs w:val="0"/>
          <w:sz w:val="20"/>
          <w:szCs w:val="20"/>
        </w:rPr>
      </w:pPr>
      <w:bookmarkStart w:id="176" w:name="_Toc26914399"/>
      <w:bookmarkStart w:id="177" w:name="_Toc31625619"/>
      <w:bookmarkStart w:id="178" w:name="_Toc42075999"/>
      <w:r w:rsidRPr="00FA288E">
        <w:rPr>
          <w:b w:val="0"/>
          <w:bCs w:val="0"/>
          <w:sz w:val="20"/>
          <w:szCs w:val="20"/>
        </w:rPr>
        <w:lastRenderedPageBreak/>
        <w:t>Box 10.  Communities may be dependent on pro</w:t>
      </w:r>
      <w:r w:rsidR="00686098" w:rsidRPr="00FA288E">
        <w:rPr>
          <w:b w:val="0"/>
          <w:bCs w:val="0"/>
          <w:sz w:val="20"/>
          <w:szCs w:val="20"/>
        </w:rPr>
        <w:t>ject</w:t>
      </w:r>
      <w:r w:rsidRPr="00FA288E">
        <w:rPr>
          <w:b w:val="0"/>
          <w:bCs w:val="0"/>
          <w:sz w:val="20"/>
          <w:szCs w:val="20"/>
        </w:rPr>
        <w:t xml:space="preserve"> staff for legitimacy to control reading resources.</w:t>
      </w:r>
      <w:bookmarkEnd w:id="176"/>
      <w:bookmarkEnd w:id="177"/>
      <w:bookmarkEnd w:id="178"/>
    </w:p>
    <w:p w14:paraId="56B39A66" w14:textId="77777777" w:rsidR="001E3185" w:rsidRPr="00FA288E" w:rsidRDefault="001E3185" w:rsidP="001E3185">
      <w:pPr>
        <w:rPr>
          <w:rFonts w:cs="Calibri"/>
          <w:sz w:val="20"/>
          <w:szCs w:val="20"/>
        </w:rPr>
      </w:pPr>
      <w:r w:rsidRPr="00FA288E">
        <w:rPr>
          <w:rFonts w:cs="Calibri"/>
          <w:noProof/>
          <w:sz w:val="20"/>
          <w:szCs w:val="20"/>
          <w:lang w:eastAsia="en-AU"/>
        </w:rPr>
        <mc:AlternateContent>
          <mc:Choice Requires="wps">
            <w:drawing>
              <wp:inline distT="0" distB="0" distL="0" distR="0" wp14:anchorId="24A75F20" wp14:editId="43F922D8">
                <wp:extent cx="5822830" cy="4713585"/>
                <wp:effectExtent l="0" t="0" r="26035" b="1143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830" cy="4713585"/>
                        </a:xfrm>
                        <a:prstGeom prst="rect">
                          <a:avLst/>
                        </a:prstGeom>
                        <a:solidFill>
                          <a:srgbClr val="EAEAEA"/>
                        </a:solidFill>
                        <a:ln w="9525">
                          <a:solidFill>
                            <a:srgbClr val="000000"/>
                          </a:solidFill>
                          <a:miter lim="800000"/>
                          <a:headEnd/>
                          <a:tailEnd/>
                        </a:ln>
                      </wps:spPr>
                      <wps:txbx>
                        <w:txbxContent>
                          <w:p w14:paraId="4DBE1434" w14:textId="77777777" w:rsidR="009F310F" w:rsidRPr="00660F43" w:rsidRDefault="009F310F" w:rsidP="001E3185">
                            <w:pPr>
                              <w:shd w:val="clear" w:color="auto" w:fill="EDEDED" w:themeFill="accent3" w:themeFillTint="33"/>
                              <w:spacing w:after="120"/>
                              <w:rPr>
                                <w:sz w:val="20"/>
                                <w:szCs w:val="20"/>
                              </w:rPr>
                            </w:pPr>
                            <w:r w:rsidRPr="00660F43">
                              <w:rPr>
                                <w:sz w:val="20"/>
                                <w:szCs w:val="20"/>
                              </w:rPr>
                              <w:t>The T4E school visited</w:t>
                            </w:r>
                            <w:r w:rsidRPr="00660F43">
                              <w:rPr>
                                <w:b/>
                                <w:sz w:val="20"/>
                                <w:szCs w:val="20"/>
                              </w:rPr>
                              <w:t xml:space="preserve"> </w:t>
                            </w:r>
                            <w:r w:rsidRPr="00660F43">
                              <w:rPr>
                                <w:sz w:val="20"/>
                                <w:szCs w:val="20"/>
                              </w:rPr>
                              <w:t xml:space="preserve">had two Reading Club volunteers in 2018, one male and one female in each feeder village to the school. After a one-week training, volunteers were expected to conduct reading club for 1 hour per week, including additional non-reading activities. Students borrowed the books in 2018, but they were never returned, and some were torn. Out of the 50 books, there’s only about 13 left. The volunteer interviewed encouraged parents to come and help with the reading club, but said they didn’t, and the few who did read to their children at home anyway. </w:t>
                            </w:r>
                          </w:p>
                          <w:p w14:paraId="1019FEB0" w14:textId="77777777" w:rsidR="009F310F" w:rsidRPr="00660F43" w:rsidRDefault="009F310F" w:rsidP="001E3185">
                            <w:pPr>
                              <w:shd w:val="clear" w:color="auto" w:fill="EDEDED" w:themeFill="accent3" w:themeFillTint="33"/>
                              <w:spacing w:after="120"/>
                              <w:rPr>
                                <w:sz w:val="20"/>
                                <w:szCs w:val="20"/>
                              </w:rPr>
                            </w:pPr>
                            <w:r w:rsidRPr="00660F43">
                              <w:rPr>
                                <w:sz w:val="20"/>
                                <w:szCs w:val="20"/>
                              </w:rPr>
                              <w:t xml:space="preserve">The volunteer also noted some issues with the materials provided, including that most attendees were pre-schoolers who didn’t know how to read fluently, so the books weren’t targeted at the right </w:t>
                            </w:r>
                            <w:r>
                              <w:rPr>
                                <w:sz w:val="20"/>
                                <w:szCs w:val="20"/>
                              </w:rPr>
                              <w:t>ability</w:t>
                            </w:r>
                            <w:r w:rsidRPr="00660F43">
                              <w:rPr>
                                <w:sz w:val="20"/>
                                <w:szCs w:val="20"/>
                              </w:rPr>
                              <w:t xml:space="preserve"> level, and more picture books were needed. The benefits to the children she saw included: it helped pre-readers; helped with English pronunciation; produced more fluent readers. </w:t>
                            </w:r>
                          </w:p>
                          <w:p w14:paraId="504C59B6" w14:textId="77777777" w:rsidR="009F310F" w:rsidRPr="00660F43" w:rsidRDefault="009F310F" w:rsidP="001E3185">
                            <w:pPr>
                              <w:shd w:val="clear" w:color="auto" w:fill="EDEDED" w:themeFill="accent3" w:themeFillTint="33"/>
                              <w:spacing w:after="120"/>
                              <w:rPr>
                                <w:sz w:val="20"/>
                                <w:szCs w:val="20"/>
                              </w:rPr>
                            </w:pPr>
                            <w:r w:rsidRPr="00660F43">
                              <w:rPr>
                                <w:sz w:val="20"/>
                                <w:szCs w:val="20"/>
                              </w:rPr>
                              <w:t xml:space="preserve">The female volunteer stopped last year after her sister’s death, and no one stepped in to take over. The male volunteer was also no longer active. When asked whether she had attempted to have the books returned, it appeared beyond her </w:t>
                            </w:r>
                            <w:r>
                              <w:rPr>
                                <w:sz w:val="20"/>
                                <w:szCs w:val="20"/>
                              </w:rPr>
                              <w:t>ability or authority</w:t>
                            </w:r>
                            <w:r w:rsidRPr="00660F43">
                              <w:rPr>
                                <w:sz w:val="20"/>
                                <w:szCs w:val="20"/>
                              </w:rPr>
                              <w:t xml:space="preserve"> to organise. The LLG Counsellor was also disinclined to help as it was “a matter for the school”.  The School Board of Management members, while appreciative of the activity, commented that they needed more volunteers for the number of students they have, but were not inclined to step in and organise a replacement volunteer as there was “no culture of volunteerism, and people expect something in return.”</w:t>
                            </w:r>
                          </w:p>
                          <w:p w14:paraId="1C1A88AA" w14:textId="77777777" w:rsidR="009F310F" w:rsidRPr="00660F43" w:rsidRDefault="009F310F" w:rsidP="001E3185">
                            <w:pPr>
                              <w:shd w:val="clear" w:color="auto" w:fill="EDEDED" w:themeFill="accent3" w:themeFillTint="33"/>
                              <w:spacing w:after="120"/>
                              <w:rPr>
                                <w:sz w:val="20"/>
                                <w:szCs w:val="20"/>
                              </w:rPr>
                            </w:pPr>
                            <w:r w:rsidRPr="00660F43">
                              <w:rPr>
                                <w:sz w:val="20"/>
                                <w:szCs w:val="20"/>
                              </w:rPr>
                              <w:t xml:space="preserve">The group of 14 female parents interviewed were aware of the volunteers and the reading club activities, relating that it met on a Wednesday, and lasted “about five months”. While appreciative, they observed that not enough children knew about it, and not enough parents came to support it because they were “too busy”. The older mothers blamed the younger mothers for their lack of commitment. While observing that there were “not enough books to go around”, several admitted to having a borrowed book at home still. While potentially interested in swapping the books amongst themselves so their child would have access to a different book, they wanted a volunteer to organize it, and did not feel they had the authority to facilitate the return or swapping of books, or to appoint a new volunteer. Their preferred solution was to have T4E staff come back and organize more volunteers, train them and provide more books. </w:t>
                            </w:r>
                          </w:p>
                          <w:p w14:paraId="40F9AAAA" w14:textId="77777777" w:rsidR="009F310F" w:rsidRPr="00660F43" w:rsidRDefault="009F310F" w:rsidP="001E3185">
                            <w:pPr>
                              <w:rPr>
                                <w:sz w:val="20"/>
                                <w:szCs w:val="20"/>
                              </w:rPr>
                            </w:pPr>
                          </w:p>
                        </w:txbxContent>
                      </wps:txbx>
                      <wps:bodyPr rot="0" vert="horz" wrap="square" lIns="91440" tIns="45720" rIns="91440" bIns="45720" anchor="t" anchorCtr="0">
                        <a:noAutofit/>
                      </wps:bodyPr>
                    </wps:wsp>
                  </a:graphicData>
                </a:graphic>
              </wp:inline>
            </w:drawing>
          </mc:Choice>
          <mc:Fallback>
            <w:pict>
              <v:shape w14:anchorId="24A75F20" id="_x0000_s1035" type="#_x0000_t202" style="width:458.5pt;height:3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" fillcolor="#eaeaea">
                <v:textbox>
                  <w:txbxContent>
                    <w:p w14:paraId="4DBE1434" w14:textId="77777777" w:rsidR="009F310F" w:rsidRPr="00660F43" w:rsidRDefault="009F310F" w:rsidP="001E3185">
                      <w:pPr>
                        <w:shd w:val="clear" w:color="auto" w:fill="EDEDED" w:themeFill="accent3" w:themeFillTint="33"/>
                        <w:spacing w:after="120"/>
                        <w:rPr>
                          <w:sz w:val="20"/>
                          <w:szCs w:val="20"/>
                        </w:rPr>
                      </w:pPr>
                      <w:r w:rsidRPr="00660F43">
                        <w:rPr>
                          <w:sz w:val="20"/>
                          <w:szCs w:val="20"/>
                        </w:rPr>
                        <w:t>The T4E school visited</w:t>
                      </w:r>
                      <w:r w:rsidRPr="00660F43">
                        <w:rPr>
                          <w:b/>
                          <w:sz w:val="20"/>
                          <w:szCs w:val="20"/>
                        </w:rPr>
                        <w:t xml:space="preserve"> </w:t>
                      </w:r>
                      <w:r w:rsidRPr="00660F43">
                        <w:rPr>
                          <w:sz w:val="20"/>
                          <w:szCs w:val="20"/>
                        </w:rPr>
                        <w:t xml:space="preserve">had two Reading Club volunteers in 2018, one male and one female in each feeder village to the school. After a one-week training, volunteers were expected to conduct reading club for 1 hour per week, including additional non-reading activities. Students borrowed the books in 2018, but they were never returned, and some were torn. Out of the 50 books, there’s only about 13 left. The volunteer interviewed encouraged parents to come and help with the reading club, but said they didn’t, and the few who did read to their children at home anyway. </w:t>
                      </w:r>
                    </w:p>
                    <w:p w14:paraId="1019FEB0" w14:textId="77777777" w:rsidR="009F310F" w:rsidRPr="00660F43" w:rsidRDefault="009F310F" w:rsidP="001E3185">
                      <w:pPr>
                        <w:shd w:val="clear" w:color="auto" w:fill="EDEDED" w:themeFill="accent3" w:themeFillTint="33"/>
                        <w:spacing w:after="120"/>
                        <w:rPr>
                          <w:sz w:val="20"/>
                          <w:szCs w:val="20"/>
                        </w:rPr>
                      </w:pPr>
                      <w:r w:rsidRPr="00660F43">
                        <w:rPr>
                          <w:sz w:val="20"/>
                          <w:szCs w:val="20"/>
                        </w:rPr>
                        <w:t xml:space="preserve">The volunteer also noted some issues with the materials provided, including that most attendees were pre-schoolers who didn’t know how to read fluently, so the books weren’t targeted at the right </w:t>
                      </w:r>
                      <w:r>
                        <w:rPr>
                          <w:sz w:val="20"/>
                          <w:szCs w:val="20"/>
                        </w:rPr>
                        <w:t>ability</w:t>
                      </w:r>
                      <w:r w:rsidRPr="00660F43">
                        <w:rPr>
                          <w:sz w:val="20"/>
                          <w:szCs w:val="20"/>
                        </w:rPr>
                        <w:t xml:space="preserve"> level, and more picture books were needed. The benefits to the children she saw included: it helped pre-readers; helped with English pronunciation; produced more fluent readers. </w:t>
                      </w:r>
                    </w:p>
                    <w:p w14:paraId="504C59B6" w14:textId="77777777" w:rsidR="009F310F" w:rsidRPr="00660F43" w:rsidRDefault="009F310F" w:rsidP="001E3185">
                      <w:pPr>
                        <w:shd w:val="clear" w:color="auto" w:fill="EDEDED" w:themeFill="accent3" w:themeFillTint="33"/>
                        <w:spacing w:after="120"/>
                        <w:rPr>
                          <w:sz w:val="20"/>
                          <w:szCs w:val="20"/>
                        </w:rPr>
                      </w:pPr>
                      <w:r w:rsidRPr="00660F43">
                        <w:rPr>
                          <w:sz w:val="20"/>
                          <w:szCs w:val="20"/>
                        </w:rPr>
                        <w:t xml:space="preserve">The female volunteer stopped last year after her sister’s death, and no one stepped in to take over. The male volunteer was also no longer active. When asked whether she had attempted to have the books returned, it appeared beyond her </w:t>
                      </w:r>
                      <w:r>
                        <w:rPr>
                          <w:sz w:val="20"/>
                          <w:szCs w:val="20"/>
                        </w:rPr>
                        <w:t>ability or authority</w:t>
                      </w:r>
                      <w:r w:rsidRPr="00660F43">
                        <w:rPr>
                          <w:sz w:val="20"/>
                          <w:szCs w:val="20"/>
                        </w:rPr>
                        <w:t xml:space="preserve"> to organise. The LLG Counsellor was also disinclined to help as it was “a matter for the school”.  The School Board of Management members, while appreciative of the activity, commented that they needed more volunteers for the number of students they have, but were not inclined to step in and organise a replacement volunteer as there was “no culture of volunteerism, and people expect something in return.”</w:t>
                      </w:r>
                    </w:p>
                    <w:p w14:paraId="1C1A88AA" w14:textId="77777777" w:rsidR="009F310F" w:rsidRPr="00660F43" w:rsidRDefault="009F310F" w:rsidP="001E3185">
                      <w:pPr>
                        <w:shd w:val="clear" w:color="auto" w:fill="EDEDED" w:themeFill="accent3" w:themeFillTint="33"/>
                        <w:spacing w:after="120"/>
                        <w:rPr>
                          <w:sz w:val="20"/>
                          <w:szCs w:val="20"/>
                        </w:rPr>
                      </w:pPr>
                      <w:r w:rsidRPr="00660F43">
                        <w:rPr>
                          <w:sz w:val="20"/>
                          <w:szCs w:val="20"/>
                        </w:rPr>
                        <w:t xml:space="preserve">The group of 14 female parents interviewed were aware of the volunteers and the reading club activities, relating that it met on a Wednesday, and lasted “about five months”. While appreciative, they observed that not enough children knew about it, and not enough parents came to support it because they were “too busy”. The older mothers blamed the younger mothers for their lack of commitment. While observing that there were “not enough books to go around”, several admitted to having a borrowed book at home still. While potentially interested in swapping the books amongst themselves so their child would have access to a different book, they wanted a volunteer to organize it, and did not feel they had the authority to facilitate the return or swapping of books, or to appoint a new volunteer. Their preferred solution was to have T4E staff come back and organize more volunteers, train them and provide more books. </w:t>
                      </w:r>
                    </w:p>
                    <w:p w14:paraId="40F9AAAA" w14:textId="77777777" w:rsidR="009F310F" w:rsidRPr="00660F43" w:rsidRDefault="009F310F" w:rsidP="001E3185">
                      <w:pPr>
                        <w:rPr>
                          <w:sz w:val="20"/>
                          <w:szCs w:val="20"/>
                        </w:rPr>
                      </w:pPr>
                    </w:p>
                  </w:txbxContent>
                </v:textbox>
                <w10:anchorlock/>
              </v:shape>
            </w:pict>
          </mc:Fallback>
        </mc:AlternateContent>
      </w:r>
    </w:p>
    <w:p w14:paraId="43371532" w14:textId="77777777" w:rsidR="001E3185" w:rsidRPr="00FA288E" w:rsidRDefault="001E3185" w:rsidP="00061FD0">
      <w:pPr>
        <w:jc w:val="both"/>
        <w:rPr>
          <w:rFonts w:cs="Calibri"/>
          <w:sz w:val="20"/>
          <w:szCs w:val="20"/>
        </w:rPr>
      </w:pPr>
      <w:r w:rsidRPr="00FA288E">
        <w:rPr>
          <w:rFonts w:cs="Calibri"/>
          <w:sz w:val="20"/>
          <w:szCs w:val="20"/>
        </w:rPr>
        <w:t>From this sole example, it appears that there is a need to monitor the extent to which reading clubs are active beyond the initial distribution of books. There are likely many examples, successful and less successful, which could inform the future use of volunteers and the factors which contribute to their success and sustainability.</w:t>
      </w:r>
    </w:p>
    <w:p w14:paraId="3334E659" w14:textId="77777777" w:rsidR="001E3185" w:rsidRPr="00FA288E" w:rsidRDefault="001E3185" w:rsidP="001E3185">
      <w:pPr>
        <w:rPr>
          <w:rFonts w:cs="Calibri"/>
          <w:sz w:val="20"/>
          <w:szCs w:val="20"/>
        </w:rPr>
      </w:pPr>
      <w:r w:rsidRPr="00FA288E">
        <w:rPr>
          <w:rFonts w:cs="Calibri"/>
          <w:sz w:val="20"/>
          <w:szCs w:val="20"/>
        </w:rPr>
        <w:t>ii) Contribution of T4E reading activities to literacy outcomes</w:t>
      </w:r>
    </w:p>
    <w:p w14:paraId="0F75AD3E" w14:textId="77777777" w:rsidR="001E3185" w:rsidRPr="00FA288E" w:rsidRDefault="001E3185" w:rsidP="00061FD0">
      <w:pPr>
        <w:jc w:val="both"/>
        <w:rPr>
          <w:rFonts w:cs="Calibri"/>
          <w:i/>
          <w:sz w:val="20"/>
          <w:szCs w:val="20"/>
        </w:rPr>
      </w:pPr>
      <w:r w:rsidRPr="00FA288E">
        <w:rPr>
          <w:rFonts w:cs="Calibri"/>
          <w:i/>
          <w:sz w:val="20"/>
          <w:szCs w:val="20"/>
        </w:rPr>
        <w:t xml:space="preserve">Effect of the </w:t>
      </w:r>
      <w:proofErr w:type="spellStart"/>
      <w:r w:rsidRPr="00FA288E">
        <w:rPr>
          <w:rFonts w:cs="Calibri"/>
          <w:i/>
          <w:sz w:val="20"/>
          <w:szCs w:val="20"/>
        </w:rPr>
        <w:t>LfA</w:t>
      </w:r>
      <w:proofErr w:type="spellEnd"/>
      <w:r w:rsidRPr="00FA288E">
        <w:rPr>
          <w:rFonts w:cs="Calibri"/>
          <w:i/>
          <w:sz w:val="20"/>
          <w:szCs w:val="20"/>
        </w:rPr>
        <w:t xml:space="preserve"> Print version books </w:t>
      </w:r>
    </w:p>
    <w:p w14:paraId="3083CCE3" w14:textId="77777777" w:rsidR="001E3185" w:rsidRPr="00FA288E" w:rsidRDefault="001E3185" w:rsidP="00061FD0">
      <w:pPr>
        <w:jc w:val="both"/>
        <w:rPr>
          <w:rFonts w:cs="Calibri"/>
          <w:sz w:val="20"/>
          <w:szCs w:val="20"/>
        </w:rPr>
      </w:pPr>
      <w:r w:rsidRPr="00FA288E">
        <w:rPr>
          <w:rFonts w:cs="Calibri"/>
          <w:sz w:val="20"/>
          <w:szCs w:val="20"/>
        </w:rPr>
        <w:t>Data from the midline report</w:t>
      </w:r>
      <w:r w:rsidRPr="00FA288E">
        <w:rPr>
          <w:rStyle w:val="FootnoteReference"/>
          <w:rFonts w:eastAsiaTheme="majorEastAsia" w:cs="Calibri"/>
          <w:sz w:val="20"/>
          <w:szCs w:val="20"/>
        </w:rPr>
        <w:footnoteReference w:id="117"/>
      </w:r>
      <w:r w:rsidRPr="00FA288E">
        <w:rPr>
          <w:rFonts w:cs="Calibri"/>
          <w:sz w:val="20"/>
          <w:szCs w:val="20"/>
        </w:rPr>
        <w:t xml:space="preserve"> provide a mixed picture. Students in intervention schools scored significantly higher for English (8.86%) and Tok Pisin (11.64%) reading comprehension, and numeracy word problems, than those in the control schools. As expected, the performance of </w:t>
      </w:r>
      <w:r w:rsidRPr="00FA288E">
        <w:rPr>
          <w:rFonts w:cs="Calibri"/>
          <w:i/>
          <w:sz w:val="20"/>
          <w:szCs w:val="20"/>
        </w:rPr>
        <w:t xml:space="preserve">all </w:t>
      </w:r>
      <w:r w:rsidRPr="00FA288E">
        <w:rPr>
          <w:rFonts w:cs="Calibri"/>
          <w:sz w:val="20"/>
          <w:szCs w:val="20"/>
        </w:rPr>
        <w:t>students on the literacy and numeracy assessment was also stronger at midline than at baseline due to the children’s maturation; i.e. they were between eight and 12 months older than they were at the baseline. As explained in the methodology chapter, the midline assessment used the same tool and items as the baseline for comparison, which was at E1 standard, and very few children achieved these standards despite being in E2.</w:t>
      </w:r>
    </w:p>
    <w:p w14:paraId="4B57DE21" w14:textId="77777777" w:rsidR="001E3185" w:rsidRPr="00FA288E" w:rsidRDefault="001E3185" w:rsidP="00061FD0">
      <w:pPr>
        <w:jc w:val="both"/>
        <w:rPr>
          <w:rFonts w:cs="Calibri"/>
          <w:sz w:val="20"/>
          <w:szCs w:val="20"/>
        </w:rPr>
      </w:pPr>
      <w:r w:rsidRPr="00FA288E">
        <w:rPr>
          <w:rFonts w:cs="Calibri"/>
          <w:sz w:val="20"/>
          <w:szCs w:val="20"/>
        </w:rPr>
        <w:t xml:space="preserve">The midline report analysis attributes differences in </w:t>
      </w:r>
      <w:r w:rsidRPr="00FA288E">
        <w:rPr>
          <w:rFonts w:cs="Calibri"/>
          <w:i/>
          <w:sz w:val="20"/>
          <w:szCs w:val="20"/>
        </w:rPr>
        <w:t>comprehension</w:t>
      </w:r>
      <w:r w:rsidRPr="00FA288E">
        <w:rPr>
          <w:rFonts w:cs="Calibri"/>
          <w:sz w:val="20"/>
          <w:szCs w:val="20"/>
        </w:rPr>
        <w:t xml:space="preserve"> results for both English and Tok Pisin in the </w:t>
      </w:r>
      <w:r w:rsidRPr="00FA288E">
        <w:rPr>
          <w:rFonts w:cs="Calibri"/>
          <w:i/>
          <w:sz w:val="20"/>
          <w:szCs w:val="20"/>
        </w:rPr>
        <w:t>intervention</w:t>
      </w:r>
      <w:r w:rsidRPr="00FA288E">
        <w:rPr>
          <w:rFonts w:cs="Calibri"/>
          <w:sz w:val="20"/>
          <w:szCs w:val="20"/>
        </w:rPr>
        <w:t xml:space="preserve"> group to the Library for All books that were given to schools as classroom resources – i.e. in the teacher resource kits. Notwithstanding, teachers in the intervention schools were observed to be using more chanting and copying from the board than those in the control group, despite receiving teacher training that </w:t>
      </w:r>
      <w:r w:rsidRPr="00FA288E">
        <w:rPr>
          <w:rFonts w:cs="Calibri"/>
          <w:sz w:val="20"/>
          <w:szCs w:val="20"/>
        </w:rPr>
        <w:lastRenderedPageBreak/>
        <w:t xml:space="preserve">focused on child-centred strategies. The differences between the baseline and midline findings in teacher use of the resources and teacher training in reading are not readily explained. </w:t>
      </w:r>
    </w:p>
    <w:p w14:paraId="04F184A3" w14:textId="77777777" w:rsidR="001E3185" w:rsidRPr="00FA288E" w:rsidRDefault="001E3185" w:rsidP="001E3185">
      <w:pPr>
        <w:rPr>
          <w:rFonts w:cs="Calibri"/>
          <w:i/>
          <w:sz w:val="20"/>
          <w:szCs w:val="20"/>
        </w:rPr>
      </w:pPr>
      <w:r w:rsidRPr="00FA288E">
        <w:rPr>
          <w:rFonts w:cs="Calibri"/>
          <w:i/>
          <w:sz w:val="20"/>
          <w:szCs w:val="20"/>
        </w:rPr>
        <w:t>Effect of the Reading Clubs</w:t>
      </w:r>
    </w:p>
    <w:p w14:paraId="407A233A" w14:textId="43675293" w:rsidR="001E3185" w:rsidRPr="00FA288E" w:rsidRDefault="001E3185" w:rsidP="00061FD0">
      <w:pPr>
        <w:jc w:val="both"/>
        <w:rPr>
          <w:rFonts w:cs="Calibri"/>
          <w:sz w:val="20"/>
          <w:szCs w:val="20"/>
        </w:rPr>
      </w:pPr>
      <w:r w:rsidRPr="00FA288E">
        <w:rPr>
          <w:rFonts w:cs="Calibri"/>
          <w:sz w:val="20"/>
          <w:szCs w:val="20"/>
        </w:rPr>
        <w:t xml:space="preserve">The midline analysis suggests that while there was a 27.87 % increase reported in </w:t>
      </w:r>
      <w:r w:rsidRPr="00FA288E">
        <w:rPr>
          <w:rFonts w:cs="Calibri"/>
          <w:i/>
          <w:sz w:val="20"/>
          <w:szCs w:val="20"/>
        </w:rPr>
        <w:t xml:space="preserve">all </w:t>
      </w:r>
      <w:r w:rsidRPr="00FA288E">
        <w:rPr>
          <w:rFonts w:cs="Calibri"/>
          <w:sz w:val="20"/>
          <w:szCs w:val="20"/>
        </w:rPr>
        <w:t xml:space="preserve">children surveyed who read outside of school, and a 59.61% increase in children who read by themselves than at baseline, (attributed to reading clubs), no relationship to literacy results were found. This is likely because the reading club books were only distributed in May 2018, with little time for effect. It would appear that the contribution of reading activities external to the classroom-based ones have had no effect to date, and the contribution of the books to aid reading comprehension is not straightforward when teaching methods are combined. It is anticipated that reading club participation will have a more positive effect on literacy scores in the </w:t>
      </w:r>
      <w:r w:rsidR="00FA288E">
        <w:rPr>
          <w:rFonts w:cs="Calibri"/>
          <w:sz w:val="20"/>
          <w:szCs w:val="20"/>
        </w:rPr>
        <w:t>end line</w:t>
      </w:r>
      <w:r w:rsidRPr="00FA288E">
        <w:rPr>
          <w:rFonts w:cs="Calibri"/>
          <w:sz w:val="20"/>
          <w:szCs w:val="20"/>
        </w:rPr>
        <w:t xml:space="preserve"> evaluation as a result of a longer implementation period. </w:t>
      </w:r>
    </w:p>
    <w:p w14:paraId="28A642E3" w14:textId="77777777" w:rsidR="001E3185" w:rsidRPr="00FA288E" w:rsidRDefault="001E3185" w:rsidP="001E3185">
      <w:pPr>
        <w:rPr>
          <w:rFonts w:cs="Calibri"/>
          <w:sz w:val="20"/>
          <w:szCs w:val="20"/>
        </w:rPr>
      </w:pPr>
      <w:r w:rsidRPr="00FA288E">
        <w:rPr>
          <w:rFonts w:cs="Calibri"/>
          <w:i/>
          <w:sz w:val="20"/>
          <w:szCs w:val="20"/>
        </w:rPr>
        <w:t xml:space="preserve">Effect of the </w:t>
      </w:r>
      <w:proofErr w:type="spellStart"/>
      <w:r w:rsidRPr="00FA288E">
        <w:rPr>
          <w:rFonts w:cs="Calibri"/>
          <w:i/>
          <w:sz w:val="20"/>
          <w:szCs w:val="20"/>
        </w:rPr>
        <w:t>LfA</w:t>
      </w:r>
      <w:proofErr w:type="spellEnd"/>
      <w:r w:rsidRPr="00FA288E">
        <w:rPr>
          <w:rFonts w:cs="Calibri"/>
          <w:i/>
          <w:sz w:val="20"/>
          <w:szCs w:val="20"/>
        </w:rPr>
        <w:t xml:space="preserve"> Digital Library Application trial</w:t>
      </w:r>
    </w:p>
    <w:p w14:paraId="0D60B7A3" w14:textId="77777777" w:rsidR="001E3185" w:rsidRPr="00FA288E" w:rsidRDefault="001E3185" w:rsidP="00061FD0">
      <w:pPr>
        <w:jc w:val="both"/>
        <w:rPr>
          <w:rFonts w:cs="Calibri"/>
          <w:sz w:val="20"/>
          <w:szCs w:val="20"/>
          <w:lang w:eastAsia="en-AU"/>
        </w:rPr>
      </w:pPr>
      <w:r w:rsidRPr="00FA288E">
        <w:rPr>
          <w:rFonts w:cs="Calibri"/>
          <w:sz w:val="20"/>
          <w:szCs w:val="20"/>
        </w:rPr>
        <w:t>The differentiation of mid line data to capture e-book use on the tablet trials, as opposed to the print-based versions, is not yet available, and will require a separate data collection exercise to correlate results to trial schools.</w:t>
      </w:r>
      <w:r w:rsidRPr="00FA288E">
        <w:rPr>
          <w:rFonts w:cs="Calibri"/>
          <w:sz w:val="20"/>
          <w:szCs w:val="20"/>
          <w:lang w:eastAsia="en-AU"/>
        </w:rPr>
        <w:t xml:space="preserve"> </w:t>
      </w:r>
    </w:p>
    <w:p w14:paraId="5271B265" w14:textId="77777777" w:rsidR="001E3185" w:rsidRPr="00FA288E" w:rsidRDefault="001E3185" w:rsidP="001E3185">
      <w:pPr>
        <w:rPr>
          <w:rFonts w:cs="Calibri"/>
          <w:sz w:val="20"/>
          <w:szCs w:val="20"/>
          <w:lang w:eastAsia="en-AU"/>
        </w:rPr>
      </w:pPr>
      <w:r w:rsidRPr="00FA288E">
        <w:rPr>
          <w:rFonts w:cs="Calibri"/>
          <w:sz w:val="20"/>
          <w:szCs w:val="20"/>
          <w:lang w:eastAsia="en-AU"/>
        </w:rPr>
        <w:t xml:space="preserve">iii) Conclusions on the effectiveness of reading interventions </w:t>
      </w:r>
    </w:p>
    <w:p w14:paraId="6ED59FC9" w14:textId="77777777" w:rsidR="001E3185" w:rsidRPr="00FA288E" w:rsidRDefault="001E3185" w:rsidP="00061FD0">
      <w:pPr>
        <w:jc w:val="both"/>
        <w:rPr>
          <w:rFonts w:cs="Calibri"/>
          <w:sz w:val="20"/>
          <w:szCs w:val="20"/>
          <w:lang w:eastAsia="en-AU"/>
        </w:rPr>
      </w:pPr>
      <w:r w:rsidRPr="00FA288E">
        <w:rPr>
          <w:rFonts w:cs="Calibri"/>
          <w:sz w:val="20"/>
          <w:szCs w:val="20"/>
          <w:lang w:eastAsia="en-AU"/>
        </w:rPr>
        <w:t>Variances in the activities conducted by the three pro</w:t>
      </w:r>
      <w:r w:rsidR="00686098" w:rsidRPr="00FA288E">
        <w:rPr>
          <w:rFonts w:cs="Calibri"/>
          <w:sz w:val="20"/>
          <w:szCs w:val="20"/>
          <w:lang w:eastAsia="en-AU"/>
        </w:rPr>
        <w:t>ject</w:t>
      </w:r>
      <w:r w:rsidRPr="00FA288E">
        <w:rPr>
          <w:rFonts w:cs="Calibri"/>
          <w:sz w:val="20"/>
          <w:szCs w:val="20"/>
          <w:lang w:eastAsia="en-AU"/>
        </w:rPr>
        <w:t>s and the midline data results make it difficult to compare and contrast the array of activities to make judgements on what works at this stage of implementation. It is not possible to comment at all on the PKS pro</w:t>
      </w:r>
      <w:r w:rsidR="00686098" w:rsidRPr="00FA288E">
        <w:rPr>
          <w:rFonts w:cs="Calibri"/>
          <w:sz w:val="20"/>
          <w:szCs w:val="20"/>
          <w:lang w:eastAsia="en-AU"/>
        </w:rPr>
        <w:t>ject</w:t>
      </w:r>
      <w:r w:rsidRPr="00FA288E">
        <w:rPr>
          <w:rFonts w:cs="Calibri"/>
          <w:sz w:val="20"/>
          <w:szCs w:val="20"/>
          <w:lang w:eastAsia="en-AU"/>
        </w:rPr>
        <w:t xml:space="preserve"> until their next data set is available. Considering the available data for the T4E and RISE pro</w:t>
      </w:r>
      <w:r w:rsidR="00686098" w:rsidRPr="00FA288E">
        <w:rPr>
          <w:rFonts w:cs="Calibri"/>
          <w:sz w:val="20"/>
          <w:szCs w:val="20"/>
          <w:lang w:eastAsia="en-AU"/>
        </w:rPr>
        <w:t>jects</w:t>
      </w:r>
      <w:r w:rsidRPr="00FA288E">
        <w:rPr>
          <w:rFonts w:cs="Calibri"/>
          <w:sz w:val="20"/>
          <w:szCs w:val="20"/>
          <w:lang w:eastAsia="en-AU"/>
        </w:rPr>
        <w:t>, the following conclusions are suggested:</w:t>
      </w:r>
    </w:p>
    <w:p w14:paraId="145FCCB8" w14:textId="77777777" w:rsidR="001E3185" w:rsidRPr="00FA288E" w:rsidRDefault="001E3185" w:rsidP="00FF62CC">
      <w:pPr>
        <w:pStyle w:val="ListParagraph"/>
        <w:numPr>
          <w:ilvl w:val="0"/>
          <w:numId w:val="43"/>
        </w:numPr>
        <w:jc w:val="both"/>
        <w:rPr>
          <w:rFonts w:ascii="Calibri" w:hAnsi="Calibri" w:cs="Calibri"/>
          <w:sz w:val="20"/>
          <w:szCs w:val="20"/>
          <w:lang w:val="en-AU" w:eastAsia="en-AU"/>
        </w:rPr>
      </w:pPr>
      <w:r w:rsidRPr="00FA288E">
        <w:rPr>
          <w:rFonts w:ascii="Calibri" w:hAnsi="Calibri" w:cs="Calibri"/>
          <w:sz w:val="20"/>
          <w:szCs w:val="20"/>
          <w:lang w:val="en-AU" w:eastAsia="en-AU"/>
        </w:rPr>
        <w:t xml:space="preserve">Reading interventions may be most effective when they are coupled to in-school teaching activities </w:t>
      </w:r>
    </w:p>
    <w:p w14:paraId="3A3D7B7F" w14:textId="77777777" w:rsidR="001E3185" w:rsidRPr="00FA288E" w:rsidRDefault="001E3185" w:rsidP="00FF62CC">
      <w:pPr>
        <w:pStyle w:val="ListParagraph"/>
        <w:numPr>
          <w:ilvl w:val="0"/>
          <w:numId w:val="43"/>
        </w:numPr>
        <w:jc w:val="both"/>
        <w:rPr>
          <w:rFonts w:ascii="Calibri" w:hAnsi="Calibri" w:cs="Calibri"/>
          <w:sz w:val="20"/>
          <w:szCs w:val="20"/>
          <w:lang w:val="en-AU" w:eastAsia="en-AU"/>
        </w:rPr>
      </w:pPr>
      <w:r w:rsidRPr="00FA288E">
        <w:rPr>
          <w:rFonts w:ascii="Calibri" w:hAnsi="Calibri" w:cs="Calibri"/>
          <w:sz w:val="20"/>
          <w:szCs w:val="20"/>
          <w:lang w:val="en-AU" w:eastAsia="en-AU"/>
        </w:rPr>
        <w:t xml:space="preserve">The most effective extra-curricular activities appear to be the access to books and reading provided by the reading club activities, although achieving substantial attendance numbers, and maximising the use of borrowed books for home reading may be limited by the </w:t>
      </w:r>
      <w:r w:rsidR="00A07B4A" w:rsidRPr="00FA288E">
        <w:rPr>
          <w:rFonts w:ascii="Calibri" w:hAnsi="Calibri" w:cs="Calibri"/>
          <w:sz w:val="20"/>
          <w:szCs w:val="20"/>
          <w:lang w:val="en-AU" w:eastAsia="en-AU"/>
        </w:rPr>
        <w:t>abil</w:t>
      </w:r>
      <w:r w:rsidRPr="00FA288E">
        <w:rPr>
          <w:rFonts w:ascii="Calibri" w:hAnsi="Calibri" w:cs="Calibri"/>
          <w:sz w:val="20"/>
          <w:szCs w:val="20"/>
          <w:lang w:val="en-AU" w:eastAsia="en-AU"/>
        </w:rPr>
        <w:t xml:space="preserve">ity of volunteers to manage and extend the reach of the resource. </w:t>
      </w:r>
    </w:p>
    <w:p w14:paraId="63B78A01" w14:textId="77777777" w:rsidR="001E3185" w:rsidRPr="00FA288E" w:rsidRDefault="001E3185" w:rsidP="00FF62CC">
      <w:pPr>
        <w:pStyle w:val="ListParagraph"/>
        <w:numPr>
          <w:ilvl w:val="0"/>
          <w:numId w:val="43"/>
        </w:numPr>
        <w:jc w:val="both"/>
        <w:rPr>
          <w:rFonts w:ascii="Calibri" w:hAnsi="Calibri" w:cs="Calibri"/>
          <w:iCs/>
          <w:sz w:val="20"/>
          <w:szCs w:val="20"/>
          <w:lang w:val="en-AU"/>
        </w:rPr>
      </w:pPr>
      <w:r w:rsidRPr="00FA288E">
        <w:rPr>
          <w:rFonts w:ascii="Calibri" w:hAnsi="Calibri" w:cs="Calibri"/>
          <w:iCs/>
          <w:sz w:val="20"/>
          <w:szCs w:val="20"/>
          <w:lang w:val="en-AU"/>
        </w:rPr>
        <w:t xml:space="preserve">CLVs (RISE) have been less effective in the broader activities relating to parent/caregiver workshops, </w:t>
      </w:r>
      <w:r w:rsidR="00E83D77" w:rsidRPr="00FA288E">
        <w:rPr>
          <w:rFonts w:ascii="Calibri" w:hAnsi="Calibri" w:cs="Calibri"/>
          <w:iCs/>
          <w:sz w:val="20"/>
          <w:szCs w:val="20"/>
          <w:lang w:val="en-AU"/>
        </w:rPr>
        <w:t>storytelling</w:t>
      </w:r>
      <w:r w:rsidRPr="00FA288E">
        <w:rPr>
          <w:rFonts w:ascii="Calibri" w:hAnsi="Calibri" w:cs="Calibri"/>
          <w:iCs/>
          <w:sz w:val="20"/>
          <w:szCs w:val="20"/>
          <w:lang w:val="en-AU"/>
        </w:rPr>
        <w:t xml:space="preserve">, and reading festivals. </w:t>
      </w:r>
    </w:p>
    <w:p w14:paraId="13364486" w14:textId="77777777" w:rsidR="001E3185" w:rsidRPr="00FA288E" w:rsidRDefault="001E3185" w:rsidP="00FF62CC">
      <w:pPr>
        <w:pStyle w:val="ListParagraph"/>
        <w:numPr>
          <w:ilvl w:val="0"/>
          <w:numId w:val="43"/>
        </w:numPr>
        <w:jc w:val="both"/>
        <w:rPr>
          <w:rFonts w:ascii="Calibri" w:hAnsi="Calibri" w:cs="Calibri"/>
          <w:sz w:val="20"/>
          <w:szCs w:val="20"/>
          <w:lang w:val="en-AU" w:eastAsia="en-AU"/>
        </w:rPr>
      </w:pPr>
      <w:r w:rsidRPr="00FA288E">
        <w:rPr>
          <w:rFonts w:ascii="Calibri" w:hAnsi="Calibri" w:cs="Calibri"/>
          <w:sz w:val="20"/>
          <w:szCs w:val="20"/>
          <w:lang w:val="en-AU" w:eastAsia="en-AU"/>
        </w:rPr>
        <w:t>While book borrowing might be popular, it is not known what percentage of books are returned and re-borrowed, or if children read the same book at home repeatedly, thereby limiting potential impact of the resources</w:t>
      </w:r>
    </w:p>
    <w:p w14:paraId="23EF7B55" w14:textId="77777777" w:rsidR="001E3185" w:rsidRPr="00FA288E" w:rsidRDefault="001E3185" w:rsidP="00FF62CC">
      <w:pPr>
        <w:pStyle w:val="ListParagraph"/>
        <w:numPr>
          <w:ilvl w:val="0"/>
          <w:numId w:val="43"/>
        </w:numPr>
        <w:jc w:val="both"/>
        <w:rPr>
          <w:rFonts w:ascii="Calibri" w:hAnsi="Calibri" w:cs="Calibri"/>
          <w:iCs/>
          <w:sz w:val="20"/>
          <w:szCs w:val="20"/>
          <w:lang w:val="en-AU"/>
        </w:rPr>
      </w:pPr>
      <w:r w:rsidRPr="00FA288E">
        <w:rPr>
          <w:rFonts w:ascii="Calibri" w:hAnsi="Calibri" w:cs="Calibri"/>
          <w:iCs/>
          <w:sz w:val="20"/>
          <w:szCs w:val="20"/>
          <w:lang w:val="en-AU"/>
        </w:rPr>
        <w:t xml:space="preserve">The extent to which the volunteer activities are sustained and spread geographically/ generationally is not known, and additional coaching and support may have assisted greatly in extending their sustained effectiveness, including assistance with management of book borrowing; the use of mobile phone technology (RISE); and effective monitoring activities.  </w:t>
      </w:r>
    </w:p>
    <w:p w14:paraId="355B3DA0" w14:textId="77777777" w:rsidR="001E3185" w:rsidRPr="00FA288E" w:rsidRDefault="001E3185" w:rsidP="00FF62CC">
      <w:pPr>
        <w:pStyle w:val="ListParagraph"/>
        <w:numPr>
          <w:ilvl w:val="0"/>
          <w:numId w:val="43"/>
        </w:numPr>
        <w:jc w:val="both"/>
        <w:rPr>
          <w:rFonts w:ascii="Calibri" w:hAnsi="Calibri" w:cs="Calibri"/>
          <w:sz w:val="20"/>
          <w:szCs w:val="20"/>
          <w:lang w:val="en-AU" w:eastAsia="en-AU"/>
        </w:rPr>
      </w:pPr>
      <w:r w:rsidRPr="00FA288E">
        <w:rPr>
          <w:rFonts w:ascii="Calibri" w:hAnsi="Calibri" w:cs="Calibri"/>
          <w:sz w:val="20"/>
          <w:szCs w:val="20"/>
          <w:lang w:val="en-AU" w:eastAsia="en-AU"/>
        </w:rPr>
        <w:t xml:space="preserve">Book titles on the </w:t>
      </w:r>
      <w:r w:rsidRPr="00FA288E">
        <w:rPr>
          <w:rFonts w:ascii="Calibri" w:hAnsi="Calibri" w:cs="Calibri"/>
          <w:sz w:val="20"/>
          <w:szCs w:val="20"/>
          <w:u w:val="single"/>
          <w:lang w:val="en-AU" w:eastAsia="en-AU"/>
        </w:rPr>
        <w:t xml:space="preserve">Bloom </w:t>
      </w:r>
      <w:r w:rsidR="002B04B2" w:rsidRPr="00FA288E">
        <w:rPr>
          <w:rFonts w:ascii="Calibri" w:hAnsi="Calibri" w:cs="Calibri"/>
          <w:sz w:val="20"/>
          <w:szCs w:val="20"/>
          <w:u w:val="single"/>
          <w:lang w:val="en-AU" w:eastAsia="en-AU"/>
        </w:rPr>
        <w:t>R</w:t>
      </w:r>
      <w:r w:rsidRPr="00FA288E">
        <w:rPr>
          <w:rFonts w:ascii="Calibri" w:hAnsi="Calibri" w:cs="Calibri"/>
          <w:sz w:val="20"/>
          <w:szCs w:val="20"/>
          <w:u w:val="single"/>
          <w:lang w:val="en-AU" w:eastAsia="en-AU"/>
        </w:rPr>
        <w:t>eader</w:t>
      </w:r>
      <w:r w:rsidRPr="00FA288E">
        <w:rPr>
          <w:rFonts w:ascii="Calibri" w:hAnsi="Calibri" w:cs="Calibri"/>
          <w:sz w:val="20"/>
          <w:szCs w:val="20"/>
          <w:lang w:val="en-AU" w:eastAsia="en-AU"/>
        </w:rPr>
        <w:t xml:space="preserve"> app provide an excellent free resource to parents/caregivers with mobile phones and access to data or Bluetooth transfers from an offline collection. Whilst a promising tool for improving literacy test scores of the few who can access it, its penetration may remain low in the near future, limiting its ability to contribute.</w:t>
      </w:r>
    </w:p>
    <w:p w14:paraId="0858037D" w14:textId="77777777" w:rsidR="001E3185" w:rsidRPr="00FA288E" w:rsidRDefault="001E3185" w:rsidP="00FF62CC">
      <w:pPr>
        <w:pStyle w:val="ListParagraph"/>
        <w:numPr>
          <w:ilvl w:val="0"/>
          <w:numId w:val="43"/>
        </w:numPr>
        <w:jc w:val="both"/>
        <w:rPr>
          <w:rFonts w:ascii="Calibri" w:hAnsi="Calibri" w:cs="Calibri"/>
          <w:sz w:val="20"/>
          <w:szCs w:val="20"/>
          <w:lang w:val="en-AU" w:eastAsia="en-AU"/>
        </w:rPr>
      </w:pPr>
      <w:r w:rsidRPr="00FA288E">
        <w:rPr>
          <w:rFonts w:ascii="Calibri" w:hAnsi="Calibri" w:cs="Calibri"/>
          <w:sz w:val="20"/>
          <w:szCs w:val="20"/>
          <w:lang w:val="en-AU" w:eastAsia="en-AU"/>
        </w:rPr>
        <w:t xml:space="preserve">While the </w:t>
      </w:r>
      <w:r w:rsidRPr="00FA288E">
        <w:rPr>
          <w:rFonts w:ascii="Calibri" w:hAnsi="Calibri" w:cs="Calibri"/>
          <w:sz w:val="20"/>
          <w:szCs w:val="20"/>
          <w:u w:val="single"/>
          <w:lang w:val="en-AU" w:eastAsia="en-AU"/>
        </w:rPr>
        <w:t>Education for Life kits</w:t>
      </w:r>
      <w:r w:rsidRPr="00FA288E">
        <w:rPr>
          <w:rFonts w:ascii="Calibri" w:hAnsi="Calibri" w:cs="Calibri"/>
          <w:sz w:val="20"/>
          <w:szCs w:val="20"/>
          <w:lang w:val="en-AU" w:eastAsia="en-AU"/>
        </w:rPr>
        <w:t xml:space="preserve"> have potential as a useful classroom resource, data on their use and impact is as yet limited.</w:t>
      </w:r>
    </w:p>
    <w:p w14:paraId="338A7627" w14:textId="77777777" w:rsidR="001E3185" w:rsidRPr="00FA288E" w:rsidRDefault="001E3185" w:rsidP="00FF62CC">
      <w:pPr>
        <w:pStyle w:val="ListParagraph"/>
        <w:numPr>
          <w:ilvl w:val="0"/>
          <w:numId w:val="43"/>
        </w:numPr>
        <w:jc w:val="both"/>
        <w:rPr>
          <w:rFonts w:ascii="Calibri" w:hAnsi="Calibri" w:cs="Calibri"/>
          <w:sz w:val="20"/>
          <w:szCs w:val="20"/>
          <w:lang w:val="en-AU" w:eastAsia="en-AU"/>
        </w:rPr>
      </w:pPr>
      <w:r w:rsidRPr="00FA288E">
        <w:rPr>
          <w:rFonts w:ascii="Calibri" w:hAnsi="Calibri" w:cs="Calibri"/>
          <w:sz w:val="20"/>
          <w:szCs w:val="20"/>
          <w:lang w:val="en-AU" w:eastAsia="en-AU"/>
        </w:rPr>
        <w:t xml:space="preserve">Book titles on the </w:t>
      </w:r>
      <w:r w:rsidRPr="00FA288E">
        <w:rPr>
          <w:rFonts w:ascii="Calibri" w:hAnsi="Calibri" w:cs="Calibri"/>
          <w:sz w:val="20"/>
          <w:szCs w:val="20"/>
          <w:u w:val="single"/>
          <w:lang w:val="en-AU" w:eastAsia="en-AU"/>
        </w:rPr>
        <w:t>Library for All</w:t>
      </w:r>
      <w:r w:rsidRPr="00FA288E">
        <w:rPr>
          <w:rFonts w:ascii="Calibri" w:hAnsi="Calibri" w:cs="Calibri"/>
          <w:sz w:val="20"/>
          <w:szCs w:val="20"/>
          <w:lang w:val="en-AU" w:eastAsia="en-AU"/>
        </w:rPr>
        <w:t xml:space="preserve"> app provide an excellent free resource to parents/caregivers with mobile phones and data access. Data on the use of the tablet resources in schools indicates, that while promising, there is much work needed to maximise its potential, and to align its use with educational outcomes. </w:t>
      </w:r>
    </w:p>
    <w:p w14:paraId="61E3824B" w14:textId="77777777" w:rsidR="001E3185" w:rsidRPr="00FA288E" w:rsidRDefault="001E3185" w:rsidP="00FF62CC">
      <w:pPr>
        <w:pStyle w:val="ListParagraph"/>
        <w:numPr>
          <w:ilvl w:val="0"/>
          <w:numId w:val="43"/>
        </w:numPr>
        <w:autoSpaceDE w:val="0"/>
        <w:autoSpaceDN w:val="0"/>
        <w:adjustRightInd w:val="0"/>
        <w:spacing w:after="120"/>
        <w:jc w:val="both"/>
        <w:rPr>
          <w:rFonts w:ascii="Calibri" w:hAnsi="Calibri" w:cs="Calibri"/>
          <w:sz w:val="20"/>
          <w:szCs w:val="20"/>
          <w:lang w:val="en-AU"/>
        </w:rPr>
      </w:pPr>
      <w:r w:rsidRPr="00FA288E">
        <w:rPr>
          <w:rFonts w:ascii="Calibri" w:hAnsi="Calibri" w:cs="Calibri"/>
          <w:sz w:val="20"/>
          <w:szCs w:val="20"/>
          <w:lang w:val="en-AU" w:eastAsia="en-AU"/>
        </w:rPr>
        <w:t xml:space="preserve">While </w:t>
      </w:r>
      <w:r w:rsidRPr="00FA288E">
        <w:rPr>
          <w:rFonts w:ascii="Calibri" w:hAnsi="Calibri" w:cs="Calibri"/>
          <w:sz w:val="20"/>
          <w:szCs w:val="20"/>
          <w:u w:val="single"/>
          <w:lang w:val="en-AU" w:eastAsia="en-AU"/>
        </w:rPr>
        <w:t>digital solutions</w:t>
      </w:r>
      <w:r w:rsidRPr="00FA288E">
        <w:rPr>
          <w:rFonts w:ascii="Calibri" w:hAnsi="Calibri" w:cs="Calibri"/>
          <w:sz w:val="20"/>
          <w:szCs w:val="20"/>
          <w:lang w:val="en-AU" w:eastAsia="en-AU"/>
        </w:rPr>
        <w:t xml:space="preserve"> are appealing in their potential to achieve mass consumption of reading resources, low-cost </w:t>
      </w:r>
      <w:r w:rsidRPr="00FA288E">
        <w:rPr>
          <w:rFonts w:ascii="Calibri" w:hAnsi="Calibri" w:cs="Calibri"/>
          <w:sz w:val="20"/>
          <w:szCs w:val="20"/>
          <w:lang w:val="en-AU"/>
        </w:rPr>
        <w:t xml:space="preserve">hard copy reading material is likely to remain the most effective medium in the </w:t>
      </w:r>
      <w:r w:rsidRPr="00FA288E">
        <w:rPr>
          <w:rFonts w:ascii="Calibri" w:hAnsi="Calibri" w:cs="Calibri"/>
          <w:sz w:val="20"/>
          <w:szCs w:val="20"/>
          <w:lang w:val="en-AU"/>
        </w:rPr>
        <w:lastRenderedPageBreak/>
        <w:t>short term, especially in remote areas where power supply, connectivity and ease of technology use are less than optimal.</w:t>
      </w:r>
    </w:p>
    <w:p w14:paraId="700A6610" w14:textId="77777777" w:rsidR="001E3185" w:rsidRPr="00FA288E" w:rsidRDefault="001E3185" w:rsidP="001E3185">
      <w:pPr>
        <w:rPr>
          <w:rFonts w:cs="Calibri"/>
          <w:sz w:val="20"/>
          <w:szCs w:val="20"/>
        </w:rPr>
      </w:pPr>
      <w:r w:rsidRPr="00FA288E">
        <w:rPr>
          <w:rFonts w:cs="Calibri"/>
          <w:sz w:val="20"/>
          <w:szCs w:val="20"/>
        </w:rPr>
        <w:t>P</w:t>
      </w:r>
      <w:r w:rsidRPr="00FA288E">
        <w:rPr>
          <w:rFonts w:cs="Calibri"/>
          <w:sz w:val="20"/>
          <w:szCs w:val="20"/>
          <w:lang w:eastAsia="en-AU"/>
        </w:rPr>
        <w:t>ossible ways forward</w:t>
      </w:r>
      <w:r w:rsidRPr="00FA288E">
        <w:rPr>
          <w:rFonts w:cs="Calibri"/>
          <w:sz w:val="20"/>
          <w:szCs w:val="20"/>
        </w:rPr>
        <w:t xml:space="preserve"> for reading interventions</w:t>
      </w:r>
    </w:p>
    <w:p w14:paraId="59FA6674" w14:textId="77777777" w:rsidR="001E3185" w:rsidRPr="00FA288E" w:rsidRDefault="001E3185" w:rsidP="00FF62CC">
      <w:pPr>
        <w:pStyle w:val="ListParagraph"/>
        <w:numPr>
          <w:ilvl w:val="0"/>
          <w:numId w:val="44"/>
        </w:numPr>
        <w:spacing w:after="200"/>
        <w:jc w:val="both"/>
        <w:rPr>
          <w:rFonts w:ascii="Calibri" w:hAnsi="Calibri" w:cs="Calibri"/>
          <w:sz w:val="20"/>
          <w:szCs w:val="20"/>
          <w:lang w:val="en-AU"/>
        </w:rPr>
      </w:pPr>
      <w:r w:rsidRPr="00FA288E">
        <w:rPr>
          <w:rFonts w:ascii="Calibri" w:hAnsi="Calibri" w:cs="Calibri"/>
          <w:sz w:val="20"/>
          <w:szCs w:val="20"/>
          <w:lang w:val="en-AU"/>
        </w:rPr>
        <w:t>Reading intervention through the use of volunteers should be more closely tied to school-centred programs to increase the synergies between volunteers and teachers, and possibly enlist their authority to assist with the management of reading resources</w:t>
      </w:r>
    </w:p>
    <w:p w14:paraId="763946AE" w14:textId="77777777" w:rsidR="001E3185" w:rsidRPr="00FA288E" w:rsidRDefault="001E3185" w:rsidP="00FF62CC">
      <w:pPr>
        <w:pStyle w:val="ListParagraph"/>
        <w:numPr>
          <w:ilvl w:val="0"/>
          <w:numId w:val="44"/>
        </w:numPr>
        <w:spacing w:after="200"/>
        <w:jc w:val="both"/>
        <w:rPr>
          <w:rFonts w:ascii="Calibri" w:hAnsi="Calibri" w:cs="Calibri"/>
          <w:sz w:val="20"/>
          <w:szCs w:val="20"/>
          <w:lang w:val="en-AU"/>
        </w:rPr>
      </w:pPr>
      <w:r w:rsidRPr="00FA288E">
        <w:rPr>
          <w:rFonts w:ascii="Calibri" w:hAnsi="Calibri" w:cs="Calibri"/>
          <w:sz w:val="20"/>
          <w:szCs w:val="20"/>
          <w:lang w:val="en-AU"/>
        </w:rPr>
        <w:t>In the absence of clear data on effectiveness, consideration should be given to limiting reading volunteer activities to running reading clubs – including more intensive training on related topics such as: management of library resources; effective reading techniques; mobile phone/bloom reader app use and transfer; and monitoring requirements –  rather than expecting broader non-reading club outcomes such as parental awareness raising.</w:t>
      </w:r>
    </w:p>
    <w:p w14:paraId="0E59798D" w14:textId="77777777" w:rsidR="001E3185" w:rsidRPr="00FA288E" w:rsidRDefault="001E3185" w:rsidP="00FF62CC">
      <w:pPr>
        <w:pStyle w:val="ListParagraph"/>
        <w:numPr>
          <w:ilvl w:val="0"/>
          <w:numId w:val="44"/>
        </w:numPr>
        <w:spacing w:after="200"/>
        <w:jc w:val="both"/>
        <w:rPr>
          <w:rFonts w:ascii="Calibri" w:hAnsi="Calibri" w:cs="Calibri"/>
          <w:sz w:val="20"/>
          <w:szCs w:val="20"/>
          <w:lang w:val="en-AU"/>
        </w:rPr>
      </w:pPr>
      <w:r w:rsidRPr="00FA288E">
        <w:rPr>
          <w:rFonts w:ascii="Calibri" w:hAnsi="Calibri" w:cs="Calibri"/>
          <w:sz w:val="20"/>
          <w:szCs w:val="20"/>
          <w:lang w:val="en-AU"/>
        </w:rPr>
        <w:t>Existing reading volunteers and the status of their book resources and activities should be monitored and assessed, and where there is still interest, targeted support provided to maximise the likelihood they are able to sustain activities/extend their reach</w:t>
      </w:r>
    </w:p>
    <w:p w14:paraId="1998BEE9" w14:textId="77777777" w:rsidR="001E3185" w:rsidRPr="00FA288E" w:rsidRDefault="001E3185" w:rsidP="00FF62CC">
      <w:pPr>
        <w:pStyle w:val="ListParagraph"/>
        <w:numPr>
          <w:ilvl w:val="0"/>
          <w:numId w:val="44"/>
        </w:numPr>
        <w:jc w:val="both"/>
        <w:rPr>
          <w:rFonts w:ascii="Calibri" w:hAnsi="Calibri" w:cs="Calibri"/>
          <w:sz w:val="20"/>
          <w:szCs w:val="20"/>
          <w:lang w:val="en-AU" w:eastAsia="en-AU"/>
        </w:rPr>
      </w:pPr>
      <w:r w:rsidRPr="00FA288E">
        <w:rPr>
          <w:rFonts w:ascii="Calibri" w:hAnsi="Calibri" w:cs="Calibri"/>
          <w:sz w:val="20"/>
          <w:szCs w:val="20"/>
          <w:lang w:val="en-AU" w:eastAsia="en-AU"/>
        </w:rPr>
        <w:t>The Bloom Reader and Library for All apps provide free access to high quality reading resources to parents and caregivers with mobile phone. Consideration should be given to providing additional budget to publicise/advertise their availability in order to maximise the return on investment in terms of increased reach.</w:t>
      </w:r>
    </w:p>
    <w:p w14:paraId="13E0BC53" w14:textId="77777777" w:rsidR="001E3185" w:rsidRPr="00FA288E" w:rsidRDefault="001E3185" w:rsidP="00FF62CC">
      <w:pPr>
        <w:pStyle w:val="ListParagraph"/>
        <w:numPr>
          <w:ilvl w:val="0"/>
          <w:numId w:val="44"/>
        </w:numPr>
        <w:spacing w:after="200"/>
        <w:jc w:val="both"/>
        <w:rPr>
          <w:rFonts w:ascii="Calibri" w:hAnsi="Calibri" w:cs="Calibri"/>
          <w:sz w:val="20"/>
          <w:szCs w:val="20"/>
          <w:lang w:val="en-AU"/>
        </w:rPr>
      </w:pPr>
      <w:r w:rsidRPr="00FA288E">
        <w:rPr>
          <w:rFonts w:ascii="Calibri" w:hAnsi="Calibri" w:cs="Calibri"/>
          <w:sz w:val="20"/>
          <w:szCs w:val="20"/>
          <w:lang w:val="en-AU"/>
        </w:rPr>
        <w:t xml:space="preserve">Further analysis of the effectiveness and sustainability of the school-based e-book programs is required before any further roll out is considered. A </w:t>
      </w:r>
      <w:r w:rsidRPr="00FA288E">
        <w:rPr>
          <w:rFonts w:ascii="Calibri" w:hAnsi="Calibri" w:cs="Calibri"/>
          <w:sz w:val="20"/>
          <w:szCs w:val="20"/>
          <w:lang w:val="en-AU" w:eastAsia="en-AU"/>
        </w:rPr>
        <w:t xml:space="preserve">thorough investigation of the causes of low/declining use of </w:t>
      </w:r>
      <w:proofErr w:type="spellStart"/>
      <w:r w:rsidRPr="00FA288E">
        <w:rPr>
          <w:rFonts w:ascii="Calibri" w:hAnsi="Calibri" w:cs="Calibri"/>
          <w:sz w:val="20"/>
          <w:szCs w:val="20"/>
          <w:lang w:val="en-AU" w:eastAsia="en-AU"/>
        </w:rPr>
        <w:t>LfA</w:t>
      </w:r>
      <w:proofErr w:type="spellEnd"/>
      <w:r w:rsidRPr="00FA288E">
        <w:rPr>
          <w:rFonts w:ascii="Calibri" w:hAnsi="Calibri" w:cs="Calibri"/>
          <w:sz w:val="20"/>
          <w:szCs w:val="20"/>
          <w:lang w:val="en-AU" w:eastAsia="en-AU"/>
        </w:rPr>
        <w:t xml:space="preserve"> tablets should guide strategies for addressing issues in the pilot schools (i.e. distribution of solar panels to guarantee power supply; more targeted teacher training on use of the resource; exploration of potential for extra-curricular use etc). Once the pilots are established and running effectively, a </w:t>
      </w:r>
      <w:r w:rsidRPr="00FA288E">
        <w:rPr>
          <w:rFonts w:ascii="Calibri" w:hAnsi="Calibri" w:cs="Calibri"/>
          <w:sz w:val="20"/>
          <w:szCs w:val="20"/>
          <w:lang w:val="en-AU"/>
        </w:rPr>
        <w:t xml:space="preserve">comparative analysis on the use of Education for Life kits and </w:t>
      </w:r>
      <w:proofErr w:type="spellStart"/>
      <w:r w:rsidRPr="00FA288E">
        <w:rPr>
          <w:rFonts w:ascii="Calibri" w:hAnsi="Calibri" w:cs="Calibri"/>
          <w:sz w:val="20"/>
          <w:szCs w:val="20"/>
          <w:lang w:val="en-AU"/>
        </w:rPr>
        <w:t>LfA</w:t>
      </w:r>
      <w:proofErr w:type="spellEnd"/>
      <w:r w:rsidRPr="00FA288E">
        <w:rPr>
          <w:rFonts w:ascii="Calibri" w:hAnsi="Calibri" w:cs="Calibri"/>
          <w:sz w:val="20"/>
          <w:szCs w:val="20"/>
          <w:lang w:val="en-AU"/>
        </w:rPr>
        <w:t xml:space="preserve"> tablets should be conducted to compare their relative cost, ease of use, impact on literacy outcomes, and likely sustainability in order to advise the NDOE of the relative cost and merits of the initiatives. </w:t>
      </w:r>
    </w:p>
    <w:p w14:paraId="2FA5812A" w14:textId="77777777" w:rsidR="001E3185" w:rsidRPr="00FA288E" w:rsidRDefault="001E3185" w:rsidP="00FF62CC">
      <w:pPr>
        <w:pStyle w:val="ListParagraph"/>
        <w:numPr>
          <w:ilvl w:val="0"/>
          <w:numId w:val="44"/>
        </w:numPr>
        <w:spacing w:after="200"/>
        <w:jc w:val="both"/>
        <w:rPr>
          <w:rFonts w:ascii="Calibri" w:hAnsi="Calibri" w:cs="Calibri"/>
          <w:sz w:val="20"/>
          <w:szCs w:val="20"/>
          <w:lang w:val="en-AU"/>
        </w:rPr>
      </w:pPr>
      <w:r w:rsidRPr="00FA288E">
        <w:rPr>
          <w:rFonts w:ascii="Calibri" w:hAnsi="Calibri" w:cs="Calibri"/>
          <w:sz w:val="20"/>
          <w:szCs w:val="20"/>
          <w:lang w:val="en-AU"/>
        </w:rPr>
        <w:t xml:space="preserve">The provision of print resources to areas challenged by power supply, connectivity and ease of technology use should continue to be advocated to NDOE to ensure that these areas have adequate access to resources in formats suitable to their need and affordable for government to provide. </w:t>
      </w:r>
    </w:p>
    <w:p w14:paraId="7B58E6E5" w14:textId="77777777" w:rsidR="003E1E3E" w:rsidRPr="00FA288E" w:rsidRDefault="003E1E3E">
      <w:pPr>
        <w:rPr>
          <w:rFonts w:eastAsiaTheme="majorEastAsia" w:cstheme="majorBidi"/>
          <w:color w:val="000000" w:themeColor="text1"/>
          <w:sz w:val="28"/>
          <w:szCs w:val="30"/>
        </w:rPr>
      </w:pPr>
      <w:bookmarkStart w:id="179" w:name="_Annex_B.3:_Interventions"/>
      <w:bookmarkStart w:id="180" w:name="_Toc26914400"/>
      <w:bookmarkEnd w:id="179"/>
      <w:r w:rsidRPr="00FA288E">
        <w:br w:type="page"/>
      </w:r>
    </w:p>
    <w:p w14:paraId="1C9ED9B4" w14:textId="77777777" w:rsidR="00F746B0" w:rsidRPr="00FA288E" w:rsidRDefault="00F746B0" w:rsidP="003419C6">
      <w:pPr>
        <w:pStyle w:val="Heading1"/>
        <w:numPr>
          <w:ilvl w:val="0"/>
          <w:numId w:val="0"/>
        </w:numPr>
      </w:pPr>
      <w:bookmarkStart w:id="181" w:name="_Toc31625620"/>
      <w:bookmarkStart w:id="182" w:name="_Toc42076000"/>
      <w:r w:rsidRPr="00FA288E">
        <w:lastRenderedPageBreak/>
        <w:t xml:space="preserve">Annex </w:t>
      </w:r>
      <w:r w:rsidR="003E1E3E" w:rsidRPr="00FA288E">
        <w:t>F</w:t>
      </w:r>
      <w:r w:rsidRPr="00FA288E">
        <w:t>.3: Interventions designed to improve local management of schools</w:t>
      </w:r>
      <w:bookmarkEnd w:id="180"/>
      <w:bookmarkEnd w:id="181"/>
      <w:bookmarkEnd w:id="182"/>
    </w:p>
    <w:p w14:paraId="15128145" w14:textId="77777777" w:rsidR="00F746B0" w:rsidRPr="00FA288E" w:rsidRDefault="00F746B0" w:rsidP="00061FD0">
      <w:pPr>
        <w:spacing w:after="120"/>
        <w:jc w:val="both"/>
        <w:rPr>
          <w:rFonts w:cs="Calibri"/>
          <w:sz w:val="20"/>
          <w:szCs w:val="20"/>
        </w:rPr>
      </w:pPr>
      <w:r w:rsidRPr="00FA288E">
        <w:rPr>
          <w:rFonts w:cs="Calibri"/>
          <w:sz w:val="20"/>
          <w:szCs w:val="20"/>
        </w:rPr>
        <w:t>This annex is organised into three sections.  The first section discusses the purpose and design of interventions to improve management of schools. The second section provides a discussion of implementation progress and issues for each of the three projects plus their contribution to outcomes, while the third section provides summary conclusions and suggestions for moving forward.</w:t>
      </w:r>
    </w:p>
    <w:p w14:paraId="01F5F45C" w14:textId="77777777" w:rsidR="00F746B0" w:rsidRPr="00FA288E" w:rsidRDefault="00F746B0" w:rsidP="00061FD0">
      <w:pPr>
        <w:pStyle w:val="BodyText"/>
        <w:rPr>
          <w:rFonts w:ascii="Calibri" w:hAnsi="Calibri" w:cs="Calibri"/>
          <w:sz w:val="20"/>
          <w:szCs w:val="20"/>
        </w:rPr>
      </w:pPr>
      <w:bookmarkStart w:id="183" w:name="_Toc26457663"/>
      <w:r w:rsidRPr="00FA288E">
        <w:rPr>
          <w:rFonts w:ascii="Calibri" w:hAnsi="Calibri" w:cs="Calibri"/>
          <w:sz w:val="20"/>
          <w:szCs w:val="20"/>
        </w:rPr>
        <w:t>Intervention design and purpose</w:t>
      </w:r>
      <w:bookmarkEnd w:id="183"/>
    </w:p>
    <w:p w14:paraId="53AC1B0D" w14:textId="77777777" w:rsidR="00F746B0" w:rsidRPr="00FA288E" w:rsidRDefault="00F746B0" w:rsidP="00061FD0">
      <w:pPr>
        <w:spacing w:after="120"/>
        <w:jc w:val="both"/>
        <w:rPr>
          <w:rFonts w:cs="Calibri"/>
          <w:sz w:val="20"/>
          <w:szCs w:val="20"/>
        </w:rPr>
      </w:pPr>
      <w:r w:rsidRPr="00FA288E">
        <w:rPr>
          <w:rFonts w:cs="Calibri"/>
          <w:sz w:val="20"/>
          <w:szCs w:val="20"/>
        </w:rPr>
        <w:t>Both T4E and PKS have placed significant emphasis on the localised management of elementary schools through their School Boards of Management (</w:t>
      </w:r>
      <w:proofErr w:type="spellStart"/>
      <w:r w:rsidRPr="00FA288E">
        <w:rPr>
          <w:rFonts w:cs="Calibri"/>
          <w:sz w:val="20"/>
          <w:szCs w:val="20"/>
        </w:rPr>
        <w:t>SBoM</w:t>
      </w:r>
      <w:proofErr w:type="spellEnd"/>
      <w:r w:rsidRPr="00FA288E">
        <w:rPr>
          <w:rFonts w:cs="Calibri"/>
          <w:sz w:val="20"/>
          <w:szCs w:val="20"/>
        </w:rPr>
        <w:t xml:space="preserve">). T4E is particularly concerned with strengthening the role of parents and the broader community in participating in and influencing the content of school-based planning, while PKS has an emphasis on involving Provincial and District Officers in providing training and mentoring support to enhance sustainability.  Both emphasise the need to include elementary literacy, gender and disability inclusion activities as essential components of school planning, as well as attracting additional </w:t>
      </w:r>
      <w:r w:rsidRPr="00FA288E">
        <w:rPr>
          <w:rFonts w:cs="Calibri"/>
          <w:i/>
          <w:sz w:val="20"/>
          <w:szCs w:val="20"/>
        </w:rPr>
        <w:t>resourcing</w:t>
      </w:r>
      <w:r w:rsidRPr="00FA288E">
        <w:rPr>
          <w:rFonts w:cs="Calibri"/>
          <w:sz w:val="20"/>
          <w:szCs w:val="20"/>
        </w:rPr>
        <w:t xml:space="preserve"> for implementation. RISE, by comparison, approached school management improvement less directly, and are more focused on seeking to influence policy around </w:t>
      </w:r>
      <w:r w:rsidR="00CA1CCF" w:rsidRPr="00FA288E">
        <w:rPr>
          <w:rFonts w:cs="Calibri"/>
          <w:sz w:val="20"/>
          <w:szCs w:val="20"/>
        </w:rPr>
        <w:t>early childhood care and education</w:t>
      </w:r>
      <w:r w:rsidRPr="00FA288E">
        <w:rPr>
          <w:rFonts w:cs="Calibri"/>
          <w:sz w:val="20"/>
          <w:szCs w:val="20"/>
        </w:rPr>
        <w:t xml:space="preserve"> and disability inclusion at provincial and national levels than they are on local school governance.</w:t>
      </w:r>
    </w:p>
    <w:p w14:paraId="0C96B352" w14:textId="77777777" w:rsidR="00F746B0" w:rsidRPr="00FA288E" w:rsidRDefault="00F746B0" w:rsidP="00061FD0">
      <w:pPr>
        <w:spacing w:after="120"/>
        <w:jc w:val="both"/>
        <w:rPr>
          <w:rFonts w:cs="Calibri"/>
          <w:sz w:val="20"/>
          <w:szCs w:val="20"/>
        </w:rPr>
      </w:pPr>
      <w:r w:rsidRPr="00FA288E">
        <w:rPr>
          <w:rFonts w:cs="Calibri"/>
          <w:sz w:val="20"/>
          <w:szCs w:val="20"/>
        </w:rPr>
        <w:t>Both T4E and PKS have sought to strengthen local school management by assisting them to implement the NDOE’s School Learning Improvement Plan (SLIP) process.</w:t>
      </w:r>
      <w:r w:rsidRPr="00FA288E">
        <w:rPr>
          <w:rStyle w:val="FootnoteReference"/>
          <w:rFonts w:eastAsiaTheme="majorEastAsia" w:cs="Calibri"/>
          <w:sz w:val="20"/>
          <w:szCs w:val="20"/>
        </w:rPr>
        <w:footnoteReference w:id="118"/>
      </w:r>
      <w:r w:rsidRPr="00FA288E">
        <w:rPr>
          <w:rFonts w:cs="Calibri"/>
          <w:sz w:val="20"/>
          <w:szCs w:val="20"/>
        </w:rPr>
        <w:t xml:space="preserve"> Introduced in 2007, SLIPs have lapsed in their implementation (baseline data indicated only 2/3rds of schools had current ones, and many of these were incomplete). Interviews with key informants indicated that much of the renewed impetus for improving self-management and funding of schools has come from the belief that the TFF </w:t>
      </w:r>
      <w:r w:rsidR="00D52BB0" w:rsidRPr="00FA288E">
        <w:rPr>
          <w:rFonts w:cs="Calibri"/>
          <w:sz w:val="20"/>
          <w:szCs w:val="20"/>
        </w:rPr>
        <w:t>subsidy</w:t>
      </w:r>
      <w:r w:rsidRPr="00FA288E">
        <w:rPr>
          <w:rFonts w:cs="Calibri"/>
          <w:sz w:val="20"/>
          <w:szCs w:val="20"/>
        </w:rPr>
        <w:t xml:space="preserve"> model has made schools overly dependent on government funding and less reliant on their own/other available resources. The pro</w:t>
      </w:r>
      <w:r w:rsidR="00686098" w:rsidRPr="00FA288E">
        <w:rPr>
          <w:rFonts w:cs="Calibri"/>
          <w:sz w:val="20"/>
          <w:szCs w:val="20"/>
        </w:rPr>
        <w:t>ject</w:t>
      </w:r>
      <w:r w:rsidRPr="00FA288E">
        <w:rPr>
          <w:rFonts w:cs="Calibri"/>
          <w:sz w:val="20"/>
          <w:szCs w:val="20"/>
        </w:rPr>
        <w:t xml:space="preserve">s sought to largely revitalise the process and formats developed by the NDOE. They both developed more expansive training manuals which, by and large, adhered to the short training document produced by NDOE in 2007, and both attempted to bolster the inclusivity aspects and make the materials more accessible to less literate users. They also funded and organised the provision of training to select </w:t>
      </w:r>
      <w:proofErr w:type="spellStart"/>
      <w:r w:rsidRPr="00FA288E">
        <w:rPr>
          <w:rFonts w:cs="Calibri"/>
          <w:sz w:val="20"/>
          <w:szCs w:val="20"/>
        </w:rPr>
        <w:t>SBoM</w:t>
      </w:r>
      <w:proofErr w:type="spellEnd"/>
      <w:r w:rsidRPr="00FA288E">
        <w:rPr>
          <w:rFonts w:cs="Calibri"/>
          <w:sz w:val="20"/>
          <w:szCs w:val="20"/>
        </w:rPr>
        <w:t xml:space="preserve"> and community members to resurrect interest in the planning process and improve localised planning in, and management of, resources available to schools.</w:t>
      </w:r>
    </w:p>
    <w:p w14:paraId="0C6A02FF" w14:textId="77777777" w:rsidR="00F746B0" w:rsidRPr="00FA288E" w:rsidRDefault="00F746B0" w:rsidP="00061FD0">
      <w:pPr>
        <w:spacing w:after="60"/>
        <w:jc w:val="both"/>
        <w:rPr>
          <w:rFonts w:cs="Calibri"/>
          <w:sz w:val="20"/>
          <w:szCs w:val="20"/>
        </w:rPr>
      </w:pPr>
      <w:r w:rsidRPr="00FA288E">
        <w:rPr>
          <w:rFonts w:cs="Calibri"/>
          <w:sz w:val="20"/>
          <w:szCs w:val="20"/>
        </w:rPr>
        <w:t xml:space="preserve">SLIPs are expected to include a three-year plan and annual plans for the implementation of activities across seven focus areas: </w:t>
      </w:r>
    </w:p>
    <w:p w14:paraId="5A019892" w14:textId="77777777" w:rsidR="00F746B0" w:rsidRPr="00FA288E" w:rsidRDefault="00F746B0" w:rsidP="005C700B">
      <w:pPr>
        <w:pStyle w:val="ListParagraph"/>
        <w:numPr>
          <w:ilvl w:val="0"/>
          <w:numId w:val="25"/>
        </w:numPr>
        <w:spacing w:after="200"/>
        <w:jc w:val="both"/>
        <w:rPr>
          <w:rFonts w:ascii="Calibri" w:hAnsi="Calibri" w:cs="Calibri"/>
          <w:sz w:val="20"/>
          <w:szCs w:val="20"/>
          <w:lang w:val="en-AU"/>
        </w:rPr>
      </w:pPr>
      <w:r w:rsidRPr="00FA288E">
        <w:rPr>
          <w:rFonts w:ascii="Calibri" w:hAnsi="Calibri" w:cs="Calibri"/>
          <w:sz w:val="20"/>
          <w:szCs w:val="20"/>
          <w:lang w:val="en-AU"/>
        </w:rPr>
        <w:t>Student Learning</w:t>
      </w:r>
    </w:p>
    <w:p w14:paraId="0A471220" w14:textId="77777777" w:rsidR="00F746B0" w:rsidRPr="00FA288E" w:rsidRDefault="00F746B0" w:rsidP="005C700B">
      <w:pPr>
        <w:pStyle w:val="ListParagraph"/>
        <w:numPr>
          <w:ilvl w:val="0"/>
          <w:numId w:val="25"/>
        </w:numPr>
        <w:spacing w:after="200"/>
        <w:jc w:val="both"/>
        <w:rPr>
          <w:rFonts w:ascii="Calibri" w:hAnsi="Calibri" w:cs="Calibri"/>
          <w:sz w:val="20"/>
          <w:szCs w:val="20"/>
          <w:lang w:val="en-AU"/>
        </w:rPr>
      </w:pPr>
      <w:r w:rsidRPr="00FA288E">
        <w:rPr>
          <w:rFonts w:ascii="Calibri" w:hAnsi="Calibri" w:cs="Calibri"/>
          <w:sz w:val="20"/>
          <w:szCs w:val="20"/>
          <w:lang w:val="en-AU"/>
        </w:rPr>
        <w:t>Infrastructure Development</w:t>
      </w:r>
    </w:p>
    <w:p w14:paraId="638F1D7B" w14:textId="77777777" w:rsidR="00F746B0" w:rsidRPr="00FA288E" w:rsidRDefault="00F746B0" w:rsidP="005C700B">
      <w:pPr>
        <w:pStyle w:val="ListParagraph"/>
        <w:numPr>
          <w:ilvl w:val="0"/>
          <w:numId w:val="25"/>
        </w:numPr>
        <w:spacing w:after="200"/>
        <w:jc w:val="both"/>
        <w:rPr>
          <w:rFonts w:ascii="Calibri" w:hAnsi="Calibri" w:cs="Calibri"/>
          <w:sz w:val="20"/>
          <w:szCs w:val="20"/>
          <w:lang w:val="en-AU"/>
        </w:rPr>
      </w:pPr>
      <w:r w:rsidRPr="00FA288E">
        <w:rPr>
          <w:rFonts w:ascii="Calibri" w:hAnsi="Calibri" w:cs="Calibri"/>
          <w:sz w:val="20"/>
          <w:szCs w:val="20"/>
          <w:lang w:val="en-AU"/>
        </w:rPr>
        <w:t>Staff Development</w:t>
      </w:r>
    </w:p>
    <w:p w14:paraId="046AD8F2" w14:textId="77777777" w:rsidR="00F746B0" w:rsidRPr="00FA288E" w:rsidRDefault="00F746B0" w:rsidP="005C700B">
      <w:pPr>
        <w:pStyle w:val="ListParagraph"/>
        <w:numPr>
          <w:ilvl w:val="0"/>
          <w:numId w:val="25"/>
        </w:numPr>
        <w:spacing w:after="200"/>
        <w:jc w:val="both"/>
        <w:rPr>
          <w:rFonts w:ascii="Calibri" w:hAnsi="Calibri" w:cs="Calibri"/>
          <w:sz w:val="20"/>
          <w:szCs w:val="20"/>
          <w:lang w:val="en-AU"/>
        </w:rPr>
      </w:pPr>
      <w:r w:rsidRPr="00FA288E">
        <w:rPr>
          <w:rFonts w:ascii="Calibri" w:hAnsi="Calibri" w:cs="Calibri"/>
          <w:sz w:val="20"/>
          <w:szCs w:val="20"/>
          <w:lang w:val="en-AU"/>
        </w:rPr>
        <w:t>Management and Administration</w:t>
      </w:r>
    </w:p>
    <w:p w14:paraId="1211668D" w14:textId="77777777" w:rsidR="00F746B0" w:rsidRPr="00FA288E" w:rsidRDefault="00F746B0" w:rsidP="005C700B">
      <w:pPr>
        <w:pStyle w:val="ListParagraph"/>
        <w:numPr>
          <w:ilvl w:val="0"/>
          <w:numId w:val="25"/>
        </w:numPr>
        <w:spacing w:after="200"/>
        <w:jc w:val="both"/>
        <w:rPr>
          <w:rFonts w:ascii="Calibri" w:hAnsi="Calibri" w:cs="Calibri"/>
          <w:sz w:val="20"/>
          <w:szCs w:val="20"/>
          <w:lang w:val="en-AU"/>
        </w:rPr>
      </w:pPr>
      <w:r w:rsidRPr="00FA288E">
        <w:rPr>
          <w:rFonts w:ascii="Calibri" w:hAnsi="Calibri" w:cs="Calibri"/>
          <w:sz w:val="20"/>
          <w:szCs w:val="20"/>
          <w:lang w:val="en-AU"/>
        </w:rPr>
        <w:t>Student Welfare</w:t>
      </w:r>
    </w:p>
    <w:p w14:paraId="4097F043" w14:textId="77777777" w:rsidR="00F746B0" w:rsidRPr="00FA288E" w:rsidRDefault="00F746B0" w:rsidP="005C700B">
      <w:pPr>
        <w:pStyle w:val="ListParagraph"/>
        <w:numPr>
          <w:ilvl w:val="0"/>
          <w:numId w:val="25"/>
        </w:numPr>
        <w:spacing w:after="200"/>
        <w:jc w:val="both"/>
        <w:rPr>
          <w:rFonts w:ascii="Calibri" w:hAnsi="Calibri" w:cs="Calibri"/>
          <w:sz w:val="20"/>
          <w:szCs w:val="20"/>
          <w:lang w:val="en-AU"/>
        </w:rPr>
      </w:pPr>
      <w:r w:rsidRPr="00FA288E">
        <w:rPr>
          <w:rFonts w:ascii="Calibri" w:hAnsi="Calibri" w:cs="Calibri"/>
          <w:sz w:val="20"/>
          <w:szCs w:val="20"/>
          <w:lang w:val="en-AU"/>
        </w:rPr>
        <w:t>School Governance and Community Relations</w:t>
      </w:r>
    </w:p>
    <w:p w14:paraId="1FE9074B" w14:textId="77777777" w:rsidR="00F746B0" w:rsidRPr="00FA288E" w:rsidRDefault="00F746B0" w:rsidP="005C700B">
      <w:pPr>
        <w:pStyle w:val="ListParagraph"/>
        <w:numPr>
          <w:ilvl w:val="0"/>
          <w:numId w:val="25"/>
        </w:numPr>
        <w:spacing w:after="200"/>
        <w:jc w:val="both"/>
        <w:rPr>
          <w:rFonts w:ascii="Calibri" w:hAnsi="Calibri" w:cs="Calibri"/>
          <w:sz w:val="20"/>
          <w:szCs w:val="20"/>
          <w:lang w:val="en-AU"/>
        </w:rPr>
      </w:pPr>
      <w:r w:rsidRPr="00FA288E">
        <w:rPr>
          <w:rFonts w:ascii="Calibri" w:hAnsi="Calibri" w:cs="Calibri"/>
          <w:sz w:val="20"/>
          <w:szCs w:val="20"/>
          <w:lang w:val="en-AU"/>
        </w:rPr>
        <w:t xml:space="preserve">Budget Allocation. </w:t>
      </w:r>
    </w:p>
    <w:p w14:paraId="49C990A0" w14:textId="77777777" w:rsidR="00F746B0" w:rsidRPr="00FA288E" w:rsidRDefault="00F746B0" w:rsidP="00061FD0">
      <w:pPr>
        <w:pStyle w:val="ListParagraph"/>
        <w:ind w:left="0" w:firstLine="0"/>
        <w:jc w:val="both"/>
        <w:rPr>
          <w:rFonts w:ascii="Calibri" w:hAnsi="Calibri" w:cs="Calibri"/>
          <w:sz w:val="20"/>
          <w:szCs w:val="20"/>
          <w:lang w:val="en-AU"/>
        </w:rPr>
      </w:pPr>
    </w:p>
    <w:p w14:paraId="54BE35CC" w14:textId="77777777" w:rsidR="00E83D77" w:rsidRPr="00FA288E" w:rsidRDefault="00E83D77" w:rsidP="00061FD0">
      <w:pPr>
        <w:pStyle w:val="ListParagraph"/>
        <w:ind w:left="0" w:firstLine="0"/>
        <w:jc w:val="both"/>
        <w:rPr>
          <w:rFonts w:ascii="Calibri" w:hAnsi="Calibri" w:cs="Calibri"/>
          <w:sz w:val="20"/>
          <w:szCs w:val="20"/>
          <w:lang w:val="en-AU"/>
        </w:rPr>
        <w:sectPr w:rsidR="00E83D77" w:rsidRPr="00FA288E">
          <w:pgSz w:w="11906" w:h="16838"/>
          <w:pgMar w:top="1440" w:right="1440" w:bottom="1440" w:left="1440" w:header="708" w:footer="708" w:gutter="0"/>
          <w:cols w:space="708"/>
          <w:docGrid w:linePitch="360"/>
        </w:sectPr>
      </w:pPr>
      <w:r w:rsidRPr="00FA288E">
        <w:rPr>
          <w:rFonts w:ascii="Calibri" w:hAnsi="Calibri" w:cs="Calibri"/>
          <w:sz w:val="20"/>
          <w:szCs w:val="20"/>
          <w:lang w:val="en-AU"/>
        </w:rPr>
        <w:t xml:space="preserve">SLIPs are expected to be appraised by District Inspectors, and endorsed by the Provincial Education Advisor or delegate prior to funding being provided through the TFF </w:t>
      </w:r>
      <w:r w:rsidR="00D52BB0" w:rsidRPr="00FA288E">
        <w:rPr>
          <w:rFonts w:ascii="Calibri" w:hAnsi="Calibri" w:cs="Calibri"/>
          <w:sz w:val="20"/>
          <w:szCs w:val="20"/>
          <w:lang w:val="en-AU"/>
        </w:rPr>
        <w:t xml:space="preserve">subsidy </w:t>
      </w:r>
      <w:r w:rsidRPr="00FA288E">
        <w:rPr>
          <w:rFonts w:ascii="Calibri" w:hAnsi="Calibri" w:cs="Calibri"/>
          <w:sz w:val="20"/>
          <w:szCs w:val="20"/>
          <w:lang w:val="en-AU"/>
        </w:rPr>
        <w:t>and/or other available government resources.</w:t>
      </w:r>
    </w:p>
    <w:p w14:paraId="2022ADA0" w14:textId="77777777" w:rsidR="00E83D77" w:rsidRPr="00FA288E" w:rsidRDefault="00E83D77" w:rsidP="00320085">
      <w:pPr>
        <w:pStyle w:val="Heading2"/>
        <w:rPr>
          <w:b w:val="0"/>
          <w:bCs w:val="0"/>
          <w:sz w:val="20"/>
          <w:szCs w:val="20"/>
        </w:rPr>
      </w:pPr>
      <w:bookmarkStart w:id="184" w:name="_Toc26914401"/>
      <w:bookmarkStart w:id="185" w:name="_Toc31625621"/>
      <w:bookmarkStart w:id="186" w:name="_Toc42076001"/>
      <w:r w:rsidRPr="00FA288E">
        <w:rPr>
          <w:b w:val="0"/>
          <w:bCs w:val="0"/>
          <w:sz w:val="20"/>
          <w:szCs w:val="20"/>
        </w:rPr>
        <w:lastRenderedPageBreak/>
        <w:t xml:space="preserve">Table </w:t>
      </w:r>
      <w:r w:rsidR="003E1E3E" w:rsidRPr="00FA288E">
        <w:rPr>
          <w:b w:val="0"/>
          <w:bCs w:val="0"/>
          <w:sz w:val="20"/>
          <w:szCs w:val="20"/>
        </w:rPr>
        <w:t>F</w:t>
      </w:r>
      <w:r w:rsidRPr="00FA288E">
        <w:rPr>
          <w:b w:val="0"/>
          <w:bCs w:val="0"/>
          <w:sz w:val="20"/>
          <w:szCs w:val="20"/>
        </w:rPr>
        <w:t xml:space="preserve">.3.1. Summary of PPF </w:t>
      </w:r>
      <w:r w:rsidR="00523A75" w:rsidRPr="00FA288E">
        <w:rPr>
          <w:b w:val="0"/>
          <w:bCs w:val="0"/>
          <w:sz w:val="20"/>
          <w:szCs w:val="20"/>
        </w:rPr>
        <w:t>g</w:t>
      </w:r>
      <w:r w:rsidRPr="00FA288E">
        <w:rPr>
          <w:b w:val="0"/>
          <w:bCs w:val="0"/>
          <w:sz w:val="20"/>
          <w:szCs w:val="20"/>
        </w:rPr>
        <w:t>rantee interventions relating to improved, localised school management</w:t>
      </w:r>
      <w:bookmarkEnd w:id="184"/>
      <w:bookmarkEnd w:id="185"/>
      <w:bookmarkEnd w:id="186"/>
    </w:p>
    <w:tbl>
      <w:tblPr>
        <w:tblStyle w:val="TableGrid"/>
        <w:tblW w:w="14709" w:type="dxa"/>
        <w:tblInd w:w="0" w:type="dxa"/>
        <w:tblLayout w:type="fixed"/>
        <w:tblLook w:val="04A0" w:firstRow="1" w:lastRow="0" w:firstColumn="1" w:lastColumn="0" w:noHBand="0" w:noVBand="1"/>
        <w:tblCaption w:val="Table F.3.1. Summary of PPF grantee interventions relating to improved, localised school management"/>
        <w:tblDescription w:val="This large table pulls out the goals, management related EOPOs, related intermediate outcomes, management related Theory of Change, etc. "/>
      </w:tblPr>
      <w:tblGrid>
        <w:gridCol w:w="1242"/>
        <w:gridCol w:w="4423"/>
        <w:gridCol w:w="4410"/>
        <w:gridCol w:w="4634"/>
      </w:tblGrid>
      <w:tr w:rsidR="00E83D77" w:rsidRPr="00FA288E" w14:paraId="3CC7B3E9" w14:textId="77777777" w:rsidTr="008D2D4A">
        <w:trPr>
          <w:tblHeader/>
        </w:trPr>
        <w:tc>
          <w:tcPr>
            <w:tcW w:w="1242" w:type="dxa"/>
            <w:shd w:val="clear" w:color="auto" w:fill="262626" w:themeFill="text1" w:themeFillTint="D9"/>
          </w:tcPr>
          <w:p w14:paraId="6D6B96C8" w14:textId="77777777" w:rsidR="00E83D77" w:rsidRPr="00FA288E" w:rsidRDefault="00E83D77" w:rsidP="008D2D4A">
            <w:pPr>
              <w:jc w:val="left"/>
              <w:rPr>
                <w:rFonts w:cs="Calibri"/>
                <w:sz w:val="18"/>
                <w:szCs w:val="18"/>
                <w:lang w:val="en-AU"/>
              </w:rPr>
            </w:pPr>
          </w:p>
        </w:tc>
        <w:tc>
          <w:tcPr>
            <w:tcW w:w="4423" w:type="dxa"/>
            <w:shd w:val="clear" w:color="auto" w:fill="262626" w:themeFill="text1" w:themeFillTint="D9"/>
          </w:tcPr>
          <w:p w14:paraId="538477AF" w14:textId="77777777" w:rsidR="00E83D77" w:rsidRPr="00FA288E" w:rsidRDefault="00E83D77" w:rsidP="008D2D4A">
            <w:pPr>
              <w:rPr>
                <w:rFonts w:cs="Calibri"/>
                <w:sz w:val="18"/>
                <w:szCs w:val="18"/>
                <w:lang w:val="en-AU"/>
              </w:rPr>
            </w:pPr>
            <w:r w:rsidRPr="00FA288E">
              <w:rPr>
                <w:rFonts w:cs="Calibri"/>
                <w:sz w:val="18"/>
                <w:szCs w:val="18"/>
                <w:lang w:val="en-AU"/>
              </w:rPr>
              <w:t xml:space="preserve">CARE – </w:t>
            </w:r>
            <w:proofErr w:type="spellStart"/>
            <w:r w:rsidRPr="00FA288E">
              <w:rPr>
                <w:rFonts w:cs="Calibri"/>
                <w:sz w:val="18"/>
                <w:szCs w:val="18"/>
                <w:lang w:val="en-AU"/>
              </w:rPr>
              <w:t>Pikini</w:t>
            </w:r>
            <w:r w:rsidR="00982BA8" w:rsidRPr="00FA288E">
              <w:rPr>
                <w:rFonts w:cs="Calibri"/>
                <w:sz w:val="18"/>
                <w:szCs w:val="18"/>
                <w:lang w:val="en-AU"/>
              </w:rPr>
              <w:t>ni</w:t>
            </w:r>
            <w:proofErr w:type="spellEnd"/>
            <w:r w:rsidRPr="00FA288E">
              <w:rPr>
                <w:rFonts w:cs="Calibri"/>
                <w:sz w:val="18"/>
                <w:szCs w:val="18"/>
                <w:lang w:val="en-AU"/>
              </w:rPr>
              <w:t xml:space="preserve"> </w:t>
            </w:r>
            <w:proofErr w:type="spellStart"/>
            <w:r w:rsidRPr="00FA288E">
              <w:rPr>
                <w:rFonts w:cs="Calibri"/>
                <w:sz w:val="18"/>
                <w:szCs w:val="18"/>
                <w:lang w:val="en-AU"/>
              </w:rPr>
              <w:t>Kisim</w:t>
            </w:r>
            <w:proofErr w:type="spellEnd"/>
            <w:r w:rsidRPr="00FA288E">
              <w:rPr>
                <w:rFonts w:cs="Calibri"/>
                <w:sz w:val="18"/>
                <w:szCs w:val="18"/>
                <w:lang w:val="en-AU"/>
              </w:rPr>
              <w:t xml:space="preserve"> Save (PKS)</w:t>
            </w:r>
          </w:p>
        </w:tc>
        <w:tc>
          <w:tcPr>
            <w:tcW w:w="4410" w:type="dxa"/>
            <w:shd w:val="clear" w:color="auto" w:fill="262626" w:themeFill="text1" w:themeFillTint="D9"/>
          </w:tcPr>
          <w:p w14:paraId="1BF04653" w14:textId="77777777" w:rsidR="00E83D77" w:rsidRPr="00FA288E" w:rsidRDefault="00E83D77" w:rsidP="008D2D4A">
            <w:pPr>
              <w:rPr>
                <w:rFonts w:cs="Calibri"/>
                <w:sz w:val="18"/>
                <w:szCs w:val="18"/>
                <w:lang w:val="en-AU"/>
              </w:rPr>
            </w:pPr>
            <w:r w:rsidRPr="00FA288E">
              <w:rPr>
                <w:rFonts w:cs="Calibri"/>
                <w:sz w:val="18"/>
                <w:szCs w:val="18"/>
                <w:lang w:val="en-AU"/>
              </w:rPr>
              <w:t>STC – Rapidly Improving Standards in Education (RISE)</w:t>
            </w:r>
          </w:p>
        </w:tc>
        <w:tc>
          <w:tcPr>
            <w:tcW w:w="4634" w:type="dxa"/>
            <w:shd w:val="clear" w:color="auto" w:fill="262626" w:themeFill="text1" w:themeFillTint="D9"/>
          </w:tcPr>
          <w:p w14:paraId="6BC69825" w14:textId="77777777" w:rsidR="00E83D77" w:rsidRPr="00FA288E" w:rsidRDefault="00E83D77" w:rsidP="008D2D4A">
            <w:pPr>
              <w:rPr>
                <w:rFonts w:cs="Calibri"/>
                <w:sz w:val="18"/>
                <w:szCs w:val="18"/>
                <w:lang w:val="en-AU"/>
              </w:rPr>
            </w:pPr>
            <w:r w:rsidRPr="00FA288E">
              <w:rPr>
                <w:rFonts w:cs="Calibri"/>
                <w:sz w:val="18"/>
                <w:szCs w:val="18"/>
                <w:lang w:val="en-AU"/>
              </w:rPr>
              <w:t>WV – Together for Education (T4E)</w:t>
            </w:r>
          </w:p>
        </w:tc>
      </w:tr>
      <w:tr w:rsidR="00E83D77" w:rsidRPr="00FA288E" w14:paraId="57DD35C6" w14:textId="77777777" w:rsidTr="008D2D4A">
        <w:tc>
          <w:tcPr>
            <w:tcW w:w="1242" w:type="dxa"/>
            <w:shd w:val="clear" w:color="auto" w:fill="262626" w:themeFill="text1" w:themeFillTint="D9"/>
          </w:tcPr>
          <w:p w14:paraId="544DBDD8" w14:textId="77777777" w:rsidR="00E83D77" w:rsidRPr="00FA288E" w:rsidRDefault="00E83D77" w:rsidP="008D2D4A">
            <w:pPr>
              <w:jc w:val="left"/>
              <w:rPr>
                <w:rFonts w:cs="Calibri"/>
                <w:sz w:val="18"/>
                <w:szCs w:val="18"/>
                <w:lang w:val="en-AU"/>
              </w:rPr>
            </w:pPr>
            <w:r w:rsidRPr="00FA288E">
              <w:rPr>
                <w:rFonts w:cs="Calibri"/>
                <w:sz w:val="18"/>
                <w:szCs w:val="18"/>
                <w:lang w:val="en-AU"/>
              </w:rPr>
              <w:t>Consortium</w:t>
            </w:r>
          </w:p>
        </w:tc>
        <w:tc>
          <w:tcPr>
            <w:tcW w:w="4423" w:type="dxa"/>
            <w:shd w:val="clear" w:color="auto" w:fill="auto"/>
          </w:tcPr>
          <w:p w14:paraId="4578FD42" w14:textId="77777777" w:rsidR="00E83D77" w:rsidRPr="00FA288E" w:rsidRDefault="00E83D77" w:rsidP="008D2D4A">
            <w:pPr>
              <w:rPr>
                <w:rFonts w:cs="Calibri"/>
                <w:sz w:val="18"/>
                <w:szCs w:val="18"/>
                <w:lang w:val="en-AU"/>
              </w:rPr>
            </w:pPr>
            <w:r w:rsidRPr="00FA288E">
              <w:rPr>
                <w:rFonts w:cs="Calibri"/>
                <w:sz w:val="18"/>
                <w:szCs w:val="18"/>
                <w:lang w:val="en-AU"/>
              </w:rPr>
              <w:t>Queensland University of Technology; Adventist Development Relief Agency (ADRA); University of Goroka</w:t>
            </w:r>
          </w:p>
        </w:tc>
        <w:tc>
          <w:tcPr>
            <w:tcW w:w="4410" w:type="dxa"/>
            <w:shd w:val="clear" w:color="auto" w:fill="auto"/>
          </w:tcPr>
          <w:p w14:paraId="4D989522" w14:textId="77777777" w:rsidR="00E83D77" w:rsidRPr="00FA288E" w:rsidRDefault="00E83D77" w:rsidP="008D2D4A">
            <w:pPr>
              <w:rPr>
                <w:rFonts w:cs="Calibri"/>
                <w:sz w:val="18"/>
                <w:szCs w:val="18"/>
                <w:lang w:val="en-AU"/>
              </w:rPr>
            </w:pPr>
            <w:r w:rsidRPr="00FA288E">
              <w:rPr>
                <w:rFonts w:cs="Calibri"/>
                <w:sz w:val="18"/>
                <w:szCs w:val="18"/>
                <w:lang w:val="en-AU"/>
              </w:rPr>
              <w:t>Callan Services for Persons with Disabilities - National Unit; Summer Institute of Linguistics – Papua New Guinea Branch (SIL)</w:t>
            </w:r>
          </w:p>
        </w:tc>
        <w:tc>
          <w:tcPr>
            <w:tcW w:w="4634" w:type="dxa"/>
            <w:shd w:val="clear" w:color="auto" w:fill="auto"/>
          </w:tcPr>
          <w:p w14:paraId="719E101E" w14:textId="77777777" w:rsidR="00E83D77" w:rsidRPr="00FA288E" w:rsidRDefault="00E83D77" w:rsidP="008D2D4A">
            <w:pPr>
              <w:rPr>
                <w:rFonts w:cs="Calibri"/>
                <w:sz w:val="18"/>
                <w:szCs w:val="18"/>
                <w:lang w:val="en-AU"/>
              </w:rPr>
            </w:pPr>
            <w:r w:rsidRPr="00FA288E">
              <w:rPr>
                <w:rFonts w:cs="Calibri"/>
                <w:sz w:val="18"/>
                <w:szCs w:val="18"/>
                <w:lang w:val="en-AU"/>
              </w:rPr>
              <w:t>Child Fund, Consultative Implementation and Monitoring Council (CIMC), Library for All, University of Canberra</w:t>
            </w:r>
          </w:p>
        </w:tc>
      </w:tr>
      <w:tr w:rsidR="00E83D77" w:rsidRPr="00FA288E" w14:paraId="283D303A" w14:textId="77777777" w:rsidTr="008D2D4A">
        <w:tc>
          <w:tcPr>
            <w:tcW w:w="1242" w:type="dxa"/>
            <w:shd w:val="clear" w:color="auto" w:fill="262626" w:themeFill="text1" w:themeFillTint="D9"/>
          </w:tcPr>
          <w:p w14:paraId="5C64D5E7" w14:textId="77777777" w:rsidR="00E83D77" w:rsidRPr="00FA288E" w:rsidRDefault="00E83D77" w:rsidP="008D2D4A">
            <w:pPr>
              <w:jc w:val="left"/>
              <w:rPr>
                <w:rFonts w:cs="Calibri"/>
                <w:sz w:val="18"/>
                <w:szCs w:val="18"/>
                <w:lang w:val="en-AU"/>
              </w:rPr>
            </w:pPr>
            <w:r w:rsidRPr="00FA288E">
              <w:rPr>
                <w:rFonts w:cs="Calibri"/>
                <w:sz w:val="18"/>
                <w:szCs w:val="18"/>
                <w:lang w:val="en-AU"/>
              </w:rPr>
              <w:t>Goal</w:t>
            </w:r>
          </w:p>
        </w:tc>
        <w:tc>
          <w:tcPr>
            <w:tcW w:w="4423" w:type="dxa"/>
            <w:shd w:val="clear" w:color="auto" w:fill="auto"/>
          </w:tcPr>
          <w:p w14:paraId="236EEB1E" w14:textId="77777777" w:rsidR="00E83D77" w:rsidRPr="00FA288E" w:rsidRDefault="00E83D77" w:rsidP="008D2D4A">
            <w:pPr>
              <w:rPr>
                <w:rFonts w:cs="Calibri"/>
                <w:sz w:val="18"/>
                <w:szCs w:val="18"/>
                <w:lang w:val="en-AU"/>
              </w:rPr>
            </w:pPr>
            <w:r w:rsidRPr="00FA288E">
              <w:rPr>
                <w:rFonts w:cs="Calibri"/>
                <w:sz w:val="18"/>
                <w:szCs w:val="18"/>
                <w:lang w:val="en-AU"/>
              </w:rPr>
              <w:t xml:space="preserve">All children, including girls and children with disabilities, have improved access to quality elementary education in remote, disadvantaged communities of </w:t>
            </w:r>
            <w:proofErr w:type="spellStart"/>
            <w:r w:rsidRPr="00FA288E">
              <w:rPr>
                <w:rFonts w:cs="Calibri"/>
                <w:sz w:val="18"/>
                <w:szCs w:val="18"/>
                <w:lang w:val="en-AU"/>
              </w:rPr>
              <w:t>Jiwaka</w:t>
            </w:r>
            <w:proofErr w:type="spellEnd"/>
            <w:r w:rsidRPr="00FA288E">
              <w:rPr>
                <w:rFonts w:cs="Calibri"/>
                <w:sz w:val="18"/>
                <w:szCs w:val="18"/>
                <w:lang w:val="en-AU"/>
              </w:rPr>
              <w:t xml:space="preserve">, </w:t>
            </w:r>
            <w:proofErr w:type="spellStart"/>
            <w:r w:rsidRPr="00FA288E">
              <w:rPr>
                <w:rFonts w:cs="Calibri"/>
                <w:sz w:val="18"/>
                <w:szCs w:val="18"/>
                <w:lang w:val="en-AU"/>
              </w:rPr>
              <w:t>Simbu</w:t>
            </w:r>
            <w:proofErr w:type="spellEnd"/>
            <w:r w:rsidRPr="00FA288E">
              <w:rPr>
                <w:rFonts w:cs="Calibri"/>
                <w:sz w:val="18"/>
                <w:szCs w:val="18"/>
                <w:lang w:val="en-AU"/>
              </w:rPr>
              <w:t>, WHP and WNB</w:t>
            </w:r>
          </w:p>
        </w:tc>
        <w:tc>
          <w:tcPr>
            <w:tcW w:w="4410" w:type="dxa"/>
            <w:shd w:val="clear" w:color="auto" w:fill="auto"/>
          </w:tcPr>
          <w:p w14:paraId="713E9C76" w14:textId="77777777" w:rsidR="00E83D77" w:rsidRPr="00FA288E" w:rsidRDefault="00E83D77" w:rsidP="008D2D4A">
            <w:pPr>
              <w:rPr>
                <w:rFonts w:cs="Calibri"/>
                <w:sz w:val="18"/>
                <w:szCs w:val="18"/>
                <w:lang w:val="en-AU"/>
              </w:rPr>
            </w:pPr>
            <w:r w:rsidRPr="00FA288E">
              <w:rPr>
                <w:rFonts w:cs="Calibri"/>
                <w:sz w:val="18"/>
                <w:szCs w:val="18"/>
                <w:lang w:val="en-AU"/>
              </w:rPr>
              <w:t>RISE PNG will improve the quality of learning outcomes for children aged four to eight years in East Sepik Province, Eastern Highlands Province and the Autonomous Region of Bougainville</w:t>
            </w:r>
          </w:p>
        </w:tc>
        <w:tc>
          <w:tcPr>
            <w:tcW w:w="4634" w:type="dxa"/>
            <w:shd w:val="clear" w:color="auto" w:fill="auto"/>
          </w:tcPr>
          <w:p w14:paraId="0A054E69" w14:textId="77777777" w:rsidR="00E83D77" w:rsidRPr="00FA288E" w:rsidRDefault="00E83D77" w:rsidP="008D2D4A">
            <w:pPr>
              <w:rPr>
                <w:rFonts w:cs="Calibri"/>
                <w:sz w:val="18"/>
                <w:szCs w:val="18"/>
                <w:lang w:val="en-AU"/>
              </w:rPr>
            </w:pPr>
            <w:r w:rsidRPr="00FA288E">
              <w:rPr>
                <w:rFonts w:cs="Calibri"/>
                <w:sz w:val="18"/>
                <w:szCs w:val="18"/>
                <w:lang w:val="en-AU"/>
              </w:rPr>
              <w:t>Girls and boys access and complete a quality elementary</w:t>
            </w:r>
          </w:p>
          <w:p w14:paraId="089DC938" w14:textId="77777777" w:rsidR="00E83D77" w:rsidRPr="00FA288E" w:rsidRDefault="00E83D77" w:rsidP="008D2D4A">
            <w:pPr>
              <w:rPr>
                <w:rFonts w:cs="Calibri"/>
                <w:sz w:val="18"/>
                <w:szCs w:val="18"/>
                <w:lang w:val="en-AU"/>
              </w:rPr>
            </w:pPr>
            <w:r w:rsidRPr="00FA288E">
              <w:rPr>
                <w:rFonts w:cs="Calibri"/>
                <w:sz w:val="18"/>
                <w:szCs w:val="18"/>
                <w:lang w:val="en-AU"/>
              </w:rPr>
              <w:t>education focused on learning and literacy</w:t>
            </w:r>
          </w:p>
        </w:tc>
      </w:tr>
      <w:tr w:rsidR="00E83D77" w:rsidRPr="00FA288E" w14:paraId="274B8C30" w14:textId="77777777" w:rsidTr="008D2D4A">
        <w:tc>
          <w:tcPr>
            <w:tcW w:w="1242" w:type="dxa"/>
            <w:shd w:val="clear" w:color="auto" w:fill="262626" w:themeFill="text1" w:themeFillTint="D9"/>
          </w:tcPr>
          <w:p w14:paraId="4E6FF477" w14:textId="77777777" w:rsidR="00E83D77" w:rsidRPr="00FA288E" w:rsidRDefault="00E83D77" w:rsidP="008D2D4A">
            <w:pPr>
              <w:jc w:val="left"/>
              <w:rPr>
                <w:rFonts w:cs="Calibri"/>
                <w:sz w:val="18"/>
                <w:szCs w:val="18"/>
                <w:lang w:val="en-AU"/>
              </w:rPr>
            </w:pPr>
            <w:r w:rsidRPr="00FA288E">
              <w:rPr>
                <w:rFonts w:cs="Calibri"/>
                <w:sz w:val="18"/>
                <w:szCs w:val="18"/>
                <w:lang w:val="en-AU"/>
              </w:rPr>
              <w:t>Management related EOPOs</w:t>
            </w:r>
          </w:p>
        </w:tc>
        <w:tc>
          <w:tcPr>
            <w:tcW w:w="4423" w:type="dxa"/>
            <w:shd w:val="clear" w:color="auto" w:fill="auto"/>
          </w:tcPr>
          <w:p w14:paraId="38025970" w14:textId="77777777" w:rsidR="00E83D77" w:rsidRPr="00FA288E" w:rsidRDefault="00E83D77" w:rsidP="008D2D4A">
            <w:pPr>
              <w:rPr>
                <w:rFonts w:cs="Calibri"/>
                <w:sz w:val="18"/>
                <w:szCs w:val="18"/>
                <w:lang w:val="en-AU"/>
              </w:rPr>
            </w:pPr>
            <w:r w:rsidRPr="00FA288E">
              <w:rPr>
                <w:rFonts w:cs="Calibri"/>
                <w:sz w:val="18"/>
                <w:szCs w:val="18"/>
                <w:lang w:val="en-AU"/>
              </w:rPr>
              <w:t>EOPO 3: Strengthened sub-national gender-inclusive management and coordination in the elementary education sector</w:t>
            </w:r>
          </w:p>
        </w:tc>
        <w:tc>
          <w:tcPr>
            <w:tcW w:w="4410" w:type="dxa"/>
            <w:shd w:val="clear" w:color="auto" w:fill="auto"/>
          </w:tcPr>
          <w:p w14:paraId="4D2E0038" w14:textId="77777777" w:rsidR="00E83D77" w:rsidRPr="00FA288E" w:rsidRDefault="00E83D77" w:rsidP="008D2D4A">
            <w:pPr>
              <w:rPr>
                <w:rFonts w:cs="Calibri"/>
                <w:sz w:val="18"/>
                <w:szCs w:val="18"/>
                <w:lang w:val="en-AU"/>
              </w:rPr>
            </w:pPr>
            <w:r w:rsidRPr="00FA288E">
              <w:rPr>
                <w:rFonts w:cs="Calibri"/>
                <w:sz w:val="18"/>
                <w:szCs w:val="18"/>
                <w:lang w:val="en-AU"/>
              </w:rPr>
              <w:t>O4. Improved capacity of key education institutions at the district, provincial and national level to implement policy concerning ECCE, inclusive education, gender equity and teaching of literacy, numeracy in elementary schools</w:t>
            </w:r>
          </w:p>
        </w:tc>
        <w:tc>
          <w:tcPr>
            <w:tcW w:w="4634" w:type="dxa"/>
            <w:shd w:val="clear" w:color="auto" w:fill="auto"/>
          </w:tcPr>
          <w:p w14:paraId="78CB38B6" w14:textId="77777777" w:rsidR="00E83D77" w:rsidRPr="00FA288E" w:rsidRDefault="00E83D77" w:rsidP="008D2D4A">
            <w:pPr>
              <w:rPr>
                <w:rFonts w:cs="Calibri"/>
                <w:sz w:val="18"/>
                <w:szCs w:val="18"/>
                <w:lang w:val="en-AU"/>
              </w:rPr>
            </w:pPr>
            <w:r w:rsidRPr="00FA288E">
              <w:rPr>
                <w:rFonts w:cs="Calibri"/>
                <w:sz w:val="18"/>
                <w:szCs w:val="18"/>
                <w:lang w:val="en-AU"/>
              </w:rPr>
              <w:t>Outcome 1: Increased parent/caregiver and community demand for, and support of, quality inclusive education</w:t>
            </w:r>
          </w:p>
        </w:tc>
      </w:tr>
      <w:tr w:rsidR="00E83D77" w:rsidRPr="00FA288E" w14:paraId="4A5636CD" w14:textId="77777777" w:rsidTr="008D2D4A">
        <w:tc>
          <w:tcPr>
            <w:tcW w:w="1242" w:type="dxa"/>
            <w:shd w:val="clear" w:color="auto" w:fill="262626" w:themeFill="text1" w:themeFillTint="D9"/>
          </w:tcPr>
          <w:p w14:paraId="184DE0D6" w14:textId="77777777" w:rsidR="00E83D77" w:rsidRPr="00FA288E" w:rsidRDefault="00E83D77" w:rsidP="008D2D4A">
            <w:pPr>
              <w:jc w:val="left"/>
              <w:rPr>
                <w:rFonts w:cs="Calibri"/>
                <w:sz w:val="18"/>
                <w:szCs w:val="18"/>
                <w:lang w:val="en-AU"/>
              </w:rPr>
            </w:pPr>
            <w:r w:rsidRPr="00FA288E">
              <w:rPr>
                <w:rFonts w:cs="Calibri"/>
                <w:sz w:val="18"/>
                <w:szCs w:val="18"/>
                <w:lang w:val="en-AU"/>
              </w:rPr>
              <w:t>Related Intermediate outcomes</w:t>
            </w:r>
          </w:p>
        </w:tc>
        <w:tc>
          <w:tcPr>
            <w:tcW w:w="4423" w:type="dxa"/>
            <w:shd w:val="clear" w:color="auto" w:fill="auto"/>
          </w:tcPr>
          <w:p w14:paraId="7EB72B95" w14:textId="77777777" w:rsidR="00E83D77" w:rsidRPr="00FA288E" w:rsidRDefault="00E83D77" w:rsidP="008D2D4A">
            <w:pPr>
              <w:rPr>
                <w:rFonts w:cs="Calibri"/>
                <w:sz w:val="18"/>
                <w:szCs w:val="18"/>
                <w:lang w:val="en-AU"/>
              </w:rPr>
            </w:pPr>
            <w:r w:rsidRPr="00FA288E">
              <w:rPr>
                <w:rFonts w:cs="Calibri"/>
                <w:sz w:val="18"/>
                <w:szCs w:val="18"/>
                <w:lang w:val="en-AU"/>
              </w:rPr>
              <w:t>3.1 Elementary schools are more effectively managed</w:t>
            </w:r>
          </w:p>
        </w:tc>
        <w:tc>
          <w:tcPr>
            <w:tcW w:w="4410" w:type="dxa"/>
            <w:shd w:val="clear" w:color="auto" w:fill="auto"/>
          </w:tcPr>
          <w:p w14:paraId="540FFC06" w14:textId="77777777" w:rsidR="00E83D77" w:rsidRPr="00FA288E" w:rsidRDefault="00E83D77" w:rsidP="008D2D4A">
            <w:pPr>
              <w:rPr>
                <w:rFonts w:cs="Calibri"/>
                <w:sz w:val="18"/>
                <w:szCs w:val="18"/>
                <w:lang w:val="en-AU"/>
              </w:rPr>
            </w:pPr>
            <w:r w:rsidRPr="00FA288E">
              <w:rPr>
                <w:rFonts w:cs="Calibri"/>
                <w:sz w:val="18"/>
                <w:szCs w:val="18"/>
                <w:lang w:val="en-AU"/>
              </w:rPr>
              <w:t>4.2 Increased capacity of the provincial education authority to coordinate and regulate early childhood and elementary sector.</w:t>
            </w:r>
          </w:p>
        </w:tc>
        <w:tc>
          <w:tcPr>
            <w:tcW w:w="4634" w:type="dxa"/>
            <w:shd w:val="clear" w:color="auto" w:fill="auto"/>
          </w:tcPr>
          <w:p w14:paraId="044446A1" w14:textId="77777777" w:rsidR="00E83D77" w:rsidRPr="00FA288E" w:rsidRDefault="00E83D77" w:rsidP="008D2D4A">
            <w:pPr>
              <w:rPr>
                <w:rFonts w:cs="Calibri"/>
                <w:sz w:val="18"/>
                <w:szCs w:val="18"/>
                <w:lang w:val="en-AU"/>
              </w:rPr>
            </w:pPr>
            <w:r w:rsidRPr="00FA288E">
              <w:rPr>
                <w:rFonts w:cs="Calibri"/>
                <w:sz w:val="18"/>
                <w:szCs w:val="18"/>
                <w:lang w:val="en-AU"/>
              </w:rPr>
              <w:t>1.1 Parents/ caregivers involved in the development of SLIPs.</w:t>
            </w:r>
          </w:p>
        </w:tc>
      </w:tr>
      <w:tr w:rsidR="00E83D77" w:rsidRPr="00FA288E" w14:paraId="7105799C" w14:textId="77777777" w:rsidTr="008D2D4A">
        <w:tc>
          <w:tcPr>
            <w:tcW w:w="1242" w:type="dxa"/>
            <w:shd w:val="clear" w:color="auto" w:fill="262626" w:themeFill="text1" w:themeFillTint="D9"/>
          </w:tcPr>
          <w:p w14:paraId="688125AB" w14:textId="77777777" w:rsidR="00E83D77" w:rsidRPr="00FA288E" w:rsidRDefault="00E83D77" w:rsidP="008D2D4A">
            <w:pPr>
              <w:jc w:val="left"/>
              <w:rPr>
                <w:rFonts w:cs="Calibri"/>
                <w:sz w:val="18"/>
                <w:szCs w:val="18"/>
                <w:lang w:val="en-AU"/>
              </w:rPr>
            </w:pPr>
          </w:p>
        </w:tc>
        <w:tc>
          <w:tcPr>
            <w:tcW w:w="4423" w:type="dxa"/>
            <w:shd w:val="clear" w:color="auto" w:fill="auto"/>
          </w:tcPr>
          <w:p w14:paraId="3D8F1119" w14:textId="77777777" w:rsidR="00E83D77" w:rsidRPr="00FA288E" w:rsidRDefault="00E83D77" w:rsidP="008D2D4A">
            <w:pPr>
              <w:rPr>
                <w:rFonts w:cs="Calibri"/>
                <w:sz w:val="18"/>
                <w:szCs w:val="18"/>
                <w:lang w:val="en-AU"/>
              </w:rPr>
            </w:pPr>
            <w:r w:rsidRPr="00FA288E">
              <w:rPr>
                <w:rFonts w:cs="Calibri"/>
                <w:sz w:val="18"/>
                <w:szCs w:val="18"/>
                <w:lang w:val="en-AU"/>
              </w:rPr>
              <w:t>3.2 Sub-national education stakeholders demonstrate increased awareness of gender, disability-inclusion and social protection</w:t>
            </w:r>
          </w:p>
        </w:tc>
        <w:tc>
          <w:tcPr>
            <w:tcW w:w="4410" w:type="dxa"/>
            <w:shd w:val="clear" w:color="auto" w:fill="auto"/>
          </w:tcPr>
          <w:p w14:paraId="348FCF37" w14:textId="77777777" w:rsidR="00E83D77" w:rsidRPr="00FA288E" w:rsidRDefault="00E83D77" w:rsidP="008D2D4A">
            <w:pPr>
              <w:rPr>
                <w:rFonts w:cs="Calibri"/>
                <w:sz w:val="18"/>
                <w:szCs w:val="18"/>
                <w:lang w:val="en-AU"/>
              </w:rPr>
            </w:pPr>
          </w:p>
        </w:tc>
        <w:tc>
          <w:tcPr>
            <w:tcW w:w="4634" w:type="dxa"/>
            <w:shd w:val="clear" w:color="auto" w:fill="auto"/>
          </w:tcPr>
          <w:p w14:paraId="0C0D3060" w14:textId="77777777" w:rsidR="00E83D77" w:rsidRPr="00FA288E" w:rsidRDefault="00E83D77" w:rsidP="008D2D4A">
            <w:pPr>
              <w:tabs>
                <w:tab w:val="left" w:pos="915"/>
              </w:tabs>
              <w:rPr>
                <w:rFonts w:cs="Calibri"/>
                <w:sz w:val="18"/>
                <w:szCs w:val="18"/>
                <w:lang w:val="en-AU"/>
              </w:rPr>
            </w:pPr>
          </w:p>
        </w:tc>
      </w:tr>
      <w:tr w:rsidR="00E83D77" w:rsidRPr="00FA288E" w14:paraId="13B049FF" w14:textId="77777777" w:rsidTr="008D2D4A">
        <w:tc>
          <w:tcPr>
            <w:tcW w:w="1242" w:type="dxa"/>
            <w:shd w:val="clear" w:color="auto" w:fill="262626" w:themeFill="text1" w:themeFillTint="D9"/>
          </w:tcPr>
          <w:p w14:paraId="7A175259" w14:textId="77777777" w:rsidR="00E83D77" w:rsidRPr="00FA288E" w:rsidRDefault="00E83D77" w:rsidP="008D2D4A">
            <w:pPr>
              <w:jc w:val="left"/>
              <w:rPr>
                <w:rFonts w:cs="Calibri"/>
                <w:sz w:val="18"/>
                <w:szCs w:val="18"/>
                <w:lang w:val="en-AU"/>
              </w:rPr>
            </w:pPr>
          </w:p>
        </w:tc>
        <w:tc>
          <w:tcPr>
            <w:tcW w:w="4423" w:type="dxa"/>
            <w:shd w:val="clear" w:color="auto" w:fill="auto"/>
          </w:tcPr>
          <w:p w14:paraId="6BBF2A1F" w14:textId="77777777" w:rsidR="00E83D77" w:rsidRPr="00FA288E" w:rsidRDefault="00E83D77" w:rsidP="008D2D4A">
            <w:pPr>
              <w:rPr>
                <w:rFonts w:cs="Calibri"/>
                <w:sz w:val="18"/>
                <w:szCs w:val="18"/>
                <w:lang w:val="en-AU"/>
              </w:rPr>
            </w:pPr>
            <w:r w:rsidRPr="00FA288E">
              <w:rPr>
                <w:rFonts w:cs="Calibri"/>
                <w:sz w:val="18"/>
                <w:szCs w:val="18"/>
                <w:lang w:val="en-AU"/>
              </w:rPr>
              <w:t>3.3 Strengthened planning, inspections, monitoring and coordination between sub-national education stakeholders</w:t>
            </w:r>
          </w:p>
        </w:tc>
        <w:tc>
          <w:tcPr>
            <w:tcW w:w="4410" w:type="dxa"/>
            <w:shd w:val="clear" w:color="auto" w:fill="auto"/>
          </w:tcPr>
          <w:p w14:paraId="1FBFE8F7" w14:textId="77777777" w:rsidR="00E83D77" w:rsidRPr="00FA288E" w:rsidRDefault="00E83D77" w:rsidP="008D2D4A">
            <w:pPr>
              <w:rPr>
                <w:rFonts w:cs="Calibri"/>
                <w:sz w:val="18"/>
                <w:szCs w:val="18"/>
                <w:lang w:val="en-AU"/>
              </w:rPr>
            </w:pPr>
          </w:p>
        </w:tc>
        <w:tc>
          <w:tcPr>
            <w:tcW w:w="4634" w:type="dxa"/>
            <w:shd w:val="clear" w:color="auto" w:fill="auto"/>
          </w:tcPr>
          <w:p w14:paraId="20590F65" w14:textId="77777777" w:rsidR="00E83D77" w:rsidRPr="00FA288E" w:rsidRDefault="00E83D77" w:rsidP="008D2D4A">
            <w:pPr>
              <w:rPr>
                <w:rFonts w:cs="Calibri"/>
                <w:sz w:val="18"/>
                <w:szCs w:val="18"/>
                <w:lang w:val="en-AU"/>
              </w:rPr>
            </w:pPr>
          </w:p>
        </w:tc>
      </w:tr>
      <w:tr w:rsidR="00E83D77" w:rsidRPr="00FA288E" w14:paraId="1026E117" w14:textId="77777777" w:rsidTr="008D2D4A">
        <w:tc>
          <w:tcPr>
            <w:tcW w:w="1242" w:type="dxa"/>
            <w:shd w:val="clear" w:color="auto" w:fill="262626" w:themeFill="text1" w:themeFillTint="D9"/>
          </w:tcPr>
          <w:p w14:paraId="6D1366DE" w14:textId="77777777" w:rsidR="00E83D77" w:rsidRPr="00FA288E" w:rsidRDefault="00E83D77" w:rsidP="008D2D4A">
            <w:pPr>
              <w:jc w:val="left"/>
              <w:rPr>
                <w:rFonts w:cs="Calibri"/>
                <w:sz w:val="18"/>
                <w:szCs w:val="18"/>
                <w:lang w:val="en-AU"/>
              </w:rPr>
            </w:pPr>
            <w:r w:rsidRPr="00FA288E">
              <w:rPr>
                <w:rFonts w:cs="Calibri"/>
                <w:sz w:val="18"/>
                <w:szCs w:val="18"/>
                <w:lang w:val="en-AU"/>
              </w:rPr>
              <w:t>Management related Theory of Change</w:t>
            </w:r>
          </w:p>
          <w:p w14:paraId="1C5E4B6F" w14:textId="77777777" w:rsidR="00E83D77" w:rsidRPr="00FA288E" w:rsidRDefault="00E83D77" w:rsidP="008D2D4A">
            <w:pPr>
              <w:jc w:val="left"/>
              <w:rPr>
                <w:rFonts w:cs="Calibri"/>
                <w:sz w:val="18"/>
                <w:szCs w:val="18"/>
                <w:lang w:val="en-AU"/>
              </w:rPr>
            </w:pPr>
          </w:p>
        </w:tc>
        <w:tc>
          <w:tcPr>
            <w:tcW w:w="4423" w:type="dxa"/>
          </w:tcPr>
          <w:p w14:paraId="6880B3AB" w14:textId="77777777" w:rsidR="00E83D77" w:rsidRPr="00FA288E" w:rsidRDefault="00E83D77" w:rsidP="008D2D4A">
            <w:pPr>
              <w:rPr>
                <w:rFonts w:cs="Calibri"/>
                <w:sz w:val="18"/>
                <w:szCs w:val="18"/>
                <w:lang w:val="en-AU"/>
              </w:rPr>
            </w:pPr>
            <w:r w:rsidRPr="00FA288E">
              <w:rPr>
                <w:rFonts w:cs="Calibri"/>
                <w:sz w:val="18"/>
                <w:szCs w:val="18"/>
                <w:lang w:val="en-AU"/>
              </w:rPr>
              <w:t xml:space="preserve">… Teachers as key agents of change are best trained and motivated through regular, practical and relevant in-service. This is enhanced when elementary education leadership provides strong and coordinated management, monitoring and support to schools, and when literacy and [gender and disability] inclusion is prioritised in school action planning. </w:t>
            </w:r>
          </w:p>
        </w:tc>
        <w:tc>
          <w:tcPr>
            <w:tcW w:w="4410" w:type="dxa"/>
          </w:tcPr>
          <w:p w14:paraId="2C7998DD" w14:textId="77777777" w:rsidR="00E83D77" w:rsidRPr="00FA288E" w:rsidRDefault="00E83D77" w:rsidP="008D2D4A">
            <w:pPr>
              <w:rPr>
                <w:rFonts w:cs="Calibri"/>
                <w:sz w:val="18"/>
                <w:szCs w:val="18"/>
                <w:lang w:val="en-AU"/>
              </w:rPr>
            </w:pPr>
          </w:p>
        </w:tc>
        <w:tc>
          <w:tcPr>
            <w:tcW w:w="4634" w:type="dxa"/>
          </w:tcPr>
          <w:p w14:paraId="4FEA25C9" w14:textId="77777777" w:rsidR="00E83D77" w:rsidRPr="00FA288E" w:rsidRDefault="00E83D77" w:rsidP="008D2D4A">
            <w:pPr>
              <w:rPr>
                <w:rFonts w:cs="Calibri"/>
                <w:sz w:val="18"/>
                <w:szCs w:val="18"/>
                <w:lang w:val="en-AU"/>
              </w:rPr>
            </w:pPr>
            <w:r w:rsidRPr="00FA288E">
              <w:rPr>
                <w:rFonts w:cs="Calibri"/>
                <w:sz w:val="18"/>
                <w:szCs w:val="18"/>
                <w:lang w:val="en-AU"/>
              </w:rPr>
              <w:t xml:space="preserve">… IF … learning environments are healthy and safe; and children, parents and communities are active participants in education, THEN literacy and numeracy will improve. </w:t>
            </w:r>
            <w:r w:rsidRPr="00FA288E">
              <w:rPr>
                <w:rFonts w:cs="Calibri"/>
                <w:sz w:val="18"/>
                <w:szCs w:val="18"/>
                <w:u w:val="single"/>
                <w:lang w:val="en-AU"/>
              </w:rPr>
              <w:t>Demand</w:t>
            </w:r>
            <w:r w:rsidRPr="00FA288E">
              <w:rPr>
                <w:rFonts w:cs="Calibri"/>
                <w:sz w:val="18"/>
                <w:szCs w:val="18"/>
                <w:lang w:val="en-AU"/>
              </w:rPr>
              <w:t xml:space="preserve"> is best ignited through participatory community planning, targeted social and behaviour change activities, and equipping parents to engage actively in their child’s education. … </w:t>
            </w:r>
            <w:r w:rsidRPr="00FA288E">
              <w:rPr>
                <w:rFonts w:cs="Calibri"/>
                <w:sz w:val="18"/>
                <w:szCs w:val="18"/>
                <w:u w:val="single"/>
                <w:lang w:val="en-AU"/>
              </w:rPr>
              <w:t>Supply</w:t>
            </w:r>
            <w:r w:rsidRPr="00FA288E">
              <w:rPr>
                <w:rFonts w:cs="Calibri"/>
                <w:sz w:val="18"/>
                <w:szCs w:val="18"/>
                <w:lang w:val="en-AU"/>
              </w:rPr>
              <w:t xml:space="preserve"> is best mobilised, and governance enhanced, through increasing community support for schools and empowering citizens with tools for social accountability</w:t>
            </w:r>
          </w:p>
          <w:p w14:paraId="64B85F24" w14:textId="77777777" w:rsidR="00E83D77" w:rsidRPr="00FA288E" w:rsidRDefault="00E83D77" w:rsidP="008D2D4A">
            <w:pPr>
              <w:rPr>
                <w:rFonts w:cs="Calibri"/>
                <w:sz w:val="18"/>
                <w:szCs w:val="18"/>
                <w:lang w:val="en-AU"/>
              </w:rPr>
            </w:pPr>
          </w:p>
        </w:tc>
      </w:tr>
      <w:tr w:rsidR="00E83D77" w:rsidRPr="00FA288E" w14:paraId="1A9387C8" w14:textId="77777777" w:rsidTr="008D2D4A">
        <w:tc>
          <w:tcPr>
            <w:tcW w:w="1242" w:type="dxa"/>
            <w:shd w:val="clear" w:color="auto" w:fill="262626" w:themeFill="text1" w:themeFillTint="D9"/>
          </w:tcPr>
          <w:p w14:paraId="3E95F03E" w14:textId="77777777" w:rsidR="00E83D77" w:rsidRPr="00FA288E" w:rsidRDefault="00E83D77" w:rsidP="008D2D4A">
            <w:pPr>
              <w:jc w:val="left"/>
              <w:rPr>
                <w:rFonts w:cs="Calibri"/>
                <w:sz w:val="18"/>
                <w:szCs w:val="18"/>
                <w:lang w:val="en-AU"/>
              </w:rPr>
            </w:pPr>
            <w:r w:rsidRPr="00FA288E">
              <w:rPr>
                <w:rFonts w:cs="Calibri"/>
                <w:sz w:val="18"/>
                <w:szCs w:val="18"/>
                <w:lang w:val="en-AU"/>
              </w:rPr>
              <w:t>Key focus of the more unique activities</w:t>
            </w:r>
          </w:p>
        </w:tc>
        <w:tc>
          <w:tcPr>
            <w:tcW w:w="4423" w:type="dxa"/>
          </w:tcPr>
          <w:p w14:paraId="192E5FE7" w14:textId="77777777" w:rsidR="00E83D77" w:rsidRPr="00FA288E" w:rsidRDefault="00E83D77" w:rsidP="008D2D4A">
            <w:pPr>
              <w:rPr>
                <w:rFonts w:cs="Calibri"/>
                <w:sz w:val="18"/>
                <w:szCs w:val="18"/>
                <w:lang w:val="en-AU"/>
              </w:rPr>
            </w:pPr>
            <w:r w:rsidRPr="00FA288E">
              <w:rPr>
                <w:rFonts w:cs="Calibri"/>
                <w:sz w:val="18"/>
                <w:szCs w:val="18"/>
                <w:lang w:val="en-AU"/>
              </w:rPr>
              <w:t xml:space="preserve">- </w:t>
            </w:r>
            <w:proofErr w:type="spellStart"/>
            <w:r w:rsidRPr="00FA288E">
              <w:rPr>
                <w:rFonts w:cs="Calibri"/>
                <w:sz w:val="18"/>
                <w:szCs w:val="18"/>
                <w:lang w:val="en-AU"/>
              </w:rPr>
              <w:t>SBoM</w:t>
            </w:r>
            <w:proofErr w:type="spellEnd"/>
            <w:r w:rsidRPr="00FA288E">
              <w:rPr>
                <w:rFonts w:cs="Calibri"/>
                <w:sz w:val="18"/>
                <w:szCs w:val="18"/>
                <w:lang w:val="en-AU"/>
              </w:rPr>
              <w:t>/</w:t>
            </w:r>
            <w:proofErr w:type="spellStart"/>
            <w:r w:rsidRPr="00FA288E">
              <w:rPr>
                <w:rFonts w:cs="Calibri"/>
                <w:sz w:val="18"/>
                <w:szCs w:val="18"/>
                <w:lang w:val="en-AU"/>
              </w:rPr>
              <w:t>TiC</w:t>
            </w:r>
            <w:proofErr w:type="spellEnd"/>
            <w:r w:rsidRPr="00FA288E">
              <w:rPr>
                <w:rFonts w:cs="Calibri"/>
                <w:sz w:val="18"/>
                <w:szCs w:val="18"/>
                <w:lang w:val="en-AU"/>
              </w:rPr>
              <w:t xml:space="preserve"> training on SLIP development, Financial Management, School Leadership, which includes sessions on gender and disability inclusion</w:t>
            </w:r>
          </w:p>
          <w:p w14:paraId="2321F18B" w14:textId="77777777" w:rsidR="00E83D77" w:rsidRPr="00FA288E" w:rsidRDefault="00E83D77" w:rsidP="008D2D4A">
            <w:pPr>
              <w:rPr>
                <w:rFonts w:cs="Calibri"/>
                <w:sz w:val="18"/>
                <w:szCs w:val="18"/>
                <w:lang w:val="en-AU"/>
              </w:rPr>
            </w:pPr>
            <w:r w:rsidRPr="00FA288E">
              <w:rPr>
                <w:rFonts w:cs="Calibri"/>
                <w:sz w:val="18"/>
                <w:szCs w:val="18"/>
                <w:lang w:val="en-AU"/>
              </w:rPr>
              <w:t>-Improving District Education plans (to include elementary literacy, maths and inclusion activities)</w:t>
            </w:r>
          </w:p>
          <w:p w14:paraId="683C260E" w14:textId="77777777" w:rsidR="00E83D77" w:rsidRPr="00FA288E" w:rsidRDefault="00E83D77" w:rsidP="008D2D4A">
            <w:pPr>
              <w:rPr>
                <w:rFonts w:cs="Calibri"/>
                <w:sz w:val="18"/>
                <w:szCs w:val="18"/>
                <w:lang w:val="en-AU"/>
              </w:rPr>
            </w:pPr>
            <w:r w:rsidRPr="00FA288E">
              <w:rPr>
                <w:rFonts w:cs="Calibri"/>
                <w:sz w:val="18"/>
                <w:szCs w:val="18"/>
                <w:lang w:val="en-AU"/>
              </w:rPr>
              <w:lastRenderedPageBreak/>
              <w:t xml:space="preserve">-Promoting the number of women on </w:t>
            </w:r>
            <w:proofErr w:type="spellStart"/>
            <w:r w:rsidRPr="00FA288E">
              <w:rPr>
                <w:rFonts w:cs="Calibri"/>
                <w:sz w:val="18"/>
                <w:szCs w:val="18"/>
                <w:lang w:val="en-AU"/>
              </w:rPr>
              <w:t>SBoMs</w:t>
            </w:r>
            <w:proofErr w:type="spellEnd"/>
          </w:p>
          <w:p w14:paraId="668CC8A4" w14:textId="77777777" w:rsidR="00E83D77" w:rsidRPr="00FA288E" w:rsidRDefault="00E83D77" w:rsidP="008D2D4A">
            <w:pPr>
              <w:rPr>
                <w:rFonts w:cs="Calibri"/>
                <w:sz w:val="18"/>
                <w:szCs w:val="18"/>
                <w:lang w:val="en-AU"/>
              </w:rPr>
            </w:pPr>
            <w:r w:rsidRPr="00FA288E">
              <w:rPr>
                <w:rFonts w:cs="Calibri"/>
                <w:sz w:val="18"/>
                <w:szCs w:val="18"/>
                <w:lang w:val="en-AU"/>
              </w:rPr>
              <w:t xml:space="preserve">-Encouraging communities/parents to …engage in school management, i.e. </w:t>
            </w:r>
            <w:r w:rsidR="003A0FF1" w:rsidRPr="00FA288E">
              <w:rPr>
                <w:rFonts w:cs="Calibri"/>
                <w:sz w:val="18"/>
                <w:szCs w:val="18"/>
                <w:lang w:val="en-AU"/>
              </w:rPr>
              <w:t>p</w:t>
            </w:r>
            <w:r w:rsidRPr="00FA288E">
              <w:rPr>
                <w:rFonts w:cs="Calibri"/>
                <w:sz w:val="18"/>
                <w:szCs w:val="18"/>
                <w:lang w:val="en-AU"/>
              </w:rPr>
              <w:t xml:space="preserve">arents and </w:t>
            </w:r>
            <w:r w:rsidR="003A0FF1" w:rsidRPr="00FA288E">
              <w:rPr>
                <w:rFonts w:cs="Calibri"/>
                <w:sz w:val="18"/>
                <w:szCs w:val="18"/>
                <w:lang w:val="en-AU"/>
              </w:rPr>
              <w:t>c</w:t>
            </w:r>
            <w:r w:rsidRPr="00FA288E">
              <w:rPr>
                <w:rFonts w:cs="Calibri"/>
                <w:sz w:val="18"/>
                <w:szCs w:val="18"/>
                <w:lang w:val="en-AU"/>
              </w:rPr>
              <w:t>itizens meetings</w:t>
            </w:r>
          </w:p>
        </w:tc>
        <w:tc>
          <w:tcPr>
            <w:tcW w:w="4410" w:type="dxa"/>
          </w:tcPr>
          <w:p w14:paraId="41FA2873" w14:textId="77777777" w:rsidR="00E83D77" w:rsidRPr="00FA288E" w:rsidRDefault="00E83D77" w:rsidP="008D2D4A">
            <w:pPr>
              <w:rPr>
                <w:rFonts w:cs="Calibri"/>
                <w:sz w:val="18"/>
                <w:szCs w:val="18"/>
                <w:lang w:val="en-AU"/>
              </w:rPr>
            </w:pPr>
            <w:r w:rsidRPr="00FA288E">
              <w:rPr>
                <w:rFonts w:cs="Calibri"/>
                <w:sz w:val="18"/>
                <w:szCs w:val="18"/>
                <w:lang w:val="en-AU"/>
              </w:rPr>
              <w:lastRenderedPageBreak/>
              <w:t xml:space="preserve">- Increased capacity of the provincial education authority to coordinate and regulate </w:t>
            </w:r>
            <w:r w:rsidR="00F234DA" w:rsidRPr="00FA288E">
              <w:rPr>
                <w:rFonts w:cs="Calibri"/>
                <w:sz w:val="18"/>
                <w:szCs w:val="18"/>
                <w:lang w:val="en-AU"/>
              </w:rPr>
              <w:t>early childhood</w:t>
            </w:r>
            <w:r w:rsidRPr="00FA288E">
              <w:rPr>
                <w:rFonts w:cs="Calibri"/>
                <w:sz w:val="18"/>
                <w:szCs w:val="18"/>
                <w:lang w:val="en-AU"/>
              </w:rPr>
              <w:t xml:space="preserve"> and elementary </w:t>
            </w:r>
            <w:r w:rsidR="00F234DA" w:rsidRPr="00FA288E">
              <w:rPr>
                <w:rFonts w:cs="Calibri"/>
                <w:sz w:val="18"/>
                <w:szCs w:val="18"/>
                <w:lang w:val="en-AU"/>
              </w:rPr>
              <w:t>education</w:t>
            </w:r>
          </w:p>
          <w:p w14:paraId="34EE9AB2" w14:textId="77777777" w:rsidR="00E83D77" w:rsidRPr="00FA288E" w:rsidRDefault="00E83D77" w:rsidP="008D2D4A">
            <w:pPr>
              <w:rPr>
                <w:rFonts w:cs="Calibri"/>
                <w:sz w:val="18"/>
                <w:szCs w:val="18"/>
                <w:lang w:val="en-AU"/>
              </w:rPr>
            </w:pPr>
          </w:p>
          <w:p w14:paraId="40B16D1D" w14:textId="77777777" w:rsidR="00E83D77" w:rsidRPr="00FA288E" w:rsidRDefault="00E83D77" w:rsidP="008D2D4A">
            <w:pPr>
              <w:rPr>
                <w:rFonts w:cs="Calibri"/>
                <w:sz w:val="18"/>
                <w:szCs w:val="18"/>
                <w:lang w:val="en-AU"/>
              </w:rPr>
            </w:pPr>
          </w:p>
        </w:tc>
        <w:tc>
          <w:tcPr>
            <w:tcW w:w="4634" w:type="dxa"/>
          </w:tcPr>
          <w:p w14:paraId="71B3D231" w14:textId="77777777" w:rsidR="00E83D77" w:rsidRPr="00FA288E" w:rsidRDefault="00E83D77" w:rsidP="008D2D4A">
            <w:pPr>
              <w:rPr>
                <w:rFonts w:cs="Calibri"/>
                <w:sz w:val="18"/>
                <w:szCs w:val="18"/>
                <w:lang w:val="en-AU"/>
              </w:rPr>
            </w:pPr>
            <w:r w:rsidRPr="00FA288E">
              <w:rPr>
                <w:rFonts w:cs="Calibri"/>
                <w:sz w:val="18"/>
                <w:szCs w:val="18"/>
                <w:lang w:val="en-AU"/>
              </w:rPr>
              <w:t xml:space="preserve">- Strengthening how elementary schools develop and execute their SLIPs by increasing parental involvement and adding new simple approaches to the current module of SLIP. (Includes: Resource mapping; revenue raising; budget to </w:t>
            </w:r>
            <w:r w:rsidRPr="00FA288E">
              <w:rPr>
                <w:rFonts w:cs="Calibri"/>
                <w:sz w:val="18"/>
                <w:szCs w:val="18"/>
                <w:lang w:val="en-AU"/>
              </w:rPr>
              <w:lastRenderedPageBreak/>
              <w:t>support in-service teacher training; maintain normal class size; gender and disability inclusivity)</w:t>
            </w:r>
          </w:p>
        </w:tc>
      </w:tr>
      <w:tr w:rsidR="00E83D77" w:rsidRPr="00FA288E" w14:paraId="239E810C" w14:textId="77777777" w:rsidTr="008D2D4A">
        <w:trPr>
          <w:trHeight w:val="1844"/>
        </w:trPr>
        <w:tc>
          <w:tcPr>
            <w:tcW w:w="1242" w:type="dxa"/>
            <w:shd w:val="clear" w:color="auto" w:fill="262626" w:themeFill="text1" w:themeFillTint="D9"/>
          </w:tcPr>
          <w:p w14:paraId="28CCBF60" w14:textId="77777777" w:rsidR="00E83D77" w:rsidRPr="00FA288E" w:rsidRDefault="00E83D77" w:rsidP="008D2D4A">
            <w:pPr>
              <w:jc w:val="left"/>
              <w:rPr>
                <w:rFonts w:cs="Calibri"/>
                <w:sz w:val="18"/>
                <w:szCs w:val="18"/>
                <w:lang w:val="en-AU"/>
              </w:rPr>
            </w:pPr>
            <w:r w:rsidRPr="00FA288E">
              <w:rPr>
                <w:rFonts w:cs="Calibri"/>
                <w:sz w:val="18"/>
                <w:szCs w:val="18"/>
                <w:lang w:val="en-AU"/>
              </w:rPr>
              <w:lastRenderedPageBreak/>
              <w:t>Baseline data</w:t>
            </w:r>
          </w:p>
        </w:tc>
        <w:tc>
          <w:tcPr>
            <w:tcW w:w="4423" w:type="dxa"/>
          </w:tcPr>
          <w:p w14:paraId="51D696CC" w14:textId="77777777" w:rsidR="00E83D77" w:rsidRPr="00FA288E" w:rsidRDefault="00E83D77" w:rsidP="005C700B">
            <w:pPr>
              <w:numPr>
                <w:ilvl w:val="0"/>
                <w:numId w:val="22"/>
              </w:numPr>
              <w:tabs>
                <w:tab w:val="clear" w:pos="720"/>
              </w:tabs>
              <w:ind w:left="176" w:hanging="218"/>
              <w:rPr>
                <w:rFonts w:cs="Calibri"/>
                <w:sz w:val="18"/>
                <w:szCs w:val="18"/>
                <w:lang w:val="en-AU"/>
              </w:rPr>
            </w:pPr>
            <w:r w:rsidRPr="00FA288E">
              <w:rPr>
                <w:rFonts w:cs="Calibri"/>
                <w:sz w:val="18"/>
                <w:szCs w:val="18"/>
                <w:lang w:val="en-AU"/>
              </w:rPr>
              <w:t xml:space="preserve">About two-thirds of schools have a SLIP; nonetheless, only </w:t>
            </w:r>
          </w:p>
          <w:p w14:paraId="3063F08B" w14:textId="77777777" w:rsidR="00E83D77" w:rsidRPr="00FA288E" w:rsidRDefault="00E83D77" w:rsidP="005C700B">
            <w:pPr>
              <w:numPr>
                <w:ilvl w:val="0"/>
                <w:numId w:val="22"/>
              </w:numPr>
              <w:tabs>
                <w:tab w:val="clear" w:pos="720"/>
              </w:tabs>
              <w:ind w:left="176" w:hanging="218"/>
              <w:rPr>
                <w:rFonts w:cs="Calibri"/>
                <w:sz w:val="18"/>
                <w:szCs w:val="18"/>
                <w:lang w:val="en-AU"/>
              </w:rPr>
            </w:pPr>
            <w:r w:rsidRPr="00FA288E">
              <w:rPr>
                <w:rFonts w:cs="Calibri"/>
                <w:sz w:val="18"/>
                <w:szCs w:val="18"/>
                <w:lang w:val="en-AU"/>
              </w:rPr>
              <w:t xml:space="preserve">  25% clearly included the literacy section and </w:t>
            </w:r>
          </w:p>
          <w:p w14:paraId="050FD593" w14:textId="77777777" w:rsidR="00E83D77" w:rsidRPr="00FA288E" w:rsidRDefault="00E83D77" w:rsidP="005C700B">
            <w:pPr>
              <w:numPr>
                <w:ilvl w:val="0"/>
                <w:numId w:val="22"/>
              </w:numPr>
              <w:tabs>
                <w:tab w:val="clear" w:pos="720"/>
              </w:tabs>
              <w:ind w:left="176" w:hanging="218"/>
              <w:rPr>
                <w:rFonts w:cs="Calibri"/>
                <w:sz w:val="18"/>
                <w:szCs w:val="18"/>
                <w:lang w:val="en-AU"/>
              </w:rPr>
            </w:pPr>
            <w:r w:rsidRPr="00FA288E">
              <w:rPr>
                <w:rFonts w:cs="Calibri"/>
                <w:sz w:val="18"/>
                <w:szCs w:val="18"/>
                <w:lang w:val="en-AU"/>
              </w:rPr>
              <w:t xml:space="preserve">  21% included the math section. </w:t>
            </w:r>
          </w:p>
          <w:p w14:paraId="4B810A0B" w14:textId="77777777" w:rsidR="00E83D77" w:rsidRPr="00FA288E" w:rsidRDefault="00E83D77" w:rsidP="005C700B">
            <w:pPr>
              <w:numPr>
                <w:ilvl w:val="0"/>
                <w:numId w:val="22"/>
              </w:numPr>
              <w:tabs>
                <w:tab w:val="clear" w:pos="720"/>
              </w:tabs>
              <w:ind w:left="176" w:hanging="218"/>
              <w:rPr>
                <w:rFonts w:cs="Calibri"/>
                <w:sz w:val="18"/>
                <w:szCs w:val="18"/>
                <w:lang w:val="en-AU"/>
              </w:rPr>
            </w:pPr>
            <w:r w:rsidRPr="00FA288E">
              <w:rPr>
                <w:rFonts w:cs="Calibri"/>
                <w:sz w:val="18"/>
                <w:szCs w:val="18"/>
                <w:lang w:val="en-AU"/>
              </w:rPr>
              <w:t xml:space="preserve">  13% included a section on gender, and </w:t>
            </w:r>
          </w:p>
          <w:p w14:paraId="306B3731" w14:textId="77777777" w:rsidR="00E83D77" w:rsidRPr="00FA288E" w:rsidRDefault="00E83D77" w:rsidP="005C700B">
            <w:pPr>
              <w:numPr>
                <w:ilvl w:val="0"/>
                <w:numId w:val="22"/>
              </w:numPr>
              <w:tabs>
                <w:tab w:val="clear" w:pos="720"/>
              </w:tabs>
              <w:ind w:left="176" w:hanging="218"/>
              <w:rPr>
                <w:rFonts w:cs="Calibri"/>
                <w:sz w:val="18"/>
                <w:szCs w:val="18"/>
                <w:lang w:val="en-AU"/>
              </w:rPr>
            </w:pPr>
            <w:r w:rsidRPr="00FA288E">
              <w:rPr>
                <w:rFonts w:cs="Calibri"/>
                <w:sz w:val="18"/>
                <w:szCs w:val="18"/>
                <w:lang w:val="en-AU"/>
              </w:rPr>
              <w:t xml:space="preserve">   8% included a section on disability. </w:t>
            </w:r>
          </w:p>
          <w:p w14:paraId="1C311B8F" w14:textId="77777777" w:rsidR="00E83D77" w:rsidRPr="00FA288E" w:rsidRDefault="00E83D77" w:rsidP="005C700B">
            <w:pPr>
              <w:numPr>
                <w:ilvl w:val="0"/>
                <w:numId w:val="22"/>
              </w:numPr>
              <w:tabs>
                <w:tab w:val="clear" w:pos="720"/>
              </w:tabs>
              <w:ind w:left="176" w:hanging="218"/>
              <w:rPr>
                <w:rFonts w:cs="Calibri"/>
                <w:sz w:val="18"/>
                <w:szCs w:val="18"/>
                <w:lang w:val="en-AU"/>
              </w:rPr>
            </w:pPr>
            <w:r w:rsidRPr="00FA288E">
              <w:rPr>
                <w:rFonts w:cs="Calibri"/>
                <w:sz w:val="18"/>
                <w:szCs w:val="18"/>
                <w:lang w:val="en-AU"/>
              </w:rPr>
              <w:t xml:space="preserve">Mean average of </w:t>
            </w:r>
            <w:proofErr w:type="spellStart"/>
            <w:r w:rsidRPr="00FA288E">
              <w:rPr>
                <w:rFonts w:cs="Calibri"/>
                <w:sz w:val="18"/>
                <w:szCs w:val="18"/>
                <w:lang w:val="en-AU"/>
              </w:rPr>
              <w:t>SBoM</w:t>
            </w:r>
            <w:proofErr w:type="spellEnd"/>
            <w:r w:rsidRPr="00FA288E">
              <w:rPr>
                <w:rFonts w:cs="Calibri"/>
                <w:sz w:val="18"/>
                <w:szCs w:val="18"/>
                <w:lang w:val="en-AU"/>
              </w:rPr>
              <w:t xml:space="preserve"> members was 1.1 female and 4.6 male</w:t>
            </w:r>
          </w:p>
        </w:tc>
        <w:tc>
          <w:tcPr>
            <w:tcW w:w="4410" w:type="dxa"/>
          </w:tcPr>
          <w:p w14:paraId="22FAFEBD" w14:textId="77777777" w:rsidR="00E83D77" w:rsidRPr="00FA288E" w:rsidRDefault="00E83D77" w:rsidP="008D2D4A">
            <w:pPr>
              <w:ind w:left="176"/>
              <w:rPr>
                <w:rFonts w:cs="Calibri"/>
                <w:sz w:val="18"/>
                <w:szCs w:val="18"/>
                <w:lang w:val="en-AU"/>
              </w:rPr>
            </w:pPr>
          </w:p>
          <w:p w14:paraId="120B5E92" w14:textId="77777777" w:rsidR="00E83D77" w:rsidRPr="00FA288E" w:rsidRDefault="00E83D77" w:rsidP="008D2D4A">
            <w:pPr>
              <w:rPr>
                <w:rFonts w:cs="Calibri"/>
                <w:sz w:val="18"/>
                <w:szCs w:val="18"/>
                <w:lang w:val="en-AU"/>
              </w:rPr>
            </w:pPr>
          </w:p>
        </w:tc>
        <w:tc>
          <w:tcPr>
            <w:tcW w:w="4634" w:type="dxa"/>
          </w:tcPr>
          <w:p w14:paraId="5937CC92" w14:textId="77777777" w:rsidR="00E83D77" w:rsidRPr="00FA288E" w:rsidRDefault="00E83D77" w:rsidP="005C700B">
            <w:pPr>
              <w:numPr>
                <w:ilvl w:val="0"/>
                <w:numId w:val="23"/>
              </w:numPr>
              <w:ind w:left="175" w:hanging="218"/>
              <w:rPr>
                <w:rFonts w:cs="Calibri"/>
                <w:sz w:val="18"/>
                <w:szCs w:val="18"/>
                <w:lang w:val="en-AU"/>
              </w:rPr>
            </w:pPr>
            <w:r w:rsidRPr="00FA288E">
              <w:rPr>
                <w:rFonts w:cs="Calibri"/>
                <w:sz w:val="18"/>
                <w:szCs w:val="18"/>
                <w:lang w:val="en-AU"/>
              </w:rPr>
              <w:t xml:space="preserve">Only 63% of the 40 schools surveyed had a SLIP </w:t>
            </w:r>
          </w:p>
          <w:p w14:paraId="4CAFEC75" w14:textId="77777777" w:rsidR="00E83D77" w:rsidRPr="00FA288E" w:rsidRDefault="00E83D77" w:rsidP="005C700B">
            <w:pPr>
              <w:numPr>
                <w:ilvl w:val="0"/>
                <w:numId w:val="23"/>
              </w:numPr>
              <w:ind w:left="175" w:hanging="218"/>
              <w:rPr>
                <w:rFonts w:cs="Calibri"/>
                <w:sz w:val="18"/>
                <w:szCs w:val="18"/>
                <w:lang w:val="en-AU"/>
              </w:rPr>
            </w:pPr>
            <w:r w:rsidRPr="00FA288E">
              <w:rPr>
                <w:rFonts w:cs="Calibri"/>
                <w:sz w:val="18"/>
                <w:szCs w:val="18"/>
                <w:lang w:val="en-AU"/>
              </w:rPr>
              <w:t>12.2% of 763 parents surveyed contributed ideas to the SLIP</w:t>
            </w:r>
          </w:p>
          <w:p w14:paraId="140F222B" w14:textId="77777777" w:rsidR="00E83D77" w:rsidRPr="00FA288E" w:rsidRDefault="00E83D77" w:rsidP="005C700B">
            <w:pPr>
              <w:numPr>
                <w:ilvl w:val="0"/>
                <w:numId w:val="23"/>
              </w:numPr>
              <w:ind w:left="175" w:hanging="218"/>
              <w:rPr>
                <w:rFonts w:cs="Calibri"/>
                <w:sz w:val="18"/>
                <w:szCs w:val="18"/>
                <w:lang w:val="en-AU"/>
              </w:rPr>
            </w:pPr>
            <w:r w:rsidRPr="00FA288E">
              <w:rPr>
                <w:rFonts w:cs="Calibri"/>
                <w:sz w:val="18"/>
                <w:szCs w:val="18"/>
                <w:lang w:val="en-AU"/>
              </w:rPr>
              <w:t xml:space="preserve">3% of 300 </w:t>
            </w:r>
            <w:proofErr w:type="spellStart"/>
            <w:r w:rsidRPr="00FA288E">
              <w:rPr>
                <w:rFonts w:cs="Calibri"/>
                <w:sz w:val="18"/>
                <w:szCs w:val="18"/>
                <w:lang w:val="en-AU"/>
              </w:rPr>
              <w:t>SBoMs</w:t>
            </w:r>
            <w:proofErr w:type="spellEnd"/>
            <w:r w:rsidRPr="00FA288E">
              <w:rPr>
                <w:rFonts w:cs="Calibri"/>
                <w:sz w:val="18"/>
                <w:szCs w:val="18"/>
                <w:lang w:val="en-AU"/>
              </w:rPr>
              <w:t xml:space="preserve"> surveyed applied for and received external funds</w:t>
            </w:r>
          </w:p>
        </w:tc>
      </w:tr>
      <w:tr w:rsidR="00E83D77" w:rsidRPr="00FA288E" w14:paraId="2B81DF03" w14:textId="77777777" w:rsidTr="008D2D4A">
        <w:tc>
          <w:tcPr>
            <w:tcW w:w="1242" w:type="dxa"/>
            <w:shd w:val="clear" w:color="auto" w:fill="262626" w:themeFill="text1" w:themeFillTint="D9"/>
          </w:tcPr>
          <w:p w14:paraId="12C97065" w14:textId="77777777" w:rsidR="00E83D77" w:rsidRPr="00FA288E" w:rsidRDefault="00E83D77" w:rsidP="008D2D4A">
            <w:pPr>
              <w:jc w:val="left"/>
              <w:rPr>
                <w:rFonts w:cs="Calibri"/>
                <w:sz w:val="18"/>
                <w:szCs w:val="18"/>
                <w:lang w:val="en-AU"/>
              </w:rPr>
            </w:pPr>
            <w:r w:rsidRPr="00FA288E">
              <w:rPr>
                <w:rFonts w:cs="Calibri"/>
                <w:sz w:val="18"/>
                <w:szCs w:val="18"/>
                <w:lang w:val="en-AU"/>
              </w:rPr>
              <w:t xml:space="preserve">Key related Targets </w:t>
            </w:r>
          </w:p>
        </w:tc>
        <w:tc>
          <w:tcPr>
            <w:tcW w:w="4423" w:type="dxa"/>
          </w:tcPr>
          <w:p w14:paraId="54E98DA9" w14:textId="77777777" w:rsidR="00E83D77" w:rsidRPr="00FA288E" w:rsidRDefault="00E83D77" w:rsidP="005C700B">
            <w:pPr>
              <w:pStyle w:val="ListParagraph"/>
              <w:numPr>
                <w:ilvl w:val="0"/>
                <w:numId w:val="24"/>
              </w:numPr>
              <w:ind w:left="176" w:hanging="218"/>
              <w:rPr>
                <w:rFonts w:ascii="Calibri" w:hAnsi="Calibri" w:cs="Calibri"/>
                <w:sz w:val="18"/>
                <w:szCs w:val="18"/>
                <w:lang w:val="en-AU"/>
              </w:rPr>
            </w:pPr>
            <w:r w:rsidRPr="00FA288E">
              <w:rPr>
                <w:rFonts w:ascii="Calibri" w:hAnsi="Calibri" w:cs="Calibri"/>
                <w:sz w:val="18"/>
                <w:szCs w:val="18"/>
                <w:lang w:val="en-AU"/>
              </w:rPr>
              <w:t>670 people attend management training (423 Schools)</w:t>
            </w:r>
          </w:p>
          <w:p w14:paraId="1EEC645D" w14:textId="77777777" w:rsidR="00E83D77" w:rsidRPr="00FA288E" w:rsidRDefault="00E83D77" w:rsidP="005C700B">
            <w:pPr>
              <w:pStyle w:val="ListParagraph"/>
              <w:numPr>
                <w:ilvl w:val="0"/>
                <w:numId w:val="24"/>
              </w:numPr>
              <w:ind w:left="176" w:hanging="218"/>
              <w:rPr>
                <w:rFonts w:ascii="Calibri" w:hAnsi="Calibri" w:cs="Calibri"/>
                <w:sz w:val="18"/>
                <w:szCs w:val="18"/>
                <w:lang w:val="en-AU"/>
              </w:rPr>
            </w:pPr>
            <w:r w:rsidRPr="00FA288E">
              <w:rPr>
                <w:rFonts w:ascii="Calibri" w:hAnsi="Calibri" w:cs="Calibri"/>
                <w:sz w:val="18"/>
                <w:szCs w:val="18"/>
                <w:lang w:val="en-AU"/>
              </w:rPr>
              <w:t>80 partner education officers receive school management training</w:t>
            </w:r>
          </w:p>
          <w:p w14:paraId="6DD300B3" w14:textId="77777777" w:rsidR="00E83D77" w:rsidRPr="00FA288E" w:rsidRDefault="00E83D77" w:rsidP="005C700B">
            <w:pPr>
              <w:pStyle w:val="ListParagraph"/>
              <w:numPr>
                <w:ilvl w:val="0"/>
                <w:numId w:val="24"/>
              </w:numPr>
              <w:ind w:left="176" w:hanging="218"/>
              <w:rPr>
                <w:rFonts w:ascii="Calibri" w:hAnsi="Calibri" w:cs="Calibri"/>
                <w:sz w:val="18"/>
                <w:szCs w:val="18"/>
                <w:lang w:val="en-AU"/>
              </w:rPr>
            </w:pPr>
            <w:r w:rsidRPr="00FA288E">
              <w:rPr>
                <w:rFonts w:ascii="Calibri" w:hAnsi="Calibri" w:cs="Calibri"/>
                <w:sz w:val="18"/>
                <w:szCs w:val="18"/>
                <w:lang w:val="en-AU"/>
              </w:rPr>
              <w:t>60% of schools have a SLIP that includes all elements</w:t>
            </w:r>
          </w:p>
          <w:p w14:paraId="52CEC6B7" w14:textId="77777777" w:rsidR="00E83D77" w:rsidRPr="00FA288E" w:rsidRDefault="00E83D77" w:rsidP="005C700B">
            <w:pPr>
              <w:pStyle w:val="ListParagraph"/>
              <w:numPr>
                <w:ilvl w:val="0"/>
                <w:numId w:val="24"/>
              </w:numPr>
              <w:ind w:left="176" w:hanging="218"/>
              <w:rPr>
                <w:rFonts w:ascii="Calibri" w:hAnsi="Calibri" w:cs="Calibri"/>
                <w:sz w:val="18"/>
                <w:szCs w:val="18"/>
                <w:lang w:val="en-AU"/>
              </w:rPr>
            </w:pPr>
            <w:r w:rsidRPr="00FA288E">
              <w:rPr>
                <w:rFonts w:ascii="Calibri" w:hAnsi="Calibri" w:cs="Calibri"/>
                <w:sz w:val="18"/>
                <w:szCs w:val="18"/>
                <w:lang w:val="en-AU"/>
              </w:rPr>
              <w:t xml:space="preserve">25% of </w:t>
            </w:r>
            <w:proofErr w:type="spellStart"/>
            <w:r w:rsidRPr="00FA288E">
              <w:rPr>
                <w:rFonts w:ascii="Calibri" w:hAnsi="Calibri" w:cs="Calibri"/>
                <w:sz w:val="18"/>
                <w:szCs w:val="18"/>
                <w:lang w:val="en-AU"/>
              </w:rPr>
              <w:t>SBoM</w:t>
            </w:r>
            <w:proofErr w:type="spellEnd"/>
            <w:r w:rsidRPr="00FA288E">
              <w:rPr>
                <w:rFonts w:ascii="Calibri" w:hAnsi="Calibri" w:cs="Calibri"/>
                <w:sz w:val="18"/>
                <w:szCs w:val="18"/>
                <w:lang w:val="en-AU"/>
              </w:rPr>
              <w:t xml:space="preserve"> members are women (2 per </w:t>
            </w:r>
            <w:proofErr w:type="spellStart"/>
            <w:r w:rsidRPr="00FA288E">
              <w:rPr>
                <w:rFonts w:ascii="Calibri" w:hAnsi="Calibri" w:cs="Calibri"/>
                <w:sz w:val="18"/>
                <w:szCs w:val="18"/>
                <w:lang w:val="en-AU"/>
              </w:rPr>
              <w:t>SBoM</w:t>
            </w:r>
            <w:proofErr w:type="spellEnd"/>
            <w:r w:rsidRPr="00FA288E">
              <w:rPr>
                <w:rFonts w:ascii="Calibri" w:hAnsi="Calibri" w:cs="Calibri"/>
                <w:sz w:val="18"/>
                <w:szCs w:val="18"/>
                <w:lang w:val="en-AU"/>
              </w:rPr>
              <w:t>)</w:t>
            </w:r>
          </w:p>
          <w:p w14:paraId="61AA45B3" w14:textId="77777777" w:rsidR="00E83D77" w:rsidRPr="00FA288E" w:rsidRDefault="00E83D77" w:rsidP="005C700B">
            <w:pPr>
              <w:pStyle w:val="ListParagraph"/>
              <w:numPr>
                <w:ilvl w:val="0"/>
                <w:numId w:val="24"/>
              </w:numPr>
              <w:ind w:left="176" w:hanging="218"/>
              <w:rPr>
                <w:rFonts w:ascii="Calibri" w:hAnsi="Calibri" w:cs="Calibri"/>
                <w:sz w:val="18"/>
                <w:szCs w:val="18"/>
                <w:lang w:val="en-AU"/>
              </w:rPr>
            </w:pPr>
            <w:r w:rsidRPr="00FA288E">
              <w:rPr>
                <w:rFonts w:ascii="Calibri" w:hAnsi="Calibri" w:cs="Calibri"/>
                <w:sz w:val="18"/>
                <w:szCs w:val="18"/>
                <w:lang w:val="en-AU"/>
              </w:rPr>
              <w:t xml:space="preserve">80% of schools hold bi-annual </w:t>
            </w:r>
            <w:r w:rsidR="003A0FF1" w:rsidRPr="00FA288E">
              <w:rPr>
                <w:rFonts w:ascii="Calibri" w:hAnsi="Calibri" w:cs="Calibri"/>
                <w:sz w:val="18"/>
                <w:szCs w:val="18"/>
                <w:lang w:val="en-AU"/>
              </w:rPr>
              <w:t>p</w:t>
            </w:r>
            <w:r w:rsidRPr="00FA288E">
              <w:rPr>
                <w:rFonts w:ascii="Calibri" w:hAnsi="Calibri" w:cs="Calibri"/>
                <w:sz w:val="18"/>
                <w:szCs w:val="18"/>
                <w:lang w:val="en-AU"/>
              </w:rPr>
              <w:t>arents and citizens meetings</w:t>
            </w:r>
          </w:p>
          <w:p w14:paraId="5C40E175" w14:textId="77777777" w:rsidR="00E83D77" w:rsidRPr="00FA288E" w:rsidRDefault="00E83D77" w:rsidP="005C700B">
            <w:pPr>
              <w:pStyle w:val="ListParagraph"/>
              <w:numPr>
                <w:ilvl w:val="0"/>
                <w:numId w:val="24"/>
              </w:numPr>
              <w:ind w:left="176" w:hanging="218"/>
              <w:rPr>
                <w:rFonts w:ascii="Calibri" w:hAnsi="Calibri" w:cs="Calibri"/>
                <w:sz w:val="18"/>
                <w:szCs w:val="18"/>
                <w:lang w:val="en-AU"/>
              </w:rPr>
            </w:pPr>
            <w:r w:rsidRPr="00FA288E">
              <w:rPr>
                <w:rFonts w:ascii="Calibri" w:hAnsi="Calibri" w:cs="Calibri"/>
                <w:sz w:val="18"/>
                <w:szCs w:val="18"/>
                <w:lang w:val="en-AU"/>
              </w:rPr>
              <w:t>50% of district education plans include literacy, maths and inclusion activities</w:t>
            </w:r>
          </w:p>
        </w:tc>
        <w:tc>
          <w:tcPr>
            <w:tcW w:w="4410" w:type="dxa"/>
          </w:tcPr>
          <w:p w14:paraId="401621E4" w14:textId="77777777" w:rsidR="00E83D77" w:rsidRPr="00FA288E" w:rsidRDefault="00E83D77" w:rsidP="008D2D4A">
            <w:pPr>
              <w:rPr>
                <w:rFonts w:cs="Calibri"/>
                <w:sz w:val="18"/>
                <w:szCs w:val="18"/>
                <w:lang w:val="en-AU"/>
              </w:rPr>
            </w:pPr>
          </w:p>
        </w:tc>
        <w:tc>
          <w:tcPr>
            <w:tcW w:w="4634" w:type="dxa"/>
          </w:tcPr>
          <w:p w14:paraId="2C1F003F" w14:textId="77777777" w:rsidR="00E83D77" w:rsidRPr="00FA288E" w:rsidRDefault="00E83D77" w:rsidP="005C700B">
            <w:pPr>
              <w:numPr>
                <w:ilvl w:val="0"/>
                <w:numId w:val="23"/>
              </w:numPr>
              <w:ind w:left="175" w:hanging="218"/>
              <w:rPr>
                <w:rFonts w:cs="Calibri"/>
                <w:sz w:val="18"/>
                <w:szCs w:val="18"/>
                <w:lang w:val="en-AU"/>
              </w:rPr>
            </w:pPr>
            <w:r w:rsidRPr="00FA288E">
              <w:rPr>
                <w:rFonts w:cs="Calibri"/>
                <w:sz w:val="18"/>
                <w:szCs w:val="18"/>
                <w:lang w:val="en-AU"/>
              </w:rPr>
              <w:t>200 (67%) SLIPs developed with parents/ caregivers involved</w:t>
            </w:r>
          </w:p>
          <w:p w14:paraId="3C593140" w14:textId="77777777" w:rsidR="00E83D77" w:rsidRPr="00FA288E" w:rsidRDefault="00E83D77" w:rsidP="005C700B">
            <w:pPr>
              <w:numPr>
                <w:ilvl w:val="0"/>
                <w:numId w:val="23"/>
              </w:numPr>
              <w:ind w:left="175" w:hanging="218"/>
              <w:rPr>
                <w:rFonts w:cs="Calibri"/>
                <w:sz w:val="18"/>
                <w:szCs w:val="18"/>
                <w:lang w:val="en-AU"/>
              </w:rPr>
            </w:pPr>
            <w:r w:rsidRPr="00FA288E">
              <w:rPr>
                <w:rFonts w:cs="Calibri"/>
                <w:sz w:val="18"/>
                <w:szCs w:val="18"/>
                <w:lang w:val="en-AU"/>
              </w:rPr>
              <w:t>3,000 (25%) parents/ caregivers involved in SLIP development</w:t>
            </w:r>
          </w:p>
          <w:p w14:paraId="44C33F37" w14:textId="77777777" w:rsidR="00E83D77" w:rsidRPr="00FA288E" w:rsidRDefault="00E83D77" w:rsidP="005C700B">
            <w:pPr>
              <w:numPr>
                <w:ilvl w:val="0"/>
                <w:numId w:val="23"/>
              </w:numPr>
              <w:ind w:left="175" w:hanging="218"/>
              <w:rPr>
                <w:rFonts w:cs="Calibri"/>
                <w:sz w:val="18"/>
                <w:szCs w:val="18"/>
                <w:lang w:val="en-AU"/>
              </w:rPr>
            </w:pPr>
            <w:r w:rsidRPr="00FA288E">
              <w:rPr>
                <w:rFonts w:cs="Calibri"/>
                <w:sz w:val="18"/>
                <w:szCs w:val="18"/>
                <w:lang w:val="en-AU"/>
              </w:rPr>
              <w:t>3,000 parents trained in social accountability for SLIPs</w:t>
            </w:r>
          </w:p>
          <w:p w14:paraId="115CE817" w14:textId="77777777" w:rsidR="00E83D77" w:rsidRPr="00FA288E" w:rsidRDefault="00E83D77" w:rsidP="005C700B">
            <w:pPr>
              <w:numPr>
                <w:ilvl w:val="0"/>
                <w:numId w:val="23"/>
              </w:numPr>
              <w:ind w:left="175" w:hanging="218"/>
              <w:rPr>
                <w:rFonts w:cs="Calibri"/>
                <w:sz w:val="18"/>
                <w:szCs w:val="18"/>
                <w:lang w:val="en-AU"/>
              </w:rPr>
            </w:pPr>
            <w:r w:rsidRPr="00FA288E">
              <w:rPr>
                <w:rFonts w:cs="Calibri"/>
                <w:sz w:val="18"/>
                <w:szCs w:val="18"/>
                <w:lang w:val="en-AU"/>
              </w:rPr>
              <w:t>160 (54%) of all SLIPs address gender and disability barriers</w:t>
            </w:r>
          </w:p>
          <w:p w14:paraId="34407C4B" w14:textId="77777777" w:rsidR="00E83D77" w:rsidRPr="00FA288E" w:rsidRDefault="00E83D77" w:rsidP="005C700B">
            <w:pPr>
              <w:numPr>
                <w:ilvl w:val="0"/>
                <w:numId w:val="23"/>
              </w:numPr>
              <w:ind w:left="175" w:hanging="218"/>
              <w:rPr>
                <w:rFonts w:cs="Calibri"/>
                <w:sz w:val="18"/>
                <w:szCs w:val="18"/>
                <w:lang w:val="en-AU"/>
              </w:rPr>
            </w:pPr>
            <w:r w:rsidRPr="00FA288E">
              <w:rPr>
                <w:rFonts w:cs="Calibri"/>
                <w:sz w:val="18"/>
                <w:szCs w:val="18"/>
                <w:lang w:val="en-AU"/>
              </w:rPr>
              <w:t xml:space="preserve">90 (30%) of </w:t>
            </w:r>
            <w:proofErr w:type="spellStart"/>
            <w:r w:rsidRPr="00FA288E">
              <w:rPr>
                <w:rFonts w:cs="Calibri"/>
                <w:sz w:val="18"/>
                <w:szCs w:val="18"/>
                <w:lang w:val="en-AU"/>
              </w:rPr>
              <w:t>SBoMs</w:t>
            </w:r>
            <w:proofErr w:type="spellEnd"/>
            <w:r w:rsidRPr="00FA288E">
              <w:rPr>
                <w:rFonts w:cs="Calibri"/>
                <w:sz w:val="18"/>
                <w:szCs w:val="18"/>
                <w:lang w:val="en-AU"/>
              </w:rPr>
              <w:t xml:space="preserve"> have generated resources for improvement of learning outcomes</w:t>
            </w:r>
          </w:p>
          <w:p w14:paraId="28ED1D18" w14:textId="77777777" w:rsidR="00E83D77" w:rsidRPr="00FA288E" w:rsidRDefault="00E83D77" w:rsidP="005C700B">
            <w:pPr>
              <w:pStyle w:val="ListParagraph"/>
              <w:numPr>
                <w:ilvl w:val="0"/>
                <w:numId w:val="23"/>
              </w:numPr>
              <w:ind w:left="175" w:hanging="218"/>
              <w:rPr>
                <w:rFonts w:ascii="Calibri" w:hAnsi="Calibri" w:cs="Calibri"/>
                <w:sz w:val="18"/>
                <w:szCs w:val="18"/>
                <w:lang w:val="en-AU"/>
              </w:rPr>
            </w:pPr>
          </w:p>
        </w:tc>
      </w:tr>
      <w:tr w:rsidR="00E83D77" w:rsidRPr="00FA288E" w14:paraId="4DC146AC" w14:textId="77777777" w:rsidTr="008D2D4A">
        <w:tc>
          <w:tcPr>
            <w:tcW w:w="1242" w:type="dxa"/>
            <w:shd w:val="clear" w:color="auto" w:fill="262626" w:themeFill="text1" w:themeFillTint="D9"/>
          </w:tcPr>
          <w:p w14:paraId="30553FE5" w14:textId="77777777" w:rsidR="00E83D77" w:rsidRPr="00FA288E" w:rsidRDefault="00E83D77" w:rsidP="008D2D4A">
            <w:pPr>
              <w:jc w:val="left"/>
              <w:rPr>
                <w:rFonts w:cs="Calibri"/>
                <w:sz w:val="18"/>
                <w:szCs w:val="18"/>
                <w:lang w:val="en-AU"/>
              </w:rPr>
            </w:pPr>
            <w:r w:rsidRPr="00FA288E">
              <w:rPr>
                <w:rFonts w:cs="Calibri"/>
                <w:sz w:val="18"/>
                <w:szCs w:val="18"/>
                <w:lang w:val="en-AU"/>
              </w:rPr>
              <w:t>Progress Reported</w:t>
            </w:r>
          </w:p>
        </w:tc>
        <w:tc>
          <w:tcPr>
            <w:tcW w:w="4423" w:type="dxa"/>
          </w:tcPr>
          <w:p w14:paraId="51810ACF" w14:textId="77777777" w:rsidR="00E83D77" w:rsidRPr="00FA288E" w:rsidRDefault="00E83D77" w:rsidP="005C700B">
            <w:pPr>
              <w:numPr>
                <w:ilvl w:val="0"/>
                <w:numId w:val="24"/>
              </w:numPr>
              <w:ind w:left="176" w:hanging="218"/>
              <w:rPr>
                <w:rFonts w:cs="Calibri"/>
                <w:sz w:val="18"/>
                <w:szCs w:val="18"/>
                <w:lang w:val="en-AU"/>
              </w:rPr>
            </w:pPr>
            <w:r w:rsidRPr="00FA288E">
              <w:rPr>
                <w:rFonts w:cs="Calibri"/>
                <w:sz w:val="18"/>
                <w:szCs w:val="18"/>
                <w:lang w:val="en-AU"/>
              </w:rPr>
              <w:t>Developed 5 training modules for Leadership and SLIP</w:t>
            </w:r>
          </w:p>
          <w:p w14:paraId="5E888023" w14:textId="77777777" w:rsidR="00E83D77" w:rsidRPr="00FA288E" w:rsidRDefault="00E83D77" w:rsidP="005C700B">
            <w:pPr>
              <w:numPr>
                <w:ilvl w:val="0"/>
                <w:numId w:val="24"/>
              </w:numPr>
              <w:ind w:left="176" w:hanging="218"/>
              <w:rPr>
                <w:rFonts w:cs="Calibri"/>
                <w:sz w:val="18"/>
                <w:szCs w:val="18"/>
                <w:lang w:val="en-AU"/>
              </w:rPr>
            </w:pPr>
            <w:r w:rsidRPr="00FA288E">
              <w:rPr>
                <w:rFonts w:cs="Calibri"/>
                <w:sz w:val="18"/>
                <w:szCs w:val="18"/>
                <w:lang w:val="en-AU"/>
              </w:rPr>
              <w:t xml:space="preserve">762 </w:t>
            </w:r>
            <w:proofErr w:type="spellStart"/>
            <w:r w:rsidRPr="00FA288E">
              <w:rPr>
                <w:rFonts w:cs="Calibri"/>
                <w:sz w:val="18"/>
                <w:szCs w:val="18"/>
                <w:lang w:val="en-AU"/>
              </w:rPr>
              <w:t>SBoM</w:t>
            </w:r>
            <w:proofErr w:type="spellEnd"/>
            <w:r w:rsidRPr="00FA288E">
              <w:rPr>
                <w:rFonts w:cs="Calibri"/>
                <w:sz w:val="18"/>
                <w:szCs w:val="18"/>
                <w:lang w:val="en-AU"/>
              </w:rPr>
              <w:t xml:space="preserve"> members trained in first 3 SLIP modules</w:t>
            </w:r>
          </w:p>
          <w:p w14:paraId="35A8AFDC" w14:textId="77777777" w:rsidR="00E83D77" w:rsidRPr="00FA288E" w:rsidRDefault="00E83D77" w:rsidP="005C700B">
            <w:pPr>
              <w:numPr>
                <w:ilvl w:val="0"/>
                <w:numId w:val="24"/>
              </w:numPr>
              <w:ind w:left="176" w:hanging="218"/>
              <w:rPr>
                <w:rFonts w:cs="Calibri"/>
                <w:sz w:val="18"/>
                <w:szCs w:val="18"/>
                <w:lang w:val="en-AU"/>
              </w:rPr>
            </w:pPr>
            <w:r w:rsidRPr="00FA288E">
              <w:rPr>
                <w:rFonts w:cs="Calibri"/>
                <w:sz w:val="18"/>
                <w:szCs w:val="18"/>
                <w:lang w:val="en-AU"/>
              </w:rPr>
              <w:t>9 of 13 clusters trained in the second 2 modules</w:t>
            </w:r>
          </w:p>
          <w:p w14:paraId="236F490A" w14:textId="77777777" w:rsidR="00E83D77" w:rsidRPr="00FA288E" w:rsidRDefault="00E83D77" w:rsidP="005C700B">
            <w:pPr>
              <w:numPr>
                <w:ilvl w:val="0"/>
                <w:numId w:val="24"/>
              </w:numPr>
              <w:ind w:left="176" w:hanging="218"/>
              <w:rPr>
                <w:rFonts w:cs="Calibri"/>
                <w:sz w:val="18"/>
                <w:szCs w:val="18"/>
                <w:lang w:val="en-AU"/>
              </w:rPr>
            </w:pPr>
            <w:r w:rsidRPr="00FA288E">
              <w:rPr>
                <w:rFonts w:cs="Calibri"/>
                <w:sz w:val="18"/>
                <w:szCs w:val="18"/>
                <w:lang w:val="en-AU"/>
              </w:rPr>
              <w:t>359 schools have developed their SLIP</w:t>
            </w:r>
          </w:p>
          <w:p w14:paraId="7F51CE5C" w14:textId="77777777" w:rsidR="00E83D77" w:rsidRPr="00FA288E" w:rsidRDefault="00E83D77" w:rsidP="008D2D4A">
            <w:pPr>
              <w:ind w:left="176" w:hanging="218"/>
              <w:rPr>
                <w:rFonts w:cs="Calibri"/>
                <w:sz w:val="18"/>
                <w:szCs w:val="18"/>
                <w:lang w:val="en-AU"/>
              </w:rPr>
            </w:pPr>
          </w:p>
        </w:tc>
        <w:tc>
          <w:tcPr>
            <w:tcW w:w="4410" w:type="dxa"/>
          </w:tcPr>
          <w:p w14:paraId="00669570" w14:textId="77777777" w:rsidR="00E83D77" w:rsidRPr="00FA288E" w:rsidRDefault="00E83D77" w:rsidP="008D2D4A">
            <w:pPr>
              <w:ind w:left="176"/>
              <w:rPr>
                <w:rFonts w:cs="Calibri"/>
                <w:sz w:val="18"/>
                <w:szCs w:val="18"/>
                <w:lang w:val="en-AU"/>
              </w:rPr>
            </w:pPr>
          </w:p>
          <w:p w14:paraId="7A7FA075" w14:textId="77777777" w:rsidR="00E83D77" w:rsidRPr="00FA288E" w:rsidRDefault="00E83D77" w:rsidP="008D2D4A">
            <w:pPr>
              <w:rPr>
                <w:rFonts w:cs="Calibri"/>
                <w:sz w:val="18"/>
                <w:szCs w:val="18"/>
                <w:lang w:val="en-AU"/>
              </w:rPr>
            </w:pPr>
          </w:p>
        </w:tc>
        <w:tc>
          <w:tcPr>
            <w:tcW w:w="4634" w:type="dxa"/>
          </w:tcPr>
          <w:p w14:paraId="0D3BA03F" w14:textId="77777777" w:rsidR="00E83D77" w:rsidRPr="00FA288E" w:rsidRDefault="00E83D77" w:rsidP="005C700B">
            <w:pPr>
              <w:numPr>
                <w:ilvl w:val="0"/>
                <w:numId w:val="23"/>
              </w:numPr>
              <w:ind w:left="175" w:hanging="218"/>
              <w:rPr>
                <w:rFonts w:cs="Calibri"/>
                <w:sz w:val="18"/>
                <w:szCs w:val="18"/>
                <w:lang w:val="en-AU"/>
              </w:rPr>
            </w:pPr>
            <w:r w:rsidRPr="00FA288E">
              <w:rPr>
                <w:rFonts w:cs="Calibri"/>
                <w:sz w:val="18"/>
                <w:szCs w:val="18"/>
                <w:lang w:val="en-AU"/>
              </w:rPr>
              <w:t>Developed a manual for SLIP training which includes 5 topic areas</w:t>
            </w:r>
          </w:p>
          <w:p w14:paraId="437F366D" w14:textId="77777777" w:rsidR="00E83D77" w:rsidRPr="00FA288E" w:rsidRDefault="00E83D77" w:rsidP="005C700B">
            <w:pPr>
              <w:numPr>
                <w:ilvl w:val="0"/>
                <w:numId w:val="23"/>
              </w:numPr>
              <w:ind w:left="175" w:hanging="218"/>
              <w:rPr>
                <w:rFonts w:cs="Calibri"/>
                <w:sz w:val="18"/>
                <w:szCs w:val="18"/>
                <w:lang w:val="en-AU"/>
              </w:rPr>
            </w:pPr>
            <w:r w:rsidRPr="00FA288E">
              <w:rPr>
                <w:rFonts w:cs="Calibri"/>
                <w:sz w:val="18"/>
                <w:szCs w:val="18"/>
                <w:lang w:val="en-AU"/>
              </w:rPr>
              <w:t>6,341 parents/ caregivers trained in social accountability for SLIPs</w:t>
            </w:r>
          </w:p>
          <w:p w14:paraId="0257CD84" w14:textId="77777777" w:rsidR="00E83D77" w:rsidRPr="00FA288E" w:rsidRDefault="00E83D77" w:rsidP="005C700B">
            <w:pPr>
              <w:numPr>
                <w:ilvl w:val="0"/>
                <w:numId w:val="23"/>
              </w:numPr>
              <w:ind w:left="175" w:hanging="218"/>
              <w:rPr>
                <w:rFonts w:cs="Calibri"/>
                <w:sz w:val="18"/>
                <w:szCs w:val="18"/>
                <w:lang w:val="en-AU"/>
              </w:rPr>
            </w:pPr>
            <w:r w:rsidRPr="00FA288E">
              <w:rPr>
                <w:rFonts w:cs="Calibri"/>
                <w:sz w:val="18"/>
                <w:szCs w:val="18"/>
                <w:lang w:val="en-AU"/>
              </w:rPr>
              <w:t>3030 parents/ caregivers involved in SLIP development</w:t>
            </w:r>
          </w:p>
          <w:p w14:paraId="7D73F33A" w14:textId="77777777" w:rsidR="00E83D77" w:rsidRPr="00FA288E" w:rsidRDefault="00E83D77" w:rsidP="005C700B">
            <w:pPr>
              <w:numPr>
                <w:ilvl w:val="0"/>
                <w:numId w:val="23"/>
              </w:numPr>
              <w:ind w:left="175" w:hanging="218"/>
              <w:rPr>
                <w:rFonts w:cs="Calibri"/>
                <w:sz w:val="18"/>
                <w:szCs w:val="18"/>
                <w:lang w:val="en-AU"/>
              </w:rPr>
            </w:pPr>
            <w:r w:rsidRPr="00FA288E">
              <w:rPr>
                <w:rFonts w:cs="Calibri"/>
                <w:sz w:val="18"/>
                <w:szCs w:val="18"/>
                <w:lang w:val="en-AU"/>
              </w:rPr>
              <w:t>130 SLIPs developed with parents/ caregivers involved</w:t>
            </w:r>
          </w:p>
          <w:p w14:paraId="6446F3B4" w14:textId="77777777" w:rsidR="00E83D77" w:rsidRPr="00FA288E" w:rsidRDefault="00E83D77" w:rsidP="005C700B">
            <w:pPr>
              <w:numPr>
                <w:ilvl w:val="0"/>
                <w:numId w:val="23"/>
              </w:numPr>
              <w:ind w:left="175" w:hanging="218"/>
              <w:rPr>
                <w:rFonts w:cs="Calibri"/>
                <w:sz w:val="18"/>
                <w:szCs w:val="18"/>
                <w:lang w:val="en-AU"/>
              </w:rPr>
            </w:pPr>
            <w:r w:rsidRPr="00FA288E">
              <w:rPr>
                <w:rFonts w:cs="Calibri"/>
                <w:sz w:val="18"/>
                <w:szCs w:val="18"/>
                <w:lang w:val="en-AU"/>
              </w:rPr>
              <w:t>125 of the SLIPs address gender and disability barriers</w:t>
            </w:r>
          </w:p>
          <w:p w14:paraId="11002612" w14:textId="77777777" w:rsidR="00E83D77" w:rsidRPr="00FA288E" w:rsidRDefault="00E83D77" w:rsidP="005C700B">
            <w:pPr>
              <w:numPr>
                <w:ilvl w:val="0"/>
                <w:numId w:val="23"/>
              </w:numPr>
              <w:ind w:left="175" w:hanging="218"/>
              <w:rPr>
                <w:rFonts w:cs="Calibri"/>
                <w:sz w:val="18"/>
                <w:szCs w:val="18"/>
                <w:lang w:val="en-AU"/>
              </w:rPr>
            </w:pPr>
            <w:r w:rsidRPr="00FA288E">
              <w:rPr>
                <w:rFonts w:cs="Calibri"/>
                <w:sz w:val="18"/>
                <w:szCs w:val="18"/>
                <w:lang w:val="en-AU"/>
              </w:rPr>
              <w:t xml:space="preserve">82 </w:t>
            </w:r>
            <w:proofErr w:type="spellStart"/>
            <w:r w:rsidRPr="00FA288E">
              <w:rPr>
                <w:rFonts w:cs="Calibri"/>
                <w:sz w:val="18"/>
                <w:szCs w:val="18"/>
                <w:lang w:val="en-AU"/>
              </w:rPr>
              <w:t>SBoMs</w:t>
            </w:r>
            <w:proofErr w:type="spellEnd"/>
            <w:r w:rsidRPr="00FA288E">
              <w:rPr>
                <w:rFonts w:cs="Calibri"/>
                <w:sz w:val="18"/>
                <w:szCs w:val="18"/>
                <w:lang w:val="en-AU"/>
              </w:rPr>
              <w:t xml:space="preserve"> have generated resources for improvement of learning outcomes</w:t>
            </w:r>
          </w:p>
        </w:tc>
      </w:tr>
    </w:tbl>
    <w:p w14:paraId="0AC10EED" w14:textId="77777777" w:rsidR="00E83D77" w:rsidRPr="00FA288E" w:rsidRDefault="00E83D77" w:rsidP="00E83D77">
      <w:pPr>
        <w:rPr>
          <w:rFonts w:cs="Calibri"/>
          <w:sz w:val="18"/>
          <w:szCs w:val="18"/>
        </w:rPr>
      </w:pPr>
    </w:p>
    <w:p w14:paraId="2B6656CB" w14:textId="77777777" w:rsidR="00E83D77" w:rsidRPr="00FA288E" w:rsidRDefault="00E83D77" w:rsidP="00E83D77">
      <w:pPr>
        <w:rPr>
          <w:rFonts w:cs="Calibri"/>
          <w:sz w:val="20"/>
          <w:szCs w:val="20"/>
        </w:rPr>
        <w:sectPr w:rsidR="00E83D77" w:rsidRPr="00FA288E" w:rsidSect="008D2D4A">
          <w:pgSz w:w="16838" w:h="11906" w:orient="landscape"/>
          <w:pgMar w:top="1440" w:right="1440" w:bottom="1440" w:left="1440" w:header="708" w:footer="708" w:gutter="0"/>
          <w:cols w:space="708"/>
          <w:docGrid w:linePitch="360"/>
        </w:sectPr>
      </w:pPr>
    </w:p>
    <w:p w14:paraId="101C622C" w14:textId="77777777" w:rsidR="00E83D77" w:rsidRPr="00FA288E" w:rsidRDefault="00E83D77" w:rsidP="00E83D77">
      <w:pPr>
        <w:pStyle w:val="BodyText"/>
        <w:rPr>
          <w:rFonts w:ascii="Calibri" w:hAnsi="Calibri" w:cs="Calibri"/>
          <w:i/>
          <w:sz w:val="20"/>
          <w:szCs w:val="20"/>
          <w:u w:val="single"/>
        </w:rPr>
      </w:pPr>
      <w:bookmarkStart w:id="187" w:name="_Toc26457665"/>
      <w:proofErr w:type="spellStart"/>
      <w:r w:rsidRPr="00FA288E">
        <w:rPr>
          <w:rFonts w:ascii="Calibri" w:hAnsi="Calibri" w:cs="Calibri"/>
          <w:i/>
          <w:sz w:val="20"/>
          <w:szCs w:val="20"/>
          <w:u w:val="single"/>
        </w:rPr>
        <w:lastRenderedPageBreak/>
        <w:t>Pikinini</w:t>
      </w:r>
      <w:proofErr w:type="spellEnd"/>
      <w:r w:rsidRPr="00FA288E">
        <w:rPr>
          <w:rFonts w:ascii="Calibri" w:hAnsi="Calibri" w:cs="Calibri"/>
          <w:i/>
          <w:sz w:val="20"/>
          <w:szCs w:val="20"/>
          <w:u w:val="single"/>
        </w:rPr>
        <w:t xml:space="preserve"> </w:t>
      </w:r>
      <w:proofErr w:type="spellStart"/>
      <w:r w:rsidRPr="00FA288E">
        <w:rPr>
          <w:rFonts w:ascii="Calibri" w:hAnsi="Calibri" w:cs="Calibri"/>
          <w:i/>
          <w:sz w:val="20"/>
          <w:szCs w:val="20"/>
          <w:u w:val="single"/>
        </w:rPr>
        <w:t>Kisim</w:t>
      </w:r>
      <w:proofErr w:type="spellEnd"/>
      <w:r w:rsidRPr="00FA288E">
        <w:rPr>
          <w:rFonts w:ascii="Calibri" w:hAnsi="Calibri" w:cs="Calibri"/>
          <w:i/>
          <w:sz w:val="20"/>
          <w:szCs w:val="20"/>
          <w:u w:val="single"/>
        </w:rPr>
        <w:t xml:space="preserve"> Save schools management activities</w:t>
      </w:r>
      <w:bookmarkEnd w:id="187"/>
    </w:p>
    <w:p w14:paraId="2BEEDCD8" w14:textId="77777777" w:rsidR="00E83D77" w:rsidRPr="00FA288E" w:rsidRDefault="00E83D77" w:rsidP="00061FD0">
      <w:pPr>
        <w:jc w:val="both"/>
        <w:rPr>
          <w:rFonts w:cs="Calibri"/>
          <w:sz w:val="20"/>
          <w:szCs w:val="20"/>
        </w:rPr>
      </w:pPr>
      <w:r w:rsidRPr="00FA288E">
        <w:rPr>
          <w:rFonts w:cs="Calibri"/>
          <w:sz w:val="20"/>
          <w:szCs w:val="20"/>
        </w:rPr>
        <w:t>PKS developed three initial modules to support training in the local management of schools:</w:t>
      </w:r>
    </w:p>
    <w:p w14:paraId="059B206A" w14:textId="77777777" w:rsidR="00E83D77" w:rsidRPr="00FA288E" w:rsidRDefault="00E83D77" w:rsidP="00FF62CC">
      <w:pPr>
        <w:pStyle w:val="ListParagraph"/>
        <w:numPr>
          <w:ilvl w:val="0"/>
          <w:numId w:val="45"/>
        </w:numPr>
        <w:jc w:val="both"/>
        <w:rPr>
          <w:rFonts w:ascii="Calibri" w:hAnsi="Calibri" w:cs="Calibri"/>
          <w:sz w:val="20"/>
          <w:szCs w:val="20"/>
          <w:lang w:val="en-AU"/>
        </w:rPr>
      </w:pPr>
      <w:r w:rsidRPr="00FA288E">
        <w:rPr>
          <w:rFonts w:ascii="Calibri" w:hAnsi="Calibri" w:cs="Calibri"/>
          <w:sz w:val="20"/>
          <w:szCs w:val="20"/>
          <w:lang w:val="en-AU"/>
        </w:rPr>
        <w:t>Module 1: School Leadership – the core attributes of effective leadership</w:t>
      </w:r>
    </w:p>
    <w:p w14:paraId="2B374319" w14:textId="77777777" w:rsidR="00E83D77" w:rsidRPr="00FA288E" w:rsidRDefault="00E83D77" w:rsidP="00FF62CC">
      <w:pPr>
        <w:pStyle w:val="ListParagraph"/>
        <w:numPr>
          <w:ilvl w:val="0"/>
          <w:numId w:val="45"/>
        </w:numPr>
        <w:jc w:val="both"/>
        <w:rPr>
          <w:rFonts w:ascii="Calibri" w:hAnsi="Calibri" w:cs="Calibri"/>
          <w:sz w:val="20"/>
          <w:szCs w:val="20"/>
          <w:lang w:val="en-AU"/>
        </w:rPr>
      </w:pPr>
      <w:r w:rsidRPr="00FA288E">
        <w:rPr>
          <w:rFonts w:ascii="Calibri" w:hAnsi="Calibri" w:cs="Calibri"/>
          <w:sz w:val="20"/>
          <w:szCs w:val="20"/>
          <w:lang w:val="en-AU"/>
        </w:rPr>
        <w:t>Module 2: Managing School Improvement – SLIP development, implementation and monitoring</w:t>
      </w:r>
    </w:p>
    <w:p w14:paraId="0215DF97" w14:textId="77777777" w:rsidR="00E83D77" w:rsidRPr="00FA288E" w:rsidRDefault="00E83D77" w:rsidP="00FF62CC">
      <w:pPr>
        <w:pStyle w:val="ListParagraph"/>
        <w:numPr>
          <w:ilvl w:val="0"/>
          <w:numId w:val="45"/>
        </w:numPr>
        <w:jc w:val="both"/>
        <w:rPr>
          <w:rFonts w:ascii="Calibri" w:hAnsi="Calibri" w:cs="Calibri"/>
          <w:sz w:val="20"/>
          <w:szCs w:val="20"/>
          <w:lang w:val="en-AU"/>
        </w:rPr>
      </w:pPr>
      <w:r w:rsidRPr="00FA288E">
        <w:rPr>
          <w:rFonts w:ascii="Calibri" w:hAnsi="Calibri" w:cs="Calibri"/>
          <w:sz w:val="20"/>
          <w:szCs w:val="20"/>
          <w:lang w:val="en-AU"/>
        </w:rPr>
        <w:t>Module 3: Basic Financial Management – sourcing funds, budgeting and acquitting funds.</w:t>
      </w:r>
    </w:p>
    <w:p w14:paraId="1C2F5E9A" w14:textId="77777777" w:rsidR="00E83D77" w:rsidRPr="00FA288E" w:rsidRDefault="00E83D77" w:rsidP="00061FD0">
      <w:pPr>
        <w:jc w:val="both"/>
        <w:rPr>
          <w:rFonts w:cs="Calibri"/>
          <w:sz w:val="20"/>
          <w:szCs w:val="20"/>
        </w:rPr>
      </w:pPr>
      <w:r w:rsidRPr="00FA288E">
        <w:rPr>
          <w:rFonts w:cs="Calibri"/>
          <w:sz w:val="20"/>
          <w:szCs w:val="20"/>
        </w:rPr>
        <w:t xml:space="preserve">These modules were delivered over a three-day period in May-June of 2019 to the </w:t>
      </w:r>
      <w:proofErr w:type="spellStart"/>
      <w:r w:rsidRPr="00FA288E">
        <w:rPr>
          <w:rFonts w:cs="Calibri"/>
          <w:sz w:val="20"/>
          <w:szCs w:val="20"/>
        </w:rPr>
        <w:t>SBoM</w:t>
      </w:r>
      <w:proofErr w:type="spellEnd"/>
      <w:r w:rsidRPr="00FA288E">
        <w:rPr>
          <w:rFonts w:cs="Calibri"/>
          <w:sz w:val="20"/>
          <w:szCs w:val="20"/>
        </w:rPr>
        <w:t xml:space="preserve"> chair and the </w:t>
      </w:r>
      <w:proofErr w:type="spellStart"/>
      <w:r w:rsidRPr="00FA288E">
        <w:rPr>
          <w:rFonts w:cs="Calibri"/>
          <w:sz w:val="20"/>
          <w:szCs w:val="20"/>
        </w:rPr>
        <w:t>TiC</w:t>
      </w:r>
      <w:proofErr w:type="spellEnd"/>
      <w:r w:rsidRPr="00FA288E">
        <w:rPr>
          <w:rFonts w:cs="Calibri"/>
          <w:sz w:val="20"/>
          <w:szCs w:val="20"/>
        </w:rPr>
        <w:t xml:space="preserve"> (in line with the NDOE’s requirements for SLIP training). Training was delivered by the ‘Provincial partners’, a mixture of selected District Inspectors and Elementary teachers trained as SLIP facilitators</w:t>
      </w:r>
      <w:r w:rsidRPr="00FA288E">
        <w:rPr>
          <w:rStyle w:val="FootnoteReference"/>
          <w:rFonts w:eastAsiaTheme="majorEastAsia" w:cs="Calibri"/>
          <w:sz w:val="20"/>
          <w:szCs w:val="20"/>
        </w:rPr>
        <w:footnoteReference w:id="119"/>
      </w:r>
      <w:r w:rsidRPr="00FA288E">
        <w:rPr>
          <w:rFonts w:cs="Calibri"/>
          <w:sz w:val="20"/>
          <w:szCs w:val="20"/>
        </w:rPr>
        <w:t>, with support from PKS trainers. Originally designed to be delivered over two days, the third day was added to allow time for the participants to develop draft SLIPs as part of the training. It was intended that draft SLIPs would be taken back to their communities for consultation and further development, and completed/refined following training in the final two modules:</w:t>
      </w:r>
    </w:p>
    <w:p w14:paraId="604CFD02" w14:textId="77777777" w:rsidR="00E83D77" w:rsidRPr="00FA288E" w:rsidRDefault="00E83D77" w:rsidP="00FF62CC">
      <w:pPr>
        <w:pStyle w:val="ListParagraph"/>
        <w:numPr>
          <w:ilvl w:val="0"/>
          <w:numId w:val="46"/>
        </w:numPr>
        <w:rPr>
          <w:rFonts w:ascii="Calibri" w:hAnsi="Calibri" w:cs="Calibri"/>
          <w:sz w:val="20"/>
          <w:szCs w:val="20"/>
          <w:lang w:val="en-AU"/>
        </w:rPr>
      </w:pPr>
      <w:r w:rsidRPr="00FA288E">
        <w:rPr>
          <w:rFonts w:ascii="Calibri" w:hAnsi="Calibri" w:cs="Calibri"/>
          <w:sz w:val="20"/>
          <w:szCs w:val="20"/>
          <w:lang w:val="en-AU"/>
        </w:rPr>
        <w:t>Module 4: Crosscutting themes – Child protection obligations, gender and disability inclusion</w:t>
      </w:r>
      <w:r w:rsidRPr="00FA288E">
        <w:rPr>
          <w:rStyle w:val="FootnoteReference"/>
          <w:rFonts w:ascii="Calibri" w:hAnsi="Calibri" w:cs="Calibri"/>
          <w:sz w:val="20"/>
          <w:szCs w:val="20"/>
          <w:lang w:val="en-AU"/>
        </w:rPr>
        <w:footnoteReference w:id="120"/>
      </w:r>
    </w:p>
    <w:p w14:paraId="04931603" w14:textId="77777777" w:rsidR="00E83D77" w:rsidRPr="00FA288E" w:rsidRDefault="00E83D77" w:rsidP="00FF62CC">
      <w:pPr>
        <w:pStyle w:val="ListParagraph"/>
        <w:numPr>
          <w:ilvl w:val="0"/>
          <w:numId w:val="46"/>
        </w:numPr>
        <w:rPr>
          <w:rFonts w:ascii="Calibri" w:hAnsi="Calibri" w:cs="Calibri"/>
          <w:sz w:val="20"/>
          <w:szCs w:val="20"/>
          <w:lang w:val="en-AU"/>
        </w:rPr>
      </w:pPr>
      <w:r w:rsidRPr="00FA288E">
        <w:rPr>
          <w:rFonts w:ascii="Calibri" w:hAnsi="Calibri" w:cs="Calibri"/>
          <w:sz w:val="20"/>
          <w:szCs w:val="20"/>
          <w:lang w:val="en-AU"/>
        </w:rPr>
        <w:t xml:space="preserve">Module 5: Leading school improvement – support for </w:t>
      </w:r>
      <w:proofErr w:type="spellStart"/>
      <w:r w:rsidRPr="00FA288E">
        <w:rPr>
          <w:rFonts w:ascii="Calibri" w:hAnsi="Calibri" w:cs="Calibri"/>
          <w:sz w:val="20"/>
          <w:szCs w:val="20"/>
          <w:lang w:val="en-AU"/>
        </w:rPr>
        <w:t>TiCs</w:t>
      </w:r>
      <w:proofErr w:type="spellEnd"/>
      <w:r w:rsidRPr="00FA288E">
        <w:rPr>
          <w:rFonts w:ascii="Calibri" w:hAnsi="Calibri" w:cs="Calibri"/>
          <w:sz w:val="20"/>
          <w:szCs w:val="20"/>
          <w:lang w:val="en-AU"/>
        </w:rPr>
        <w:t xml:space="preserve"> and </w:t>
      </w:r>
      <w:proofErr w:type="spellStart"/>
      <w:r w:rsidRPr="00FA288E">
        <w:rPr>
          <w:rFonts w:ascii="Calibri" w:hAnsi="Calibri" w:cs="Calibri"/>
          <w:sz w:val="20"/>
          <w:szCs w:val="20"/>
          <w:lang w:val="en-AU"/>
        </w:rPr>
        <w:t>SBoMs</w:t>
      </w:r>
      <w:proofErr w:type="spellEnd"/>
      <w:r w:rsidRPr="00FA288E">
        <w:rPr>
          <w:rFonts w:ascii="Calibri" w:hAnsi="Calibri" w:cs="Calibri"/>
          <w:sz w:val="20"/>
          <w:szCs w:val="20"/>
          <w:lang w:val="en-AU"/>
        </w:rPr>
        <w:t xml:space="preserve"> in implementing SLIPs.</w:t>
      </w:r>
    </w:p>
    <w:p w14:paraId="19C0343A" w14:textId="77777777" w:rsidR="008D2D4A" w:rsidRPr="00FA288E" w:rsidRDefault="00E83D77" w:rsidP="00061FD0">
      <w:pPr>
        <w:spacing w:after="120"/>
        <w:jc w:val="both"/>
        <w:rPr>
          <w:rFonts w:cs="Calibri"/>
          <w:sz w:val="20"/>
          <w:szCs w:val="20"/>
        </w:rPr>
      </w:pPr>
      <w:r w:rsidRPr="00FA288E">
        <w:rPr>
          <w:rFonts w:cs="Calibri"/>
          <w:sz w:val="20"/>
          <w:szCs w:val="20"/>
        </w:rPr>
        <w:t xml:space="preserve">Module 5 was added in recognition of the difficulties participants from the first training were having in developing/implementing SLIPs, and was designed to reinforce some of the initial training content. It also included a short session on identifying additional resources. This training round commenced in October and is expected to be complete by end of 2019. It was anticipated that participants would bring their partially revised /draft SLIPs to this training, and that those who required assistance would either be helped during the training, or would be supported at some point in time following the training if they were still experiencing difficulties. It was also expected that the crosscutting module would prompt them to integrate gender and disability inclusive activities into their partially completed/revised SLIPs or annual plans. Follow-up monitoring is planned for the first </w:t>
      </w:r>
      <w:r w:rsidR="00763200" w:rsidRPr="00FA288E">
        <w:rPr>
          <w:rFonts w:cs="Calibri"/>
          <w:sz w:val="20"/>
          <w:szCs w:val="20"/>
        </w:rPr>
        <w:t>three</w:t>
      </w:r>
      <w:r w:rsidRPr="00FA288E">
        <w:rPr>
          <w:rFonts w:cs="Calibri"/>
          <w:sz w:val="20"/>
          <w:szCs w:val="20"/>
        </w:rPr>
        <w:t xml:space="preserve"> months of 2020</w:t>
      </w:r>
      <w:r w:rsidR="008D2D4A" w:rsidRPr="00FA288E">
        <w:rPr>
          <w:rFonts w:cs="Calibri"/>
          <w:sz w:val="20"/>
          <w:szCs w:val="20"/>
        </w:rPr>
        <w:t>.</w:t>
      </w:r>
    </w:p>
    <w:p w14:paraId="7DA06551" w14:textId="77777777" w:rsidR="00E83D77" w:rsidRPr="00FA288E" w:rsidRDefault="00E83D77" w:rsidP="00061FD0">
      <w:pPr>
        <w:pStyle w:val="BodyText"/>
        <w:rPr>
          <w:rFonts w:ascii="Calibri" w:hAnsi="Calibri" w:cs="Calibri"/>
          <w:sz w:val="20"/>
          <w:szCs w:val="20"/>
        </w:rPr>
      </w:pPr>
      <w:bookmarkStart w:id="188" w:name="_Toc26457667"/>
      <w:proofErr w:type="spellStart"/>
      <w:r w:rsidRPr="00FA288E">
        <w:rPr>
          <w:rFonts w:ascii="Calibri" w:hAnsi="Calibri" w:cs="Calibri"/>
          <w:sz w:val="20"/>
          <w:szCs w:val="20"/>
        </w:rPr>
        <w:t>i</w:t>
      </w:r>
      <w:proofErr w:type="spellEnd"/>
      <w:r w:rsidRPr="00FA288E">
        <w:rPr>
          <w:rFonts w:ascii="Calibri" w:hAnsi="Calibri" w:cs="Calibri"/>
          <w:sz w:val="20"/>
          <w:szCs w:val="20"/>
        </w:rPr>
        <w:t>) Observations on implementation</w:t>
      </w:r>
      <w:r w:rsidRPr="00FA288E" w:rsidDel="00E103CB">
        <w:rPr>
          <w:rFonts w:ascii="Calibri" w:hAnsi="Calibri" w:cs="Calibri"/>
          <w:sz w:val="20"/>
          <w:szCs w:val="20"/>
        </w:rPr>
        <w:t xml:space="preserve"> </w:t>
      </w:r>
      <w:bookmarkEnd w:id="188"/>
    </w:p>
    <w:p w14:paraId="0D5BC2E0" w14:textId="77777777" w:rsidR="00E83D77" w:rsidRPr="00FA288E" w:rsidRDefault="00E83D77" w:rsidP="00061FD0">
      <w:pPr>
        <w:pStyle w:val="BodyText"/>
        <w:rPr>
          <w:rFonts w:ascii="Calibri" w:hAnsi="Calibri" w:cs="Calibri"/>
          <w:sz w:val="20"/>
          <w:szCs w:val="20"/>
        </w:rPr>
      </w:pPr>
      <w:r w:rsidRPr="00FA288E">
        <w:rPr>
          <w:rFonts w:ascii="Calibri" w:hAnsi="Calibri" w:cs="Calibri"/>
          <w:sz w:val="20"/>
          <w:szCs w:val="20"/>
        </w:rPr>
        <w:t>Despite both T4E and PKS undertaking the same training, with PKS starting almost one year later, PKS did not review or utilise the materials developed and trialled by T4E. This may have been a lost opportunity to learn from early lessons – i.e. the need for initial simplification of the material and process. During key informant interviews, PKS pro</w:t>
      </w:r>
      <w:r w:rsidR="00686098" w:rsidRPr="00FA288E">
        <w:rPr>
          <w:rFonts w:ascii="Calibri" w:hAnsi="Calibri" w:cs="Calibri"/>
          <w:sz w:val="20"/>
          <w:szCs w:val="20"/>
        </w:rPr>
        <w:t>ject</w:t>
      </w:r>
      <w:r w:rsidRPr="00FA288E">
        <w:rPr>
          <w:rFonts w:ascii="Calibri" w:hAnsi="Calibri" w:cs="Calibri"/>
          <w:sz w:val="20"/>
          <w:szCs w:val="20"/>
        </w:rPr>
        <w:t xml:space="preserve"> staff indicated there had been a much lower literacy rate among </w:t>
      </w:r>
      <w:proofErr w:type="spellStart"/>
      <w:r w:rsidRPr="00FA288E">
        <w:rPr>
          <w:rFonts w:ascii="Calibri" w:hAnsi="Calibri" w:cs="Calibri"/>
          <w:sz w:val="20"/>
          <w:szCs w:val="20"/>
        </w:rPr>
        <w:t>SBoM</w:t>
      </w:r>
      <w:proofErr w:type="spellEnd"/>
      <w:r w:rsidRPr="00FA288E">
        <w:rPr>
          <w:rFonts w:ascii="Calibri" w:hAnsi="Calibri" w:cs="Calibri"/>
          <w:sz w:val="20"/>
          <w:szCs w:val="20"/>
        </w:rPr>
        <w:t xml:space="preserve"> chairs in particular than expected, which slowed down the rate of training and required the addition of an extra day. While simplified, the training materials are still somewhat rich in content, and there is a lot of information expected to be absorbed in a relatively short training period. Nevertheless, anecdotal evidence and feedback from training indicates that participants have been very appreciative of the assistance they have been provided in preparing their SLIPs. Following the first 3 modules, participant feedback in the second training noted a tendency to engage more with communities, be more transparent, and several have expressed intentions to improve their SLIPs to better support teaching. During interviews with Provincial and District officers, they were particularly enthusiastic about the possibilities of the SLIP process for encouraging school’s self-sufficiency, and the role of PKS in providing them with the training they needed to support communities.  </w:t>
      </w:r>
    </w:p>
    <w:p w14:paraId="144FB4F7" w14:textId="77777777" w:rsidR="00E83D77" w:rsidRPr="00FA288E" w:rsidRDefault="00E83D77" w:rsidP="00061FD0">
      <w:pPr>
        <w:jc w:val="both"/>
        <w:rPr>
          <w:rFonts w:cs="Calibri"/>
          <w:iCs/>
          <w:sz w:val="20"/>
          <w:szCs w:val="20"/>
        </w:rPr>
      </w:pPr>
      <w:r w:rsidRPr="00FA288E">
        <w:rPr>
          <w:rFonts w:cs="Calibri"/>
          <w:sz w:val="20"/>
          <w:szCs w:val="20"/>
        </w:rPr>
        <w:t xml:space="preserve">Following the training, it has been reported that 359 schools (of the 423 target) have developed their SLIPs, however as the data on SLIPs at Baselines in 2018 indicated around 70% had a SLIP already, it is not clear how many of the 359 were counting existing SLIPs, ones that had actually been revised, had their Annual Plans for 2020 updated to include activities not already included in the SLIP, or were completely new for 2020 – 2023. PKS </w:t>
      </w:r>
      <w:r w:rsidRPr="00FA288E">
        <w:rPr>
          <w:rFonts w:cs="Calibri"/>
          <w:sz w:val="20"/>
          <w:szCs w:val="20"/>
        </w:rPr>
        <w:lastRenderedPageBreak/>
        <w:t>has developed a monitoring format for assessing the impact of the Leadership/SLIP training and have recently trialled it in 5 schools that have completed both trainings. Of the</w:t>
      </w:r>
      <w:r w:rsidRPr="00FA288E">
        <w:rPr>
          <w:rFonts w:cs="Calibri"/>
          <w:iCs/>
          <w:sz w:val="20"/>
          <w:szCs w:val="20"/>
        </w:rPr>
        <w:t xml:space="preserve"> 5 schools monitored:</w:t>
      </w:r>
    </w:p>
    <w:p w14:paraId="50DE13F0" w14:textId="77777777" w:rsidR="00E83D77" w:rsidRPr="00FA288E" w:rsidRDefault="00E83D77" w:rsidP="00FF62CC">
      <w:pPr>
        <w:pStyle w:val="ListParagraph"/>
        <w:numPr>
          <w:ilvl w:val="0"/>
          <w:numId w:val="47"/>
        </w:numPr>
        <w:jc w:val="both"/>
        <w:rPr>
          <w:rFonts w:ascii="Calibri" w:hAnsi="Calibri" w:cs="Calibri"/>
          <w:iCs/>
          <w:sz w:val="20"/>
          <w:szCs w:val="20"/>
          <w:lang w:val="en-AU"/>
        </w:rPr>
      </w:pPr>
      <w:r w:rsidRPr="00FA288E">
        <w:rPr>
          <w:rFonts w:ascii="Calibri" w:hAnsi="Calibri" w:cs="Calibri"/>
          <w:sz w:val="20"/>
          <w:szCs w:val="20"/>
          <w:lang w:val="en-AU"/>
        </w:rPr>
        <w:t>3 had an existing SLIP and haven’t developed a new one yet</w:t>
      </w:r>
    </w:p>
    <w:p w14:paraId="72AFBE78" w14:textId="77777777" w:rsidR="008D2D4A" w:rsidRPr="00FA288E" w:rsidRDefault="00E83D77" w:rsidP="00FF62CC">
      <w:pPr>
        <w:pStyle w:val="ListParagraph"/>
        <w:numPr>
          <w:ilvl w:val="0"/>
          <w:numId w:val="47"/>
        </w:numPr>
        <w:jc w:val="both"/>
        <w:rPr>
          <w:rFonts w:ascii="Calibri" w:hAnsi="Calibri" w:cs="Calibri"/>
          <w:iCs/>
          <w:sz w:val="20"/>
          <w:szCs w:val="20"/>
          <w:lang w:val="en-AU"/>
        </w:rPr>
      </w:pPr>
      <w:r w:rsidRPr="00FA288E">
        <w:rPr>
          <w:rFonts w:ascii="Calibri" w:hAnsi="Calibri" w:cs="Calibri"/>
          <w:iCs/>
          <w:sz w:val="20"/>
          <w:szCs w:val="20"/>
          <w:lang w:val="en-AU"/>
        </w:rPr>
        <w:t xml:space="preserve">1 said they are developing one currently (waiting to engage their </w:t>
      </w:r>
      <w:proofErr w:type="spellStart"/>
      <w:r w:rsidRPr="00FA288E">
        <w:rPr>
          <w:rFonts w:ascii="Calibri" w:hAnsi="Calibri" w:cs="Calibri"/>
          <w:iCs/>
          <w:sz w:val="20"/>
          <w:szCs w:val="20"/>
          <w:lang w:val="en-AU"/>
        </w:rPr>
        <w:t>SBoM</w:t>
      </w:r>
      <w:proofErr w:type="spellEnd"/>
      <w:r w:rsidRPr="00FA288E">
        <w:rPr>
          <w:rFonts w:ascii="Calibri" w:hAnsi="Calibri" w:cs="Calibri"/>
          <w:iCs/>
          <w:sz w:val="20"/>
          <w:szCs w:val="20"/>
          <w:lang w:val="en-AU"/>
        </w:rPr>
        <w:t>)</w:t>
      </w:r>
    </w:p>
    <w:p w14:paraId="5B2AEB17" w14:textId="77777777" w:rsidR="00E83D77" w:rsidRPr="00FA288E" w:rsidRDefault="00E83D77" w:rsidP="00FF62CC">
      <w:pPr>
        <w:pStyle w:val="ListParagraph"/>
        <w:numPr>
          <w:ilvl w:val="0"/>
          <w:numId w:val="47"/>
        </w:numPr>
        <w:jc w:val="both"/>
        <w:rPr>
          <w:rFonts w:ascii="Calibri" w:hAnsi="Calibri" w:cs="Calibri"/>
          <w:iCs/>
          <w:sz w:val="20"/>
          <w:szCs w:val="20"/>
          <w:lang w:val="en-AU"/>
        </w:rPr>
      </w:pPr>
      <w:r w:rsidRPr="00FA288E">
        <w:rPr>
          <w:rFonts w:ascii="Calibri" w:hAnsi="Calibri" w:cs="Calibri"/>
          <w:iCs/>
          <w:sz w:val="20"/>
          <w:szCs w:val="20"/>
          <w:lang w:val="en-AU"/>
        </w:rPr>
        <w:t>1 was still trying to get some engagement.</w:t>
      </w:r>
    </w:p>
    <w:p w14:paraId="1889C7F8" w14:textId="77777777" w:rsidR="00E83D77" w:rsidRPr="00FA288E" w:rsidRDefault="00E83D77" w:rsidP="00061FD0">
      <w:pPr>
        <w:pStyle w:val="BodyText"/>
        <w:rPr>
          <w:rFonts w:ascii="Calibri" w:hAnsi="Calibri" w:cs="Calibri"/>
          <w:iCs/>
          <w:sz w:val="20"/>
          <w:szCs w:val="20"/>
        </w:rPr>
      </w:pPr>
      <w:r w:rsidRPr="00FA288E">
        <w:rPr>
          <w:rFonts w:ascii="Calibri" w:hAnsi="Calibri" w:cs="Calibri"/>
          <w:iCs/>
          <w:sz w:val="20"/>
          <w:szCs w:val="20"/>
        </w:rPr>
        <w:t xml:space="preserve">The review team had extensive discussions with three </w:t>
      </w:r>
      <w:proofErr w:type="spellStart"/>
      <w:r w:rsidRPr="00FA288E">
        <w:rPr>
          <w:rFonts w:ascii="Calibri" w:hAnsi="Calibri" w:cs="Calibri"/>
          <w:iCs/>
          <w:sz w:val="20"/>
          <w:szCs w:val="20"/>
        </w:rPr>
        <w:t>SBoMs</w:t>
      </w:r>
      <w:proofErr w:type="spellEnd"/>
      <w:r w:rsidRPr="00FA288E">
        <w:rPr>
          <w:rFonts w:ascii="Calibri" w:hAnsi="Calibri" w:cs="Calibri"/>
          <w:iCs/>
          <w:sz w:val="20"/>
          <w:szCs w:val="20"/>
        </w:rPr>
        <w:t xml:space="preserve">, who had only yet attended the first training in May 2019. They revealed slow progress on actually revising/completing SLIPs following the first training despite the addition of the extra day. </w:t>
      </w:r>
    </w:p>
    <w:p w14:paraId="78C93D2C" w14:textId="77777777" w:rsidR="00E83D77" w:rsidRPr="00FA288E" w:rsidRDefault="00E83D77" w:rsidP="00320085">
      <w:pPr>
        <w:pStyle w:val="Heading2"/>
        <w:rPr>
          <w:b w:val="0"/>
          <w:bCs w:val="0"/>
          <w:sz w:val="20"/>
          <w:szCs w:val="20"/>
        </w:rPr>
      </w:pPr>
      <w:bookmarkStart w:id="189" w:name="_Box_11._A"/>
      <w:bookmarkEnd w:id="189"/>
      <w:r w:rsidRPr="00FA288E">
        <w:rPr>
          <w:b w:val="0"/>
          <w:bCs w:val="0"/>
          <w:sz w:val="20"/>
          <w:szCs w:val="20"/>
        </w:rPr>
        <w:t xml:space="preserve"> </w:t>
      </w:r>
      <w:bookmarkStart w:id="190" w:name="_Toc26914402"/>
      <w:bookmarkStart w:id="191" w:name="_Toc31625622"/>
      <w:bookmarkStart w:id="192" w:name="_Toc42076002"/>
      <w:r w:rsidRPr="00FA288E">
        <w:rPr>
          <w:b w:val="0"/>
          <w:bCs w:val="0"/>
          <w:sz w:val="20"/>
          <w:szCs w:val="20"/>
        </w:rPr>
        <w:t xml:space="preserve">Box 11. A focus on infrastructure of recent SLIPs and limited communication among </w:t>
      </w:r>
      <w:proofErr w:type="spellStart"/>
      <w:r w:rsidRPr="00FA288E">
        <w:rPr>
          <w:b w:val="0"/>
          <w:bCs w:val="0"/>
          <w:sz w:val="20"/>
          <w:szCs w:val="20"/>
        </w:rPr>
        <w:t>SBoM</w:t>
      </w:r>
      <w:proofErr w:type="spellEnd"/>
      <w:r w:rsidRPr="00FA288E">
        <w:rPr>
          <w:b w:val="0"/>
          <w:bCs w:val="0"/>
          <w:sz w:val="20"/>
          <w:szCs w:val="20"/>
        </w:rPr>
        <w:t xml:space="preserve"> members</w:t>
      </w:r>
      <w:bookmarkEnd w:id="190"/>
      <w:bookmarkEnd w:id="191"/>
      <w:bookmarkEnd w:id="192"/>
    </w:p>
    <w:p w14:paraId="5B3CB725" w14:textId="77777777" w:rsidR="00E83D77" w:rsidRPr="00FA288E" w:rsidRDefault="00E83D77" w:rsidP="00E83D77">
      <w:pPr>
        <w:rPr>
          <w:rFonts w:cs="Calibri"/>
          <w:iCs/>
          <w:sz w:val="20"/>
          <w:szCs w:val="20"/>
          <w:u w:val="single"/>
        </w:rPr>
      </w:pPr>
      <w:r w:rsidRPr="00FA288E">
        <w:rPr>
          <w:rFonts w:cs="Calibri"/>
          <w:iCs/>
          <w:noProof/>
          <w:sz w:val="20"/>
          <w:szCs w:val="20"/>
          <w:u w:val="single"/>
          <w:lang w:eastAsia="en-AU"/>
        </w:rPr>
        <mc:AlternateContent>
          <mc:Choice Requires="wps">
            <w:drawing>
              <wp:inline distT="0" distB="0" distL="0" distR="0" wp14:anchorId="47BA989A" wp14:editId="5C7D2782">
                <wp:extent cx="5926347" cy="2562225"/>
                <wp:effectExtent l="0" t="0" r="17780"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347" cy="2562225"/>
                        </a:xfrm>
                        <a:prstGeom prst="rect">
                          <a:avLst/>
                        </a:prstGeom>
                        <a:solidFill>
                          <a:srgbClr val="EAEAEA"/>
                        </a:solidFill>
                        <a:ln w="9525">
                          <a:solidFill>
                            <a:srgbClr val="000000"/>
                          </a:solidFill>
                          <a:miter lim="800000"/>
                          <a:headEnd/>
                          <a:tailEnd/>
                        </a:ln>
                      </wps:spPr>
                      <wps:txbx>
                        <w:txbxContent>
                          <w:p w14:paraId="536651B6" w14:textId="77777777" w:rsidR="009F310F" w:rsidRPr="0056737F" w:rsidRDefault="009F310F" w:rsidP="00E83D77">
                            <w:pPr>
                              <w:shd w:val="clear" w:color="auto" w:fill="EDEDED" w:themeFill="accent3" w:themeFillTint="33"/>
                            </w:pPr>
                            <w:r w:rsidRPr="00DD25A9">
                              <w:rPr>
                                <w:sz w:val="20"/>
                                <w:szCs w:val="20"/>
                              </w:rPr>
                              <w:t>In the first PKS</w:t>
                            </w:r>
                            <w:r w:rsidRPr="00F8028C">
                              <w:rPr>
                                <w:sz w:val="20"/>
                                <w:szCs w:val="20"/>
                              </w:rPr>
                              <w:t xml:space="preserve"> school visited</w:t>
                            </w:r>
                            <w:r>
                              <w:rPr>
                                <w:sz w:val="20"/>
                              </w:rPr>
                              <w:t>,</w:t>
                            </w:r>
                            <w:r w:rsidRPr="0056737F">
                              <w:rPr>
                                <w:sz w:val="20"/>
                              </w:rPr>
                              <w:t xml:space="preserve"> </w:t>
                            </w:r>
                            <w:r>
                              <w:rPr>
                                <w:sz w:val="20"/>
                              </w:rPr>
                              <w:t>SBoM</w:t>
                            </w:r>
                            <w:r w:rsidRPr="0056737F">
                              <w:rPr>
                                <w:sz w:val="20"/>
                              </w:rPr>
                              <w:t xml:space="preserve"> members</w:t>
                            </w:r>
                            <w:r>
                              <w:rPr>
                                <w:sz w:val="20"/>
                              </w:rPr>
                              <w:t xml:space="preserve"> had been on the Board for the 12 years since the school was founded. </w:t>
                            </w:r>
                            <w:r w:rsidRPr="0056737F">
                              <w:rPr>
                                <w:sz w:val="20"/>
                              </w:rPr>
                              <w:t xml:space="preserve"> </w:t>
                            </w:r>
                            <w:r>
                              <w:rPr>
                                <w:sz w:val="20"/>
                              </w:rPr>
                              <w:t xml:space="preserve">Their first </w:t>
                            </w:r>
                            <w:r w:rsidRPr="0056737F">
                              <w:rPr>
                                <w:sz w:val="20"/>
                              </w:rPr>
                              <w:t>SLIP</w:t>
                            </w:r>
                            <w:r>
                              <w:rPr>
                                <w:sz w:val="20"/>
                              </w:rPr>
                              <w:t xml:space="preserve"> was</w:t>
                            </w:r>
                            <w:r w:rsidRPr="0056737F">
                              <w:rPr>
                                <w:sz w:val="20"/>
                              </w:rPr>
                              <w:t xml:space="preserve"> from 2015 – 2017 </w:t>
                            </w:r>
                            <w:r>
                              <w:rPr>
                                <w:sz w:val="20"/>
                              </w:rPr>
                              <w:t>and</w:t>
                            </w:r>
                            <w:r w:rsidRPr="0056737F">
                              <w:rPr>
                                <w:sz w:val="20"/>
                              </w:rPr>
                              <w:t xml:space="preserve"> included infrastructure activities (a classroom, toilets,</w:t>
                            </w:r>
                            <w:r>
                              <w:rPr>
                                <w:sz w:val="20"/>
                              </w:rPr>
                              <w:t xml:space="preserve"> and</w:t>
                            </w:r>
                            <w:r w:rsidRPr="0056737F">
                              <w:rPr>
                                <w:sz w:val="20"/>
                              </w:rPr>
                              <w:t xml:space="preserve"> fencing) which were mostly completed. There was </w:t>
                            </w:r>
                            <w:r>
                              <w:rPr>
                                <w:sz w:val="20"/>
                              </w:rPr>
                              <w:t>a current plan for</w:t>
                            </w:r>
                            <w:r w:rsidRPr="0056737F">
                              <w:rPr>
                                <w:sz w:val="20"/>
                              </w:rPr>
                              <w:t xml:space="preserve"> 2018 -20, which the </w:t>
                            </w:r>
                            <w:r>
                              <w:rPr>
                                <w:sz w:val="20"/>
                              </w:rPr>
                              <w:t>SBoM</w:t>
                            </w:r>
                            <w:r w:rsidRPr="0056737F">
                              <w:rPr>
                                <w:sz w:val="20"/>
                              </w:rPr>
                              <w:t xml:space="preserve"> chairman had seen, however it was in the possession of the T</w:t>
                            </w:r>
                            <w:r>
                              <w:rPr>
                                <w:sz w:val="20"/>
                              </w:rPr>
                              <w:t>i</w:t>
                            </w:r>
                            <w:r w:rsidRPr="0056737F">
                              <w:rPr>
                                <w:sz w:val="20"/>
                              </w:rPr>
                              <w:t xml:space="preserve">C </w:t>
                            </w:r>
                            <w:r>
                              <w:rPr>
                                <w:sz w:val="20"/>
                              </w:rPr>
                              <w:t>(</w:t>
                            </w:r>
                            <w:r w:rsidRPr="0056737F">
                              <w:rPr>
                                <w:sz w:val="20"/>
                              </w:rPr>
                              <w:t>who was not present during the interview</w:t>
                            </w:r>
                            <w:r>
                              <w:rPr>
                                <w:sz w:val="20"/>
                              </w:rPr>
                              <w:t>)</w:t>
                            </w:r>
                            <w:r w:rsidRPr="0056737F">
                              <w:rPr>
                                <w:sz w:val="20"/>
                              </w:rPr>
                              <w:t xml:space="preserve">. </w:t>
                            </w:r>
                            <w:r>
                              <w:rPr>
                                <w:sz w:val="20"/>
                              </w:rPr>
                              <w:t>The SBoM chairman</w:t>
                            </w:r>
                            <w:r w:rsidRPr="0056737F">
                              <w:rPr>
                                <w:sz w:val="20"/>
                              </w:rPr>
                              <w:t xml:space="preserve"> recalled it </w:t>
                            </w:r>
                            <w:r>
                              <w:rPr>
                                <w:sz w:val="20"/>
                              </w:rPr>
                              <w:t>included infrastructure activities</w:t>
                            </w:r>
                            <w:r w:rsidRPr="0056737F">
                              <w:rPr>
                                <w:sz w:val="20"/>
                              </w:rPr>
                              <w:t xml:space="preserve"> rolled over from the previous plan</w:t>
                            </w:r>
                            <w:r>
                              <w:rPr>
                                <w:sz w:val="20"/>
                              </w:rPr>
                              <w:t>,</w:t>
                            </w:r>
                            <w:r w:rsidRPr="0056737F">
                              <w:rPr>
                                <w:sz w:val="20"/>
                              </w:rPr>
                              <w:t xml:space="preserve"> </w:t>
                            </w:r>
                            <w:r>
                              <w:rPr>
                                <w:sz w:val="20"/>
                              </w:rPr>
                              <w:t>including</w:t>
                            </w:r>
                            <w:r w:rsidRPr="0056737F">
                              <w:rPr>
                                <w:sz w:val="20"/>
                              </w:rPr>
                              <w:t>: Anothe</w:t>
                            </w:r>
                            <w:r>
                              <w:rPr>
                                <w:sz w:val="20"/>
                              </w:rPr>
                              <w:t>r classroom, a rainwater tank, teacher</w:t>
                            </w:r>
                            <w:r w:rsidRPr="0056737F">
                              <w:rPr>
                                <w:sz w:val="20"/>
                              </w:rPr>
                              <w:t xml:space="preserve"> house</w:t>
                            </w:r>
                            <w:r>
                              <w:rPr>
                                <w:sz w:val="20"/>
                              </w:rPr>
                              <w:t>s</w:t>
                            </w:r>
                            <w:r w:rsidRPr="0056737F">
                              <w:rPr>
                                <w:sz w:val="20"/>
                              </w:rPr>
                              <w:t xml:space="preserve">, proper fencing, and maintenance. </w:t>
                            </w:r>
                            <w:r>
                              <w:rPr>
                                <w:sz w:val="20"/>
                              </w:rPr>
                              <w:t xml:space="preserve">Of these activities, only 1 teacher house had been completed. </w:t>
                            </w:r>
                            <w:r w:rsidRPr="0056737F">
                              <w:rPr>
                                <w:sz w:val="20"/>
                              </w:rPr>
                              <w:t>Most of the funding came from the TFF</w:t>
                            </w:r>
                            <w:r>
                              <w:rPr>
                                <w:sz w:val="20"/>
                              </w:rPr>
                              <w:t xml:space="preserve"> subsidy</w:t>
                            </w:r>
                            <w:r w:rsidRPr="0056737F">
                              <w:rPr>
                                <w:sz w:val="20"/>
                              </w:rPr>
                              <w:t xml:space="preserve"> (about k3000 per quarter). The</w:t>
                            </w:r>
                            <w:r>
                              <w:rPr>
                                <w:sz w:val="20"/>
                              </w:rPr>
                              <w:t xml:space="preserve"> SBoM</w:t>
                            </w:r>
                            <w:r w:rsidRPr="0056737F">
                              <w:rPr>
                                <w:sz w:val="20"/>
                              </w:rPr>
                              <w:t xml:space="preserve"> collect </w:t>
                            </w:r>
                            <w:r>
                              <w:rPr>
                                <w:sz w:val="20"/>
                              </w:rPr>
                              <w:t xml:space="preserve">about </w:t>
                            </w:r>
                            <w:r w:rsidRPr="0056737F">
                              <w:rPr>
                                <w:sz w:val="20"/>
                              </w:rPr>
                              <w:t xml:space="preserve">K500 – 600 annually </w:t>
                            </w:r>
                            <w:r>
                              <w:rPr>
                                <w:sz w:val="20"/>
                              </w:rPr>
                              <w:t>(</w:t>
                            </w:r>
                            <w:r w:rsidRPr="0056737F">
                              <w:rPr>
                                <w:sz w:val="20"/>
                              </w:rPr>
                              <w:t xml:space="preserve">K20 from parents who </w:t>
                            </w:r>
                            <w:r>
                              <w:rPr>
                                <w:sz w:val="20"/>
                              </w:rPr>
                              <w:t>do</w:t>
                            </w:r>
                            <w:r w:rsidRPr="0056737F">
                              <w:rPr>
                                <w:sz w:val="20"/>
                              </w:rPr>
                              <w:t xml:space="preserve"> not complete voluntary work </w:t>
                            </w:r>
                            <w:r>
                              <w:rPr>
                                <w:sz w:val="20"/>
                              </w:rPr>
                              <w:t>around the school)</w:t>
                            </w:r>
                            <w:r w:rsidRPr="0056737F">
                              <w:rPr>
                                <w:sz w:val="20"/>
                              </w:rPr>
                              <w:t xml:space="preserve">. </w:t>
                            </w:r>
                          </w:p>
                          <w:p w14:paraId="17599FC4" w14:textId="77777777" w:rsidR="009F310F" w:rsidRPr="0056737F" w:rsidRDefault="009F310F" w:rsidP="00E83D77">
                            <w:pPr>
                              <w:shd w:val="clear" w:color="auto" w:fill="EDEDED" w:themeFill="accent3" w:themeFillTint="33"/>
                              <w:rPr>
                                <w:sz w:val="20"/>
                              </w:rPr>
                            </w:pPr>
                            <w:r w:rsidRPr="0056737F">
                              <w:rPr>
                                <w:sz w:val="20"/>
                              </w:rPr>
                              <w:t xml:space="preserve">The </w:t>
                            </w:r>
                            <w:r>
                              <w:rPr>
                                <w:sz w:val="20"/>
                              </w:rPr>
                              <w:t>SBoM</w:t>
                            </w:r>
                            <w:r w:rsidRPr="0056737F">
                              <w:rPr>
                                <w:sz w:val="20"/>
                              </w:rPr>
                              <w:t xml:space="preserve"> chairman and T</w:t>
                            </w:r>
                            <w:r>
                              <w:rPr>
                                <w:sz w:val="20"/>
                              </w:rPr>
                              <w:t>i</w:t>
                            </w:r>
                            <w:r w:rsidRPr="0056737F">
                              <w:rPr>
                                <w:sz w:val="20"/>
                              </w:rPr>
                              <w:t xml:space="preserve">C attended the PKS training in July 2019. The </w:t>
                            </w:r>
                            <w:r>
                              <w:rPr>
                                <w:sz w:val="20"/>
                              </w:rPr>
                              <w:t>SBoM</w:t>
                            </w:r>
                            <w:r w:rsidRPr="0056737F">
                              <w:rPr>
                                <w:sz w:val="20"/>
                              </w:rPr>
                              <w:t xml:space="preserve"> chairman’s recollection of the training was that it encouraged them to find their own funding, and they planned to write letters to seek funds. He was unable to recollect anything else. He did not think anything had been done to review the SLIP using idea</w:t>
                            </w:r>
                            <w:r>
                              <w:rPr>
                                <w:sz w:val="20"/>
                              </w:rPr>
                              <w:t>s from the training</w:t>
                            </w:r>
                            <w:r w:rsidRPr="0056737F">
                              <w:rPr>
                                <w:sz w:val="20"/>
                              </w:rPr>
                              <w:t>.</w:t>
                            </w:r>
                            <w:r>
                              <w:rPr>
                                <w:sz w:val="20"/>
                              </w:rPr>
                              <w:t xml:space="preserve"> The TiC may have had clearer plans for future SLIP development, but if so, neither the chairman, treasurer or community representative interviewed were aware of them.</w:t>
                            </w:r>
                          </w:p>
                          <w:p w14:paraId="6452E437" w14:textId="77777777" w:rsidR="009F310F" w:rsidRPr="00E66525" w:rsidRDefault="009F310F" w:rsidP="00E83D77">
                            <w:pPr>
                              <w:shd w:val="clear" w:color="auto" w:fill="EDEDED" w:themeFill="accent3" w:themeFillTint="33"/>
                              <w:rPr>
                                <w:sz w:val="20"/>
                              </w:rPr>
                            </w:pPr>
                            <w:r>
                              <w:rPr>
                                <w:sz w:val="20"/>
                              </w:rPr>
                              <w:t xml:space="preserve"> </w:t>
                            </w:r>
                          </w:p>
                        </w:txbxContent>
                      </wps:txbx>
                      <wps:bodyPr rot="0" vert="horz" wrap="square" lIns="91440" tIns="45720" rIns="91440" bIns="45720" anchor="t" anchorCtr="0">
                        <a:noAutofit/>
                      </wps:bodyPr>
                    </wps:wsp>
                  </a:graphicData>
                </a:graphic>
              </wp:inline>
            </w:drawing>
          </mc:Choice>
          <mc:Fallback>
            <w:pict>
              <v:shape w14:anchorId="47BA989A" id="_x0000_s1036" type="#_x0000_t202" style="width:466.65pt;height:2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" fillcolor="#eaeaea">
                <v:textbox>
                  <w:txbxContent>
                    <w:p w14:paraId="536651B6" w14:textId="77777777" w:rsidR="009F310F" w:rsidRPr="0056737F" w:rsidRDefault="009F310F" w:rsidP="00E83D77">
                      <w:pPr>
                        <w:shd w:val="clear" w:color="auto" w:fill="EDEDED" w:themeFill="accent3" w:themeFillTint="33"/>
                      </w:pPr>
                      <w:r w:rsidRPr="00DD25A9">
                        <w:rPr>
                          <w:sz w:val="20"/>
                          <w:szCs w:val="20"/>
                        </w:rPr>
                        <w:t>In the first PKS</w:t>
                      </w:r>
                      <w:r w:rsidRPr="00F8028C">
                        <w:rPr>
                          <w:sz w:val="20"/>
                          <w:szCs w:val="20"/>
                        </w:rPr>
                        <w:t xml:space="preserve"> school visited</w:t>
                      </w:r>
                      <w:r>
                        <w:rPr>
                          <w:sz w:val="20"/>
                        </w:rPr>
                        <w:t>,</w:t>
                      </w:r>
                      <w:r w:rsidRPr="0056737F">
                        <w:rPr>
                          <w:sz w:val="20"/>
                        </w:rPr>
                        <w:t xml:space="preserve"> </w:t>
                      </w:r>
                      <w:r>
                        <w:rPr>
                          <w:sz w:val="20"/>
                        </w:rPr>
                        <w:t>SBoM</w:t>
                      </w:r>
                      <w:r w:rsidRPr="0056737F">
                        <w:rPr>
                          <w:sz w:val="20"/>
                        </w:rPr>
                        <w:t xml:space="preserve"> members</w:t>
                      </w:r>
                      <w:r>
                        <w:rPr>
                          <w:sz w:val="20"/>
                        </w:rPr>
                        <w:t xml:space="preserve"> had been on the Board for the 12 years since the school was founded. </w:t>
                      </w:r>
                      <w:r w:rsidRPr="0056737F">
                        <w:rPr>
                          <w:sz w:val="20"/>
                        </w:rPr>
                        <w:t xml:space="preserve"> </w:t>
                      </w:r>
                      <w:r>
                        <w:rPr>
                          <w:sz w:val="20"/>
                        </w:rPr>
                        <w:t xml:space="preserve">Their first </w:t>
                      </w:r>
                      <w:r w:rsidRPr="0056737F">
                        <w:rPr>
                          <w:sz w:val="20"/>
                        </w:rPr>
                        <w:t>SLIP</w:t>
                      </w:r>
                      <w:r>
                        <w:rPr>
                          <w:sz w:val="20"/>
                        </w:rPr>
                        <w:t xml:space="preserve"> was</w:t>
                      </w:r>
                      <w:r w:rsidRPr="0056737F">
                        <w:rPr>
                          <w:sz w:val="20"/>
                        </w:rPr>
                        <w:t xml:space="preserve"> from 2015 – 2017 </w:t>
                      </w:r>
                      <w:r>
                        <w:rPr>
                          <w:sz w:val="20"/>
                        </w:rPr>
                        <w:t>and</w:t>
                      </w:r>
                      <w:r w:rsidRPr="0056737F">
                        <w:rPr>
                          <w:sz w:val="20"/>
                        </w:rPr>
                        <w:t xml:space="preserve"> included infrastructure activities (a classroom, toilets,</w:t>
                      </w:r>
                      <w:r>
                        <w:rPr>
                          <w:sz w:val="20"/>
                        </w:rPr>
                        <w:t xml:space="preserve"> and</w:t>
                      </w:r>
                      <w:r w:rsidRPr="0056737F">
                        <w:rPr>
                          <w:sz w:val="20"/>
                        </w:rPr>
                        <w:t xml:space="preserve"> fencing) which were mostly completed. There was </w:t>
                      </w:r>
                      <w:r>
                        <w:rPr>
                          <w:sz w:val="20"/>
                        </w:rPr>
                        <w:t>a current plan for</w:t>
                      </w:r>
                      <w:r w:rsidRPr="0056737F">
                        <w:rPr>
                          <w:sz w:val="20"/>
                        </w:rPr>
                        <w:t xml:space="preserve"> 2018 -20, which the </w:t>
                      </w:r>
                      <w:r>
                        <w:rPr>
                          <w:sz w:val="20"/>
                        </w:rPr>
                        <w:t>SBoM</w:t>
                      </w:r>
                      <w:r w:rsidRPr="0056737F">
                        <w:rPr>
                          <w:sz w:val="20"/>
                        </w:rPr>
                        <w:t xml:space="preserve"> chairman had seen, however it was in the possession of the T</w:t>
                      </w:r>
                      <w:r>
                        <w:rPr>
                          <w:sz w:val="20"/>
                        </w:rPr>
                        <w:t>i</w:t>
                      </w:r>
                      <w:r w:rsidRPr="0056737F">
                        <w:rPr>
                          <w:sz w:val="20"/>
                        </w:rPr>
                        <w:t xml:space="preserve">C </w:t>
                      </w:r>
                      <w:r>
                        <w:rPr>
                          <w:sz w:val="20"/>
                        </w:rPr>
                        <w:t>(</w:t>
                      </w:r>
                      <w:r w:rsidRPr="0056737F">
                        <w:rPr>
                          <w:sz w:val="20"/>
                        </w:rPr>
                        <w:t>who was not present during the interview</w:t>
                      </w:r>
                      <w:r>
                        <w:rPr>
                          <w:sz w:val="20"/>
                        </w:rPr>
                        <w:t>)</w:t>
                      </w:r>
                      <w:r w:rsidRPr="0056737F">
                        <w:rPr>
                          <w:sz w:val="20"/>
                        </w:rPr>
                        <w:t xml:space="preserve">. </w:t>
                      </w:r>
                      <w:r>
                        <w:rPr>
                          <w:sz w:val="20"/>
                        </w:rPr>
                        <w:t>The SBoM chairman</w:t>
                      </w:r>
                      <w:r w:rsidRPr="0056737F">
                        <w:rPr>
                          <w:sz w:val="20"/>
                        </w:rPr>
                        <w:t xml:space="preserve"> recalled it </w:t>
                      </w:r>
                      <w:r>
                        <w:rPr>
                          <w:sz w:val="20"/>
                        </w:rPr>
                        <w:t>included infrastructure activities</w:t>
                      </w:r>
                      <w:r w:rsidRPr="0056737F">
                        <w:rPr>
                          <w:sz w:val="20"/>
                        </w:rPr>
                        <w:t xml:space="preserve"> rolled over from the previous plan</w:t>
                      </w:r>
                      <w:r>
                        <w:rPr>
                          <w:sz w:val="20"/>
                        </w:rPr>
                        <w:t>,</w:t>
                      </w:r>
                      <w:r w:rsidRPr="0056737F">
                        <w:rPr>
                          <w:sz w:val="20"/>
                        </w:rPr>
                        <w:t xml:space="preserve"> </w:t>
                      </w:r>
                      <w:r>
                        <w:rPr>
                          <w:sz w:val="20"/>
                        </w:rPr>
                        <w:t>including</w:t>
                      </w:r>
                      <w:r w:rsidRPr="0056737F">
                        <w:rPr>
                          <w:sz w:val="20"/>
                        </w:rPr>
                        <w:t>: Anothe</w:t>
                      </w:r>
                      <w:r>
                        <w:rPr>
                          <w:sz w:val="20"/>
                        </w:rPr>
                        <w:t>r classroom, a rainwater tank, teacher</w:t>
                      </w:r>
                      <w:r w:rsidRPr="0056737F">
                        <w:rPr>
                          <w:sz w:val="20"/>
                        </w:rPr>
                        <w:t xml:space="preserve"> house</w:t>
                      </w:r>
                      <w:r>
                        <w:rPr>
                          <w:sz w:val="20"/>
                        </w:rPr>
                        <w:t>s</w:t>
                      </w:r>
                      <w:r w:rsidRPr="0056737F">
                        <w:rPr>
                          <w:sz w:val="20"/>
                        </w:rPr>
                        <w:t xml:space="preserve">, proper fencing, and maintenance. </w:t>
                      </w:r>
                      <w:r>
                        <w:rPr>
                          <w:sz w:val="20"/>
                        </w:rPr>
                        <w:t xml:space="preserve">Of these activities, only 1 teacher house had been completed. </w:t>
                      </w:r>
                      <w:r w:rsidRPr="0056737F">
                        <w:rPr>
                          <w:sz w:val="20"/>
                        </w:rPr>
                        <w:t>Most of the funding came from the TFF</w:t>
                      </w:r>
                      <w:r>
                        <w:rPr>
                          <w:sz w:val="20"/>
                        </w:rPr>
                        <w:t xml:space="preserve"> subsidy</w:t>
                      </w:r>
                      <w:r w:rsidRPr="0056737F">
                        <w:rPr>
                          <w:sz w:val="20"/>
                        </w:rPr>
                        <w:t xml:space="preserve"> (about k3000 per quarter). The</w:t>
                      </w:r>
                      <w:r>
                        <w:rPr>
                          <w:sz w:val="20"/>
                        </w:rPr>
                        <w:t xml:space="preserve"> SBoM</w:t>
                      </w:r>
                      <w:r w:rsidRPr="0056737F">
                        <w:rPr>
                          <w:sz w:val="20"/>
                        </w:rPr>
                        <w:t xml:space="preserve"> collect </w:t>
                      </w:r>
                      <w:r>
                        <w:rPr>
                          <w:sz w:val="20"/>
                        </w:rPr>
                        <w:t xml:space="preserve">about </w:t>
                      </w:r>
                      <w:r w:rsidRPr="0056737F">
                        <w:rPr>
                          <w:sz w:val="20"/>
                        </w:rPr>
                        <w:t xml:space="preserve">K500 – 600 annually </w:t>
                      </w:r>
                      <w:r>
                        <w:rPr>
                          <w:sz w:val="20"/>
                        </w:rPr>
                        <w:t>(</w:t>
                      </w:r>
                      <w:r w:rsidRPr="0056737F">
                        <w:rPr>
                          <w:sz w:val="20"/>
                        </w:rPr>
                        <w:t xml:space="preserve">K20 from parents who </w:t>
                      </w:r>
                      <w:r>
                        <w:rPr>
                          <w:sz w:val="20"/>
                        </w:rPr>
                        <w:t>do</w:t>
                      </w:r>
                      <w:r w:rsidRPr="0056737F">
                        <w:rPr>
                          <w:sz w:val="20"/>
                        </w:rPr>
                        <w:t xml:space="preserve"> not complete voluntary work </w:t>
                      </w:r>
                      <w:r>
                        <w:rPr>
                          <w:sz w:val="20"/>
                        </w:rPr>
                        <w:t>around the school)</w:t>
                      </w:r>
                      <w:r w:rsidRPr="0056737F">
                        <w:rPr>
                          <w:sz w:val="20"/>
                        </w:rPr>
                        <w:t xml:space="preserve">. </w:t>
                      </w:r>
                    </w:p>
                    <w:p w14:paraId="17599FC4" w14:textId="77777777" w:rsidR="009F310F" w:rsidRPr="0056737F" w:rsidRDefault="009F310F" w:rsidP="00E83D77">
                      <w:pPr>
                        <w:shd w:val="clear" w:color="auto" w:fill="EDEDED" w:themeFill="accent3" w:themeFillTint="33"/>
                        <w:rPr>
                          <w:sz w:val="20"/>
                        </w:rPr>
                      </w:pPr>
                      <w:r w:rsidRPr="0056737F">
                        <w:rPr>
                          <w:sz w:val="20"/>
                        </w:rPr>
                        <w:t xml:space="preserve">The </w:t>
                      </w:r>
                      <w:r>
                        <w:rPr>
                          <w:sz w:val="20"/>
                        </w:rPr>
                        <w:t>SBoM</w:t>
                      </w:r>
                      <w:r w:rsidRPr="0056737F">
                        <w:rPr>
                          <w:sz w:val="20"/>
                        </w:rPr>
                        <w:t xml:space="preserve"> chairman and T</w:t>
                      </w:r>
                      <w:r>
                        <w:rPr>
                          <w:sz w:val="20"/>
                        </w:rPr>
                        <w:t>i</w:t>
                      </w:r>
                      <w:r w:rsidRPr="0056737F">
                        <w:rPr>
                          <w:sz w:val="20"/>
                        </w:rPr>
                        <w:t xml:space="preserve">C attended the PKS training in July 2019. The </w:t>
                      </w:r>
                      <w:r>
                        <w:rPr>
                          <w:sz w:val="20"/>
                        </w:rPr>
                        <w:t>SBoM</w:t>
                      </w:r>
                      <w:r w:rsidRPr="0056737F">
                        <w:rPr>
                          <w:sz w:val="20"/>
                        </w:rPr>
                        <w:t xml:space="preserve"> chairman’s recollection of the training was that it encouraged them to find their own funding, and they planned to write letters to seek funds. He was unable to recollect anything else. He did not think anything had been done to review the SLIP using idea</w:t>
                      </w:r>
                      <w:r>
                        <w:rPr>
                          <w:sz w:val="20"/>
                        </w:rPr>
                        <w:t>s from the training</w:t>
                      </w:r>
                      <w:r w:rsidRPr="0056737F">
                        <w:rPr>
                          <w:sz w:val="20"/>
                        </w:rPr>
                        <w:t>.</w:t>
                      </w:r>
                      <w:r>
                        <w:rPr>
                          <w:sz w:val="20"/>
                        </w:rPr>
                        <w:t xml:space="preserve"> The TiC may have had clearer plans for future SLIP development, but if so, neither the chairman, treasurer or community representative interviewed were aware of them.</w:t>
                      </w:r>
                    </w:p>
                    <w:p w14:paraId="6452E437" w14:textId="77777777" w:rsidR="009F310F" w:rsidRPr="00E66525" w:rsidRDefault="009F310F" w:rsidP="00E83D77">
                      <w:pPr>
                        <w:shd w:val="clear" w:color="auto" w:fill="EDEDED" w:themeFill="accent3" w:themeFillTint="33"/>
                        <w:rPr>
                          <w:sz w:val="20"/>
                        </w:rPr>
                      </w:pPr>
                      <w:r>
                        <w:rPr>
                          <w:sz w:val="20"/>
                        </w:rPr>
                        <w:t xml:space="preserve"> </w:t>
                      </w:r>
                    </w:p>
                  </w:txbxContent>
                </v:textbox>
                <w10:anchorlock/>
              </v:shape>
            </w:pict>
          </mc:Fallback>
        </mc:AlternateContent>
      </w:r>
    </w:p>
    <w:p w14:paraId="434AF184" w14:textId="77777777" w:rsidR="00E83D77" w:rsidRPr="00FA288E" w:rsidRDefault="00E83D77" w:rsidP="00E83D77">
      <w:pPr>
        <w:pStyle w:val="BodyText"/>
        <w:rPr>
          <w:rFonts w:ascii="Calibri" w:hAnsi="Calibri" w:cs="Calibri"/>
          <w:sz w:val="20"/>
          <w:szCs w:val="20"/>
        </w:rPr>
      </w:pPr>
      <w:r w:rsidRPr="00FA288E">
        <w:rPr>
          <w:rFonts w:ascii="Calibri" w:hAnsi="Calibri" w:cs="Calibri"/>
          <w:sz w:val="20"/>
          <w:szCs w:val="20"/>
        </w:rPr>
        <w:t xml:space="preserve">The strong emphasis on infrastructure of existing SLIPs was evident in the example above, and securing funding from available sources was evidently still a primary concern. There was little evidence of information sharing on SLIP development amongst </w:t>
      </w:r>
      <w:proofErr w:type="spellStart"/>
      <w:r w:rsidRPr="00FA288E">
        <w:rPr>
          <w:rFonts w:ascii="Calibri" w:hAnsi="Calibri" w:cs="Calibri"/>
          <w:sz w:val="20"/>
          <w:szCs w:val="20"/>
        </w:rPr>
        <w:t>SBoM</w:t>
      </w:r>
      <w:proofErr w:type="spellEnd"/>
      <w:r w:rsidRPr="00FA288E">
        <w:rPr>
          <w:rFonts w:ascii="Calibri" w:hAnsi="Calibri" w:cs="Calibri"/>
          <w:sz w:val="20"/>
          <w:szCs w:val="20"/>
        </w:rPr>
        <w:t xml:space="preserve"> members.</w:t>
      </w:r>
    </w:p>
    <w:p w14:paraId="2D201E16" w14:textId="77777777" w:rsidR="00E83D77" w:rsidRPr="00FA288E" w:rsidRDefault="00E83D77" w:rsidP="00320085">
      <w:pPr>
        <w:pStyle w:val="Heading2"/>
        <w:rPr>
          <w:b w:val="0"/>
          <w:bCs w:val="0"/>
          <w:sz w:val="20"/>
          <w:szCs w:val="20"/>
        </w:rPr>
      </w:pPr>
      <w:bookmarkStart w:id="193" w:name="_Box_12._"/>
      <w:bookmarkStart w:id="194" w:name="_Toc26914403"/>
      <w:bookmarkStart w:id="195" w:name="_Toc31625623"/>
      <w:bookmarkStart w:id="196" w:name="_Toc42076003"/>
      <w:bookmarkEnd w:id="193"/>
      <w:r w:rsidRPr="00FA288E">
        <w:rPr>
          <w:b w:val="0"/>
          <w:bCs w:val="0"/>
          <w:sz w:val="20"/>
          <w:szCs w:val="20"/>
        </w:rPr>
        <w:lastRenderedPageBreak/>
        <w:t xml:space="preserve">Box 12.  A motivated school, poor communication between </w:t>
      </w:r>
      <w:proofErr w:type="spellStart"/>
      <w:r w:rsidRPr="00FA288E">
        <w:rPr>
          <w:b w:val="0"/>
          <w:bCs w:val="0"/>
          <w:sz w:val="20"/>
          <w:szCs w:val="20"/>
        </w:rPr>
        <w:t>SBoM</w:t>
      </w:r>
      <w:proofErr w:type="spellEnd"/>
      <w:r w:rsidRPr="00FA288E">
        <w:rPr>
          <w:b w:val="0"/>
          <w:bCs w:val="0"/>
          <w:sz w:val="20"/>
          <w:szCs w:val="20"/>
        </w:rPr>
        <w:t xml:space="preserve"> members and District inspector approval</w:t>
      </w:r>
      <w:bookmarkEnd w:id="194"/>
      <w:bookmarkEnd w:id="195"/>
      <w:bookmarkEnd w:id="196"/>
    </w:p>
    <w:p w14:paraId="442EF042" w14:textId="77777777" w:rsidR="00E83D77" w:rsidRPr="00FA288E" w:rsidRDefault="00E83D77" w:rsidP="00E83D77">
      <w:pPr>
        <w:rPr>
          <w:rFonts w:cs="Calibri"/>
          <w:sz w:val="20"/>
          <w:szCs w:val="20"/>
        </w:rPr>
      </w:pPr>
      <w:r w:rsidRPr="00FA288E">
        <w:rPr>
          <w:rFonts w:cs="Calibri"/>
          <w:noProof/>
          <w:sz w:val="20"/>
          <w:szCs w:val="20"/>
          <w:lang w:eastAsia="en-AU"/>
        </w:rPr>
        <mc:AlternateContent>
          <mc:Choice Requires="wps">
            <w:drawing>
              <wp:inline distT="0" distB="0" distL="0" distR="0" wp14:anchorId="48617EB7" wp14:editId="5F47202D">
                <wp:extent cx="5940532" cy="4707685"/>
                <wp:effectExtent l="0" t="0" r="22225" b="1714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532" cy="4707685"/>
                        </a:xfrm>
                        <a:prstGeom prst="rect">
                          <a:avLst/>
                        </a:prstGeom>
                        <a:solidFill>
                          <a:srgbClr val="EAEAEA"/>
                        </a:solidFill>
                        <a:ln w="9525">
                          <a:solidFill>
                            <a:srgbClr val="000000"/>
                          </a:solidFill>
                          <a:miter lim="800000"/>
                          <a:headEnd/>
                          <a:tailEnd/>
                        </a:ln>
                      </wps:spPr>
                      <wps:txbx>
                        <w:txbxContent>
                          <w:p w14:paraId="26CE0748" w14:textId="77777777" w:rsidR="009F310F" w:rsidRDefault="009F310F" w:rsidP="00E83D77">
                            <w:pPr>
                              <w:shd w:val="clear" w:color="auto" w:fill="EDEDED" w:themeFill="accent3" w:themeFillTint="33"/>
                              <w:spacing w:after="60"/>
                              <w:rPr>
                                <w:sz w:val="20"/>
                              </w:rPr>
                            </w:pPr>
                            <w:r w:rsidRPr="003174EF">
                              <w:rPr>
                                <w:sz w:val="20"/>
                                <w:szCs w:val="20"/>
                              </w:rPr>
                              <w:t>In the second PKS</w:t>
                            </w:r>
                            <w:r w:rsidRPr="00F8028C">
                              <w:rPr>
                                <w:sz w:val="20"/>
                                <w:szCs w:val="20"/>
                              </w:rPr>
                              <w:t xml:space="preserve"> school visited, all </w:t>
                            </w:r>
                            <w:r>
                              <w:rPr>
                                <w:sz w:val="20"/>
                                <w:szCs w:val="20"/>
                              </w:rPr>
                              <w:t>SBoM</w:t>
                            </w:r>
                            <w:r w:rsidRPr="0056737F">
                              <w:rPr>
                                <w:sz w:val="20"/>
                              </w:rPr>
                              <w:t xml:space="preserve"> members had been on </w:t>
                            </w:r>
                            <w:r>
                              <w:rPr>
                                <w:sz w:val="20"/>
                              </w:rPr>
                              <w:t xml:space="preserve">the board for 11 years. </w:t>
                            </w:r>
                            <w:r w:rsidRPr="0056737F">
                              <w:rPr>
                                <w:sz w:val="20"/>
                              </w:rPr>
                              <w:t xml:space="preserve">In 2008 they </w:t>
                            </w:r>
                            <w:r>
                              <w:rPr>
                                <w:sz w:val="20"/>
                              </w:rPr>
                              <w:t>completed</w:t>
                            </w:r>
                            <w:r w:rsidRPr="0056737F">
                              <w:rPr>
                                <w:sz w:val="20"/>
                              </w:rPr>
                              <w:t xml:space="preserve"> a SLI</w:t>
                            </w:r>
                            <w:r>
                              <w:rPr>
                                <w:sz w:val="20"/>
                              </w:rPr>
                              <w:t xml:space="preserve">P and got a subsidy to build classrooms, which they had to supplement with </w:t>
                            </w:r>
                            <w:r w:rsidRPr="0056737F">
                              <w:rPr>
                                <w:sz w:val="20"/>
                              </w:rPr>
                              <w:t xml:space="preserve">community funds. Since then, the same activities had been rolled over </w:t>
                            </w:r>
                            <w:r>
                              <w:rPr>
                                <w:sz w:val="20"/>
                              </w:rPr>
                              <w:t xml:space="preserve">in SLIPs </w:t>
                            </w:r>
                            <w:r w:rsidRPr="0056737F">
                              <w:rPr>
                                <w:sz w:val="20"/>
                              </w:rPr>
                              <w:t xml:space="preserve">every year. When pressed for details </w:t>
                            </w:r>
                            <w:r>
                              <w:rPr>
                                <w:sz w:val="20"/>
                              </w:rPr>
                              <w:t>of the content of the SLIPs, the SBoM chairman</w:t>
                            </w:r>
                            <w:r w:rsidRPr="0056737F">
                              <w:rPr>
                                <w:sz w:val="20"/>
                              </w:rPr>
                              <w:t xml:space="preserve"> recalled: Fencing, a toilet, teacher houses, a water</w:t>
                            </w:r>
                            <w:r>
                              <w:rPr>
                                <w:sz w:val="20"/>
                              </w:rPr>
                              <w:t xml:space="preserve"> </w:t>
                            </w:r>
                            <w:r w:rsidRPr="0056737F">
                              <w:rPr>
                                <w:sz w:val="20"/>
                              </w:rPr>
                              <w:t xml:space="preserve">tank, </w:t>
                            </w:r>
                            <w:r>
                              <w:rPr>
                                <w:sz w:val="20"/>
                              </w:rPr>
                              <w:t>as well as</w:t>
                            </w:r>
                            <w:r w:rsidRPr="0056737F">
                              <w:rPr>
                                <w:sz w:val="20"/>
                              </w:rPr>
                              <w:t xml:space="preserve"> some books</w:t>
                            </w:r>
                            <w:r>
                              <w:rPr>
                                <w:sz w:val="20"/>
                              </w:rPr>
                              <w:t xml:space="preserve"> </w:t>
                            </w:r>
                            <w:r w:rsidRPr="0056737F">
                              <w:rPr>
                                <w:sz w:val="20"/>
                              </w:rPr>
                              <w:t>– which they produced themselves by photocopying existing books. Funds mostly came from the TFF</w:t>
                            </w:r>
                            <w:r>
                              <w:rPr>
                                <w:sz w:val="20"/>
                              </w:rPr>
                              <w:t xml:space="preserve"> subsidy</w:t>
                            </w:r>
                            <w:r w:rsidRPr="0056737F">
                              <w:rPr>
                                <w:sz w:val="20"/>
                              </w:rPr>
                              <w:t>. They also request K20 per year for projects from parents, however the Chairman confessed that only about ¼ of</w:t>
                            </w:r>
                            <w:r>
                              <w:rPr>
                                <w:sz w:val="20"/>
                              </w:rPr>
                              <w:t xml:space="preserve"> all</w:t>
                            </w:r>
                            <w:r w:rsidRPr="0056737F">
                              <w:rPr>
                                <w:sz w:val="20"/>
                              </w:rPr>
                              <w:t xml:space="preserve"> parents paid it.</w:t>
                            </w:r>
                            <w:r>
                              <w:rPr>
                                <w:sz w:val="20"/>
                              </w:rPr>
                              <w:t xml:space="preserve"> </w:t>
                            </w:r>
                            <w:r w:rsidRPr="0056737F">
                              <w:rPr>
                                <w:sz w:val="20"/>
                              </w:rPr>
                              <w:t xml:space="preserve">The </w:t>
                            </w:r>
                            <w:r>
                              <w:rPr>
                                <w:sz w:val="20"/>
                              </w:rPr>
                              <w:t xml:space="preserve">SBoM </w:t>
                            </w:r>
                            <w:r w:rsidRPr="0056737F">
                              <w:rPr>
                                <w:sz w:val="20"/>
                              </w:rPr>
                              <w:t>secretary asked about</w:t>
                            </w:r>
                            <w:r>
                              <w:rPr>
                                <w:sz w:val="20"/>
                              </w:rPr>
                              <w:t xml:space="preserve"> </w:t>
                            </w:r>
                            <w:r w:rsidRPr="0056737F">
                              <w:rPr>
                                <w:sz w:val="20"/>
                              </w:rPr>
                              <w:t>the format for the SLIP</w:t>
                            </w:r>
                            <w:r>
                              <w:rPr>
                                <w:sz w:val="20"/>
                              </w:rPr>
                              <w:t>, and how he could obtain it. While</w:t>
                            </w:r>
                            <w:r w:rsidRPr="0056737F">
                              <w:rPr>
                                <w:sz w:val="20"/>
                              </w:rPr>
                              <w:t xml:space="preserve"> the T</w:t>
                            </w:r>
                            <w:r>
                              <w:rPr>
                                <w:sz w:val="20"/>
                              </w:rPr>
                              <w:t>i</w:t>
                            </w:r>
                            <w:r w:rsidRPr="0056737F">
                              <w:rPr>
                                <w:sz w:val="20"/>
                              </w:rPr>
                              <w:t>C and Chair</w:t>
                            </w:r>
                            <w:r>
                              <w:rPr>
                                <w:sz w:val="20"/>
                              </w:rPr>
                              <w:t>man</w:t>
                            </w:r>
                            <w:r w:rsidRPr="0056737F">
                              <w:rPr>
                                <w:sz w:val="20"/>
                              </w:rPr>
                              <w:t xml:space="preserve"> had been provided these as part of the </w:t>
                            </w:r>
                            <w:r>
                              <w:rPr>
                                <w:sz w:val="20"/>
                              </w:rPr>
                              <w:t xml:space="preserve">PKS </w:t>
                            </w:r>
                            <w:r w:rsidRPr="0056737F">
                              <w:rPr>
                                <w:sz w:val="20"/>
                              </w:rPr>
                              <w:t>training</w:t>
                            </w:r>
                            <w:r>
                              <w:rPr>
                                <w:sz w:val="20"/>
                              </w:rPr>
                              <w:t>, they had not been shared</w:t>
                            </w:r>
                            <w:r w:rsidRPr="0056737F">
                              <w:rPr>
                                <w:sz w:val="20"/>
                              </w:rPr>
                              <w:t>.</w:t>
                            </w:r>
                          </w:p>
                          <w:p w14:paraId="48FA1F56" w14:textId="77777777" w:rsidR="009F310F" w:rsidRDefault="009F310F" w:rsidP="00E83D77">
                            <w:pPr>
                              <w:shd w:val="clear" w:color="auto" w:fill="EDEDED" w:themeFill="accent3" w:themeFillTint="33"/>
                              <w:spacing w:after="60"/>
                              <w:rPr>
                                <w:sz w:val="20"/>
                              </w:rPr>
                            </w:pPr>
                            <w:r w:rsidRPr="0056737F">
                              <w:rPr>
                                <w:sz w:val="20"/>
                              </w:rPr>
                              <w:t xml:space="preserve">The </w:t>
                            </w:r>
                            <w:r>
                              <w:rPr>
                                <w:sz w:val="20"/>
                              </w:rPr>
                              <w:t>SBoM</w:t>
                            </w:r>
                            <w:r w:rsidRPr="0056737F">
                              <w:rPr>
                                <w:sz w:val="20"/>
                              </w:rPr>
                              <w:t xml:space="preserve"> </w:t>
                            </w:r>
                            <w:r>
                              <w:rPr>
                                <w:sz w:val="20"/>
                              </w:rPr>
                              <w:t xml:space="preserve">chairman </w:t>
                            </w:r>
                            <w:r w:rsidRPr="0056737F">
                              <w:rPr>
                                <w:sz w:val="20"/>
                              </w:rPr>
                              <w:t>indicated he would like to call the Board members together to make a new SLIP, but had not done so since the training in July 2019. He said it takes some time to understand the process</w:t>
                            </w:r>
                            <w:r>
                              <w:rPr>
                                <w:sz w:val="20"/>
                              </w:rPr>
                              <w:t xml:space="preserve">, and he could </w:t>
                            </w:r>
                            <w:r w:rsidRPr="0056737F">
                              <w:rPr>
                                <w:sz w:val="20"/>
                              </w:rPr>
                              <w:t>not mobilize the community to discuss issues such as a SLIP plan with them</w:t>
                            </w:r>
                            <w:r>
                              <w:rPr>
                                <w:sz w:val="20"/>
                              </w:rPr>
                              <w:t xml:space="preserve">. He </w:t>
                            </w:r>
                            <w:r w:rsidRPr="0056737F">
                              <w:rPr>
                                <w:sz w:val="20"/>
                              </w:rPr>
                              <w:t xml:space="preserve">did not seem to be aware that a new SLIP </w:t>
                            </w:r>
                            <w:r>
                              <w:rPr>
                                <w:sz w:val="20"/>
                              </w:rPr>
                              <w:t>had been developed</w:t>
                            </w:r>
                            <w:r w:rsidRPr="0056737F">
                              <w:rPr>
                                <w:sz w:val="20"/>
                              </w:rPr>
                              <w:t xml:space="preserve"> for 2018 – 20, </w:t>
                            </w:r>
                            <w:r>
                              <w:rPr>
                                <w:sz w:val="20"/>
                              </w:rPr>
                              <w:t>which was held by the TiC</w:t>
                            </w:r>
                            <w:r w:rsidRPr="0056737F">
                              <w:rPr>
                                <w:sz w:val="20"/>
                              </w:rPr>
                              <w:t xml:space="preserve">. </w:t>
                            </w:r>
                            <w:r>
                              <w:rPr>
                                <w:sz w:val="20"/>
                              </w:rPr>
                              <w:t xml:space="preserve">This was </w:t>
                            </w:r>
                            <w:r w:rsidRPr="0056737F">
                              <w:rPr>
                                <w:sz w:val="20"/>
                              </w:rPr>
                              <w:t xml:space="preserve">a </w:t>
                            </w:r>
                            <w:r>
                              <w:rPr>
                                <w:sz w:val="20"/>
                              </w:rPr>
                              <w:t xml:space="preserve">typed and </w:t>
                            </w:r>
                            <w:r w:rsidRPr="0056737F">
                              <w:rPr>
                                <w:sz w:val="20"/>
                              </w:rPr>
                              <w:t>bound document</w:t>
                            </w:r>
                            <w:r>
                              <w:rPr>
                                <w:sz w:val="20"/>
                              </w:rPr>
                              <w:t xml:space="preserve">, as was another document which had been prepared to attract funding for infrastructure plans. The TiC explained that it had been </w:t>
                            </w:r>
                            <w:r w:rsidRPr="0056737F">
                              <w:rPr>
                                <w:sz w:val="20"/>
                              </w:rPr>
                              <w:t xml:space="preserve">completed with the assistance of the </w:t>
                            </w:r>
                            <w:r>
                              <w:rPr>
                                <w:sz w:val="20"/>
                              </w:rPr>
                              <w:t xml:space="preserve">current </w:t>
                            </w:r>
                            <w:r w:rsidRPr="0056737F">
                              <w:rPr>
                                <w:sz w:val="20"/>
                              </w:rPr>
                              <w:t xml:space="preserve">District Inspector, who </w:t>
                            </w:r>
                            <w:r>
                              <w:rPr>
                                <w:sz w:val="20"/>
                              </w:rPr>
                              <w:t>was a former teacher</w:t>
                            </w:r>
                            <w:r w:rsidRPr="0056737F">
                              <w:rPr>
                                <w:sz w:val="20"/>
                              </w:rPr>
                              <w:t xml:space="preserve"> at their primary school before being promoted. </w:t>
                            </w:r>
                            <w:r>
                              <w:rPr>
                                <w:sz w:val="20"/>
                              </w:rPr>
                              <w:t>The</w:t>
                            </w:r>
                            <w:r w:rsidRPr="0056737F">
                              <w:rPr>
                                <w:sz w:val="20"/>
                              </w:rPr>
                              <w:t xml:space="preserve"> SLIP </w:t>
                            </w:r>
                            <w:r>
                              <w:rPr>
                                <w:sz w:val="20"/>
                              </w:rPr>
                              <w:t>largely followed the intended format,</w:t>
                            </w:r>
                            <w:r w:rsidRPr="0056737F">
                              <w:rPr>
                                <w:sz w:val="20"/>
                              </w:rPr>
                              <w:t xml:space="preserve"> and included a plan for each focus area, and </w:t>
                            </w:r>
                            <w:r>
                              <w:rPr>
                                <w:sz w:val="20"/>
                              </w:rPr>
                              <w:t>the TiC</w:t>
                            </w:r>
                            <w:r w:rsidRPr="0056737F">
                              <w:rPr>
                                <w:sz w:val="20"/>
                              </w:rPr>
                              <w:t xml:space="preserve"> explained all of the activities </w:t>
                            </w:r>
                            <w:r>
                              <w:rPr>
                                <w:sz w:val="20"/>
                              </w:rPr>
                              <w:t xml:space="preserve">that were </w:t>
                            </w:r>
                            <w:r w:rsidRPr="0056737F">
                              <w:rPr>
                                <w:sz w:val="20"/>
                              </w:rPr>
                              <w:t xml:space="preserve">completed in 2018: </w:t>
                            </w:r>
                            <w:r>
                              <w:rPr>
                                <w:sz w:val="20"/>
                              </w:rPr>
                              <w:t>Purchased</w:t>
                            </w:r>
                            <w:r w:rsidRPr="0056737F">
                              <w:rPr>
                                <w:sz w:val="20"/>
                              </w:rPr>
                              <w:t xml:space="preserve"> books; made big books; provided in-service training to teachers (the T</w:t>
                            </w:r>
                            <w:r>
                              <w:rPr>
                                <w:sz w:val="20"/>
                              </w:rPr>
                              <w:t>i</w:t>
                            </w:r>
                            <w:r w:rsidRPr="0056737F">
                              <w:rPr>
                                <w:sz w:val="20"/>
                              </w:rPr>
                              <w:t xml:space="preserve">C did the training herself); the Health Department came and spoke about Aids; </w:t>
                            </w:r>
                            <w:r>
                              <w:rPr>
                                <w:sz w:val="20"/>
                              </w:rPr>
                              <w:t xml:space="preserve">and they </w:t>
                            </w:r>
                            <w:r w:rsidRPr="0056737F">
                              <w:rPr>
                                <w:sz w:val="20"/>
                              </w:rPr>
                              <w:t>held a meeting to discuss end of year graduation ceremony</w:t>
                            </w:r>
                            <w:r>
                              <w:rPr>
                                <w:sz w:val="20"/>
                              </w:rPr>
                              <w:t>. She explained that most of these were routine activities that they performed anyway – with or without a SLIP</w:t>
                            </w:r>
                            <w:r w:rsidRPr="0056737F">
                              <w:rPr>
                                <w:sz w:val="20"/>
                              </w:rPr>
                              <w:t xml:space="preserve">. </w:t>
                            </w:r>
                          </w:p>
                          <w:p w14:paraId="3E90F957" w14:textId="77777777" w:rsidR="009F310F" w:rsidRPr="0056737F" w:rsidRDefault="009F310F" w:rsidP="00E83D77">
                            <w:pPr>
                              <w:shd w:val="clear" w:color="auto" w:fill="EDEDED" w:themeFill="accent3" w:themeFillTint="33"/>
                              <w:spacing w:after="60"/>
                              <w:rPr>
                                <w:sz w:val="20"/>
                              </w:rPr>
                            </w:pPr>
                            <w:r w:rsidRPr="0056737F">
                              <w:rPr>
                                <w:sz w:val="20"/>
                              </w:rPr>
                              <w:t>Activities not completed due to lack of funding included</w:t>
                            </w:r>
                            <w:r>
                              <w:rPr>
                                <w:sz w:val="20"/>
                              </w:rPr>
                              <w:t>:</w:t>
                            </w:r>
                            <w:r w:rsidRPr="0056737F">
                              <w:rPr>
                                <w:sz w:val="20"/>
                              </w:rPr>
                              <w:t xml:space="preserve"> maintenance; </w:t>
                            </w:r>
                            <w:r>
                              <w:rPr>
                                <w:sz w:val="20"/>
                              </w:rPr>
                              <w:t>building a new office; building a</w:t>
                            </w:r>
                            <w:r w:rsidRPr="0056737F">
                              <w:rPr>
                                <w:sz w:val="20"/>
                              </w:rPr>
                              <w:t xml:space="preserve"> conference room. Following the </w:t>
                            </w:r>
                            <w:r>
                              <w:rPr>
                                <w:sz w:val="20"/>
                              </w:rPr>
                              <w:t>PKS</w:t>
                            </w:r>
                            <w:r w:rsidRPr="0056737F">
                              <w:rPr>
                                <w:sz w:val="20"/>
                              </w:rPr>
                              <w:t xml:space="preserve"> training</w:t>
                            </w:r>
                            <w:r>
                              <w:rPr>
                                <w:sz w:val="20"/>
                              </w:rPr>
                              <w:t xml:space="preserve"> of which </w:t>
                            </w:r>
                            <w:r w:rsidRPr="0056737F">
                              <w:rPr>
                                <w:sz w:val="20"/>
                              </w:rPr>
                              <w:t xml:space="preserve">she could recall mostly the Financial Management aspects, she explained that she </w:t>
                            </w:r>
                            <w:r>
                              <w:rPr>
                                <w:sz w:val="20"/>
                              </w:rPr>
                              <w:t>did not have an</w:t>
                            </w:r>
                            <w:r w:rsidRPr="0056737F">
                              <w:rPr>
                                <w:sz w:val="20"/>
                              </w:rPr>
                              <w:t xml:space="preserve"> i</w:t>
                            </w:r>
                            <w:r>
                              <w:rPr>
                                <w:sz w:val="20"/>
                              </w:rPr>
                              <w:t>ntention to review and revise the current SLIP as “the District I</w:t>
                            </w:r>
                            <w:r w:rsidRPr="0056737F">
                              <w:rPr>
                                <w:sz w:val="20"/>
                              </w:rPr>
                              <w:t>nspector does not inspect it anyway</w:t>
                            </w:r>
                            <w:r>
                              <w:rPr>
                                <w:sz w:val="20"/>
                              </w:rPr>
                              <w:t>”</w:t>
                            </w:r>
                            <w:r w:rsidRPr="0056737F">
                              <w:rPr>
                                <w:sz w:val="20"/>
                              </w:rPr>
                              <w:t xml:space="preserve">. </w:t>
                            </w:r>
                            <w:r>
                              <w:rPr>
                                <w:sz w:val="20"/>
                              </w:rPr>
                              <w:t xml:space="preserve"> She went on to recount the difficulty she had getting the District Inspector to sign off on the completed plan, even though he had assisted with its development.</w:t>
                            </w:r>
                            <w:r w:rsidRPr="002769E3">
                              <w:rPr>
                                <w:sz w:val="20"/>
                              </w:rPr>
                              <w:t xml:space="preserve"> </w:t>
                            </w:r>
                            <w:r>
                              <w:rPr>
                                <w:sz w:val="20"/>
                              </w:rPr>
                              <w:t xml:space="preserve"> </w:t>
                            </w:r>
                          </w:p>
                          <w:p w14:paraId="5ABA42F0" w14:textId="77777777" w:rsidR="009F310F" w:rsidRPr="00643A38" w:rsidRDefault="009F310F" w:rsidP="00E83D77">
                            <w:pPr>
                              <w:shd w:val="clear" w:color="auto" w:fill="EDEDED" w:themeFill="accent3" w:themeFillTint="33"/>
                              <w:rPr>
                                <w:iCs/>
                                <w:sz w:val="20"/>
                              </w:rPr>
                            </w:pPr>
                            <w:r>
                              <w:rPr>
                                <w:iCs/>
                                <w:sz w:val="20"/>
                              </w:rPr>
                              <w:t xml:space="preserve"> </w:t>
                            </w:r>
                          </w:p>
                        </w:txbxContent>
                      </wps:txbx>
                      <wps:bodyPr rot="0" vert="horz" wrap="square" lIns="91440" tIns="45720" rIns="91440" bIns="45720" anchor="t" anchorCtr="0">
                        <a:noAutofit/>
                      </wps:bodyPr>
                    </wps:wsp>
                  </a:graphicData>
                </a:graphic>
              </wp:inline>
            </w:drawing>
          </mc:Choice>
          <mc:Fallback>
            <w:pict>
              <v:shape w14:anchorId="48617EB7" id="Text Box 15" o:spid="_x0000_s1037" type="#_x0000_t202" style="width:467.75pt;height:37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" fillcolor="#eaeaea">
                <v:textbox>
                  <w:txbxContent>
                    <w:p w14:paraId="26CE0748" w14:textId="77777777" w:rsidR="009F310F" w:rsidRDefault="009F310F" w:rsidP="00E83D77">
                      <w:pPr>
                        <w:shd w:val="clear" w:color="auto" w:fill="EDEDED" w:themeFill="accent3" w:themeFillTint="33"/>
                        <w:spacing w:after="60"/>
                        <w:rPr>
                          <w:sz w:val="20"/>
                        </w:rPr>
                      </w:pPr>
                      <w:r w:rsidRPr="003174EF">
                        <w:rPr>
                          <w:sz w:val="20"/>
                          <w:szCs w:val="20"/>
                        </w:rPr>
                        <w:t>In the second PKS</w:t>
                      </w:r>
                      <w:r w:rsidRPr="00F8028C">
                        <w:rPr>
                          <w:sz w:val="20"/>
                          <w:szCs w:val="20"/>
                        </w:rPr>
                        <w:t xml:space="preserve"> school visited, all </w:t>
                      </w:r>
                      <w:r>
                        <w:rPr>
                          <w:sz w:val="20"/>
                          <w:szCs w:val="20"/>
                        </w:rPr>
                        <w:t>SBoM</w:t>
                      </w:r>
                      <w:r w:rsidRPr="0056737F">
                        <w:rPr>
                          <w:sz w:val="20"/>
                        </w:rPr>
                        <w:t xml:space="preserve"> members had been on </w:t>
                      </w:r>
                      <w:r>
                        <w:rPr>
                          <w:sz w:val="20"/>
                        </w:rPr>
                        <w:t xml:space="preserve">the board for 11 years. </w:t>
                      </w:r>
                      <w:r w:rsidRPr="0056737F">
                        <w:rPr>
                          <w:sz w:val="20"/>
                        </w:rPr>
                        <w:t xml:space="preserve">In 2008 they </w:t>
                      </w:r>
                      <w:r>
                        <w:rPr>
                          <w:sz w:val="20"/>
                        </w:rPr>
                        <w:t>completed</w:t>
                      </w:r>
                      <w:r w:rsidRPr="0056737F">
                        <w:rPr>
                          <w:sz w:val="20"/>
                        </w:rPr>
                        <w:t xml:space="preserve"> a SLI</w:t>
                      </w:r>
                      <w:r>
                        <w:rPr>
                          <w:sz w:val="20"/>
                        </w:rPr>
                        <w:t xml:space="preserve">P and got a subsidy to build classrooms, which they had to supplement with </w:t>
                      </w:r>
                      <w:r w:rsidRPr="0056737F">
                        <w:rPr>
                          <w:sz w:val="20"/>
                        </w:rPr>
                        <w:t xml:space="preserve">community funds. Since then, the same activities had been rolled over </w:t>
                      </w:r>
                      <w:r>
                        <w:rPr>
                          <w:sz w:val="20"/>
                        </w:rPr>
                        <w:t xml:space="preserve">in SLIPs </w:t>
                      </w:r>
                      <w:r w:rsidRPr="0056737F">
                        <w:rPr>
                          <w:sz w:val="20"/>
                        </w:rPr>
                        <w:t xml:space="preserve">every year. When pressed for details </w:t>
                      </w:r>
                      <w:r>
                        <w:rPr>
                          <w:sz w:val="20"/>
                        </w:rPr>
                        <w:t>of the content of the SLIPs, the SBoM chairman</w:t>
                      </w:r>
                      <w:r w:rsidRPr="0056737F">
                        <w:rPr>
                          <w:sz w:val="20"/>
                        </w:rPr>
                        <w:t xml:space="preserve"> recalled: Fencing, a toilet, teacher houses, a water</w:t>
                      </w:r>
                      <w:r>
                        <w:rPr>
                          <w:sz w:val="20"/>
                        </w:rPr>
                        <w:t xml:space="preserve"> </w:t>
                      </w:r>
                      <w:r w:rsidRPr="0056737F">
                        <w:rPr>
                          <w:sz w:val="20"/>
                        </w:rPr>
                        <w:t xml:space="preserve">tank, </w:t>
                      </w:r>
                      <w:r>
                        <w:rPr>
                          <w:sz w:val="20"/>
                        </w:rPr>
                        <w:t>as well as</w:t>
                      </w:r>
                      <w:r w:rsidRPr="0056737F">
                        <w:rPr>
                          <w:sz w:val="20"/>
                        </w:rPr>
                        <w:t xml:space="preserve"> some books</w:t>
                      </w:r>
                      <w:r>
                        <w:rPr>
                          <w:sz w:val="20"/>
                        </w:rPr>
                        <w:t xml:space="preserve"> </w:t>
                      </w:r>
                      <w:r w:rsidRPr="0056737F">
                        <w:rPr>
                          <w:sz w:val="20"/>
                        </w:rPr>
                        <w:t>– which they produced themselves by photocopying existing books. Funds mostly came from the TFF</w:t>
                      </w:r>
                      <w:r>
                        <w:rPr>
                          <w:sz w:val="20"/>
                        </w:rPr>
                        <w:t xml:space="preserve"> subsidy</w:t>
                      </w:r>
                      <w:r w:rsidRPr="0056737F">
                        <w:rPr>
                          <w:sz w:val="20"/>
                        </w:rPr>
                        <w:t>. They also request K20 per year for projects from parents, however the Chairman confessed that only about ¼ of</w:t>
                      </w:r>
                      <w:r>
                        <w:rPr>
                          <w:sz w:val="20"/>
                        </w:rPr>
                        <w:t xml:space="preserve"> all</w:t>
                      </w:r>
                      <w:r w:rsidRPr="0056737F">
                        <w:rPr>
                          <w:sz w:val="20"/>
                        </w:rPr>
                        <w:t xml:space="preserve"> parents paid it.</w:t>
                      </w:r>
                      <w:r>
                        <w:rPr>
                          <w:sz w:val="20"/>
                        </w:rPr>
                        <w:t xml:space="preserve"> </w:t>
                      </w:r>
                      <w:r w:rsidRPr="0056737F">
                        <w:rPr>
                          <w:sz w:val="20"/>
                        </w:rPr>
                        <w:t xml:space="preserve">The </w:t>
                      </w:r>
                      <w:r>
                        <w:rPr>
                          <w:sz w:val="20"/>
                        </w:rPr>
                        <w:t xml:space="preserve">SBoM </w:t>
                      </w:r>
                      <w:r w:rsidRPr="0056737F">
                        <w:rPr>
                          <w:sz w:val="20"/>
                        </w:rPr>
                        <w:t>secretary asked about</w:t>
                      </w:r>
                      <w:r>
                        <w:rPr>
                          <w:sz w:val="20"/>
                        </w:rPr>
                        <w:t xml:space="preserve"> </w:t>
                      </w:r>
                      <w:r w:rsidRPr="0056737F">
                        <w:rPr>
                          <w:sz w:val="20"/>
                        </w:rPr>
                        <w:t>the format for the SLIP</w:t>
                      </w:r>
                      <w:r>
                        <w:rPr>
                          <w:sz w:val="20"/>
                        </w:rPr>
                        <w:t>, and how he could obtain it. While</w:t>
                      </w:r>
                      <w:r w:rsidRPr="0056737F">
                        <w:rPr>
                          <w:sz w:val="20"/>
                        </w:rPr>
                        <w:t xml:space="preserve"> the T</w:t>
                      </w:r>
                      <w:r>
                        <w:rPr>
                          <w:sz w:val="20"/>
                        </w:rPr>
                        <w:t>i</w:t>
                      </w:r>
                      <w:r w:rsidRPr="0056737F">
                        <w:rPr>
                          <w:sz w:val="20"/>
                        </w:rPr>
                        <w:t>C and Chair</w:t>
                      </w:r>
                      <w:r>
                        <w:rPr>
                          <w:sz w:val="20"/>
                        </w:rPr>
                        <w:t>man</w:t>
                      </w:r>
                      <w:r w:rsidRPr="0056737F">
                        <w:rPr>
                          <w:sz w:val="20"/>
                        </w:rPr>
                        <w:t xml:space="preserve"> had been provided these as part of the </w:t>
                      </w:r>
                      <w:r>
                        <w:rPr>
                          <w:sz w:val="20"/>
                        </w:rPr>
                        <w:t xml:space="preserve">PKS </w:t>
                      </w:r>
                      <w:r w:rsidRPr="0056737F">
                        <w:rPr>
                          <w:sz w:val="20"/>
                        </w:rPr>
                        <w:t>training</w:t>
                      </w:r>
                      <w:r>
                        <w:rPr>
                          <w:sz w:val="20"/>
                        </w:rPr>
                        <w:t>, they had not been shared</w:t>
                      </w:r>
                      <w:r w:rsidRPr="0056737F">
                        <w:rPr>
                          <w:sz w:val="20"/>
                        </w:rPr>
                        <w:t>.</w:t>
                      </w:r>
                    </w:p>
                    <w:p w14:paraId="48FA1F56" w14:textId="77777777" w:rsidR="009F310F" w:rsidRDefault="009F310F" w:rsidP="00E83D77">
                      <w:pPr>
                        <w:shd w:val="clear" w:color="auto" w:fill="EDEDED" w:themeFill="accent3" w:themeFillTint="33"/>
                        <w:spacing w:after="60"/>
                        <w:rPr>
                          <w:sz w:val="20"/>
                        </w:rPr>
                      </w:pPr>
                      <w:r w:rsidRPr="0056737F">
                        <w:rPr>
                          <w:sz w:val="20"/>
                        </w:rPr>
                        <w:t xml:space="preserve">The </w:t>
                      </w:r>
                      <w:r>
                        <w:rPr>
                          <w:sz w:val="20"/>
                        </w:rPr>
                        <w:t>SBoM</w:t>
                      </w:r>
                      <w:r w:rsidRPr="0056737F">
                        <w:rPr>
                          <w:sz w:val="20"/>
                        </w:rPr>
                        <w:t xml:space="preserve"> </w:t>
                      </w:r>
                      <w:r>
                        <w:rPr>
                          <w:sz w:val="20"/>
                        </w:rPr>
                        <w:t xml:space="preserve">chairman </w:t>
                      </w:r>
                      <w:r w:rsidRPr="0056737F">
                        <w:rPr>
                          <w:sz w:val="20"/>
                        </w:rPr>
                        <w:t>indicated he would like to call the Board members together to make a new SLIP, but had not done so since the training in July 2019. He said it takes some time to understand the process</w:t>
                      </w:r>
                      <w:r>
                        <w:rPr>
                          <w:sz w:val="20"/>
                        </w:rPr>
                        <w:t xml:space="preserve">, and he could </w:t>
                      </w:r>
                      <w:r w:rsidRPr="0056737F">
                        <w:rPr>
                          <w:sz w:val="20"/>
                        </w:rPr>
                        <w:t>not mobilize the community to discuss issues such as a SLIP plan with them</w:t>
                      </w:r>
                      <w:r>
                        <w:rPr>
                          <w:sz w:val="20"/>
                        </w:rPr>
                        <w:t xml:space="preserve">. He </w:t>
                      </w:r>
                      <w:r w:rsidRPr="0056737F">
                        <w:rPr>
                          <w:sz w:val="20"/>
                        </w:rPr>
                        <w:t xml:space="preserve">did not seem to be aware that a new SLIP </w:t>
                      </w:r>
                      <w:r>
                        <w:rPr>
                          <w:sz w:val="20"/>
                        </w:rPr>
                        <w:t>had been developed</w:t>
                      </w:r>
                      <w:r w:rsidRPr="0056737F">
                        <w:rPr>
                          <w:sz w:val="20"/>
                        </w:rPr>
                        <w:t xml:space="preserve"> for 2018 – 20, </w:t>
                      </w:r>
                      <w:r>
                        <w:rPr>
                          <w:sz w:val="20"/>
                        </w:rPr>
                        <w:t>which was held by the TiC</w:t>
                      </w:r>
                      <w:r w:rsidRPr="0056737F">
                        <w:rPr>
                          <w:sz w:val="20"/>
                        </w:rPr>
                        <w:t xml:space="preserve">. </w:t>
                      </w:r>
                      <w:r>
                        <w:rPr>
                          <w:sz w:val="20"/>
                        </w:rPr>
                        <w:t xml:space="preserve">This was </w:t>
                      </w:r>
                      <w:r w:rsidRPr="0056737F">
                        <w:rPr>
                          <w:sz w:val="20"/>
                        </w:rPr>
                        <w:t xml:space="preserve">a </w:t>
                      </w:r>
                      <w:r>
                        <w:rPr>
                          <w:sz w:val="20"/>
                        </w:rPr>
                        <w:t xml:space="preserve">typed and </w:t>
                      </w:r>
                      <w:r w:rsidRPr="0056737F">
                        <w:rPr>
                          <w:sz w:val="20"/>
                        </w:rPr>
                        <w:t>bound document</w:t>
                      </w:r>
                      <w:r>
                        <w:rPr>
                          <w:sz w:val="20"/>
                        </w:rPr>
                        <w:t xml:space="preserve">, as was another document which had been prepared to attract funding for infrastructure plans. The TiC explained that it had been </w:t>
                      </w:r>
                      <w:r w:rsidRPr="0056737F">
                        <w:rPr>
                          <w:sz w:val="20"/>
                        </w:rPr>
                        <w:t xml:space="preserve">completed with the assistance of the </w:t>
                      </w:r>
                      <w:r>
                        <w:rPr>
                          <w:sz w:val="20"/>
                        </w:rPr>
                        <w:t xml:space="preserve">current </w:t>
                      </w:r>
                      <w:r w:rsidRPr="0056737F">
                        <w:rPr>
                          <w:sz w:val="20"/>
                        </w:rPr>
                        <w:t xml:space="preserve">District Inspector, who </w:t>
                      </w:r>
                      <w:r>
                        <w:rPr>
                          <w:sz w:val="20"/>
                        </w:rPr>
                        <w:t>was a former teacher</w:t>
                      </w:r>
                      <w:r w:rsidRPr="0056737F">
                        <w:rPr>
                          <w:sz w:val="20"/>
                        </w:rPr>
                        <w:t xml:space="preserve"> at their primary school before being promoted. </w:t>
                      </w:r>
                      <w:r>
                        <w:rPr>
                          <w:sz w:val="20"/>
                        </w:rPr>
                        <w:t>The</w:t>
                      </w:r>
                      <w:r w:rsidRPr="0056737F">
                        <w:rPr>
                          <w:sz w:val="20"/>
                        </w:rPr>
                        <w:t xml:space="preserve"> SLIP </w:t>
                      </w:r>
                      <w:r>
                        <w:rPr>
                          <w:sz w:val="20"/>
                        </w:rPr>
                        <w:t>largely followed the intended format,</w:t>
                      </w:r>
                      <w:r w:rsidRPr="0056737F">
                        <w:rPr>
                          <w:sz w:val="20"/>
                        </w:rPr>
                        <w:t xml:space="preserve"> and included a plan for each focus area, and </w:t>
                      </w:r>
                      <w:r>
                        <w:rPr>
                          <w:sz w:val="20"/>
                        </w:rPr>
                        <w:t>the TiC</w:t>
                      </w:r>
                      <w:r w:rsidRPr="0056737F">
                        <w:rPr>
                          <w:sz w:val="20"/>
                        </w:rPr>
                        <w:t xml:space="preserve"> explained all of the activities </w:t>
                      </w:r>
                      <w:r>
                        <w:rPr>
                          <w:sz w:val="20"/>
                        </w:rPr>
                        <w:t xml:space="preserve">that were </w:t>
                      </w:r>
                      <w:r w:rsidRPr="0056737F">
                        <w:rPr>
                          <w:sz w:val="20"/>
                        </w:rPr>
                        <w:t xml:space="preserve">completed in 2018: </w:t>
                      </w:r>
                      <w:r>
                        <w:rPr>
                          <w:sz w:val="20"/>
                        </w:rPr>
                        <w:t>Purchased</w:t>
                      </w:r>
                      <w:r w:rsidRPr="0056737F">
                        <w:rPr>
                          <w:sz w:val="20"/>
                        </w:rPr>
                        <w:t xml:space="preserve"> books; made big books; provided in-service training to teachers (the T</w:t>
                      </w:r>
                      <w:r>
                        <w:rPr>
                          <w:sz w:val="20"/>
                        </w:rPr>
                        <w:t>i</w:t>
                      </w:r>
                      <w:r w:rsidRPr="0056737F">
                        <w:rPr>
                          <w:sz w:val="20"/>
                        </w:rPr>
                        <w:t xml:space="preserve">C did the training herself); the Health Department came and spoke about Aids; </w:t>
                      </w:r>
                      <w:r>
                        <w:rPr>
                          <w:sz w:val="20"/>
                        </w:rPr>
                        <w:t xml:space="preserve">and they </w:t>
                      </w:r>
                      <w:r w:rsidRPr="0056737F">
                        <w:rPr>
                          <w:sz w:val="20"/>
                        </w:rPr>
                        <w:t>held a meeting to discuss end of year graduation ceremony</w:t>
                      </w:r>
                      <w:r>
                        <w:rPr>
                          <w:sz w:val="20"/>
                        </w:rPr>
                        <w:t>. She explained that most of these were routine activities that they performed anyway – with or without a SLIP</w:t>
                      </w:r>
                      <w:r w:rsidRPr="0056737F">
                        <w:rPr>
                          <w:sz w:val="20"/>
                        </w:rPr>
                        <w:t xml:space="preserve">. </w:t>
                      </w:r>
                    </w:p>
                    <w:p w14:paraId="3E90F957" w14:textId="77777777" w:rsidR="009F310F" w:rsidRPr="0056737F" w:rsidRDefault="009F310F" w:rsidP="00E83D77">
                      <w:pPr>
                        <w:shd w:val="clear" w:color="auto" w:fill="EDEDED" w:themeFill="accent3" w:themeFillTint="33"/>
                        <w:spacing w:after="60"/>
                        <w:rPr>
                          <w:sz w:val="20"/>
                        </w:rPr>
                      </w:pPr>
                      <w:r w:rsidRPr="0056737F">
                        <w:rPr>
                          <w:sz w:val="20"/>
                        </w:rPr>
                        <w:t>Activities not completed due to lack of funding included</w:t>
                      </w:r>
                      <w:r>
                        <w:rPr>
                          <w:sz w:val="20"/>
                        </w:rPr>
                        <w:t>:</w:t>
                      </w:r>
                      <w:r w:rsidRPr="0056737F">
                        <w:rPr>
                          <w:sz w:val="20"/>
                        </w:rPr>
                        <w:t xml:space="preserve"> maintenance; </w:t>
                      </w:r>
                      <w:r>
                        <w:rPr>
                          <w:sz w:val="20"/>
                        </w:rPr>
                        <w:t>building a new office; building a</w:t>
                      </w:r>
                      <w:r w:rsidRPr="0056737F">
                        <w:rPr>
                          <w:sz w:val="20"/>
                        </w:rPr>
                        <w:t xml:space="preserve"> conference room. Following the </w:t>
                      </w:r>
                      <w:r>
                        <w:rPr>
                          <w:sz w:val="20"/>
                        </w:rPr>
                        <w:t>PKS</w:t>
                      </w:r>
                      <w:r w:rsidRPr="0056737F">
                        <w:rPr>
                          <w:sz w:val="20"/>
                        </w:rPr>
                        <w:t xml:space="preserve"> training</w:t>
                      </w:r>
                      <w:r>
                        <w:rPr>
                          <w:sz w:val="20"/>
                        </w:rPr>
                        <w:t xml:space="preserve"> of which </w:t>
                      </w:r>
                      <w:r w:rsidRPr="0056737F">
                        <w:rPr>
                          <w:sz w:val="20"/>
                        </w:rPr>
                        <w:t xml:space="preserve">she could recall mostly the Financial Management aspects, she explained that she </w:t>
                      </w:r>
                      <w:r>
                        <w:rPr>
                          <w:sz w:val="20"/>
                        </w:rPr>
                        <w:t>did not have an</w:t>
                      </w:r>
                      <w:r w:rsidRPr="0056737F">
                        <w:rPr>
                          <w:sz w:val="20"/>
                        </w:rPr>
                        <w:t xml:space="preserve"> i</w:t>
                      </w:r>
                      <w:r>
                        <w:rPr>
                          <w:sz w:val="20"/>
                        </w:rPr>
                        <w:t>ntention to review and revise the current SLIP as “the District I</w:t>
                      </w:r>
                      <w:r w:rsidRPr="0056737F">
                        <w:rPr>
                          <w:sz w:val="20"/>
                        </w:rPr>
                        <w:t>nspector does not inspect it anyway</w:t>
                      </w:r>
                      <w:r>
                        <w:rPr>
                          <w:sz w:val="20"/>
                        </w:rPr>
                        <w:t>”</w:t>
                      </w:r>
                      <w:r w:rsidRPr="0056737F">
                        <w:rPr>
                          <w:sz w:val="20"/>
                        </w:rPr>
                        <w:t xml:space="preserve">. </w:t>
                      </w:r>
                      <w:r>
                        <w:rPr>
                          <w:sz w:val="20"/>
                        </w:rPr>
                        <w:t xml:space="preserve"> She went on to recount the difficulty she had getting the District Inspector to sign off on the completed plan, even though he had assisted with its development.</w:t>
                      </w:r>
                      <w:r w:rsidRPr="002769E3">
                        <w:rPr>
                          <w:sz w:val="20"/>
                        </w:rPr>
                        <w:t xml:space="preserve"> </w:t>
                      </w:r>
                      <w:r>
                        <w:rPr>
                          <w:sz w:val="20"/>
                        </w:rPr>
                        <w:t xml:space="preserve"> </w:t>
                      </w:r>
                    </w:p>
                    <w:p w14:paraId="5ABA42F0" w14:textId="77777777" w:rsidR="009F310F" w:rsidRPr="00643A38" w:rsidRDefault="009F310F" w:rsidP="00E83D77">
                      <w:pPr>
                        <w:shd w:val="clear" w:color="auto" w:fill="EDEDED" w:themeFill="accent3" w:themeFillTint="33"/>
                        <w:rPr>
                          <w:iCs/>
                          <w:sz w:val="20"/>
                        </w:rPr>
                      </w:pPr>
                      <w:r>
                        <w:rPr>
                          <w:iCs/>
                          <w:sz w:val="20"/>
                        </w:rPr>
                        <w:t xml:space="preserve"> </w:t>
                      </w:r>
                    </w:p>
                  </w:txbxContent>
                </v:textbox>
                <w10:anchorlock/>
              </v:shape>
            </w:pict>
          </mc:Fallback>
        </mc:AlternateContent>
      </w:r>
    </w:p>
    <w:p w14:paraId="57C3EBA4" w14:textId="77777777" w:rsidR="00E83D77" w:rsidRPr="00FA288E" w:rsidRDefault="00E83D77" w:rsidP="00E83D77">
      <w:pPr>
        <w:pStyle w:val="BodyText"/>
        <w:rPr>
          <w:rFonts w:ascii="Calibri" w:hAnsi="Calibri" w:cs="Calibri"/>
          <w:sz w:val="20"/>
          <w:szCs w:val="20"/>
        </w:rPr>
      </w:pPr>
      <w:r w:rsidRPr="00FA288E">
        <w:rPr>
          <w:rFonts w:ascii="Calibri" w:hAnsi="Calibri" w:cs="Calibri"/>
          <w:sz w:val="20"/>
          <w:szCs w:val="20"/>
        </w:rPr>
        <w:t xml:space="preserve">The expectation of the PKS training was that for those </w:t>
      </w:r>
      <w:proofErr w:type="spellStart"/>
      <w:r w:rsidRPr="00FA288E">
        <w:rPr>
          <w:rFonts w:ascii="Calibri" w:hAnsi="Calibri" w:cs="Calibri"/>
          <w:sz w:val="20"/>
          <w:szCs w:val="20"/>
        </w:rPr>
        <w:t>SBoMs</w:t>
      </w:r>
      <w:proofErr w:type="spellEnd"/>
      <w:r w:rsidRPr="00FA288E">
        <w:rPr>
          <w:rFonts w:ascii="Calibri" w:hAnsi="Calibri" w:cs="Calibri"/>
          <w:sz w:val="20"/>
          <w:szCs w:val="20"/>
        </w:rPr>
        <w:t xml:space="preserve"> who had a current SLIP already, they would review and revise it after the training, and add new activities. When questioned whether they were at liberty to make substantial changes mid-plan, given that the PEA was required to approve the activities in the three-year plan, it was explained that the new NEP </w:t>
      </w:r>
      <w:r w:rsidR="00F23E3A" w:rsidRPr="00FA288E">
        <w:rPr>
          <w:rFonts w:ascii="Calibri" w:hAnsi="Calibri" w:cs="Calibri"/>
          <w:sz w:val="20"/>
          <w:szCs w:val="20"/>
        </w:rPr>
        <w:t xml:space="preserve">2020-2029 </w:t>
      </w:r>
      <w:r w:rsidRPr="00FA288E">
        <w:rPr>
          <w:rFonts w:ascii="Calibri" w:hAnsi="Calibri" w:cs="Calibri"/>
          <w:sz w:val="20"/>
          <w:szCs w:val="20"/>
        </w:rPr>
        <w:t xml:space="preserve">was expected to require that each Annual Plan be approved by the District Inspector. This approval would then provide the evidence needed for release of Annual TFF </w:t>
      </w:r>
      <w:r w:rsidR="00D52BB0" w:rsidRPr="00FA288E">
        <w:rPr>
          <w:rFonts w:ascii="Calibri" w:hAnsi="Calibri" w:cs="Calibri"/>
          <w:sz w:val="20"/>
          <w:szCs w:val="20"/>
        </w:rPr>
        <w:t xml:space="preserve">subsidy </w:t>
      </w:r>
      <w:r w:rsidRPr="00FA288E">
        <w:rPr>
          <w:rFonts w:ascii="Calibri" w:hAnsi="Calibri" w:cs="Calibri"/>
          <w:sz w:val="20"/>
          <w:szCs w:val="20"/>
        </w:rPr>
        <w:t xml:space="preserve">payments. The practicalities of this are likely to provide a challenge to both </w:t>
      </w:r>
      <w:proofErr w:type="spellStart"/>
      <w:r w:rsidRPr="00FA288E">
        <w:rPr>
          <w:rFonts w:ascii="Calibri" w:hAnsi="Calibri" w:cs="Calibri"/>
          <w:sz w:val="20"/>
          <w:szCs w:val="20"/>
        </w:rPr>
        <w:t>SBoMs</w:t>
      </w:r>
      <w:proofErr w:type="spellEnd"/>
      <w:r w:rsidRPr="00FA288E">
        <w:rPr>
          <w:rFonts w:ascii="Calibri" w:hAnsi="Calibri" w:cs="Calibri"/>
          <w:sz w:val="20"/>
          <w:szCs w:val="20"/>
        </w:rPr>
        <w:t xml:space="preserve"> and District inspectors who have significant limitations in their </w:t>
      </w:r>
      <w:r w:rsidR="00A07B4A" w:rsidRPr="00FA288E">
        <w:rPr>
          <w:rFonts w:ascii="Calibri" w:hAnsi="Calibri" w:cs="Calibri"/>
          <w:sz w:val="20"/>
          <w:szCs w:val="20"/>
        </w:rPr>
        <w:t>abil</w:t>
      </w:r>
      <w:r w:rsidRPr="00FA288E">
        <w:rPr>
          <w:rFonts w:ascii="Calibri" w:hAnsi="Calibri" w:cs="Calibri"/>
          <w:sz w:val="20"/>
          <w:szCs w:val="20"/>
        </w:rPr>
        <w:t>ity to conduct supervisory visits and support/monitor SLIP development.</w:t>
      </w:r>
    </w:p>
    <w:p w14:paraId="1233E05A" w14:textId="77777777" w:rsidR="00E83D77" w:rsidRPr="00FA288E" w:rsidRDefault="00E83D77" w:rsidP="00320085">
      <w:pPr>
        <w:pStyle w:val="Heading2"/>
        <w:rPr>
          <w:b w:val="0"/>
          <w:bCs w:val="0"/>
          <w:sz w:val="20"/>
          <w:szCs w:val="20"/>
        </w:rPr>
      </w:pPr>
      <w:bookmarkStart w:id="197" w:name="_Box_13._A"/>
      <w:bookmarkStart w:id="198" w:name="_Toc26914404"/>
      <w:bookmarkStart w:id="199" w:name="_Toc31625624"/>
      <w:bookmarkStart w:id="200" w:name="_Toc42076004"/>
      <w:bookmarkEnd w:id="197"/>
      <w:r w:rsidRPr="00FA288E">
        <w:rPr>
          <w:b w:val="0"/>
          <w:bCs w:val="0"/>
          <w:sz w:val="20"/>
          <w:szCs w:val="20"/>
        </w:rPr>
        <w:lastRenderedPageBreak/>
        <w:t>Box 13. A school, used to having a SLIP, but having limited community involvement</w:t>
      </w:r>
      <w:bookmarkEnd w:id="198"/>
      <w:bookmarkEnd w:id="199"/>
      <w:bookmarkEnd w:id="200"/>
    </w:p>
    <w:p w14:paraId="6B329424" w14:textId="77777777" w:rsidR="00E83D77" w:rsidRPr="00FA288E" w:rsidRDefault="00E83D77" w:rsidP="00E83D77">
      <w:pPr>
        <w:rPr>
          <w:rFonts w:cs="Calibri"/>
          <w:sz w:val="20"/>
          <w:szCs w:val="20"/>
        </w:rPr>
      </w:pPr>
      <w:r w:rsidRPr="00FA288E">
        <w:rPr>
          <w:rFonts w:cs="Calibri"/>
          <w:noProof/>
          <w:sz w:val="20"/>
          <w:szCs w:val="20"/>
          <w:lang w:eastAsia="en-AU"/>
        </w:rPr>
        <mc:AlternateContent>
          <mc:Choice Requires="wps">
            <w:drawing>
              <wp:inline distT="0" distB="0" distL="0" distR="0" wp14:anchorId="46AA3531" wp14:editId="0AC76049">
                <wp:extent cx="5729288" cy="3929062"/>
                <wp:effectExtent l="0" t="0" r="24130" b="1460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3929062"/>
                        </a:xfrm>
                        <a:prstGeom prst="rect">
                          <a:avLst/>
                        </a:prstGeom>
                        <a:solidFill>
                          <a:srgbClr val="EAEAEA"/>
                        </a:solidFill>
                        <a:ln w="9525">
                          <a:solidFill>
                            <a:srgbClr val="000000"/>
                          </a:solidFill>
                          <a:miter lim="800000"/>
                          <a:headEnd/>
                          <a:tailEnd/>
                        </a:ln>
                      </wps:spPr>
                      <wps:txbx>
                        <w:txbxContent>
                          <w:p w14:paraId="3B8D71C3" w14:textId="77777777" w:rsidR="009F310F" w:rsidRDefault="009F310F" w:rsidP="00E83D77">
                            <w:pPr>
                              <w:shd w:val="clear" w:color="auto" w:fill="EDEDED" w:themeFill="accent3" w:themeFillTint="33"/>
                              <w:spacing w:after="60"/>
                              <w:rPr>
                                <w:sz w:val="20"/>
                              </w:rPr>
                            </w:pPr>
                            <w:r w:rsidRPr="003174EF">
                              <w:rPr>
                                <w:sz w:val="20"/>
                                <w:szCs w:val="20"/>
                              </w:rPr>
                              <w:t>In the third PKS</w:t>
                            </w:r>
                            <w:r w:rsidRPr="00F8028C">
                              <w:rPr>
                                <w:sz w:val="20"/>
                                <w:szCs w:val="20"/>
                              </w:rPr>
                              <w:t xml:space="preserve"> school</w:t>
                            </w:r>
                            <w:r>
                              <w:rPr>
                                <w:sz w:val="20"/>
                              </w:rPr>
                              <w:t xml:space="preserve"> visited,</w:t>
                            </w:r>
                            <w:r w:rsidRPr="0056737F">
                              <w:rPr>
                                <w:sz w:val="20"/>
                              </w:rPr>
                              <w:t xml:space="preserve"> </w:t>
                            </w:r>
                            <w:r>
                              <w:rPr>
                                <w:sz w:val="20"/>
                              </w:rPr>
                              <w:t>t</w:t>
                            </w:r>
                            <w:r w:rsidRPr="00543A29">
                              <w:rPr>
                                <w:sz w:val="20"/>
                              </w:rPr>
                              <w:t>his school of 334 students had been relocated</w:t>
                            </w:r>
                            <w:r>
                              <w:rPr>
                                <w:sz w:val="20"/>
                              </w:rPr>
                              <w:t xml:space="preserve"> five years ago, and was focused on getting the necessary infrastructure in place.</w:t>
                            </w:r>
                            <w:r w:rsidRPr="00543A29">
                              <w:rPr>
                                <w:sz w:val="20"/>
                              </w:rPr>
                              <w:t xml:space="preserve"> </w:t>
                            </w:r>
                            <w:r>
                              <w:rPr>
                                <w:sz w:val="20"/>
                              </w:rPr>
                              <w:t>T</w:t>
                            </w:r>
                            <w:r w:rsidRPr="00543A29">
                              <w:rPr>
                                <w:sz w:val="20"/>
                              </w:rPr>
                              <w:t xml:space="preserve">he </w:t>
                            </w:r>
                            <w:r>
                              <w:rPr>
                                <w:sz w:val="20"/>
                              </w:rPr>
                              <w:t>SBoM</w:t>
                            </w:r>
                            <w:r w:rsidRPr="00543A29">
                              <w:rPr>
                                <w:sz w:val="20"/>
                              </w:rPr>
                              <w:t xml:space="preserve"> chair</w:t>
                            </w:r>
                            <w:r>
                              <w:rPr>
                                <w:sz w:val="20"/>
                              </w:rPr>
                              <w:t xml:space="preserve"> was not present for the interview</w:t>
                            </w:r>
                            <w:r w:rsidRPr="00543A29">
                              <w:rPr>
                                <w:sz w:val="20"/>
                              </w:rPr>
                              <w:t xml:space="preserve">. </w:t>
                            </w:r>
                          </w:p>
                          <w:p w14:paraId="3C521BA2" w14:textId="77777777" w:rsidR="009F310F" w:rsidRPr="00543A29" w:rsidRDefault="009F310F" w:rsidP="00E83D77">
                            <w:pPr>
                              <w:shd w:val="clear" w:color="auto" w:fill="EDEDED" w:themeFill="accent3" w:themeFillTint="33"/>
                              <w:spacing w:after="60"/>
                              <w:rPr>
                                <w:sz w:val="20"/>
                              </w:rPr>
                            </w:pPr>
                            <w:r w:rsidRPr="00543A29">
                              <w:rPr>
                                <w:sz w:val="20"/>
                              </w:rPr>
                              <w:t xml:space="preserve">This school had multiple SLIPs and </w:t>
                            </w:r>
                            <w:r>
                              <w:rPr>
                                <w:sz w:val="20"/>
                              </w:rPr>
                              <w:t>other plans in the TiC’s office, dating back to 2007.</w:t>
                            </w:r>
                            <w:r w:rsidRPr="00543A29">
                              <w:rPr>
                                <w:sz w:val="20"/>
                              </w:rPr>
                              <w:t xml:space="preserve"> Their most recent SLIP was for 2016 – 2018, and </w:t>
                            </w:r>
                            <w:r>
                              <w:rPr>
                                <w:sz w:val="20"/>
                              </w:rPr>
                              <w:t xml:space="preserve">it </w:t>
                            </w:r>
                            <w:r w:rsidRPr="00543A29">
                              <w:rPr>
                                <w:sz w:val="20"/>
                              </w:rPr>
                              <w:t xml:space="preserve">had not been updated </w:t>
                            </w:r>
                            <w:r>
                              <w:rPr>
                                <w:sz w:val="20"/>
                              </w:rPr>
                              <w:t>yet</w:t>
                            </w:r>
                            <w:r w:rsidRPr="00543A29">
                              <w:rPr>
                                <w:sz w:val="20"/>
                              </w:rPr>
                              <w:t xml:space="preserve">. It was a printed and bound document </w:t>
                            </w:r>
                            <w:r>
                              <w:rPr>
                                <w:sz w:val="20"/>
                              </w:rPr>
                              <w:t>which the TiC prepared on her</w:t>
                            </w:r>
                            <w:r w:rsidRPr="00543A29">
                              <w:rPr>
                                <w:sz w:val="20"/>
                              </w:rPr>
                              <w:t xml:space="preserve"> computer and took </w:t>
                            </w:r>
                            <w:r>
                              <w:rPr>
                                <w:sz w:val="20"/>
                              </w:rPr>
                              <w:t xml:space="preserve">on a USB to print in Mt Hagen. The plan </w:t>
                            </w:r>
                            <w:r w:rsidRPr="00543A29">
                              <w:rPr>
                                <w:sz w:val="20"/>
                              </w:rPr>
                              <w:t>largely followed the</w:t>
                            </w:r>
                            <w:r>
                              <w:rPr>
                                <w:sz w:val="20"/>
                              </w:rPr>
                              <w:t xml:space="preserve"> required</w:t>
                            </w:r>
                            <w:r w:rsidRPr="00543A29">
                              <w:rPr>
                                <w:sz w:val="20"/>
                              </w:rPr>
                              <w:t xml:space="preserve"> format, but was not signed by </w:t>
                            </w:r>
                            <w:r>
                              <w:rPr>
                                <w:sz w:val="20"/>
                              </w:rPr>
                              <w:t xml:space="preserve">the </w:t>
                            </w:r>
                            <w:r w:rsidRPr="00543A29">
                              <w:rPr>
                                <w:sz w:val="20"/>
                              </w:rPr>
                              <w:t>PE</w:t>
                            </w:r>
                            <w:r>
                              <w:rPr>
                                <w:sz w:val="20"/>
                              </w:rPr>
                              <w:t>A,</w:t>
                            </w:r>
                            <w:r w:rsidRPr="00543A29">
                              <w:rPr>
                                <w:sz w:val="20"/>
                              </w:rPr>
                              <w:t xml:space="preserve"> as the T</w:t>
                            </w:r>
                            <w:r>
                              <w:rPr>
                                <w:sz w:val="20"/>
                              </w:rPr>
                              <w:t>i</w:t>
                            </w:r>
                            <w:r w:rsidRPr="00543A29">
                              <w:rPr>
                                <w:sz w:val="20"/>
                              </w:rPr>
                              <w:t xml:space="preserve">C explained there was </w:t>
                            </w:r>
                            <w:r>
                              <w:rPr>
                                <w:sz w:val="20"/>
                              </w:rPr>
                              <w:t>“</w:t>
                            </w:r>
                            <w:r w:rsidRPr="00543A29">
                              <w:rPr>
                                <w:sz w:val="20"/>
                              </w:rPr>
                              <w:t xml:space="preserve">no reason to take it </w:t>
                            </w:r>
                            <w:r>
                              <w:rPr>
                                <w:sz w:val="20"/>
                              </w:rPr>
                              <w:t>and have it signed”</w:t>
                            </w:r>
                            <w:r w:rsidRPr="00543A29">
                              <w:rPr>
                                <w:sz w:val="20"/>
                              </w:rPr>
                              <w:t xml:space="preserve">. </w:t>
                            </w:r>
                          </w:p>
                          <w:p w14:paraId="34FAEEDE" w14:textId="77777777" w:rsidR="009F310F" w:rsidRPr="00543A29" w:rsidRDefault="009F310F" w:rsidP="00E83D77">
                            <w:pPr>
                              <w:shd w:val="clear" w:color="auto" w:fill="EDEDED" w:themeFill="accent3" w:themeFillTint="33"/>
                              <w:spacing w:after="60"/>
                              <w:rPr>
                                <w:sz w:val="20"/>
                              </w:rPr>
                            </w:pPr>
                            <w:r w:rsidRPr="00543A29">
                              <w:rPr>
                                <w:sz w:val="20"/>
                              </w:rPr>
                              <w:t xml:space="preserve">Activities </w:t>
                            </w:r>
                            <w:r>
                              <w:rPr>
                                <w:sz w:val="20"/>
                              </w:rPr>
                              <w:t xml:space="preserve">in the SLIP </w:t>
                            </w:r>
                            <w:r w:rsidRPr="00543A29">
                              <w:rPr>
                                <w:sz w:val="20"/>
                              </w:rPr>
                              <w:t>completed included: 1 classroom</w:t>
                            </w:r>
                            <w:r>
                              <w:rPr>
                                <w:sz w:val="20"/>
                              </w:rPr>
                              <w:t xml:space="preserve"> built;</w:t>
                            </w:r>
                            <w:r w:rsidRPr="00543A29">
                              <w:rPr>
                                <w:sz w:val="20"/>
                              </w:rPr>
                              <w:t xml:space="preserve"> </w:t>
                            </w:r>
                            <w:r>
                              <w:rPr>
                                <w:sz w:val="20"/>
                              </w:rPr>
                              <w:t>a teacher program (preparing</w:t>
                            </w:r>
                            <w:r w:rsidRPr="00543A29">
                              <w:rPr>
                                <w:sz w:val="20"/>
                              </w:rPr>
                              <w:t xml:space="preserve"> lesson plans/teaching aids)</w:t>
                            </w:r>
                            <w:r>
                              <w:rPr>
                                <w:sz w:val="20"/>
                              </w:rPr>
                              <w:t xml:space="preserve">; </w:t>
                            </w:r>
                            <w:r w:rsidRPr="00543A29">
                              <w:rPr>
                                <w:sz w:val="20"/>
                              </w:rPr>
                              <w:t>sports equipment (balls given to them by NDOE but not</w:t>
                            </w:r>
                            <w:r>
                              <w:rPr>
                                <w:sz w:val="20"/>
                              </w:rPr>
                              <w:t xml:space="preserve"> yet </w:t>
                            </w:r>
                            <w:r w:rsidRPr="00543A29">
                              <w:rPr>
                                <w:sz w:val="20"/>
                              </w:rPr>
                              <w:t>used)</w:t>
                            </w:r>
                            <w:r>
                              <w:rPr>
                                <w:sz w:val="20"/>
                              </w:rPr>
                              <w:t>;</w:t>
                            </w:r>
                            <w:r w:rsidRPr="00543A29">
                              <w:rPr>
                                <w:sz w:val="20"/>
                              </w:rPr>
                              <w:t xml:space="preserve"> teacher in-service (done by themselves, the K500 per year was used to buy materials etc)</w:t>
                            </w:r>
                            <w:r>
                              <w:rPr>
                                <w:sz w:val="20"/>
                              </w:rPr>
                              <w:t>;</w:t>
                            </w:r>
                            <w:r w:rsidRPr="00543A29">
                              <w:rPr>
                                <w:sz w:val="20"/>
                              </w:rPr>
                              <w:t xml:space="preserve"> some tables/benches purchased</w:t>
                            </w:r>
                            <w:r>
                              <w:rPr>
                                <w:sz w:val="20"/>
                              </w:rPr>
                              <w:t>;</w:t>
                            </w:r>
                            <w:r w:rsidRPr="00543A29">
                              <w:rPr>
                                <w:sz w:val="20"/>
                              </w:rPr>
                              <w:t xml:space="preserve"> education awareness</w:t>
                            </w:r>
                            <w:r>
                              <w:rPr>
                                <w:sz w:val="20"/>
                              </w:rPr>
                              <w:t xml:space="preserve"> raising</w:t>
                            </w:r>
                            <w:r w:rsidRPr="00543A29">
                              <w:rPr>
                                <w:sz w:val="20"/>
                              </w:rPr>
                              <w:t xml:space="preserve"> (</w:t>
                            </w:r>
                            <w:r>
                              <w:rPr>
                                <w:sz w:val="20"/>
                              </w:rPr>
                              <w:t xml:space="preserve">conducted </w:t>
                            </w:r>
                            <w:r w:rsidRPr="00543A29">
                              <w:rPr>
                                <w:sz w:val="20"/>
                              </w:rPr>
                              <w:t>through P</w:t>
                            </w:r>
                            <w:r>
                              <w:rPr>
                                <w:sz w:val="20"/>
                              </w:rPr>
                              <w:t xml:space="preserve">arents and </w:t>
                            </w:r>
                            <w:r w:rsidRPr="00543A29">
                              <w:rPr>
                                <w:sz w:val="20"/>
                              </w:rPr>
                              <w:t>C</w:t>
                            </w:r>
                            <w:r>
                              <w:rPr>
                                <w:sz w:val="20"/>
                              </w:rPr>
                              <w:t>itizens</w:t>
                            </w:r>
                            <w:r w:rsidRPr="00543A29">
                              <w:rPr>
                                <w:sz w:val="20"/>
                              </w:rPr>
                              <w:t xml:space="preserve"> meetings</w:t>
                            </w:r>
                            <w:r>
                              <w:rPr>
                                <w:sz w:val="20"/>
                              </w:rPr>
                              <w:t xml:space="preserve">). </w:t>
                            </w:r>
                            <w:r w:rsidRPr="00543A29">
                              <w:rPr>
                                <w:sz w:val="20"/>
                              </w:rPr>
                              <w:t xml:space="preserve">Activities not completed </w:t>
                            </w:r>
                            <w:r>
                              <w:rPr>
                                <w:sz w:val="20"/>
                              </w:rPr>
                              <w:t xml:space="preserve">due to lack of funds </w:t>
                            </w:r>
                            <w:r w:rsidRPr="00543A29">
                              <w:rPr>
                                <w:sz w:val="20"/>
                              </w:rPr>
                              <w:t>included:</w:t>
                            </w:r>
                            <w:r>
                              <w:rPr>
                                <w:sz w:val="20"/>
                              </w:rPr>
                              <w:t xml:space="preserve"> a fence;</w:t>
                            </w:r>
                            <w:r w:rsidRPr="00543A29">
                              <w:rPr>
                                <w:sz w:val="20"/>
                              </w:rPr>
                              <w:t xml:space="preserve"> another classroom</w:t>
                            </w:r>
                            <w:r>
                              <w:rPr>
                                <w:sz w:val="20"/>
                              </w:rPr>
                              <w:t>;</w:t>
                            </w:r>
                            <w:r w:rsidRPr="00543A29">
                              <w:rPr>
                                <w:sz w:val="20"/>
                              </w:rPr>
                              <w:t xml:space="preserve"> toilets</w:t>
                            </w:r>
                            <w:r>
                              <w:rPr>
                                <w:sz w:val="20"/>
                              </w:rPr>
                              <w:t>;</w:t>
                            </w:r>
                            <w:r w:rsidRPr="00543A29">
                              <w:rPr>
                                <w:sz w:val="20"/>
                              </w:rPr>
                              <w:t xml:space="preserve"> shell books/big books</w:t>
                            </w:r>
                            <w:r>
                              <w:rPr>
                                <w:sz w:val="20"/>
                              </w:rPr>
                              <w:t>;</w:t>
                            </w:r>
                            <w:r w:rsidRPr="00543A29">
                              <w:rPr>
                                <w:sz w:val="20"/>
                              </w:rPr>
                              <w:t xml:space="preserve"> general fittings for the school. </w:t>
                            </w:r>
                          </w:p>
                          <w:p w14:paraId="19AA8C66" w14:textId="77777777" w:rsidR="009F310F" w:rsidRPr="005C4A07" w:rsidRDefault="009F310F" w:rsidP="00E83D77">
                            <w:pPr>
                              <w:shd w:val="clear" w:color="auto" w:fill="EDEDED" w:themeFill="accent3" w:themeFillTint="33"/>
                              <w:spacing w:after="60"/>
                              <w:rPr>
                                <w:sz w:val="20"/>
                              </w:rPr>
                            </w:pPr>
                            <w:r w:rsidRPr="00543A29">
                              <w:rPr>
                                <w:sz w:val="20"/>
                              </w:rPr>
                              <w:t>The T</w:t>
                            </w:r>
                            <w:r>
                              <w:rPr>
                                <w:sz w:val="20"/>
                              </w:rPr>
                              <w:t>i</w:t>
                            </w:r>
                            <w:r w:rsidRPr="00543A29">
                              <w:rPr>
                                <w:sz w:val="20"/>
                              </w:rPr>
                              <w:t xml:space="preserve">C attended the </w:t>
                            </w:r>
                            <w:r>
                              <w:rPr>
                                <w:sz w:val="20"/>
                              </w:rPr>
                              <w:t>PKS</w:t>
                            </w:r>
                            <w:r w:rsidRPr="00543A29">
                              <w:rPr>
                                <w:sz w:val="20"/>
                              </w:rPr>
                              <w:t xml:space="preserve"> training, and could recall the Financial </w:t>
                            </w:r>
                            <w:r>
                              <w:rPr>
                                <w:sz w:val="20"/>
                              </w:rPr>
                              <w:t>M</w:t>
                            </w:r>
                            <w:r w:rsidRPr="00543A29">
                              <w:rPr>
                                <w:sz w:val="20"/>
                              </w:rPr>
                              <w:t>anagement sessions, the SLIP</w:t>
                            </w:r>
                            <w:r>
                              <w:rPr>
                                <w:sz w:val="20"/>
                              </w:rPr>
                              <w:t xml:space="preserve"> training</w:t>
                            </w:r>
                            <w:r w:rsidRPr="00543A29">
                              <w:rPr>
                                <w:sz w:val="20"/>
                              </w:rPr>
                              <w:t xml:space="preserve">, and the sessions on Leadership (which </w:t>
                            </w:r>
                            <w:r>
                              <w:rPr>
                                <w:sz w:val="20"/>
                              </w:rPr>
                              <w:t xml:space="preserve">she said </w:t>
                            </w:r>
                            <w:r w:rsidRPr="00543A29">
                              <w:rPr>
                                <w:sz w:val="20"/>
                              </w:rPr>
                              <w:t xml:space="preserve">were useful). The only example she could provide of how she had used the training was that the </w:t>
                            </w:r>
                            <w:r>
                              <w:rPr>
                                <w:sz w:val="20"/>
                              </w:rPr>
                              <w:t>SBoM</w:t>
                            </w:r>
                            <w:r w:rsidRPr="00543A29">
                              <w:rPr>
                                <w:sz w:val="20"/>
                              </w:rPr>
                              <w:t xml:space="preserve"> had revised how it withdrew money from the bank – taking only what was needed to avoid large amounts of cash being in the school. </w:t>
                            </w:r>
                            <w:r>
                              <w:rPr>
                                <w:sz w:val="20"/>
                              </w:rPr>
                              <w:t>However, s</w:t>
                            </w:r>
                            <w:r w:rsidRPr="00543A29">
                              <w:rPr>
                                <w:sz w:val="20"/>
                              </w:rPr>
                              <w:t xml:space="preserve">he did not have a plan to do another SLIP, nor did she think the </w:t>
                            </w:r>
                            <w:r>
                              <w:rPr>
                                <w:sz w:val="20"/>
                              </w:rPr>
                              <w:t>SBoM</w:t>
                            </w:r>
                            <w:r w:rsidRPr="00543A29">
                              <w:rPr>
                                <w:sz w:val="20"/>
                              </w:rPr>
                              <w:t xml:space="preserve"> chair</w:t>
                            </w:r>
                            <w:r>
                              <w:rPr>
                                <w:sz w:val="20"/>
                              </w:rPr>
                              <w:t>man</w:t>
                            </w:r>
                            <w:r w:rsidRPr="00543A29">
                              <w:rPr>
                                <w:sz w:val="20"/>
                              </w:rPr>
                              <w:t xml:space="preserve"> did. </w:t>
                            </w:r>
                            <w:r>
                              <w:rPr>
                                <w:sz w:val="20"/>
                              </w:rPr>
                              <w:t>She felt t</w:t>
                            </w:r>
                            <w:r w:rsidRPr="00543A29">
                              <w:rPr>
                                <w:sz w:val="20"/>
                              </w:rPr>
                              <w:t xml:space="preserve">he community was represented in the SLIP planning by having a Community Rep on the </w:t>
                            </w:r>
                            <w:r>
                              <w:rPr>
                                <w:sz w:val="20"/>
                              </w:rPr>
                              <w:t>SBoM</w:t>
                            </w:r>
                            <w:r w:rsidRPr="00543A29">
                              <w:rPr>
                                <w:sz w:val="20"/>
                              </w:rPr>
                              <w:t xml:space="preserve">, which they </w:t>
                            </w:r>
                            <w:r>
                              <w:rPr>
                                <w:sz w:val="20"/>
                              </w:rPr>
                              <w:t xml:space="preserve">also </w:t>
                            </w:r>
                            <w:r w:rsidRPr="00543A29">
                              <w:rPr>
                                <w:sz w:val="20"/>
                              </w:rPr>
                              <w:t>had in 2016 when they did the last plan</w:t>
                            </w:r>
                            <w:r>
                              <w:rPr>
                                <w:sz w:val="20"/>
                              </w:rPr>
                              <w:t>,</w:t>
                            </w:r>
                            <w:r w:rsidRPr="00543A29">
                              <w:rPr>
                                <w:sz w:val="20"/>
                              </w:rPr>
                              <w:t xml:space="preserve"> </w:t>
                            </w:r>
                            <w:r>
                              <w:rPr>
                                <w:sz w:val="20"/>
                              </w:rPr>
                              <w:t>and which they will do again instead of</w:t>
                            </w:r>
                            <w:r w:rsidRPr="00543A29">
                              <w:rPr>
                                <w:sz w:val="20"/>
                              </w:rPr>
                              <w:t xml:space="preserve"> hav</w:t>
                            </w:r>
                            <w:r>
                              <w:rPr>
                                <w:sz w:val="20"/>
                              </w:rPr>
                              <w:t xml:space="preserve">ing </w:t>
                            </w:r>
                            <w:r w:rsidRPr="00543A29">
                              <w:rPr>
                                <w:sz w:val="20"/>
                              </w:rPr>
                              <w:t>community discussions as part of the process. This school does not collect fees from parents</w:t>
                            </w:r>
                            <w:r>
                              <w:rPr>
                                <w:sz w:val="20"/>
                              </w:rPr>
                              <w:t>.</w:t>
                            </w:r>
                            <w:r w:rsidRPr="00FD2BC3">
                              <w:rPr>
                                <w:sz w:val="20"/>
                              </w:rPr>
                              <w:t xml:space="preserve"> </w:t>
                            </w:r>
                            <w:r>
                              <w:rPr>
                                <w:sz w:val="20"/>
                              </w:rPr>
                              <w:t>Since the training, the new ideas s</w:t>
                            </w:r>
                            <w:r w:rsidRPr="00543A29">
                              <w:rPr>
                                <w:sz w:val="20"/>
                              </w:rPr>
                              <w:t>he had</w:t>
                            </w:r>
                            <w:r>
                              <w:rPr>
                                <w:sz w:val="20"/>
                              </w:rPr>
                              <w:t xml:space="preserve"> for the SLIP</w:t>
                            </w:r>
                            <w:r w:rsidRPr="00543A29">
                              <w:rPr>
                                <w:sz w:val="20"/>
                              </w:rPr>
                              <w:t xml:space="preserve"> included: a new double classroom, </w:t>
                            </w:r>
                            <w:r>
                              <w:rPr>
                                <w:sz w:val="20"/>
                              </w:rPr>
                              <w:t xml:space="preserve">and </w:t>
                            </w:r>
                            <w:r w:rsidRPr="00543A29">
                              <w:rPr>
                                <w:sz w:val="20"/>
                              </w:rPr>
                              <w:t>complet</w:t>
                            </w:r>
                            <w:r>
                              <w:rPr>
                                <w:sz w:val="20"/>
                              </w:rPr>
                              <w:t>ing</w:t>
                            </w:r>
                            <w:r w:rsidRPr="00543A29">
                              <w:rPr>
                                <w:sz w:val="20"/>
                              </w:rPr>
                              <w:t xml:space="preserve"> the fence.</w:t>
                            </w:r>
                          </w:p>
                        </w:txbxContent>
                      </wps:txbx>
                      <wps:bodyPr rot="0" vert="horz" wrap="square" lIns="91440" tIns="45720" rIns="91440" bIns="45720" anchor="t" anchorCtr="0">
                        <a:noAutofit/>
                      </wps:bodyPr>
                    </wps:wsp>
                  </a:graphicData>
                </a:graphic>
              </wp:inline>
            </w:drawing>
          </mc:Choice>
          <mc:Fallback>
            <w:pict>
              <v:shape w14:anchorId="46AA3531" id="Text Box 16" o:spid="_x0000_s1038" type="#_x0000_t202" style="width:451.15pt;height:30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" fillcolor="#eaeaea">
                <v:textbox>
                  <w:txbxContent>
                    <w:p w14:paraId="3B8D71C3" w14:textId="77777777" w:rsidR="009F310F" w:rsidRDefault="009F310F" w:rsidP="00E83D77">
                      <w:pPr>
                        <w:shd w:val="clear" w:color="auto" w:fill="EDEDED" w:themeFill="accent3" w:themeFillTint="33"/>
                        <w:spacing w:after="60"/>
                        <w:rPr>
                          <w:sz w:val="20"/>
                        </w:rPr>
                      </w:pPr>
                      <w:r w:rsidRPr="003174EF">
                        <w:rPr>
                          <w:sz w:val="20"/>
                          <w:szCs w:val="20"/>
                        </w:rPr>
                        <w:t>In the third PKS</w:t>
                      </w:r>
                      <w:r w:rsidRPr="00F8028C">
                        <w:rPr>
                          <w:sz w:val="20"/>
                          <w:szCs w:val="20"/>
                        </w:rPr>
                        <w:t xml:space="preserve"> school</w:t>
                      </w:r>
                      <w:r>
                        <w:rPr>
                          <w:sz w:val="20"/>
                        </w:rPr>
                        <w:t xml:space="preserve"> visited,</w:t>
                      </w:r>
                      <w:r w:rsidRPr="0056737F">
                        <w:rPr>
                          <w:sz w:val="20"/>
                        </w:rPr>
                        <w:t xml:space="preserve"> </w:t>
                      </w:r>
                      <w:r>
                        <w:rPr>
                          <w:sz w:val="20"/>
                        </w:rPr>
                        <w:t>t</w:t>
                      </w:r>
                      <w:r w:rsidRPr="00543A29">
                        <w:rPr>
                          <w:sz w:val="20"/>
                        </w:rPr>
                        <w:t>his school of 334 students had been relocated</w:t>
                      </w:r>
                      <w:r>
                        <w:rPr>
                          <w:sz w:val="20"/>
                        </w:rPr>
                        <w:t xml:space="preserve"> five years ago, and was focused on getting the necessary infrastructure in place.</w:t>
                      </w:r>
                      <w:r w:rsidRPr="00543A29">
                        <w:rPr>
                          <w:sz w:val="20"/>
                        </w:rPr>
                        <w:t xml:space="preserve"> </w:t>
                      </w:r>
                      <w:r>
                        <w:rPr>
                          <w:sz w:val="20"/>
                        </w:rPr>
                        <w:t>T</w:t>
                      </w:r>
                      <w:r w:rsidRPr="00543A29">
                        <w:rPr>
                          <w:sz w:val="20"/>
                        </w:rPr>
                        <w:t xml:space="preserve">he </w:t>
                      </w:r>
                      <w:r>
                        <w:rPr>
                          <w:sz w:val="20"/>
                        </w:rPr>
                        <w:t>SBoM</w:t>
                      </w:r>
                      <w:r w:rsidRPr="00543A29">
                        <w:rPr>
                          <w:sz w:val="20"/>
                        </w:rPr>
                        <w:t xml:space="preserve"> chair</w:t>
                      </w:r>
                      <w:r>
                        <w:rPr>
                          <w:sz w:val="20"/>
                        </w:rPr>
                        <w:t xml:space="preserve"> was not present for the interview</w:t>
                      </w:r>
                      <w:r w:rsidRPr="00543A29">
                        <w:rPr>
                          <w:sz w:val="20"/>
                        </w:rPr>
                        <w:t xml:space="preserve">. </w:t>
                      </w:r>
                    </w:p>
                    <w:p w14:paraId="3C521BA2" w14:textId="77777777" w:rsidR="009F310F" w:rsidRPr="00543A29" w:rsidRDefault="009F310F" w:rsidP="00E83D77">
                      <w:pPr>
                        <w:shd w:val="clear" w:color="auto" w:fill="EDEDED" w:themeFill="accent3" w:themeFillTint="33"/>
                        <w:spacing w:after="60"/>
                        <w:rPr>
                          <w:sz w:val="20"/>
                        </w:rPr>
                      </w:pPr>
                      <w:r w:rsidRPr="00543A29">
                        <w:rPr>
                          <w:sz w:val="20"/>
                        </w:rPr>
                        <w:t xml:space="preserve">This school had multiple SLIPs and </w:t>
                      </w:r>
                      <w:r>
                        <w:rPr>
                          <w:sz w:val="20"/>
                        </w:rPr>
                        <w:t>other plans in the TiC’s office, dating back to 2007.</w:t>
                      </w:r>
                      <w:r w:rsidRPr="00543A29">
                        <w:rPr>
                          <w:sz w:val="20"/>
                        </w:rPr>
                        <w:t xml:space="preserve"> Their most recent SLIP was for 2016 – 2018, and </w:t>
                      </w:r>
                      <w:r>
                        <w:rPr>
                          <w:sz w:val="20"/>
                        </w:rPr>
                        <w:t xml:space="preserve">it </w:t>
                      </w:r>
                      <w:r w:rsidRPr="00543A29">
                        <w:rPr>
                          <w:sz w:val="20"/>
                        </w:rPr>
                        <w:t xml:space="preserve">had not been updated </w:t>
                      </w:r>
                      <w:r>
                        <w:rPr>
                          <w:sz w:val="20"/>
                        </w:rPr>
                        <w:t>yet</w:t>
                      </w:r>
                      <w:r w:rsidRPr="00543A29">
                        <w:rPr>
                          <w:sz w:val="20"/>
                        </w:rPr>
                        <w:t xml:space="preserve">. It was a printed and bound document </w:t>
                      </w:r>
                      <w:r>
                        <w:rPr>
                          <w:sz w:val="20"/>
                        </w:rPr>
                        <w:t>which the TiC prepared on her</w:t>
                      </w:r>
                      <w:r w:rsidRPr="00543A29">
                        <w:rPr>
                          <w:sz w:val="20"/>
                        </w:rPr>
                        <w:t xml:space="preserve"> computer and took </w:t>
                      </w:r>
                      <w:r>
                        <w:rPr>
                          <w:sz w:val="20"/>
                        </w:rPr>
                        <w:t xml:space="preserve">on a USB to print in Mt Hagen. The plan </w:t>
                      </w:r>
                      <w:r w:rsidRPr="00543A29">
                        <w:rPr>
                          <w:sz w:val="20"/>
                        </w:rPr>
                        <w:t>largely followed the</w:t>
                      </w:r>
                      <w:r>
                        <w:rPr>
                          <w:sz w:val="20"/>
                        </w:rPr>
                        <w:t xml:space="preserve"> required</w:t>
                      </w:r>
                      <w:r w:rsidRPr="00543A29">
                        <w:rPr>
                          <w:sz w:val="20"/>
                        </w:rPr>
                        <w:t xml:space="preserve"> format, but was not signed by </w:t>
                      </w:r>
                      <w:r>
                        <w:rPr>
                          <w:sz w:val="20"/>
                        </w:rPr>
                        <w:t xml:space="preserve">the </w:t>
                      </w:r>
                      <w:r w:rsidRPr="00543A29">
                        <w:rPr>
                          <w:sz w:val="20"/>
                        </w:rPr>
                        <w:t>PE</w:t>
                      </w:r>
                      <w:r>
                        <w:rPr>
                          <w:sz w:val="20"/>
                        </w:rPr>
                        <w:t>A,</w:t>
                      </w:r>
                      <w:r w:rsidRPr="00543A29">
                        <w:rPr>
                          <w:sz w:val="20"/>
                        </w:rPr>
                        <w:t xml:space="preserve"> as the T</w:t>
                      </w:r>
                      <w:r>
                        <w:rPr>
                          <w:sz w:val="20"/>
                        </w:rPr>
                        <w:t>i</w:t>
                      </w:r>
                      <w:r w:rsidRPr="00543A29">
                        <w:rPr>
                          <w:sz w:val="20"/>
                        </w:rPr>
                        <w:t xml:space="preserve">C explained there was </w:t>
                      </w:r>
                      <w:r>
                        <w:rPr>
                          <w:sz w:val="20"/>
                        </w:rPr>
                        <w:t>“</w:t>
                      </w:r>
                      <w:r w:rsidRPr="00543A29">
                        <w:rPr>
                          <w:sz w:val="20"/>
                        </w:rPr>
                        <w:t xml:space="preserve">no reason to take it </w:t>
                      </w:r>
                      <w:r>
                        <w:rPr>
                          <w:sz w:val="20"/>
                        </w:rPr>
                        <w:t>and have it signed”</w:t>
                      </w:r>
                      <w:r w:rsidRPr="00543A29">
                        <w:rPr>
                          <w:sz w:val="20"/>
                        </w:rPr>
                        <w:t xml:space="preserve">. </w:t>
                      </w:r>
                    </w:p>
                    <w:p w14:paraId="34FAEEDE" w14:textId="77777777" w:rsidR="009F310F" w:rsidRPr="00543A29" w:rsidRDefault="009F310F" w:rsidP="00E83D77">
                      <w:pPr>
                        <w:shd w:val="clear" w:color="auto" w:fill="EDEDED" w:themeFill="accent3" w:themeFillTint="33"/>
                        <w:spacing w:after="60"/>
                        <w:rPr>
                          <w:sz w:val="20"/>
                        </w:rPr>
                      </w:pPr>
                      <w:r w:rsidRPr="00543A29">
                        <w:rPr>
                          <w:sz w:val="20"/>
                        </w:rPr>
                        <w:t xml:space="preserve">Activities </w:t>
                      </w:r>
                      <w:r>
                        <w:rPr>
                          <w:sz w:val="20"/>
                        </w:rPr>
                        <w:t xml:space="preserve">in the SLIP </w:t>
                      </w:r>
                      <w:r w:rsidRPr="00543A29">
                        <w:rPr>
                          <w:sz w:val="20"/>
                        </w:rPr>
                        <w:t>completed included: 1 classroom</w:t>
                      </w:r>
                      <w:r>
                        <w:rPr>
                          <w:sz w:val="20"/>
                        </w:rPr>
                        <w:t xml:space="preserve"> built;</w:t>
                      </w:r>
                      <w:r w:rsidRPr="00543A29">
                        <w:rPr>
                          <w:sz w:val="20"/>
                        </w:rPr>
                        <w:t xml:space="preserve"> </w:t>
                      </w:r>
                      <w:r>
                        <w:rPr>
                          <w:sz w:val="20"/>
                        </w:rPr>
                        <w:t>a teacher program (preparing</w:t>
                      </w:r>
                      <w:r w:rsidRPr="00543A29">
                        <w:rPr>
                          <w:sz w:val="20"/>
                        </w:rPr>
                        <w:t xml:space="preserve"> lesson plans/teaching aids)</w:t>
                      </w:r>
                      <w:r>
                        <w:rPr>
                          <w:sz w:val="20"/>
                        </w:rPr>
                        <w:t xml:space="preserve">; </w:t>
                      </w:r>
                      <w:r w:rsidRPr="00543A29">
                        <w:rPr>
                          <w:sz w:val="20"/>
                        </w:rPr>
                        <w:t>sports equipment (balls given to them by NDOE but not</w:t>
                      </w:r>
                      <w:r>
                        <w:rPr>
                          <w:sz w:val="20"/>
                        </w:rPr>
                        <w:t xml:space="preserve"> yet </w:t>
                      </w:r>
                      <w:r w:rsidRPr="00543A29">
                        <w:rPr>
                          <w:sz w:val="20"/>
                        </w:rPr>
                        <w:t>used)</w:t>
                      </w:r>
                      <w:r>
                        <w:rPr>
                          <w:sz w:val="20"/>
                        </w:rPr>
                        <w:t>;</w:t>
                      </w:r>
                      <w:r w:rsidRPr="00543A29">
                        <w:rPr>
                          <w:sz w:val="20"/>
                        </w:rPr>
                        <w:t xml:space="preserve"> teacher in-service (done by themselves, the K500 per year was used to buy materials etc)</w:t>
                      </w:r>
                      <w:r>
                        <w:rPr>
                          <w:sz w:val="20"/>
                        </w:rPr>
                        <w:t>;</w:t>
                      </w:r>
                      <w:r w:rsidRPr="00543A29">
                        <w:rPr>
                          <w:sz w:val="20"/>
                        </w:rPr>
                        <w:t xml:space="preserve"> some tables/benches purchased</w:t>
                      </w:r>
                      <w:r>
                        <w:rPr>
                          <w:sz w:val="20"/>
                        </w:rPr>
                        <w:t>;</w:t>
                      </w:r>
                      <w:r w:rsidRPr="00543A29">
                        <w:rPr>
                          <w:sz w:val="20"/>
                        </w:rPr>
                        <w:t xml:space="preserve"> education awareness</w:t>
                      </w:r>
                      <w:r>
                        <w:rPr>
                          <w:sz w:val="20"/>
                        </w:rPr>
                        <w:t xml:space="preserve"> raising</w:t>
                      </w:r>
                      <w:r w:rsidRPr="00543A29">
                        <w:rPr>
                          <w:sz w:val="20"/>
                        </w:rPr>
                        <w:t xml:space="preserve"> (</w:t>
                      </w:r>
                      <w:r>
                        <w:rPr>
                          <w:sz w:val="20"/>
                        </w:rPr>
                        <w:t xml:space="preserve">conducted </w:t>
                      </w:r>
                      <w:r w:rsidRPr="00543A29">
                        <w:rPr>
                          <w:sz w:val="20"/>
                        </w:rPr>
                        <w:t>through P</w:t>
                      </w:r>
                      <w:r>
                        <w:rPr>
                          <w:sz w:val="20"/>
                        </w:rPr>
                        <w:t xml:space="preserve">arents and </w:t>
                      </w:r>
                      <w:r w:rsidRPr="00543A29">
                        <w:rPr>
                          <w:sz w:val="20"/>
                        </w:rPr>
                        <w:t>C</w:t>
                      </w:r>
                      <w:r>
                        <w:rPr>
                          <w:sz w:val="20"/>
                        </w:rPr>
                        <w:t>itizens</w:t>
                      </w:r>
                      <w:r w:rsidRPr="00543A29">
                        <w:rPr>
                          <w:sz w:val="20"/>
                        </w:rPr>
                        <w:t xml:space="preserve"> meetings</w:t>
                      </w:r>
                      <w:r>
                        <w:rPr>
                          <w:sz w:val="20"/>
                        </w:rPr>
                        <w:t xml:space="preserve">). </w:t>
                      </w:r>
                      <w:r w:rsidRPr="00543A29">
                        <w:rPr>
                          <w:sz w:val="20"/>
                        </w:rPr>
                        <w:t xml:space="preserve">Activities not completed </w:t>
                      </w:r>
                      <w:r>
                        <w:rPr>
                          <w:sz w:val="20"/>
                        </w:rPr>
                        <w:t xml:space="preserve">due to lack of funds </w:t>
                      </w:r>
                      <w:r w:rsidRPr="00543A29">
                        <w:rPr>
                          <w:sz w:val="20"/>
                        </w:rPr>
                        <w:t>included:</w:t>
                      </w:r>
                      <w:r>
                        <w:rPr>
                          <w:sz w:val="20"/>
                        </w:rPr>
                        <w:t xml:space="preserve"> a fence;</w:t>
                      </w:r>
                      <w:r w:rsidRPr="00543A29">
                        <w:rPr>
                          <w:sz w:val="20"/>
                        </w:rPr>
                        <w:t xml:space="preserve"> another classroom</w:t>
                      </w:r>
                      <w:r>
                        <w:rPr>
                          <w:sz w:val="20"/>
                        </w:rPr>
                        <w:t>;</w:t>
                      </w:r>
                      <w:r w:rsidRPr="00543A29">
                        <w:rPr>
                          <w:sz w:val="20"/>
                        </w:rPr>
                        <w:t xml:space="preserve"> toilets</w:t>
                      </w:r>
                      <w:r>
                        <w:rPr>
                          <w:sz w:val="20"/>
                        </w:rPr>
                        <w:t>;</w:t>
                      </w:r>
                      <w:r w:rsidRPr="00543A29">
                        <w:rPr>
                          <w:sz w:val="20"/>
                        </w:rPr>
                        <w:t xml:space="preserve"> shell books/big books</w:t>
                      </w:r>
                      <w:r>
                        <w:rPr>
                          <w:sz w:val="20"/>
                        </w:rPr>
                        <w:t>;</w:t>
                      </w:r>
                      <w:r w:rsidRPr="00543A29">
                        <w:rPr>
                          <w:sz w:val="20"/>
                        </w:rPr>
                        <w:t xml:space="preserve"> general fittings for the school. </w:t>
                      </w:r>
                    </w:p>
                    <w:p w14:paraId="19AA8C66" w14:textId="77777777" w:rsidR="009F310F" w:rsidRPr="005C4A07" w:rsidRDefault="009F310F" w:rsidP="00E83D77">
                      <w:pPr>
                        <w:shd w:val="clear" w:color="auto" w:fill="EDEDED" w:themeFill="accent3" w:themeFillTint="33"/>
                        <w:spacing w:after="60"/>
                        <w:rPr>
                          <w:sz w:val="20"/>
                        </w:rPr>
                      </w:pPr>
                      <w:r w:rsidRPr="00543A29">
                        <w:rPr>
                          <w:sz w:val="20"/>
                        </w:rPr>
                        <w:t>The T</w:t>
                      </w:r>
                      <w:r>
                        <w:rPr>
                          <w:sz w:val="20"/>
                        </w:rPr>
                        <w:t>i</w:t>
                      </w:r>
                      <w:r w:rsidRPr="00543A29">
                        <w:rPr>
                          <w:sz w:val="20"/>
                        </w:rPr>
                        <w:t xml:space="preserve">C attended the </w:t>
                      </w:r>
                      <w:r>
                        <w:rPr>
                          <w:sz w:val="20"/>
                        </w:rPr>
                        <w:t>PKS</w:t>
                      </w:r>
                      <w:r w:rsidRPr="00543A29">
                        <w:rPr>
                          <w:sz w:val="20"/>
                        </w:rPr>
                        <w:t xml:space="preserve"> training, and could recall the Financial </w:t>
                      </w:r>
                      <w:r>
                        <w:rPr>
                          <w:sz w:val="20"/>
                        </w:rPr>
                        <w:t>M</w:t>
                      </w:r>
                      <w:r w:rsidRPr="00543A29">
                        <w:rPr>
                          <w:sz w:val="20"/>
                        </w:rPr>
                        <w:t>anagement sessions, the SLIP</w:t>
                      </w:r>
                      <w:r>
                        <w:rPr>
                          <w:sz w:val="20"/>
                        </w:rPr>
                        <w:t xml:space="preserve"> training</w:t>
                      </w:r>
                      <w:r w:rsidRPr="00543A29">
                        <w:rPr>
                          <w:sz w:val="20"/>
                        </w:rPr>
                        <w:t xml:space="preserve">, and the sessions on Leadership (which </w:t>
                      </w:r>
                      <w:r>
                        <w:rPr>
                          <w:sz w:val="20"/>
                        </w:rPr>
                        <w:t xml:space="preserve">she said </w:t>
                      </w:r>
                      <w:r w:rsidRPr="00543A29">
                        <w:rPr>
                          <w:sz w:val="20"/>
                        </w:rPr>
                        <w:t xml:space="preserve">were useful). The only example she could provide of how she had used the training was that the </w:t>
                      </w:r>
                      <w:r>
                        <w:rPr>
                          <w:sz w:val="20"/>
                        </w:rPr>
                        <w:t>SBoM</w:t>
                      </w:r>
                      <w:r w:rsidRPr="00543A29">
                        <w:rPr>
                          <w:sz w:val="20"/>
                        </w:rPr>
                        <w:t xml:space="preserve"> had revised how it withdrew money from the bank – taking only what was needed to avoid large amounts of cash being in the school. </w:t>
                      </w:r>
                      <w:r>
                        <w:rPr>
                          <w:sz w:val="20"/>
                        </w:rPr>
                        <w:t>However, s</w:t>
                      </w:r>
                      <w:r w:rsidRPr="00543A29">
                        <w:rPr>
                          <w:sz w:val="20"/>
                        </w:rPr>
                        <w:t xml:space="preserve">he did not have a plan to do another SLIP, nor did she think the </w:t>
                      </w:r>
                      <w:r>
                        <w:rPr>
                          <w:sz w:val="20"/>
                        </w:rPr>
                        <w:t>SBoM</w:t>
                      </w:r>
                      <w:r w:rsidRPr="00543A29">
                        <w:rPr>
                          <w:sz w:val="20"/>
                        </w:rPr>
                        <w:t xml:space="preserve"> chair</w:t>
                      </w:r>
                      <w:r>
                        <w:rPr>
                          <w:sz w:val="20"/>
                        </w:rPr>
                        <w:t>man</w:t>
                      </w:r>
                      <w:r w:rsidRPr="00543A29">
                        <w:rPr>
                          <w:sz w:val="20"/>
                        </w:rPr>
                        <w:t xml:space="preserve"> did. </w:t>
                      </w:r>
                      <w:r>
                        <w:rPr>
                          <w:sz w:val="20"/>
                        </w:rPr>
                        <w:t>She felt t</w:t>
                      </w:r>
                      <w:r w:rsidRPr="00543A29">
                        <w:rPr>
                          <w:sz w:val="20"/>
                        </w:rPr>
                        <w:t xml:space="preserve">he community was represented in the SLIP planning by having a Community Rep on the </w:t>
                      </w:r>
                      <w:r>
                        <w:rPr>
                          <w:sz w:val="20"/>
                        </w:rPr>
                        <w:t>SBoM</w:t>
                      </w:r>
                      <w:r w:rsidRPr="00543A29">
                        <w:rPr>
                          <w:sz w:val="20"/>
                        </w:rPr>
                        <w:t xml:space="preserve">, which they </w:t>
                      </w:r>
                      <w:r>
                        <w:rPr>
                          <w:sz w:val="20"/>
                        </w:rPr>
                        <w:t xml:space="preserve">also </w:t>
                      </w:r>
                      <w:r w:rsidRPr="00543A29">
                        <w:rPr>
                          <w:sz w:val="20"/>
                        </w:rPr>
                        <w:t>had in 2016 when they did the last plan</w:t>
                      </w:r>
                      <w:r>
                        <w:rPr>
                          <w:sz w:val="20"/>
                        </w:rPr>
                        <w:t>,</w:t>
                      </w:r>
                      <w:r w:rsidRPr="00543A29">
                        <w:rPr>
                          <w:sz w:val="20"/>
                        </w:rPr>
                        <w:t xml:space="preserve"> </w:t>
                      </w:r>
                      <w:r>
                        <w:rPr>
                          <w:sz w:val="20"/>
                        </w:rPr>
                        <w:t>and which they will do again instead of</w:t>
                      </w:r>
                      <w:r w:rsidRPr="00543A29">
                        <w:rPr>
                          <w:sz w:val="20"/>
                        </w:rPr>
                        <w:t xml:space="preserve"> hav</w:t>
                      </w:r>
                      <w:r>
                        <w:rPr>
                          <w:sz w:val="20"/>
                        </w:rPr>
                        <w:t xml:space="preserve">ing </w:t>
                      </w:r>
                      <w:r w:rsidRPr="00543A29">
                        <w:rPr>
                          <w:sz w:val="20"/>
                        </w:rPr>
                        <w:t>community discussions as part of the process. This school does not collect fees from parents</w:t>
                      </w:r>
                      <w:r>
                        <w:rPr>
                          <w:sz w:val="20"/>
                        </w:rPr>
                        <w:t>.</w:t>
                      </w:r>
                      <w:r w:rsidRPr="00FD2BC3">
                        <w:rPr>
                          <w:sz w:val="20"/>
                        </w:rPr>
                        <w:t xml:space="preserve"> </w:t>
                      </w:r>
                      <w:r>
                        <w:rPr>
                          <w:sz w:val="20"/>
                        </w:rPr>
                        <w:t>Since the training, the new ideas s</w:t>
                      </w:r>
                      <w:r w:rsidRPr="00543A29">
                        <w:rPr>
                          <w:sz w:val="20"/>
                        </w:rPr>
                        <w:t>he had</w:t>
                      </w:r>
                      <w:r>
                        <w:rPr>
                          <w:sz w:val="20"/>
                        </w:rPr>
                        <w:t xml:space="preserve"> for the SLIP</w:t>
                      </w:r>
                      <w:r w:rsidRPr="00543A29">
                        <w:rPr>
                          <w:sz w:val="20"/>
                        </w:rPr>
                        <w:t xml:space="preserve"> included: a new double classroom, </w:t>
                      </w:r>
                      <w:r>
                        <w:rPr>
                          <w:sz w:val="20"/>
                        </w:rPr>
                        <w:t xml:space="preserve">and </w:t>
                      </w:r>
                      <w:r w:rsidRPr="00543A29">
                        <w:rPr>
                          <w:sz w:val="20"/>
                        </w:rPr>
                        <w:t>complet</w:t>
                      </w:r>
                      <w:r>
                        <w:rPr>
                          <w:sz w:val="20"/>
                        </w:rPr>
                        <w:t>ing</w:t>
                      </w:r>
                      <w:r w:rsidRPr="00543A29">
                        <w:rPr>
                          <w:sz w:val="20"/>
                        </w:rPr>
                        <w:t xml:space="preserve"> the fence.</w:t>
                      </w:r>
                    </w:p>
                  </w:txbxContent>
                </v:textbox>
                <w10:anchorlock/>
              </v:shape>
            </w:pict>
          </mc:Fallback>
        </mc:AlternateContent>
      </w:r>
    </w:p>
    <w:p w14:paraId="0E6A12CE" w14:textId="77777777" w:rsidR="00E83D77" w:rsidRPr="00FA288E" w:rsidRDefault="00E83D77" w:rsidP="00061FD0">
      <w:pPr>
        <w:pStyle w:val="BodyText"/>
        <w:rPr>
          <w:rFonts w:ascii="Calibri" w:hAnsi="Calibri" w:cs="Calibri"/>
          <w:i/>
          <w:sz w:val="20"/>
          <w:szCs w:val="20"/>
        </w:rPr>
      </w:pPr>
      <w:r w:rsidRPr="00FA288E">
        <w:rPr>
          <w:rFonts w:ascii="Calibri" w:hAnsi="Calibri" w:cs="Calibri"/>
          <w:sz w:val="20"/>
          <w:szCs w:val="20"/>
        </w:rPr>
        <w:t xml:space="preserve">In all instances observed, there was little evidence of information sharing between the </w:t>
      </w:r>
      <w:proofErr w:type="spellStart"/>
      <w:r w:rsidRPr="00FA288E">
        <w:rPr>
          <w:rFonts w:ascii="Calibri" w:hAnsi="Calibri" w:cs="Calibri"/>
          <w:sz w:val="20"/>
          <w:szCs w:val="20"/>
        </w:rPr>
        <w:t>TiC</w:t>
      </w:r>
      <w:proofErr w:type="spellEnd"/>
      <w:r w:rsidRPr="00FA288E">
        <w:rPr>
          <w:rFonts w:ascii="Calibri" w:hAnsi="Calibri" w:cs="Calibri"/>
          <w:sz w:val="20"/>
          <w:szCs w:val="20"/>
        </w:rPr>
        <w:t>/</w:t>
      </w:r>
      <w:proofErr w:type="spellStart"/>
      <w:r w:rsidRPr="00FA288E">
        <w:rPr>
          <w:rFonts w:ascii="Calibri" w:hAnsi="Calibri" w:cs="Calibri"/>
          <w:sz w:val="20"/>
          <w:szCs w:val="20"/>
        </w:rPr>
        <w:t>SBoM</w:t>
      </w:r>
      <w:proofErr w:type="spellEnd"/>
      <w:r w:rsidRPr="00FA288E">
        <w:rPr>
          <w:rFonts w:ascii="Calibri" w:hAnsi="Calibri" w:cs="Calibri"/>
          <w:sz w:val="20"/>
          <w:szCs w:val="20"/>
        </w:rPr>
        <w:t xml:space="preserve"> chairs and the rest of the board members on either the training received from PKS, or the development of the SLIP, which appeared to be controlled by an individual. There was also little evidence from these examples that SLIPs are discussed with the broader community, beyond at least the community representative who sits on the board and has more of a function of collecting community contributions to mostly infrastructure projects. </w:t>
      </w:r>
    </w:p>
    <w:p w14:paraId="166027B4" w14:textId="77777777" w:rsidR="00E83D77" w:rsidRPr="00FA288E" w:rsidRDefault="00E83D77" w:rsidP="00061FD0">
      <w:pPr>
        <w:spacing w:after="120"/>
        <w:jc w:val="both"/>
        <w:rPr>
          <w:rFonts w:cs="Calibri"/>
          <w:sz w:val="20"/>
          <w:szCs w:val="20"/>
        </w:rPr>
      </w:pPr>
      <w:r w:rsidRPr="00FA288E">
        <w:rPr>
          <w:rFonts w:cs="Calibri"/>
          <w:sz w:val="20"/>
          <w:szCs w:val="20"/>
        </w:rPr>
        <w:t xml:space="preserve">The implication from the above examples is that in complying with the NDOE’s requirement that only the </w:t>
      </w:r>
      <w:proofErr w:type="spellStart"/>
      <w:r w:rsidRPr="00FA288E">
        <w:rPr>
          <w:rFonts w:cs="Calibri"/>
          <w:sz w:val="20"/>
          <w:szCs w:val="20"/>
        </w:rPr>
        <w:t>SBoM</w:t>
      </w:r>
      <w:proofErr w:type="spellEnd"/>
      <w:r w:rsidRPr="00FA288E">
        <w:rPr>
          <w:rFonts w:cs="Calibri"/>
          <w:sz w:val="20"/>
          <w:szCs w:val="20"/>
        </w:rPr>
        <w:t xml:space="preserve"> Chair and </w:t>
      </w:r>
      <w:proofErr w:type="spellStart"/>
      <w:r w:rsidRPr="00FA288E">
        <w:rPr>
          <w:rFonts w:cs="Calibri"/>
          <w:sz w:val="20"/>
          <w:szCs w:val="20"/>
        </w:rPr>
        <w:t>TiC</w:t>
      </w:r>
      <w:proofErr w:type="spellEnd"/>
      <w:r w:rsidRPr="00FA288E">
        <w:rPr>
          <w:rFonts w:cs="Calibri"/>
          <w:sz w:val="20"/>
          <w:szCs w:val="20"/>
        </w:rPr>
        <w:t xml:space="preserve"> are trained in SLIP development, perhaps they are not targeting those with the </w:t>
      </w:r>
      <w:r w:rsidR="0064493A" w:rsidRPr="00FA288E">
        <w:rPr>
          <w:rFonts w:cs="Calibri"/>
          <w:sz w:val="20"/>
          <w:szCs w:val="20"/>
        </w:rPr>
        <w:t xml:space="preserve">best </w:t>
      </w:r>
      <w:r w:rsidRPr="00FA288E">
        <w:rPr>
          <w:rFonts w:cs="Calibri"/>
          <w:sz w:val="20"/>
          <w:szCs w:val="20"/>
        </w:rPr>
        <w:t xml:space="preserve">ability to absorb and utilise the training. PKS staff noted that many </w:t>
      </w:r>
      <w:proofErr w:type="spellStart"/>
      <w:r w:rsidRPr="00FA288E">
        <w:rPr>
          <w:rFonts w:cs="Calibri"/>
          <w:sz w:val="20"/>
          <w:szCs w:val="20"/>
        </w:rPr>
        <w:t>SBoM</w:t>
      </w:r>
      <w:proofErr w:type="spellEnd"/>
      <w:r w:rsidRPr="00FA288E">
        <w:rPr>
          <w:rFonts w:cs="Calibri"/>
          <w:sz w:val="20"/>
          <w:szCs w:val="20"/>
        </w:rPr>
        <w:t xml:space="preserve"> chairs are chairs for life, despite the 3 year ‘rotation’ rule. This is particularly the case where they were responsible for establishing the school or the school is on their land, and they have a close interest in the resources a school can attract. To address this, they are trying to introduce the idea of separation of </w:t>
      </w:r>
      <w:proofErr w:type="spellStart"/>
      <w:r w:rsidRPr="00FA288E">
        <w:rPr>
          <w:rFonts w:cs="Calibri"/>
          <w:sz w:val="20"/>
          <w:szCs w:val="20"/>
        </w:rPr>
        <w:t>TiC</w:t>
      </w:r>
      <w:proofErr w:type="spellEnd"/>
      <w:r w:rsidRPr="00FA288E">
        <w:rPr>
          <w:rFonts w:cs="Calibri"/>
          <w:sz w:val="20"/>
          <w:szCs w:val="20"/>
        </w:rPr>
        <w:t xml:space="preserve"> and </w:t>
      </w:r>
      <w:proofErr w:type="spellStart"/>
      <w:r w:rsidRPr="00FA288E">
        <w:rPr>
          <w:rFonts w:cs="Calibri"/>
          <w:sz w:val="20"/>
          <w:szCs w:val="20"/>
        </w:rPr>
        <w:t>SBoM</w:t>
      </w:r>
      <w:proofErr w:type="spellEnd"/>
      <w:r w:rsidRPr="00FA288E">
        <w:rPr>
          <w:rFonts w:cs="Calibri"/>
          <w:sz w:val="20"/>
          <w:szCs w:val="20"/>
        </w:rPr>
        <w:t xml:space="preserve"> chair responsibilities vis-à-vis SLIP development, and to encourage a more participatory SLIP development process, however these is not yet evidence of whether this is having an effect. This lack of board member turnover also had implications for the target of increasing the number of women on the boards, with little pressure to elect new members.</w:t>
      </w:r>
    </w:p>
    <w:p w14:paraId="01DFE715" w14:textId="77777777" w:rsidR="00E83D77" w:rsidRPr="00FA288E" w:rsidRDefault="00E83D77" w:rsidP="00061FD0">
      <w:pPr>
        <w:spacing w:after="120"/>
        <w:jc w:val="both"/>
        <w:rPr>
          <w:rFonts w:cs="Calibri"/>
          <w:sz w:val="20"/>
          <w:szCs w:val="20"/>
        </w:rPr>
      </w:pPr>
      <w:r w:rsidRPr="00FA288E">
        <w:rPr>
          <w:rFonts w:cs="Calibri"/>
          <w:sz w:val="20"/>
          <w:szCs w:val="20"/>
        </w:rPr>
        <w:t>Interviews with PDOE Partner staff indicted that the revitalisation of the SLIP process has clearly shifted the focus of the Provincial government from relying on government funding for schools development to expecting communities to fund their own school based activities, including in-service training for teachers or for school development: “</w:t>
      </w:r>
      <w:r w:rsidRPr="00FA288E">
        <w:rPr>
          <w:rFonts w:cs="Calibri"/>
          <w:i/>
          <w:sz w:val="20"/>
          <w:szCs w:val="20"/>
        </w:rPr>
        <w:t>Sustainability lies with the provinces. We don’t have to wait for the NDOE to come. We have the skills [for SBC and SLIP training]. We can facilitate it. We will ask the schools to incorporate it into their SLIP plan. We don’t even need to rely on the province. We can rely on the school level. The biggest challenge is how to get the schools trained in management. SLIP is our sustainability fall back. We need to spread it into the control schools as well</w:t>
      </w:r>
      <w:r w:rsidRPr="00FA288E">
        <w:rPr>
          <w:rFonts w:cs="Calibri"/>
          <w:sz w:val="20"/>
          <w:szCs w:val="20"/>
        </w:rPr>
        <w:t>”. This was tempered however by a District Inspector who acknowledged that “</w:t>
      </w:r>
      <w:r w:rsidRPr="00FA288E">
        <w:rPr>
          <w:rFonts w:cs="Calibri"/>
          <w:i/>
          <w:sz w:val="20"/>
          <w:szCs w:val="20"/>
        </w:rPr>
        <w:t>Our biggest challenge is monitoring to know if schools are actually implementing anything</w:t>
      </w:r>
      <w:r w:rsidRPr="00FA288E">
        <w:rPr>
          <w:rFonts w:cs="Calibri"/>
          <w:sz w:val="20"/>
          <w:szCs w:val="20"/>
        </w:rPr>
        <w:t xml:space="preserve">”. </w:t>
      </w:r>
    </w:p>
    <w:p w14:paraId="05B0B712" w14:textId="77777777" w:rsidR="00E83D77" w:rsidRPr="00FA288E" w:rsidRDefault="00E83D77" w:rsidP="00061FD0">
      <w:pPr>
        <w:jc w:val="both"/>
        <w:rPr>
          <w:rFonts w:cs="Calibri"/>
          <w:sz w:val="20"/>
          <w:szCs w:val="20"/>
        </w:rPr>
      </w:pPr>
      <w:r w:rsidRPr="00FA288E">
        <w:rPr>
          <w:rFonts w:cs="Calibri"/>
          <w:sz w:val="20"/>
          <w:szCs w:val="20"/>
        </w:rPr>
        <w:t xml:space="preserve">Activities to meet the target of ‘50% of district education plans [will] include literacy, maths and inclusion activities’ do not appear to have progressed. According to the PDOE, there are no existing District Education </w:t>
      </w:r>
      <w:r w:rsidRPr="00FA288E">
        <w:rPr>
          <w:rFonts w:cs="Calibri"/>
          <w:sz w:val="20"/>
          <w:szCs w:val="20"/>
        </w:rPr>
        <w:lastRenderedPageBreak/>
        <w:t>Plans as such, but District officers may contribute ideas to feed into provincial sector plans. PKS is currently exploring ways to link the SLIP process to existing sources of funding through mobilising the District Education Implementation Committees (DEIC) to influence Provincial planning and expenditure on education, however the inputs required to achieve this outcome were not yet clear.</w:t>
      </w:r>
    </w:p>
    <w:p w14:paraId="676BE7FC" w14:textId="77777777" w:rsidR="00E83D77" w:rsidRPr="00FA288E" w:rsidRDefault="00E83D77" w:rsidP="00061FD0">
      <w:pPr>
        <w:pStyle w:val="BodyText"/>
        <w:rPr>
          <w:rFonts w:ascii="Calibri" w:hAnsi="Calibri" w:cs="Calibri"/>
          <w:sz w:val="20"/>
          <w:szCs w:val="20"/>
        </w:rPr>
      </w:pPr>
      <w:bookmarkStart w:id="201" w:name="_Toc26457668"/>
      <w:r w:rsidRPr="00FA288E">
        <w:rPr>
          <w:rFonts w:ascii="Calibri" w:hAnsi="Calibri" w:cs="Calibri"/>
          <w:sz w:val="20"/>
          <w:szCs w:val="20"/>
        </w:rPr>
        <w:t>ii) Contribution of PKS activities to improved school management outcomes</w:t>
      </w:r>
      <w:bookmarkEnd w:id="201"/>
      <w:r w:rsidRPr="00FA288E">
        <w:rPr>
          <w:rFonts w:ascii="Calibri" w:hAnsi="Calibri" w:cs="Calibri"/>
          <w:sz w:val="20"/>
          <w:szCs w:val="20"/>
        </w:rPr>
        <w:t xml:space="preserve"> </w:t>
      </w:r>
    </w:p>
    <w:p w14:paraId="31AF9318" w14:textId="77777777" w:rsidR="00E83D77" w:rsidRPr="00FA288E" w:rsidRDefault="00E83D77" w:rsidP="00061FD0">
      <w:pPr>
        <w:jc w:val="both"/>
        <w:rPr>
          <w:rFonts w:cs="Calibri"/>
          <w:i/>
          <w:sz w:val="20"/>
          <w:szCs w:val="20"/>
        </w:rPr>
      </w:pPr>
      <w:r w:rsidRPr="00FA288E">
        <w:rPr>
          <w:rFonts w:cs="Calibri"/>
          <w:i/>
          <w:sz w:val="20"/>
          <w:szCs w:val="20"/>
        </w:rPr>
        <w:t>Effect of the training on school management</w:t>
      </w:r>
    </w:p>
    <w:p w14:paraId="37AAC122" w14:textId="77777777" w:rsidR="00E83D77" w:rsidRPr="00FA288E" w:rsidRDefault="00E83D77" w:rsidP="00061FD0">
      <w:pPr>
        <w:jc w:val="both"/>
        <w:rPr>
          <w:rFonts w:cs="Calibri"/>
          <w:sz w:val="20"/>
          <w:szCs w:val="20"/>
        </w:rPr>
      </w:pPr>
      <w:r w:rsidRPr="00FA288E">
        <w:rPr>
          <w:rFonts w:cs="Calibri"/>
          <w:sz w:val="20"/>
          <w:szCs w:val="20"/>
        </w:rPr>
        <w:t xml:space="preserve">Due to the fact that training has only recently been completed and monitoring has not commenced, it is not possible to understand the full impact of the training and support on either SLIP quality or implementation outcomes. Monitoring indicators do not actually extend to SLIP implementation, only their production. It is noted however that the monitoring tool intended to measure improvements in the </w:t>
      </w:r>
      <w:r w:rsidRPr="00FA288E">
        <w:rPr>
          <w:rFonts w:cs="Calibri"/>
          <w:i/>
          <w:sz w:val="20"/>
          <w:szCs w:val="20"/>
        </w:rPr>
        <w:t>quality</w:t>
      </w:r>
      <w:r w:rsidRPr="00FA288E">
        <w:rPr>
          <w:rFonts w:cs="Calibri"/>
          <w:sz w:val="20"/>
          <w:szCs w:val="20"/>
        </w:rPr>
        <w:t xml:space="preserve"> of SLIPs produced relies on self-assessment by </w:t>
      </w:r>
      <w:proofErr w:type="spellStart"/>
      <w:r w:rsidRPr="00FA288E">
        <w:rPr>
          <w:rFonts w:cs="Calibri"/>
          <w:sz w:val="20"/>
          <w:szCs w:val="20"/>
        </w:rPr>
        <w:t>SBoM</w:t>
      </w:r>
      <w:proofErr w:type="spellEnd"/>
      <w:r w:rsidRPr="00FA288E">
        <w:rPr>
          <w:rFonts w:cs="Calibri"/>
          <w:sz w:val="20"/>
          <w:szCs w:val="20"/>
        </w:rPr>
        <w:t xml:space="preserve"> members rather than impartial assessments of their compliance with expected content areas. PKS may need to consider a more rigorous process of spot checking a sample of SLIP content and implementation status to improve the validity of future data.</w:t>
      </w:r>
    </w:p>
    <w:p w14:paraId="2CBFFEC8" w14:textId="77777777" w:rsidR="00E83D77" w:rsidRPr="00FA288E" w:rsidRDefault="00E83D77" w:rsidP="00061FD0">
      <w:pPr>
        <w:jc w:val="both"/>
        <w:rPr>
          <w:rFonts w:cs="Calibri"/>
          <w:i/>
          <w:sz w:val="20"/>
          <w:szCs w:val="20"/>
        </w:rPr>
      </w:pPr>
      <w:r w:rsidRPr="00FA288E">
        <w:rPr>
          <w:rFonts w:cs="Calibri"/>
          <w:i/>
          <w:sz w:val="20"/>
          <w:szCs w:val="20"/>
        </w:rPr>
        <w:t xml:space="preserve">Effect of the training on increasing the number of female </w:t>
      </w:r>
      <w:proofErr w:type="spellStart"/>
      <w:r w:rsidRPr="00FA288E">
        <w:rPr>
          <w:rFonts w:cs="Calibri"/>
          <w:i/>
          <w:sz w:val="20"/>
          <w:szCs w:val="20"/>
        </w:rPr>
        <w:t>SBoM</w:t>
      </w:r>
      <w:proofErr w:type="spellEnd"/>
      <w:r w:rsidRPr="00FA288E">
        <w:rPr>
          <w:rFonts w:cs="Calibri"/>
          <w:i/>
          <w:sz w:val="20"/>
          <w:szCs w:val="20"/>
        </w:rPr>
        <w:t xml:space="preserve"> members to two</w:t>
      </w:r>
    </w:p>
    <w:p w14:paraId="5C9E18CB" w14:textId="77777777" w:rsidR="00E83D77" w:rsidRPr="00FA288E" w:rsidRDefault="00E83D77" w:rsidP="00061FD0">
      <w:pPr>
        <w:jc w:val="both"/>
        <w:rPr>
          <w:rFonts w:cs="Calibri"/>
          <w:sz w:val="20"/>
          <w:szCs w:val="20"/>
        </w:rPr>
      </w:pPr>
      <w:r w:rsidRPr="00FA288E">
        <w:rPr>
          <w:rFonts w:cs="Calibri"/>
          <w:sz w:val="20"/>
          <w:szCs w:val="20"/>
        </w:rPr>
        <w:t xml:space="preserve">There are challenges with increasing the number of women on </w:t>
      </w:r>
      <w:proofErr w:type="spellStart"/>
      <w:r w:rsidRPr="00FA288E">
        <w:rPr>
          <w:rFonts w:cs="Calibri"/>
          <w:sz w:val="20"/>
          <w:szCs w:val="20"/>
        </w:rPr>
        <w:t>SBoMs</w:t>
      </w:r>
      <w:proofErr w:type="spellEnd"/>
      <w:r w:rsidRPr="00FA288E">
        <w:rPr>
          <w:rFonts w:cs="Calibri"/>
          <w:sz w:val="20"/>
          <w:szCs w:val="20"/>
        </w:rPr>
        <w:t>, given that the election period of 3 years may only be rarely adhered to. This means there may not actually be an opportunity to elect new members within the timeframe of the pro</w:t>
      </w:r>
      <w:r w:rsidR="00686098" w:rsidRPr="00FA288E">
        <w:rPr>
          <w:rFonts w:cs="Calibri"/>
          <w:sz w:val="20"/>
          <w:szCs w:val="20"/>
        </w:rPr>
        <w:t>ject</w:t>
      </w:r>
      <w:r w:rsidRPr="00FA288E">
        <w:rPr>
          <w:rFonts w:cs="Calibri"/>
          <w:sz w:val="20"/>
          <w:szCs w:val="20"/>
        </w:rPr>
        <w:t xml:space="preserve">. It appears that this outcome is no longer being actively pursued. The promotion of women’s leadership did not appear to be a particular focus of the Leadership Training or Crosscutting modules, and is only a small part of Module 5, which is only presented to 2 participants per community. Although it may be a larger focus of the Community Leadership Program training, its impact will only be evident in the 12 target villages.  </w:t>
      </w:r>
    </w:p>
    <w:p w14:paraId="382A114B" w14:textId="77777777" w:rsidR="00E83D77" w:rsidRPr="00FA288E" w:rsidRDefault="00E83D77" w:rsidP="00061FD0">
      <w:pPr>
        <w:jc w:val="both"/>
        <w:rPr>
          <w:rFonts w:cs="Calibri"/>
          <w:sz w:val="20"/>
          <w:szCs w:val="20"/>
        </w:rPr>
      </w:pPr>
      <w:r w:rsidRPr="00FA288E">
        <w:rPr>
          <w:rFonts w:cs="Calibri"/>
          <w:i/>
          <w:sz w:val="20"/>
          <w:szCs w:val="20"/>
        </w:rPr>
        <w:t>Effect of the pro</w:t>
      </w:r>
      <w:r w:rsidR="001D27A1" w:rsidRPr="00FA288E">
        <w:rPr>
          <w:rFonts w:cs="Calibri"/>
          <w:i/>
          <w:sz w:val="20"/>
          <w:szCs w:val="20"/>
        </w:rPr>
        <w:t>ject</w:t>
      </w:r>
      <w:r w:rsidRPr="00FA288E">
        <w:rPr>
          <w:rFonts w:cs="Calibri"/>
          <w:i/>
          <w:sz w:val="20"/>
          <w:szCs w:val="20"/>
        </w:rPr>
        <w:t xml:space="preserve"> on improving District Education Plans</w:t>
      </w:r>
    </w:p>
    <w:p w14:paraId="40E63327" w14:textId="77777777" w:rsidR="00E83D77" w:rsidRPr="00FA288E" w:rsidRDefault="00E83D77" w:rsidP="00061FD0">
      <w:pPr>
        <w:jc w:val="both"/>
        <w:rPr>
          <w:rFonts w:cs="Calibri"/>
          <w:sz w:val="20"/>
          <w:szCs w:val="20"/>
        </w:rPr>
      </w:pPr>
      <w:r w:rsidRPr="00FA288E">
        <w:rPr>
          <w:rFonts w:cs="Calibri"/>
          <w:sz w:val="20"/>
          <w:szCs w:val="20"/>
        </w:rPr>
        <w:t xml:space="preserve">There was not yet activity to report on for this output. </w:t>
      </w:r>
      <w:bookmarkStart w:id="202" w:name="_Toc26457669"/>
    </w:p>
    <w:p w14:paraId="5A452EE4" w14:textId="77777777" w:rsidR="00E83D77" w:rsidRPr="00FA288E" w:rsidRDefault="00E83D77" w:rsidP="00061FD0">
      <w:pPr>
        <w:jc w:val="both"/>
        <w:rPr>
          <w:rFonts w:eastAsiaTheme="minorEastAsia" w:cs="Calibri"/>
          <w:i/>
          <w:sz w:val="20"/>
          <w:szCs w:val="20"/>
          <w:u w:val="single"/>
        </w:rPr>
      </w:pPr>
      <w:r w:rsidRPr="00FA288E">
        <w:rPr>
          <w:rFonts w:cs="Calibri"/>
          <w:i/>
          <w:sz w:val="20"/>
          <w:szCs w:val="20"/>
          <w:u w:val="single"/>
        </w:rPr>
        <w:br w:type="page"/>
      </w:r>
    </w:p>
    <w:p w14:paraId="2B24C4DC" w14:textId="77777777" w:rsidR="00E83D77" w:rsidRPr="00FA288E" w:rsidRDefault="00E83D77" w:rsidP="00E83D77">
      <w:pPr>
        <w:pStyle w:val="BodyText"/>
        <w:rPr>
          <w:rFonts w:ascii="Calibri" w:hAnsi="Calibri" w:cs="Calibri"/>
          <w:i/>
          <w:sz w:val="20"/>
          <w:szCs w:val="20"/>
          <w:u w:val="single"/>
        </w:rPr>
      </w:pPr>
      <w:r w:rsidRPr="00FA288E">
        <w:rPr>
          <w:rFonts w:ascii="Calibri" w:hAnsi="Calibri" w:cs="Calibri"/>
          <w:i/>
          <w:sz w:val="20"/>
          <w:szCs w:val="20"/>
          <w:u w:val="single"/>
        </w:rPr>
        <w:lastRenderedPageBreak/>
        <w:t>Together for Education pro</w:t>
      </w:r>
      <w:r w:rsidR="001D27A1" w:rsidRPr="00FA288E">
        <w:rPr>
          <w:rFonts w:ascii="Calibri" w:hAnsi="Calibri" w:cs="Calibri"/>
          <w:i/>
          <w:sz w:val="20"/>
          <w:szCs w:val="20"/>
          <w:u w:val="single"/>
        </w:rPr>
        <w:t>ject</w:t>
      </w:r>
      <w:r w:rsidRPr="00FA288E">
        <w:rPr>
          <w:rFonts w:ascii="Calibri" w:hAnsi="Calibri" w:cs="Calibri"/>
          <w:i/>
          <w:sz w:val="20"/>
          <w:szCs w:val="20"/>
          <w:u w:val="single"/>
        </w:rPr>
        <w:t xml:space="preserve"> school management activities</w:t>
      </w:r>
      <w:bookmarkEnd w:id="202"/>
    </w:p>
    <w:p w14:paraId="3CA0F235" w14:textId="3FAE9BDD" w:rsidR="00E83D77" w:rsidRPr="00FA288E" w:rsidRDefault="00E83D77" w:rsidP="00061FD0">
      <w:pPr>
        <w:jc w:val="both"/>
        <w:rPr>
          <w:rFonts w:cs="Calibri"/>
          <w:sz w:val="20"/>
          <w:szCs w:val="20"/>
        </w:rPr>
      </w:pPr>
      <w:r w:rsidRPr="00FA288E">
        <w:rPr>
          <w:rFonts w:cs="Calibri"/>
          <w:sz w:val="20"/>
          <w:szCs w:val="20"/>
        </w:rPr>
        <w:t>T4E produced a manual for assisting in facilitating training on SLIP development. This drew on the experiences of consortium partner Child Fund, who has considerable international experience with schools-based planning. The April 2019 version of the manual was tightly focused on supporting areas of the NEP 2015-19 and included the following modules:</w:t>
      </w:r>
    </w:p>
    <w:p w14:paraId="05789D45" w14:textId="77777777" w:rsidR="00E83D77" w:rsidRPr="00FA288E" w:rsidRDefault="00E83D77" w:rsidP="00FF62CC">
      <w:pPr>
        <w:pStyle w:val="ListParagraph"/>
        <w:numPr>
          <w:ilvl w:val="0"/>
          <w:numId w:val="48"/>
        </w:numPr>
        <w:jc w:val="both"/>
        <w:rPr>
          <w:rFonts w:ascii="Calibri" w:hAnsi="Calibri" w:cs="Calibri"/>
          <w:sz w:val="20"/>
          <w:szCs w:val="20"/>
          <w:lang w:val="en-AU"/>
        </w:rPr>
      </w:pPr>
      <w:r w:rsidRPr="00FA288E">
        <w:rPr>
          <w:rFonts w:ascii="Calibri" w:hAnsi="Calibri" w:cs="Calibri"/>
          <w:sz w:val="20"/>
          <w:szCs w:val="20"/>
          <w:lang w:val="en-AU"/>
        </w:rPr>
        <w:t>Module 1: Getting Started – including a mini survey on the status of participant’s SLIPs</w:t>
      </w:r>
    </w:p>
    <w:p w14:paraId="7F361483" w14:textId="77777777" w:rsidR="00E83D77" w:rsidRPr="00FA288E" w:rsidRDefault="00E83D77" w:rsidP="00FF62CC">
      <w:pPr>
        <w:pStyle w:val="ListParagraph"/>
        <w:numPr>
          <w:ilvl w:val="0"/>
          <w:numId w:val="48"/>
        </w:numPr>
        <w:jc w:val="both"/>
        <w:rPr>
          <w:rFonts w:ascii="Calibri" w:hAnsi="Calibri" w:cs="Calibri"/>
          <w:sz w:val="20"/>
          <w:szCs w:val="20"/>
          <w:lang w:val="en-AU"/>
        </w:rPr>
      </w:pPr>
      <w:r w:rsidRPr="00FA288E">
        <w:rPr>
          <w:rFonts w:ascii="Calibri" w:hAnsi="Calibri" w:cs="Calibri"/>
          <w:sz w:val="20"/>
          <w:szCs w:val="20"/>
          <w:lang w:val="en-AU"/>
        </w:rPr>
        <w:t xml:space="preserve">Module 2: Introduction to a </w:t>
      </w:r>
      <w:proofErr w:type="spellStart"/>
      <w:r w:rsidRPr="00FA288E">
        <w:rPr>
          <w:rFonts w:ascii="Calibri" w:hAnsi="Calibri" w:cs="Calibri"/>
          <w:sz w:val="20"/>
          <w:szCs w:val="20"/>
          <w:lang w:val="en-AU"/>
        </w:rPr>
        <w:t>SBoM</w:t>
      </w:r>
      <w:proofErr w:type="spellEnd"/>
      <w:r w:rsidRPr="00FA288E">
        <w:rPr>
          <w:rFonts w:ascii="Calibri" w:hAnsi="Calibri" w:cs="Calibri"/>
          <w:sz w:val="20"/>
          <w:szCs w:val="20"/>
          <w:lang w:val="en-AU"/>
        </w:rPr>
        <w:t xml:space="preserve"> – including roles and obligations</w:t>
      </w:r>
    </w:p>
    <w:p w14:paraId="58BDEB7C" w14:textId="77777777" w:rsidR="00E83D77" w:rsidRPr="00FA288E" w:rsidRDefault="00E83D77" w:rsidP="00FF62CC">
      <w:pPr>
        <w:pStyle w:val="ListParagraph"/>
        <w:numPr>
          <w:ilvl w:val="0"/>
          <w:numId w:val="48"/>
        </w:numPr>
        <w:jc w:val="both"/>
        <w:rPr>
          <w:rFonts w:ascii="Calibri" w:hAnsi="Calibri" w:cs="Calibri"/>
          <w:sz w:val="20"/>
          <w:szCs w:val="20"/>
          <w:lang w:val="en-AU"/>
        </w:rPr>
      </w:pPr>
      <w:r w:rsidRPr="00FA288E">
        <w:rPr>
          <w:rFonts w:ascii="Calibri" w:hAnsi="Calibri" w:cs="Calibri"/>
          <w:sz w:val="20"/>
          <w:szCs w:val="20"/>
          <w:lang w:val="en-AU"/>
        </w:rPr>
        <w:t>Module 3: Introduction to the SLIP – including its benefits, relationship to the NEP and an approval checklist, as well as examples of old-style planning and expected improvements</w:t>
      </w:r>
    </w:p>
    <w:p w14:paraId="08FFE4AB" w14:textId="77777777" w:rsidR="00E83D77" w:rsidRPr="00FA288E" w:rsidRDefault="00E83D77" w:rsidP="00FF62CC">
      <w:pPr>
        <w:pStyle w:val="ListParagraph"/>
        <w:numPr>
          <w:ilvl w:val="0"/>
          <w:numId w:val="48"/>
        </w:numPr>
        <w:jc w:val="both"/>
        <w:rPr>
          <w:rFonts w:ascii="Calibri" w:hAnsi="Calibri" w:cs="Calibri"/>
          <w:sz w:val="20"/>
          <w:szCs w:val="20"/>
          <w:lang w:val="en-AU"/>
        </w:rPr>
      </w:pPr>
      <w:r w:rsidRPr="00FA288E">
        <w:rPr>
          <w:rFonts w:ascii="Calibri" w:hAnsi="Calibri" w:cs="Calibri"/>
          <w:sz w:val="20"/>
          <w:szCs w:val="20"/>
          <w:lang w:val="en-AU"/>
        </w:rPr>
        <w:t>Module 4: Developing a balanced SLIP – using a problem tree analysis to plan for all 7 focus areas</w:t>
      </w:r>
    </w:p>
    <w:p w14:paraId="5BF427D2" w14:textId="77777777" w:rsidR="00E83D77" w:rsidRPr="00FA288E" w:rsidRDefault="00E83D77" w:rsidP="00FF62CC">
      <w:pPr>
        <w:pStyle w:val="ListParagraph"/>
        <w:numPr>
          <w:ilvl w:val="0"/>
          <w:numId w:val="48"/>
        </w:numPr>
        <w:jc w:val="both"/>
        <w:rPr>
          <w:rFonts w:ascii="Calibri" w:hAnsi="Calibri" w:cs="Calibri"/>
          <w:sz w:val="20"/>
          <w:szCs w:val="20"/>
          <w:lang w:val="en-AU"/>
        </w:rPr>
      </w:pPr>
      <w:r w:rsidRPr="00FA288E">
        <w:rPr>
          <w:rFonts w:ascii="Calibri" w:hAnsi="Calibri" w:cs="Calibri"/>
          <w:sz w:val="20"/>
          <w:szCs w:val="20"/>
          <w:lang w:val="en-AU"/>
        </w:rPr>
        <w:t>Module 5: Resource mapping – presented by CIMC to explore available resources beyond the TFF</w:t>
      </w:r>
      <w:r w:rsidR="00D52BB0" w:rsidRPr="00FA288E">
        <w:rPr>
          <w:rFonts w:ascii="Calibri" w:hAnsi="Calibri" w:cs="Calibri"/>
          <w:sz w:val="20"/>
          <w:szCs w:val="20"/>
          <w:lang w:val="en-AU"/>
        </w:rPr>
        <w:t xml:space="preserve"> subsidy</w:t>
      </w:r>
    </w:p>
    <w:p w14:paraId="40A889DE" w14:textId="77777777" w:rsidR="00E83D77" w:rsidRPr="00FA288E" w:rsidRDefault="00E83D77" w:rsidP="00FF62CC">
      <w:pPr>
        <w:pStyle w:val="ListParagraph"/>
        <w:numPr>
          <w:ilvl w:val="0"/>
          <w:numId w:val="48"/>
        </w:numPr>
        <w:jc w:val="both"/>
        <w:rPr>
          <w:rFonts w:ascii="Calibri" w:hAnsi="Calibri" w:cs="Calibri"/>
          <w:sz w:val="20"/>
          <w:szCs w:val="20"/>
          <w:lang w:val="en-AU"/>
        </w:rPr>
      </w:pPr>
      <w:r w:rsidRPr="00FA288E">
        <w:rPr>
          <w:rFonts w:ascii="Calibri" w:hAnsi="Calibri" w:cs="Calibri"/>
          <w:sz w:val="20"/>
          <w:szCs w:val="20"/>
          <w:lang w:val="en-AU"/>
        </w:rPr>
        <w:t>Module 6: Child protection, Gender and Disability inclusion – how it can be integrated into SLIP focus areas.</w:t>
      </w:r>
    </w:p>
    <w:p w14:paraId="1CBDD6AD" w14:textId="77777777" w:rsidR="00E83D77" w:rsidRPr="00FA288E" w:rsidRDefault="00E83D77" w:rsidP="00061FD0">
      <w:pPr>
        <w:jc w:val="both"/>
        <w:rPr>
          <w:rFonts w:cs="Calibri"/>
          <w:sz w:val="20"/>
          <w:szCs w:val="20"/>
        </w:rPr>
      </w:pPr>
      <w:r w:rsidRPr="00FA288E">
        <w:rPr>
          <w:rFonts w:cs="Calibri"/>
          <w:sz w:val="20"/>
          <w:szCs w:val="20"/>
        </w:rPr>
        <w:t xml:space="preserve">The training was less prescriptive in invited attendees, involving the </w:t>
      </w:r>
      <w:proofErr w:type="spellStart"/>
      <w:r w:rsidRPr="00FA288E">
        <w:rPr>
          <w:rFonts w:cs="Calibri"/>
          <w:sz w:val="20"/>
          <w:szCs w:val="20"/>
        </w:rPr>
        <w:t>TiC</w:t>
      </w:r>
      <w:proofErr w:type="spellEnd"/>
      <w:r w:rsidRPr="00FA288E">
        <w:rPr>
          <w:rFonts w:cs="Calibri"/>
          <w:sz w:val="20"/>
          <w:szCs w:val="20"/>
        </w:rPr>
        <w:t xml:space="preserve"> (tasked with preparing the SLIP), plus another </w:t>
      </w:r>
      <w:proofErr w:type="spellStart"/>
      <w:r w:rsidRPr="00FA288E">
        <w:rPr>
          <w:rFonts w:cs="Calibri"/>
          <w:sz w:val="20"/>
          <w:szCs w:val="20"/>
        </w:rPr>
        <w:t>SBoM</w:t>
      </w:r>
      <w:proofErr w:type="spellEnd"/>
      <w:r w:rsidRPr="00FA288E">
        <w:rPr>
          <w:rFonts w:cs="Calibri"/>
          <w:sz w:val="20"/>
          <w:szCs w:val="20"/>
        </w:rPr>
        <w:t xml:space="preserve"> / community representative. Originally intended as a two-day training, it was extended to five, and in some cases six to incorporate an additional day for SLIP development. Training in modules 1, 2, 5 and 6 was largely provided by T4E project trainers, while the District Trainers/Inspectors (who are mandated) provided modules 3 and 4 on SLIP development. The problem tree analysis exercise was designed for participants from each school to develop real problems they would like to address in their SLIPs, including differentiation of what can and cannot realistically be addressed with the resources available to them. This training was accompanied by a community mobilisation day, where men, women, and youth) from each target school were facilitated in a problem identification process in order that they could contribute ideas for their school’s SLIP. This training was conducted in each village with substantial facilitation by pro</w:t>
      </w:r>
      <w:r w:rsidR="001D27A1" w:rsidRPr="00FA288E">
        <w:rPr>
          <w:rFonts w:cs="Calibri"/>
          <w:sz w:val="20"/>
          <w:szCs w:val="20"/>
        </w:rPr>
        <w:t>ject</w:t>
      </w:r>
      <w:r w:rsidRPr="00FA288E">
        <w:rPr>
          <w:rFonts w:cs="Calibri"/>
          <w:sz w:val="20"/>
          <w:szCs w:val="20"/>
        </w:rPr>
        <w:t xml:space="preserve"> staff.</w:t>
      </w:r>
    </w:p>
    <w:p w14:paraId="39E17A33" w14:textId="77777777" w:rsidR="00E83D77" w:rsidRPr="00FA288E" w:rsidRDefault="00E83D77" w:rsidP="00061FD0">
      <w:pPr>
        <w:jc w:val="both"/>
        <w:rPr>
          <w:rFonts w:cs="Calibri"/>
          <w:sz w:val="20"/>
          <w:szCs w:val="20"/>
        </w:rPr>
      </w:pPr>
      <w:r w:rsidRPr="00FA288E">
        <w:rPr>
          <w:rFonts w:cs="Calibri"/>
          <w:sz w:val="20"/>
          <w:szCs w:val="20"/>
        </w:rPr>
        <w:t>In an effort to provide greater assurance that SLIPs will be implemented, consortium partner CIMC, has developed a Services Charter, which is a type of social contract process aimed at bringing together stakeholders to link with the SLIP activity, and potentially, their funding. It is also an attempt to operationalise the NDOE’s National Quality Schools Standards Framework. It is not part of the SLIP training package but has been rolled out separately in two provinces with roll out in the third expected in 2020.</w:t>
      </w:r>
    </w:p>
    <w:p w14:paraId="1A19B7B8" w14:textId="77777777" w:rsidR="00E83D77" w:rsidRPr="00FA288E" w:rsidRDefault="00E83D77" w:rsidP="00E83D77">
      <w:pPr>
        <w:pStyle w:val="BodyText"/>
        <w:rPr>
          <w:rFonts w:ascii="Calibri" w:hAnsi="Calibri" w:cs="Calibri"/>
          <w:sz w:val="20"/>
          <w:szCs w:val="20"/>
        </w:rPr>
      </w:pPr>
      <w:bookmarkStart w:id="203" w:name="_Toc26457671"/>
      <w:proofErr w:type="spellStart"/>
      <w:r w:rsidRPr="00FA288E">
        <w:rPr>
          <w:rFonts w:ascii="Calibri" w:hAnsi="Calibri" w:cs="Calibri"/>
          <w:sz w:val="20"/>
          <w:szCs w:val="20"/>
        </w:rPr>
        <w:t>i</w:t>
      </w:r>
      <w:proofErr w:type="spellEnd"/>
      <w:r w:rsidRPr="00FA288E">
        <w:rPr>
          <w:rFonts w:ascii="Calibri" w:hAnsi="Calibri" w:cs="Calibri"/>
          <w:sz w:val="20"/>
          <w:szCs w:val="20"/>
        </w:rPr>
        <w:t xml:space="preserve">) Observations on implementation </w:t>
      </w:r>
      <w:bookmarkEnd w:id="203"/>
    </w:p>
    <w:p w14:paraId="67A9C25E" w14:textId="451F83CD" w:rsidR="00E83D77" w:rsidRPr="00FA288E" w:rsidRDefault="00E83D77" w:rsidP="00061FD0">
      <w:pPr>
        <w:jc w:val="both"/>
        <w:rPr>
          <w:rFonts w:cs="Calibri"/>
          <w:sz w:val="20"/>
          <w:szCs w:val="20"/>
        </w:rPr>
      </w:pPr>
      <w:r w:rsidRPr="00FA288E">
        <w:rPr>
          <w:rFonts w:cs="Calibri"/>
          <w:sz w:val="20"/>
          <w:szCs w:val="20"/>
        </w:rPr>
        <w:t xml:space="preserve">T4E project reporting in 2018 indicated that the </w:t>
      </w:r>
      <w:r w:rsidR="009C2AB2" w:rsidRPr="00FA288E">
        <w:rPr>
          <w:rFonts w:cs="Calibri"/>
          <w:sz w:val="20"/>
          <w:szCs w:val="20"/>
        </w:rPr>
        <w:t>2018</w:t>
      </w:r>
      <w:r w:rsidRPr="00FA288E">
        <w:rPr>
          <w:rFonts w:cs="Calibri"/>
          <w:sz w:val="20"/>
          <w:szCs w:val="20"/>
        </w:rPr>
        <w:t xml:space="preserve">SLIP training </w:t>
      </w:r>
      <w:r w:rsidR="009C2AB2" w:rsidRPr="00FA288E">
        <w:rPr>
          <w:rFonts w:cs="Calibri"/>
          <w:sz w:val="20"/>
          <w:szCs w:val="20"/>
        </w:rPr>
        <w:t>pilot</w:t>
      </w:r>
      <w:r w:rsidRPr="00FA288E">
        <w:rPr>
          <w:rFonts w:cs="Calibri"/>
          <w:sz w:val="20"/>
          <w:szCs w:val="20"/>
        </w:rPr>
        <w:t xml:space="preserve"> highlighted the ineffectiveness of the initial round of training</w:t>
      </w:r>
      <w:r w:rsidR="009C2AB2" w:rsidRPr="00FA288E">
        <w:rPr>
          <w:rFonts w:cs="Calibri"/>
          <w:sz w:val="20"/>
          <w:szCs w:val="20"/>
        </w:rPr>
        <w:t xml:space="preserve"> that</w:t>
      </w:r>
      <w:r w:rsidRPr="00FA288E">
        <w:rPr>
          <w:rFonts w:cs="Calibri"/>
          <w:sz w:val="20"/>
          <w:szCs w:val="20"/>
        </w:rPr>
        <w:t xml:space="preserve"> was insufficient to prompt </w:t>
      </w:r>
      <w:proofErr w:type="spellStart"/>
      <w:r w:rsidRPr="00FA288E">
        <w:rPr>
          <w:rFonts w:cs="Calibri"/>
          <w:sz w:val="20"/>
          <w:szCs w:val="20"/>
        </w:rPr>
        <w:t>SBoMs</w:t>
      </w:r>
      <w:proofErr w:type="spellEnd"/>
      <w:r w:rsidRPr="00FA288E">
        <w:rPr>
          <w:rFonts w:cs="Calibri"/>
          <w:sz w:val="20"/>
          <w:szCs w:val="20"/>
        </w:rPr>
        <w:t xml:space="preserve"> to develop SLIPs, and that pro</w:t>
      </w:r>
      <w:r w:rsidR="001D27A1" w:rsidRPr="00FA288E">
        <w:rPr>
          <w:rFonts w:cs="Calibri"/>
          <w:sz w:val="20"/>
          <w:szCs w:val="20"/>
        </w:rPr>
        <w:t>ject</w:t>
      </w:r>
      <w:r w:rsidRPr="00FA288E">
        <w:rPr>
          <w:rFonts w:cs="Calibri"/>
          <w:sz w:val="20"/>
          <w:szCs w:val="20"/>
        </w:rPr>
        <w:t xml:space="preserve"> staff had to provide considerable follow-up training and hands-on support in order to ensure SLIPs were actually completed. This may have been a valuable lesson for PKS, who encountered similar constraints. In addition, the decision to provide implementation funding in one province had the unintended consequence of contributing to the mentality that ‘resources will come’. This prompted more focus on resource generation in subsequent training, and a decision to stop resourcing activities through T4E for the 2019 schools. Progress monitoring data suggested an unprecedented average of 28 parents were involved in the development of each SLIP – largely due to the pro</w:t>
      </w:r>
      <w:r w:rsidR="001D27A1" w:rsidRPr="00FA288E">
        <w:rPr>
          <w:rFonts w:cs="Calibri"/>
          <w:sz w:val="20"/>
          <w:szCs w:val="20"/>
        </w:rPr>
        <w:t>ject</w:t>
      </w:r>
      <w:r w:rsidRPr="00FA288E">
        <w:rPr>
          <w:rFonts w:cs="Calibri"/>
          <w:sz w:val="20"/>
          <w:szCs w:val="20"/>
        </w:rPr>
        <w:t xml:space="preserve">’s direct facilitation of community planning days. Monitoring records indicate that of the 130 SLIPs completed, 125 addressed gender and disability barriers. Despite simplification of the training material and extending the training days however, progress reporting in 2019 indicates that SLIP development still requires considerable support and close mentoring/monitoring by project staff following the training. In addition, T4E admitted it had not been able to follow up on the 91 SLIPs developed in 2018 in order to assess the extent to which activities had actually been successfully implemented, despite reporting that 76 of these had applied for and received funding. Notably, T4E monitoring indictors do not extend to reporting implementation rates. </w:t>
      </w:r>
    </w:p>
    <w:p w14:paraId="769276A6" w14:textId="77777777" w:rsidR="00E83D77" w:rsidRPr="00FA288E" w:rsidRDefault="00E83D77" w:rsidP="00E83D77">
      <w:pPr>
        <w:spacing w:after="120"/>
        <w:rPr>
          <w:rFonts w:cs="Calibri"/>
          <w:sz w:val="20"/>
          <w:szCs w:val="20"/>
        </w:rPr>
      </w:pPr>
      <w:r w:rsidRPr="00FA288E">
        <w:rPr>
          <w:rFonts w:cs="Calibri"/>
          <w:sz w:val="20"/>
          <w:szCs w:val="20"/>
        </w:rPr>
        <w:t>The review team was only able to visit one school, managed by consortia member Child Fund. They were one of the schools involved in the 2018 batch of training.</w:t>
      </w:r>
    </w:p>
    <w:p w14:paraId="6BDEAAB9" w14:textId="77777777" w:rsidR="00E83D77" w:rsidRPr="00FA288E" w:rsidRDefault="00E83D77" w:rsidP="00320085">
      <w:pPr>
        <w:pStyle w:val="Heading2"/>
        <w:rPr>
          <w:b w:val="0"/>
          <w:bCs w:val="0"/>
          <w:sz w:val="20"/>
          <w:szCs w:val="20"/>
        </w:rPr>
      </w:pPr>
      <w:bookmarkStart w:id="204" w:name="_Box_14._"/>
      <w:bookmarkStart w:id="205" w:name="_Toc26914405"/>
      <w:bookmarkStart w:id="206" w:name="_Toc31625625"/>
      <w:bookmarkStart w:id="207" w:name="_Toc42076005"/>
      <w:bookmarkEnd w:id="204"/>
      <w:r w:rsidRPr="00FA288E">
        <w:rPr>
          <w:b w:val="0"/>
          <w:bCs w:val="0"/>
          <w:sz w:val="20"/>
          <w:szCs w:val="20"/>
        </w:rPr>
        <w:lastRenderedPageBreak/>
        <w:t>Box 14.  A diversity of activities planned, yet community engagement and implementation are challenging</w:t>
      </w:r>
      <w:bookmarkEnd w:id="205"/>
      <w:bookmarkEnd w:id="206"/>
      <w:bookmarkEnd w:id="207"/>
    </w:p>
    <w:p w14:paraId="5848751D" w14:textId="77777777" w:rsidR="00E83D77" w:rsidRPr="00FA288E" w:rsidRDefault="00E83D77" w:rsidP="00E83D77">
      <w:pPr>
        <w:rPr>
          <w:rFonts w:cs="Calibri"/>
          <w:sz w:val="20"/>
          <w:szCs w:val="20"/>
        </w:rPr>
      </w:pPr>
      <w:r w:rsidRPr="00FA288E">
        <w:rPr>
          <w:rFonts w:cs="Calibri"/>
          <w:noProof/>
          <w:sz w:val="20"/>
          <w:szCs w:val="20"/>
          <w:lang w:eastAsia="en-AU"/>
        </w:rPr>
        <mc:AlternateContent>
          <mc:Choice Requires="wps">
            <w:drawing>
              <wp:inline distT="0" distB="0" distL="0" distR="0" wp14:anchorId="1DC58EF0" wp14:editId="3F094C6D">
                <wp:extent cx="5822830" cy="7362394"/>
                <wp:effectExtent l="0" t="0" r="26035" b="1016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830" cy="7362394"/>
                        </a:xfrm>
                        <a:prstGeom prst="rect">
                          <a:avLst/>
                        </a:prstGeom>
                        <a:solidFill>
                          <a:srgbClr val="EAEAEA"/>
                        </a:solidFill>
                        <a:ln w="9525">
                          <a:solidFill>
                            <a:srgbClr val="000000"/>
                          </a:solidFill>
                          <a:miter lim="800000"/>
                          <a:headEnd/>
                          <a:tailEnd/>
                        </a:ln>
                      </wps:spPr>
                      <wps:txbx>
                        <w:txbxContent>
                          <w:p w14:paraId="20F1BFD4" w14:textId="77777777" w:rsidR="009F310F" w:rsidRDefault="009F310F" w:rsidP="00E83D77">
                            <w:pPr>
                              <w:shd w:val="clear" w:color="auto" w:fill="EDEDED" w:themeFill="accent3" w:themeFillTint="33"/>
                              <w:spacing w:after="120"/>
                              <w:rPr>
                                <w:sz w:val="20"/>
                              </w:rPr>
                            </w:pPr>
                            <w:r w:rsidRPr="003174EF">
                              <w:rPr>
                                <w:sz w:val="20"/>
                              </w:rPr>
                              <w:t xml:space="preserve">In the T4E school visited, </w:t>
                            </w:r>
                            <w:r w:rsidRPr="00A2101B">
                              <w:rPr>
                                <w:sz w:val="20"/>
                              </w:rPr>
                              <w:t>a</w:t>
                            </w:r>
                            <w:r>
                              <w:rPr>
                                <w:sz w:val="20"/>
                              </w:rPr>
                              <w:t xml:space="preserve">ll five SBoM members were available for the interview, including the LLG counsellor.  </w:t>
                            </w:r>
                            <w:r w:rsidRPr="005B3553">
                              <w:rPr>
                                <w:sz w:val="20"/>
                              </w:rPr>
                              <w:t>Although members are expected to rotate every three years, one had been a member for eight years, and they had been involved in the 2008 SLIP development. They recounted that the PDOE had told them to “think big”, so they did</w:t>
                            </w:r>
                            <w:r>
                              <w:rPr>
                                <w:sz w:val="20"/>
                              </w:rPr>
                              <w:t>. T</w:t>
                            </w:r>
                            <w:r w:rsidRPr="005B3553">
                              <w:rPr>
                                <w:sz w:val="20"/>
                              </w:rPr>
                              <w:t xml:space="preserve">he community were initially enthusiastic, but </w:t>
                            </w:r>
                            <w:r>
                              <w:rPr>
                                <w:sz w:val="20"/>
                              </w:rPr>
                              <w:t xml:space="preserve">this waned when </w:t>
                            </w:r>
                            <w:r w:rsidRPr="005B3553">
                              <w:rPr>
                                <w:sz w:val="20"/>
                              </w:rPr>
                              <w:t xml:space="preserve">no money came. They weren’t </w:t>
                            </w:r>
                            <w:r>
                              <w:rPr>
                                <w:sz w:val="20"/>
                              </w:rPr>
                              <w:t>then motivated</w:t>
                            </w:r>
                            <w:r w:rsidRPr="005B3553">
                              <w:rPr>
                                <w:sz w:val="20"/>
                              </w:rPr>
                              <w:t xml:space="preserve"> to do another SLIP (the District Inspector</w:t>
                            </w:r>
                            <w:r>
                              <w:rPr>
                                <w:sz w:val="20"/>
                              </w:rPr>
                              <w:t>, who confirmed this account,</w:t>
                            </w:r>
                            <w:r w:rsidRPr="005B3553">
                              <w:rPr>
                                <w:sz w:val="20"/>
                              </w:rPr>
                              <w:t xml:space="preserve"> described it as “SLIP went to sleep”) so </w:t>
                            </w:r>
                            <w:r>
                              <w:rPr>
                                <w:sz w:val="20"/>
                              </w:rPr>
                              <w:t xml:space="preserve">they </w:t>
                            </w:r>
                            <w:r w:rsidRPr="005B3553">
                              <w:rPr>
                                <w:sz w:val="20"/>
                              </w:rPr>
                              <w:t xml:space="preserve">did not do </w:t>
                            </w:r>
                            <w:r>
                              <w:rPr>
                                <w:sz w:val="20"/>
                              </w:rPr>
                              <w:t>so</w:t>
                            </w:r>
                            <w:r w:rsidRPr="005B3553">
                              <w:rPr>
                                <w:sz w:val="20"/>
                              </w:rPr>
                              <w:t xml:space="preserve"> until T4E came in 2018. They explained that T4E’s emphasis was the other way around – more concerned about the </w:t>
                            </w:r>
                            <w:r w:rsidRPr="005B3553">
                              <w:rPr>
                                <w:i/>
                                <w:sz w:val="20"/>
                              </w:rPr>
                              <w:t>content</w:t>
                            </w:r>
                            <w:r w:rsidRPr="005B3553">
                              <w:rPr>
                                <w:sz w:val="20"/>
                              </w:rPr>
                              <w:t xml:space="preserve"> of the plan</w:t>
                            </w:r>
                            <w:r>
                              <w:rPr>
                                <w:sz w:val="20"/>
                              </w:rPr>
                              <w:t xml:space="preserve"> than assuming substantial resources</w:t>
                            </w:r>
                            <w:r w:rsidRPr="005B3553">
                              <w:rPr>
                                <w:sz w:val="20"/>
                              </w:rPr>
                              <w:t xml:space="preserve">. </w:t>
                            </w:r>
                          </w:p>
                          <w:p w14:paraId="7558F424" w14:textId="77777777" w:rsidR="009F310F" w:rsidRPr="005B3553" w:rsidRDefault="009F310F" w:rsidP="00E83D77">
                            <w:pPr>
                              <w:shd w:val="clear" w:color="auto" w:fill="EDEDED" w:themeFill="accent3" w:themeFillTint="33"/>
                              <w:spacing w:after="120"/>
                              <w:rPr>
                                <w:sz w:val="20"/>
                              </w:rPr>
                            </w:pPr>
                            <w:r w:rsidRPr="005B3553">
                              <w:rPr>
                                <w:sz w:val="20"/>
                              </w:rPr>
                              <w:t xml:space="preserve">The District Education Superintendent and Teacher trainer/inspector </w:t>
                            </w:r>
                            <w:r>
                              <w:rPr>
                                <w:sz w:val="20"/>
                              </w:rPr>
                              <w:t xml:space="preserve">interviewed </w:t>
                            </w:r>
                            <w:r w:rsidRPr="005B3553">
                              <w:rPr>
                                <w:sz w:val="20"/>
                              </w:rPr>
                              <w:t>w</w:t>
                            </w:r>
                            <w:r>
                              <w:rPr>
                                <w:sz w:val="20"/>
                              </w:rPr>
                              <w:t xml:space="preserve">ere </w:t>
                            </w:r>
                            <w:r w:rsidRPr="005B3553">
                              <w:rPr>
                                <w:sz w:val="20"/>
                              </w:rPr>
                              <w:t xml:space="preserve">involved in both the SLIP training and the community planning workshops. The </w:t>
                            </w:r>
                            <w:r>
                              <w:rPr>
                                <w:sz w:val="20"/>
                              </w:rPr>
                              <w:t>SBoM</w:t>
                            </w:r>
                            <w:r w:rsidRPr="005B3553">
                              <w:rPr>
                                <w:sz w:val="20"/>
                              </w:rPr>
                              <w:t xml:space="preserve"> made a plan for each of the 7 focus areas, and included some of the ideas that the parents contributed</w:t>
                            </w:r>
                            <w:r>
                              <w:rPr>
                                <w:sz w:val="20"/>
                              </w:rPr>
                              <w:t xml:space="preserve"> (however there were no gender/disability sensitive activities noted)</w:t>
                            </w:r>
                            <w:r w:rsidRPr="005B3553">
                              <w:rPr>
                                <w:sz w:val="20"/>
                              </w:rPr>
                              <w:t>. The majority of activities in the 2018/19 annual plans had been tackled</w:t>
                            </w:r>
                            <w:r>
                              <w:rPr>
                                <w:sz w:val="20"/>
                              </w:rPr>
                              <w:t xml:space="preserve"> </w:t>
                            </w:r>
                            <w:r w:rsidRPr="005B3553">
                              <w:rPr>
                                <w:sz w:val="20"/>
                              </w:rPr>
                              <w:t>includ</w:t>
                            </w:r>
                            <w:r>
                              <w:rPr>
                                <w:sz w:val="20"/>
                              </w:rPr>
                              <w:t>ing</w:t>
                            </w:r>
                            <w:r w:rsidRPr="005B3553">
                              <w:rPr>
                                <w:sz w:val="20"/>
                              </w:rPr>
                              <w:t>:</w:t>
                            </w:r>
                          </w:p>
                          <w:p w14:paraId="709AF7E5" w14:textId="77777777" w:rsidR="009F310F" w:rsidRPr="000A3615" w:rsidRDefault="009F310F" w:rsidP="008D2D4A">
                            <w:pPr>
                              <w:pStyle w:val="Bullets"/>
                              <w:numPr>
                                <w:ilvl w:val="0"/>
                                <w:numId w:val="0"/>
                              </w:numPr>
                              <w:shd w:val="clear" w:color="auto" w:fill="EDEDED" w:themeFill="accent3" w:themeFillTint="33"/>
                              <w:spacing w:after="0"/>
                            </w:pPr>
                            <w:r>
                              <w:t>anti-bullying spee</w:t>
                            </w:r>
                            <w:r w:rsidRPr="000A3615">
                              <w:t xml:space="preserve">ches at </w:t>
                            </w:r>
                            <w:r>
                              <w:t xml:space="preserve">school </w:t>
                            </w:r>
                            <w:r w:rsidRPr="000A3615">
                              <w:t>assemblies (</w:t>
                            </w:r>
                            <w:r>
                              <w:t>existing routine activity</w:t>
                            </w:r>
                            <w:r w:rsidRPr="000A3615">
                              <w:t>)</w:t>
                            </w:r>
                          </w:p>
                          <w:p w14:paraId="0424FEE9" w14:textId="77777777" w:rsidR="009F310F" w:rsidRPr="000A3615" w:rsidRDefault="009F310F" w:rsidP="008D2D4A">
                            <w:pPr>
                              <w:pStyle w:val="Bullets"/>
                              <w:numPr>
                                <w:ilvl w:val="0"/>
                                <w:numId w:val="0"/>
                              </w:numPr>
                              <w:shd w:val="clear" w:color="auto" w:fill="EDEDED" w:themeFill="accent3" w:themeFillTint="33"/>
                              <w:spacing w:after="0"/>
                            </w:pPr>
                            <w:r w:rsidRPr="000A3615">
                              <w:t>buying activity books (most provided by T4E but some purchased with their own funds)</w:t>
                            </w:r>
                          </w:p>
                          <w:p w14:paraId="1A53E7B8" w14:textId="77777777" w:rsidR="009F310F" w:rsidRPr="000A3615" w:rsidRDefault="009F310F" w:rsidP="008D2D4A">
                            <w:pPr>
                              <w:pStyle w:val="Bullets"/>
                              <w:numPr>
                                <w:ilvl w:val="0"/>
                                <w:numId w:val="0"/>
                              </w:numPr>
                              <w:shd w:val="clear" w:color="auto" w:fill="EDEDED" w:themeFill="accent3" w:themeFillTint="33"/>
                              <w:spacing w:after="0"/>
                            </w:pPr>
                            <w:r w:rsidRPr="000A3615">
                              <w:t>building staff toilets (simple pit toilets which were functional)</w:t>
                            </w:r>
                          </w:p>
                          <w:p w14:paraId="1FED44BA" w14:textId="77777777" w:rsidR="009F310F" w:rsidRPr="000A3615" w:rsidRDefault="009F310F" w:rsidP="008D2D4A">
                            <w:pPr>
                              <w:pStyle w:val="Bullets"/>
                              <w:numPr>
                                <w:ilvl w:val="0"/>
                                <w:numId w:val="0"/>
                              </w:numPr>
                              <w:shd w:val="clear" w:color="auto" w:fill="EDEDED" w:themeFill="accent3" w:themeFillTint="33"/>
                              <w:spacing w:after="0"/>
                            </w:pPr>
                            <w:r w:rsidRPr="000A3615">
                              <w:t xml:space="preserve">collecting K50 from each elementary school family to buy the lumber for a new classroom </w:t>
                            </w:r>
                          </w:p>
                          <w:p w14:paraId="6C7266F7" w14:textId="77777777" w:rsidR="009F310F" w:rsidRPr="000A3615" w:rsidRDefault="009F310F" w:rsidP="008D2D4A">
                            <w:pPr>
                              <w:pStyle w:val="Bullets"/>
                              <w:numPr>
                                <w:ilvl w:val="0"/>
                                <w:numId w:val="0"/>
                              </w:numPr>
                              <w:shd w:val="clear" w:color="auto" w:fill="EDEDED" w:themeFill="accent3" w:themeFillTint="33"/>
                              <w:spacing w:after="0"/>
                            </w:pPr>
                            <w:r w:rsidRPr="000A3615">
                              <w:t>Teachers doing F</w:t>
                            </w:r>
                            <w:r>
                              <w:t>OD</w:t>
                            </w:r>
                            <w:r w:rsidRPr="000A3615">
                              <w:t xml:space="preserve">E (unclear </w:t>
                            </w:r>
                            <w:r>
                              <w:t xml:space="preserve">as to the source of </w:t>
                            </w:r>
                            <w:r w:rsidRPr="000A3615">
                              <w:t>funding</w:t>
                            </w:r>
                            <w:r>
                              <w:t xml:space="preserve"> to support this</w:t>
                            </w:r>
                            <w:r w:rsidRPr="000A3615">
                              <w:t>)</w:t>
                            </w:r>
                          </w:p>
                          <w:p w14:paraId="7BE4F1EF" w14:textId="77777777" w:rsidR="009F310F" w:rsidRPr="000A3615" w:rsidRDefault="009F310F" w:rsidP="008D2D4A">
                            <w:pPr>
                              <w:pStyle w:val="Bullets"/>
                              <w:numPr>
                                <w:ilvl w:val="0"/>
                                <w:numId w:val="0"/>
                              </w:numPr>
                              <w:shd w:val="clear" w:color="auto" w:fill="EDEDED" w:themeFill="accent3" w:themeFillTint="33"/>
                              <w:spacing w:after="0"/>
                            </w:pPr>
                            <w:r w:rsidRPr="000A3615">
                              <w:t>Purchased a flagpole (it was now broken and not yet replaced)</w:t>
                            </w:r>
                          </w:p>
                          <w:p w14:paraId="192266B9" w14:textId="77777777" w:rsidR="009F310F" w:rsidRPr="000A3615" w:rsidRDefault="009F310F" w:rsidP="008D2D4A">
                            <w:pPr>
                              <w:pStyle w:val="Bullets"/>
                              <w:numPr>
                                <w:ilvl w:val="0"/>
                                <w:numId w:val="0"/>
                              </w:numPr>
                              <w:shd w:val="clear" w:color="auto" w:fill="EDEDED" w:themeFill="accent3" w:themeFillTint="33"/>
                              <w:spacing w:after="0"/>
                            </w:pPr>
                            <w:r w:rsidRPr="000A3615">
                              <w:t>Purchased 1 filing cabinet (though there was still a need for more)</w:t>
                            </w:r>
                          </w:p>
                          <w:p w14:paraId="57CB7549" w14:textId="77777777" w:rsidR="009F310F" w:rsidRPr="00DD25A9" w:rsidRDefault="009F310F" w:rsidP="008D2D4A">
                            <w:pPr>
                              <w:pStyle w:val="Bullets"/>
                              <w:numPr>
                                <w:ilvl w:val="0"/>
                                <w:numId w:val="0"/>
                              </w:numPr>
                              <w:shd w:val="clear" w:color="auto" w:fill="EDEDED" w:themeFill="accent3" w:themeFillTint="33"/>
                              <w:rPr>
                                <w:sz w:val="18"/>
                              </w:rPr>
                            </w:pPr>
                            <w:r w:rsidRPr="000A3615">
                              <w:t xml:space="preserve">Sports uniforms (which the parents were told to buy. Some did but not all) </w:t>
                            </w:r>
                          </w:p>
                          <w:p w14:paraId="335F668F" w14:textId="77777777" w:rsidR="009F310F" w:rsidRPr="005B3553" w:rsidRDefault="009F310F" w:rsidP="00E83D77">
                            <w:pPr>
                              <w:shd w:val="clear" w:color="auto" w:fill="EDEDED" w:themeFill="accent3" w:themeFillTint="33"/>
                              <w:spacing w:after="120"/>
                              <w:rPr>
                                <w:sz w:val="20"/>
                              </w:rPr>
                            </w:pPr>
                            <w:r>
                              <w:rPr>
                                <w:sz w:val="20"/>
                              </w:rPr>
                              <w:t>Activities</w:t>
                            </w:r>
                            <w:r w:rsidRPr="005B3553">
                              <w:rPr>
                                <w:sz w:val="20"/>
                              </w:rPr>
                              <w:t xml:space="preserve"> not yet attempted/ongoing in the 2018 and 2019 plans included:</w:t>
                            </w:r>
                          </w:p>
                          <w:p w14:paraId="6DEE4B25" w14:textId="77777777" w:rsidR="009F310F" w:rsidRPr="000A3615" w:rsidRDefault="009F310F" w:rsidP="00FF62CC">
                            <w:pPr>
                              <w:pStyle w:val="Bullets"/>
                              <w:numPr>
                                <w:ilvl w:val="0"/>
                                <w:numId w:val="49"/>
                              </w:numPr>
                              <w:shd w:val="clear" w:color="auto" w:fill="EDEDED" w:themeFill="accent3" w:themeFillTint="33"/>
                              <w:spacing w:after="0"/>
                            </w:pPr>
                            <w:r w:rsidRPr="000A3615">
                              <w:t xml:space="preserve">while the lumber for the classroom was purchased, and the building expected to commence last week, the ‘volunteer’ carpenter was not inclined to build it, and there was something of a stand-off between him and the </w:t>
                            </w:r>
                            <w:r>
                              <w:t>SBoM</w:t>
                            </w:r>
                            <w:r w:rsidRPr="000A3615">
                              <w:t xml:space="preserve"> chair. There was a view that the skilled builder expected to be paid.</w:t>
                            </w:r>
                          </w:p>
                          <w:p w14:paraId="69C5CA6B" w14:textId="77777777" w:rsidR="009F310F" w:rsidRPr="000A3615" w:rsidRDefault="009F310F" w:rsidP="00FF62CC">
                            <w:pPr>
                              <w:pStyle w:val="Bullets"/>
                              <w:numPr>
                                <w:ilvl w:val="0"/>
                                <w:numId w:val="49"/>
                              </w:numPr>
                              <w:shd w:val="clear" w:color="auto" w:fill="EDEDED" w:themeFill="accent3" w:themeFillTint="33"/>
                              <w:spacing w:after="0"/>
                            </w:pPr>
                            <w:r>
                              <w:t>t</w:t>
                            </w:r>
                            <w:r w:rsidRPr="000A3615">
                              <w:t>eachers</w:t>
                            </w:r>
                            <w:r>
                              <w:t>’</w:t>
                            </w:r>
                            <w:r w:rsidRPr="000A3615">
                              <w:t xml:space="preserve"> absenteeism was </w:t>
                            </w:r>
                            <w:r>
                              <w:t>unresolved</w:t>
                            </w:r>
                            <w:r w:rsidRPr="000A3615">
                              <w:t>. The T</w:t>
                            </w:r>
                            <w:r>
                              <w:t>i</w:t>
                            </w:r>
                            <w:r w:rsidRPr="000A3615">
                              <w:t xml:space="preserve">C </w:t>
                            </w:r>
                            <w:r>
                              <w:t>tried making</w:t>
                            </w:r>
                            <w:r w:rsidRPr="000A3615">
                              <w:t xml:space="preserve"> absent teachers</w:t>
                            </w:r>
                            <w:r>
                              <w:t xml:space="preserve"> </w:t>
                            </w:r>
                            <w:r w:rsidRPr="000A3615">
                              <w:t>fill out sick leave forms, but explained that they “treated it as a joke”.</w:t>
                            </w:r>
                          </w:p>
                          <w:p w14:paraId="63F34E00" w14:textId="6FA6EE11" w:rsidR="009F310F" w:rsidRPr="000A3615" w:rsidRDefault="009F310F" w:rsidP="00FF62CC">
                            <w:pPr>
                              <w:pStyle w:val="Bullets"/>
                              <w:numPr>
                                <w:ilvl w:val="0"/>
                                <w:numId w:val="49"/>
                              </w:numPr>
                              <w:shd w:val="clear" w:color="auto" w:fill="EDEDED" w:themeFill="accent3" w:themeFillTint="33"/>
                              <w:spacing w:after="0"/>
                            </w:pPr>
                            <w:r w:rsidRPr="000A3615">
                              <w:t>they had not developed or purchased pre-writing (picture)</w:t>
                            </w:r>
                            <w:r>
                              <w:t xml:space="preserve"> </w:t>
                            </w:r>
                            <w:r w:rsidRPr="000A3615">
                              <w:t>books</w:t>
                            </w:r>
                          </w:p>
                          <w:p w14:paraId="08043BC2" w14:textId="77777777" w:rsidR="009F310F" w:rsidRPr="000A3615" w:rsidRDefault="009F310F" w:rsidP="00FF62CC">
                            <w:pPr>
                              <w:pStyle w:val="Bullets"/>
                              <w:numPr>
                                <w:ilvl w:val="0"/>
                                <w:numId w:val="49"/>
                              </w:numPr>
                              <w:shd w:val="clear" w:color="auto" w:fill="EDEDED" w:themeFill="accent3" w:themeFillTint="33"/>
                              <w:spacing w:after="0"/>
                            </w:pPr>
                            <w:r w:rsidRPr="000A3615">
                              <w:t xml:space="preserve">electricity connection (expected </w:t>
                            </w:r>
                            <w:r>
                              <w:t xml:space="preserve">the main supply line </w:t>
                            </w:r>
                            <w:r w:rsidRPr="000A3615">
                              <w:t>would reach their village but it didn’t come)</w:t>
                            </w:r>
                          </w:p>
                          <w:p w14:paraId="25752837" w14:textId="77777777" w:rsidR="009F310F" w:rsidRPr="000A3615" w:rsidRDefault="009F310F" w:rsidP="00FF62CC">
                            <w:pPr>
                              <w:pStyle w:val="Bullets"/>
                              <w:numPr>
                                <w:ilvl w:val="0"/>
                                <w:numId w:val="49"/>
                              </w:numPr>
                              <w:shd w:val="clear" w:color="auto" w:fill="EDEDED" w:themeFill="accent3" w:themeFillTint="33"/>
                              <w:spacing w:after="0"/>
                            </w:pPr>
                            <w:r w:rsidRPr="000A3615">
                              <w:t>desks have been purchased but not nearly enough</w:t>
                            </w:r>
                          </w:p>
                          <w:p w14:paraId="1A949C4D" w14:textId="77777777" w:rsidR="009F310F" w:rsidRPr="00DD25A9" w:rsidRDefault="009F310F" w:rsidP="00FF62CC">
                            <w:pPr>
                              <w:pStyle w:val="Bullets"/>
                              <w:numPr>
                                <w:ilvl w:val="0"/>
                                <w:numId w:val="49"/>
                              </w:numPr>
                              <w:shd w:val="clear" w:color="auto" w:fill="EDEDED" w:themeFill="accent3" w:themeFillTint="33"/>
                            </w:pPr>
                            <w:r>
                              <w:t xml:space="preserve">soap </w:t>
                            </w:r>
                            <w:r w:rsidRPr="000A3615">
                              <w:t>given by T4</w:t>
                            </w:r>
                            <w:r>
                              <w:t xml:space="preserve">E as a student welfare activity </w:t>
                            </w:r>
                            <w:r w:rsidRPr="000A3615">
                              <w:t>only lasted a month</w:t>
                            </w:r>
                            <w:r>
                              <w:t>,</w:t>
                            </w:r>
                            <w:r w:rsidRPr="000A3615">
                              <w:t xml:space="preserve"> and they didn’t buy </w:t>
                            </w:r>
                            <w:r>
                              <w:t>any</w:t>
                            </w:r>
                            <w:r w:rsidRPr="000A3615">
                              <w:t>more.</w:t>
                            </w:r>
                          </w:p>
                          <w:p w14:paraId="523CF30A" w14:textId="77777777" w:rsidR="009F310F" w:rsidRDefault="009F310F" w:rsidP="00E83D77">
                            <w:pPr>
                              <w:shd w:val="clear" w:color="auto" w:fill="EDEDED" w:themeFill="accent3" w:themeFillTint="33"/>
                              <w:spacing w:after="120"/>
                              <w:rPr>
                                <w:sz w:val="20"/>
                              </w:rPr>
                            </w:pPr>
                            <w:r w:rsidRPr="005B3553">
                              <w:rPr>
                                <w:sz w:val="20"/>
                              </w:rPr>
                              <w:t xml:space="preserve">They had </w:t>
                            </w:r>
                            <w:r>
                              <w:rPr>
                                <w:sz w:val="20"/>
                              </w:rPr>
                              <w:t>yet</w:t>
                            </w:r>
                            <w:r w:rsidRPr="005B3553">
                              <w:rPr>
                                <w:sz w:val="20"/>
                              </w:rPr>
                              <w:t xml:space="preserve"> </w:t>
                            </w:r>
                            <w:r>
                              <w:rPr>
                                <w:sz w:val="20"/>
                              </w:rPr>
                              <w:t xml:space="preserve">to </w:t>
                            </w:r>
                            <w:r w:rsidRPr="005B3553">
                              <w:rPr>
                                <w:sz w:val="20"/>
                              </w:rPr>
                              <w:t>evaluate their performance from 201</w:t>
                            </w:r>
                            <w:r>
                              <w:rPr>
                                <w:sz w:val="20"/>
                              </w:rPr>
                              <w:t>8, and complained that t</w:t>
                            </w:r>
                            <w:r w:rsidRPr="005B3553">
                              <w:rPr>
                                <w:sz w:val="20"/>
                              </w:rPr>
                              <w:t>he District SLIP committee is supposed to provide support</w:t>
                            </w:r>
                            <w:r>
                              <w:rPr>
                                <w:sz w:val="20"/>
                              </w:rPr>
                              <w:t xml:space="preserve"> to them but doesn’t because of “no </w:t>
                            </w:r>
                            <w:r w:rsidRPr="005B3553">
                              <w:rPr>
                                <w:sz w:val="20"/>
                              </w:rPr>
                              <w:t xml:space="preserve">transport, no time”. In 2021 </w:t>
                            </w:r>
                            <w:r>
                              <w:rPr>
                                <w:sz w:val="20"/>
                              </w:rPr>
                              <w:t>they plan to</w:t>
                            </w:r>
                            <w:r w:rsidRPr="005B3553">
                              <w:rPr>
                                <w:sz w:val="20"/>
                              </w:rPr>
                              <w:t xml:space="preserve"> </w:t>
                            </w:r>
                            <w:r>
                              <w:rPr>
                                <w:sz w:val="20"/>
                              </w:rPr>
                              <w:t>review their SLIP to see what was not completed in order to</w:t>
                            </w:r>
                            <w:r w:rsidRPr="005B3553">
                              <w:rPr>
                                <w:sz w:val="20"/>
                              </w:rPr>
                              <w:t xml:space="preserve"> </w:t>
                            </w:r>
                            <w:r>
                              <w:rPr>
                                <w:sz w:val="20"/>
                              </w:rPr>
                              <w:t>roll it i</w:t>
                            </w:r>
                            <w:r w:rsidRPr="005B3553">
                              <w:rPr>
                                <w:sz w:val="20"/>
                              </w:rPr>
                              <w:t>nto the next one.</w:t>
                            </w:r>
                            <w:r>
                              <w:rPr>
                                <w:sz w:val="20"/>
                              </w:rPr>
                              <w:t xml:space="preserve"> They were not planning to solicit broad community involvement again using their own resources, but would rely on the community representative who sits on the board.</w:t>
                            </w:r>
                          </w:p>
                          <w:p w14:paraId="0744A1E6" w14:textId="77777777" w:rsidR="009F310F" w:rsidRPr="00AB6A1E" w:rsidRDefault="009F310F" w:rsidP="00E83D77">
                            <w:pPr>
                              <w:shd w:val="clear" w:color="auto" w:fill="EDEDED" w:themeFill="accent3" w:themeFillTint="33"/>
                              <w:rPr>
                                <w:sz w:val="18"/>
                              </w:rPr>
                            </w:pPr>
                            <w:r>
                              <w:rPr>
                                <w:sz w:val="20"/>
                              </w:rPr>
                              <w:t>A group of 16 parents (female) was interviewed. They were not a</w:t>
                            </w:r>
                            <w:r w:rsidRPr="00AB6A1E">
                              <w:rPr>
                                <w:sz w:val="20"/>
                              </w:rPr>
                              <w:t>ware of the SLIP</w:t>
                            </w:r>
                            <w:r>
                              <w:rPr>
                                <w:sz w:val="20"/>
                              </w:rPr>
                              <w:t>. They did however confirm that</w:t>
                            </w:r>
                            <w:r w:rsidRPr="00AB6A1E">
                              <w:rPr>
                                <w:sz w:val="20"/>
                              </w:rPr>
                              <w:t xml:space="preserve"> they paid a ‘project fee’ of</w:t>
                            </w:r>
                            <w:r>
                              <w:rPr>
                                <w:sz w:val="20"/>
                              </w:rPr>
                              <w:t xml:space="preserve"> K50, and some knew it was </w:t>
                            </w:r>
                            <w:r w:rsidRPr="00AB6A1E">
                              <w:rPr>
                                <w:sz w:val="20"/>
                              </w:rPr>
                              <w:t xml:space="preserve">for the </w:t>
                            </w:r>
                            <w:r>
                              <w:rPr>
                                <w:sz w:val="20"/>
                              </w:rPr>
                              <w:t>lumber</w:t>
                            </w:r>
                            <w:r w:rsidRPr="00AB6A1E">
                              <w:rPr>
                                <w:sz w:val="20"/>
                              </w:rPr>
                              <w:t xml:space="preserve"> f</w:t>
                            </w:r>
                            <w:r>
                              <w:rPr>
                                <w:sz w:val="20"/>
                              </w:rPr>
                              <w:t>or the new classroom</w:t>
                            </w:r>
                            <w:r w:rsidRPr="00AB6A1E">
                              <w:rPr>
                                <w:sz w:val="20"/>
                              </w:rPr>
                              <w:t xml:space="preserve">. Some were aware there were issues around the building of the </w:t>
                            </w:r>
                            <w:r>
                              <w:rPr>
                                <w:sz w:val="20"/>
                              </w:rPr>
                              <w:t>classroom</w:t>
                            </w:r>
                            <w:r w:rsidRPr="00AB6A1E">
                              <w:rPr>
                                <w:sz w:val="20"/>
                              </w:rPr>
                              <w:t xml:space="preserve">. According to </w:t>
                            </w:r>
                            <w:r>
                              <w:rPr>
                                <w:sz w:val="20"/>
                              </w:rPr>
                              <w:t>the Reading volunteer who had</w:t>
                            </w:r>
                            <w:r w:rsidRPr="00AB6A1E">
                              <w:rPr>
                                <w:sz w:val="20"/>
                              </w:rPr>
                              <w:t xml:space="preserve"> attended the </w:t>
                            </w:r>
                            <w:r>
                              <w:rPr>
                                <w:sz w:val="20"/>
                              </w:rPr>
                              <w:t>community</w:t>
                            </w:r>
                            <w:r w:rsidRPr="00AB6A1E">
                              <w:rPr>
                                <w:sz w:val="20"/>
                              </w:rPr>
                              <w:t xml:space="preserve"> </w:t>
                            </w:r>
                            <w:r>
                              <w:rPr>
                                <w:sz w:val="20"/>
                              </w:rPr>
                              <w:t>participation day</w:t>
                            </w:r>
                            <w:r w:rsidRPr="00AB6A1E">
                              <w:rPr>
                                <w:sz w:val="20"/>
                              </w:rPr>
                              <w:t xml:space="preserve">, </w:t>
                            </w:r>
                            <w:r>
                              <w:rPr>
                                <w:sz w:val="20"/>
                              </w:rPr>
                              <w:t>“once that was over, we were left in the dark”, complaining that they did not know what was in the SLIP or the status of its implementation.</w:t>
                            </w:r>
                          </w:p>
                          <w:p w14:paraId="6F03B12B" w14:textId="77777777" w:rsidR="009F310F" w:rsidRPr="00AB6A1E" w:rsidRDefault="009F310F" w:rsidP="00E83D77">
                            <w:pPr>
                              <w:rPr>
                                <w:sz w:val="18"/>
                              </w:rPr>
                            </w:pPr>
                          </w:p>
                        </w:txbxContent>
                      </wps:txbx>
                      <wps:bodyPr rot="0" vert="horz" wrap="square" lIns="91440" tIns="45720" rIns="91440" bIns="45720" anchor="t" anchorCtr="0">
                        <a:noAutofit/>
                      </wps:bodyPr>
                    </wps:wsp>
                  </a:graphicData>
                </a:graphic>
              </wp:inline>
            </w:drawing>
          </mc:Choice>
          <mc:Fallback>
            <w:pict>
              <v:shape w14:anchorId="1DC58EF0" id="_x0000_s1039" type="#_x0000_t202" style="width:458.5pt;height:57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" fillcolor="#eaeaea">
                <v:textbox>
                  <w:txbxContent>
                    <w:p w14:paraId="20F1BFD4" w14:textId="77777777" w:rsidR="009F310F" w:rsidRDefault="009F310F" w:rsidP="00E83D77">
                      <w:pPr>
                        <w:shd w:val="clear" w:color="auto" w:fill="EDEDED" w:themeFill="accent3" w:themeFillTint="33"/>
                        <w:spacing w:after="120"/>
                        <w:rPr>
                          <w:sz w:val="20"/>
                        </w:rPr>
                      </w:pPr>
                      <w:r w:rsidRPr="003174EF">
                        <w:rPr>
                          <w:sz w:val="20"/>
                        </w:rPr>
                        <w:t xml:space="preserve">In the T4E school visited, </w:t>
                      </w:r>
                      <w:r w:rsidRPr="00A2101B">
                        <w:rPr>
                          <w:sz w:val="20"/>
                        </w:rPr>
                        <w:t>a</w:t>
                      </w:r>
                      <w:r>
                        <w:rPr>
                          <w:sz w:val="20"/>
                        </w:rPr>
                        <w:t xml:space="preserve">ll five SBoM members were available for the interview, including the LLG counsellor.  </w:t>
                      </w:r>
                      <w:r w:rsidRPr="005B3553">
                        <w:rPr>
                          <w:sz w:val="20"/>
                        </w:rPr>
                        <w:t>Although members are expected to rotate every three years, one had been a member for eight years, and they had been involved in the 2008 SLIP development. They recounted that the PDOE had told them to “think big”, so they did</w:t>
                      </w:r>
                      <w:r>
                        <w:rPr>
                          <w:sz w:val="20"/>
                        </w:rPr>
                        <w:t>. T</w:t>
                      </w:r>
                      <w:r w:rsidRPr="005B3553">
                        <w:rPr>
                          <w:sz w:val="20"/>
                        </w:rPr>
                        <w:t xml:space="preserve">he community were initially enthusiastic, but </w:t>
                      </w:r>
                      <w:r>
                        <w:rPr>
                          <w:sz w:val="20"/>
                        </w:rPr>
                        <w:t xml:space="preserve">this waned when </w:t>
                      </w:r>
                      <w:r w:rsidRPr="005B3553">
                        <w:rPr>
                          <w:sz w:val="20"/>
                        </w:rPr>
                        <w:t xml:space="preserve">no money came. They weren’t </w:t>
                      </w:r>
                      <w:r>
                        <w:rPr>
                          <w:sz w:val="20"/>
                        </w:rPr>
                        <w:t>then motivated</w:t>
                      </w:r>
                      <w:r w:rsidRPr="005B3553">
                        <w:rPr>
                          <w:sz w:val="20"/>
                        </w:rPr>
                        <w:t xml:space="preserve"> to do another SLIP (the District Inspector</w:t>
                      </w:r>
                      <w:r>
                        <w:rPr>
                          <w:sz w:val="20"/>
                        </w:rPr>
                        <w:t>, who confirmed this account,</w:t>
                      </w:r>
                      <w:r w:rsidRPr="005B3553">
                        <w:rPr>
                          <w:sz w:val="20"/>
                        </w:rPr>
                        <w:t xml:space="preserve"> described it as “SLIP went to sleep”) so </w:t>
                      </w:r>
                      <w:r>
                        <w:rPr>
                          <w:sz w:val="20"/>
                        </w:rPr>
                        <w:t xml:space="preserve">they </w:t>
                      </w:r>
                      <w:r w:rsidRPr="005B3553">
                        <w:rPr>
                          <w:sz w:val="20"/>
                        </w:rPr>
                        <w:t xml:space="preserve">did not do </w:t>
                      </w:r>
                      <w:r>
                        <w:rPr>
                          <w:sz w:val="20"/>
                        </w:rPr>
                        <w:t>so</w:t>
                      </w:r>
                      <w:r w:rsidRPr="005B3553">
                        <w:rPr>
                          <w:sz w:val="20"/>
                        </w:rPr>
                        <w:t xml:space="preserve"> until T4E came in 2018. They explained that T4E’s emphasis was the other way around – more concerned about the </w:t>
                      </w:r>
                      <w:r w:rsidRPr="005B3553">
                        <w:rPr>
                          <w:i/>
                          <w:sz w:val="20"/>
                        </w:rPr>
                        <w:t>content</w:t>
                      </w:r>
                      <w:r w:rsidRPr="005B3553">
                        <w:rPr>
                          <w:sz w:val="20"/>
                        </w:rPr>
                        <w:t xml:space="preserve"> of the plan</w:t>
                      </w:r>
                      <w:r>
                        <w:rPr>
                          <w:sz w:val="20"/>
                        </w:rPr>
                        <w:t xml:space="preserve"> than assuming substantial resources</w:t>
                      </w:r>
                      <w:r w:rsidRPr="005B3553">
                        <w:rPr>
                          <w:sz w:val="20"/>
                        </w:rPr>
                        <w:t xml:space="preserve">. </w:t>
                      </w:r>
                    </w:p>
                    <w:p w14:paraId="7558F424" w14:textId="77777777" w:rsidR="009F310F" w:rsidRPr="005B3553" w:rsidRDefault="009F310F" w:rsidP="00E83D77">
                      <w:pPr>
                        <w:shd w:val="clear" w:color="auto" w:fill="EDEDED" w:themeFill="accent3" w:themeFillTint="33"/>
                        <w:spacing w:after="120"/>
                        <w:rPr>
                          <w:sz w:val="20"/>
                        </w:rPr>
                      </w:pPr>
                      <w:r w:rsidRPr="005B3553">
                        <w:rPr>
                          <w:sz w:val="20"/>
                        </w:rPr>
                        <w:t xml:space="preserve">The District Education Superintendent and Teacher trainer/inspector </w:t>
                      </w:r>
                      <w:r>
                        <w:rPr>
                          <w:sz w:val="20"/>
                        </w:rPr>
                        <w:t xml:space="preserve">interviewed </w:t>
                      </w:r>
                      <w:r w:rsidRPr="005B3553">
                        <w:rPr>
                          <w:sz w:val="20"/>
                        </w:rPr>
                        <w:t>w</w:t>
                      </w:r>
                      <w:r>
                        <w:rPr>
                          <w:sz w:val="20"/>
                        </w:rPr>
                        <w:t xml:space="preserve">ere </w:t>
                      </w:r>
                      <w:r w:rsidRPr="005B3553">
                        <w:rPr>
                          <w:sz w:val="20"/>
                        </w:rPr>
                        <w:t xml:space="preserve">involved in both the SLIP training and the community planning workshops. The </w:t>
                      </w:r>
                      <w:r>
                        <w:rPr>
                          <w:sz w:val="20"/>
                        </w:rPr>
                        <w:t>SBoM</w:t>
                      </w:r>
                      <w:r w:rsidRPr="005B3553">
                        <w:rPr>
                          <w:sz w:val="20"/>
                        </w:rPr>
                        <w:t xml:space="preserve"> made a plan for each of the 7 focus areas, and included some of the ideas that the parents contributed</w:t>
                      </w:r>
                      <w:r>
                        <w:rPr>
                          <w:sz w:val="20"/>
                        </w:rPr>
                        <w:t xml:space="preserve"> (however there were no gender/disability sensitive activities noted)</w:t>
                      </w:r>
                      <w:r w:rsidRPr="005B3553">
                        <w:rPr>
                          <w:sz w:val="20"/>
                        </w:rPr>
                        <w:t>. The majority of activities in the 2018/19 annual plans had been tackled</w:t>
                      </w:r>
                      <w:r>
                        <w:rPr>
                          <w:sz w:val="20"/>
                        </w:rPr>
                        <w:t xml:space="preserve"> </w:t>
                      </w:r>
                      <w:r w:rsidRPr="005B3553">
                        <w:rPr>
                          <w:sz w:val="20"/>
                        </w:rPr>
                        <w:t>includ</w:t>
                      </w:r>
                      <w:r>
                        <w:rPr>
                          <w:sz w:val="20"/>
                        </w:rPr>
                        <w:t>ing</w:t>
                      </w:r>
                      <w:r w:rsidRPr="005B3553">
                        <w:rPr>
                          <w:sz w:val="20"/>
                        </w:rPr>
                        <w:t>:</w:t>
                      </w:r>
                    </w:p>
                    <w:p w14:paraId="709AF7E5" w14:textId="77777777" w:rsidR="009F310F" w:rsidRPr="000A3615" w:rsidRDefault="009F310F" w:rsidP="008D2D4A">
                      <w:pPr>
                        <w:pStyle w:val="Bullets"/>
                        <w:numPr>
                          <w:ilvl w:val="0"/>
                          <w:numId w:val="0"/>
                        </w:numPr>
                        <w:shd w:val="clear" w:color="auto" w:fill="EDEDED" w:themeFill="accent3" w:themeFillTint="33"/>
                        <w:spacing w:after="0"/>
                      </w:pPr>
                      <w:r>
                        <w:t>anti-bullying spee</w:t>
                      </w:r>
                      <w:r w:rsidRPr="000A3615">
                        <w:t xml:space="preserve">ches at </w:t>
                      </w:r>
                      <w:r>
                        <w:t xml:space="preserve">school </w:t>
                      </w:r>
                      <w:r w:rsidRPr="000A3615">
                        <w:t>assemblies (</w:t>
                      </w:r>
                      <w:r>
                        <w:t>existing routine activity</w:t>
                      </w:r>
                      <w:r w:rsidRPr="000A3615">
                        <w:t>)</w:t>
                      </w:r>
                    </w:p>
                    <w:p w14:paraId="0424FEE9" w14:textId="77777777" w:rsidR="009F310F" w:rsidRPr="000A3615" w:rsidRDefault="009F310F" w:rsidP="008D2D4A">
                      <w:pPr>
                        <w:pStyle w:val="Bullets"/>
                        <w:numPr>
                          <w:ilvl w:val="0"/>
                          <w:numId w:val="0"/>
                        </w:numPr>
                        <w:shd w:val="clear" w:color="auto" w:fill="EDEDED" w:themeFill="accent3" w:themeFillTint="33"/>
                        <w:spacing w:after="0"/>
                      </w:pPr>
                      <w:r w:rsidRPr="000A3615">
                        <w:t>buying activity books (most provided by T4E but some purchased with their own funds)</w:t>
                      </w:r>
                    </w:p>
                    <w:p w14:paraId="1A53E7B8" w14:textId="77777777" w:rsidR="009F310F" w:rsidRPr="000A3615" w:rsidRDefault="009F310F" w:rsidP="008D2D4A">
                      <w:pPr>
                        <w:pStyle w:val="Bullets"/>
                        <w:numPr>
                          <w:ilvl w:val="0"/>
                          <w:numId w:val="0"/>
                        </w:numPr>
                        <w:shd w:val="clear" w:color="auto" w:fill="EDEDED" w:themeFill="accent3" w:themeFillTint="33"/>
                        <w:spacing w:after="0"/>
                      </w:pPr>
                      <w:r w:rsidRPr="000A3615">
                        <w:t>building staff toilets (simple pit toilets which were functional)</w:t>
                      </w:r>
                    </w:p>
                    <w:p w14:paraId="1FED44BA" w14:textId="77777777" w:rsidR="009F310F" w:rsidRPr="000A3615" w:rsidRDefault="009F310F" w:rsidP="008D2D4A">
                      <w:pPr>
                        <w:pStyle w:val="Bullets"/>
                        <w:numPr>
                          <w:ilvl w:val="0"/>
                          <w:numId w:val="0"/>
                        </w:numPr>
                        <w:shd w:val="clear" w:color="auto" w:fill="EDEDED" w:themeFill="accent3" w:themeFillTint="33"/>
                        <w:spacing w:after="0"/>
                      </w:pPr>
                      <w:r w:rsidRPr="000A3615">
                        <w:t xml:space="preserve">collecting K50 from each elementary school family to buy the lumber for a new classroom </w:t>
                      </w:r>
                    </w:p>
                    <w:p w14:paraId="6C7266F7" w14:textId="77777777" w:rsidR="009F310F" w:rsidRPr="000A3615" w:rsidRDefault="009F310F" w:rsidP="008D2D4A">
                      <w:pPr>
                        <w:pStyle w:val="Bullets"/>
                        <w:numPr>
                          <w:ilvl w:val="0"/>
                          <w:numId w:val="0"/>
                        </w:numPr>
                        <w:shd w:val="clear" w:color="auto" w:fill="EDEDED" w:themeFill="accent3" w:themeFillTint="33"/>
                        <w:spacing w:after="0"/>
                      </w:pPr>
                      <w:r w:rsidRPr="000A3615">
                        <w:t>Teachers doing F</w:t>
                      </w:r>
                      <w:r>
                        <w:t>OD</w:t>
                      </w:r>
                      <w:r w:rsidRPr="000A3615">
                        <w:t xml:space="preserve">E (unclear </w:t>
                      </w:r>
                      <w:r>
                        <w:t xml:space="preserve">as to the source of </w:t>
                      </w:r>
                      <w:r w:rsidRPr="000A3615">
                        <w:t>funding</w:t>
                      </w:r>
                      <w:r>
                        <w:t xml:space="preserve"> to support this</w:t>
                      </w:r>
                      <w:r w:rsidRPr="000A3615">
                        <w:t>)</w:t>
                      </w:r>
                    </w:p>
                    <w:p w14:paraId="7BE4F1EF" w14:textId="77777777" w:rsidR="009F310F" w:rsidRPr="000A3615" w:rsidRDefault="009F310F" w:rsidP="008D2D4A">
                      <w:pPr>
                        <w:pStyle w:val="Bullets"/>
                        <w:numPr>
                          <w:ilvl w:val="0"/>
                          <w:numId w:val="0"/>
                        </w:numPr>
                        <w:shd w:val="clear" w:color="auto" w:fill="EDEDED" w:themeFill="accent3" w:themeFillTint="33"/>
                        <w:spacing w:after="0"/>
                      </w:pPr>
                      <w:r w:rsidRPr="000A3615">
                        <w:t>Purchased a flagpole (it was now broken and not yet replaced)</w:t>
                      </w:r>
                    </w:p>
                    <w:p w14:paraId="192266B9" w14:textId="77777777" w:rsidR="009F310F" w:rsidRPr="000A3615" w:rsidRDefault="009F310F" w:rsidP="008D2D4A">
                      <w:pPr>
                        <w:pStyle w:val="Bullets"/>
                        <w:numPr>
                          <w:ilvl w:val="0"/>
                          <w:numId w:val="0"/>
                        </w:numPr>
                        <w:shd w:val="clear" w:color="auto" w:fill="EDEDED" w:themeFill="accent3" w:themeFillTint="33"/>
                        <w:spacing w:after="0"/>
                      </w:pPr>
                      <w:r w:rsidRPr="000A3615">
                        <w:t>Purchased 1 filing cabinet (though there was still a need for more)</w:t>
                      </w:r>
                    </w:p>
                    <w:p w14:paraId="57CB7549" w14:textId="77777777" w:rsidR="009F310F" w:rsidRPr="00DD25A9" w:rsidRDefault="009F310F" w:rsidP="008D2D4A">
                      <w:pPr>
                        <w:pStyle w:val="Bullets"/>
                        <w:numPr>
                          <w:ilvl w:val="0"/>
                          <w:numId w:val="0"/>
                        </w:numPr>
                        <w:shd w:val="clear" w:color="auto" w:fill="EDEDED" w:themeFill="accent3" w:themeFillTint="33"/>
                        <w:rPr>
                          <w:sz w:val="18"/>
                        </w:rPr>
                      </w:pPr>
                      <w:r w:rsidRPr="000A3615">
                        <w:t xml:space="preserve">Sports uniforms (which the parents were told to buy. Some did but not all) </w:t>
                      </w:r>
                    </w:p>
                    <w:p w14:paraId="335F668F" w14:textId="77777777" w:rsidR="009F310F" w:rsidRPr="005B3553" w:rsidRDefault="009F310F" w:rsidP="00E83D77">
                      <w:pPr>
                        <w:shd w:val="clear" w:color="auto" w:fill="EDEDED" w:themeFill="accent3" w:themeFillTint="33"/>
                        <w:spacing w:after="120"/>
                        <w:rPr>
                          <w:sz w:val="20"/>
                        </w:rPr>
                      </w:pPr>
                      <w:r>
                        <w:rPr>
                          <w:sz w:val="20"/>
                        </w:rPr>
                        <w:t>Activities</w:t>
                      </w:r>
                      <w:r w:rsidRPr="005B3553">
                        <w:rPr>
                          <w:sz w:val="20"/>
                        </w:rPr>
                        <w:t xml:space="preserve"> not yet attempted/ongoing in the 2018 and 2019 plans included:</w:t>
                      </w:r>
                    </w:p>
                    <w:p w14:paraId="6DEE4B25" w14:textId="77777777" w:rsidR="009F310F" w:rsidRPr="000A3615" w:rsidRDefault="009F310F" w:rsidP="00FF62CC">
                      <w:pPr>
                        <w:pStyle w:val="Bullets"/>
                        <w:numPr>
                          <w:ilvl w:val="0"/>
                          <w:numId w:val="49"/>
                        </w:numPr>
                        <w:shd w:val="clear" w:color="auto" w:fill="EDEDED" w:themeFill="accent3" w:themeFillTint="33"/>
                        <w:spacing w:after="0"/>
                      </w:pPr>
                      <w:r w:rsidRPr="000A3615">
                        <w:t xml:space="preserve">while the lumber for the classroom was purchased, and the building expected to commence last week, the ‘volunteer’ carpenter was not inclined to build it, and there was something of a stand-off between him and the </w:t>
                      </w:r>
                      <w:r>
                        <w:t>SBoM</w:t>
                      </w:r>
                      <w:r w:rsidRPr="000A3615">
                        <w:t xml:space="preserve"> chair. There was a view that the skilled builder expected to be paid.</w:t>
                      </w:r>
                    </w:p>
                    <w:p w14:paraId="69C5CA6B" w14:textId="77777777" w:rsidR="009F310F" w:rsidRPr="000A3615" w:rsidRDefault="009F310F" w:rsidP="00FF62CC">
                      <w:pPr>
                        <w:pStyle w:val="Bullets"/>
                        <w:numPr>
                          <w:ilvl w:val="0"/>
                          <w:numId w:val="49"/>
                        </w:numPr>
                        <w:shd w:val="clear" w:color="auto" w:fill="EDEDED" w:themeFill="accent3" w:themeFillTint="33"/>
                        <w:spacing w:after="0"/>
                      </w:pPr>
                      <w:r>
                        <w:t>t</w:t>
                      </w:r>
                      <w:r w:rsidRPr="000A3615">
                        <w:t>eachers</w:t>
                      </w:r>
                      <w:r>
                        <w:t>’</w:t>
                      </w:r>
                      <w:r w:rsidRPr="000A3615">
                        <w:t xml:space="preserve"> absenteeism was </w:t>
                      </w:r>
                      <w:r>
                        <w:t>unresolved</w:t>
                      </w:r>
                      <w:r w:rsidRPr="000A3615">
                        <w:t>. The T</w:t>
                      </w:r>
                      <w:r>
                        <w:t>i</w:t>
                      </w:r>
                      <w:r w:rsidRPr="000A3615">
                        <w:t xml:space="preserve">C </w:t>
                      </w:r>
                      <w:r>
                        <w:t>tried making</w:t>
                      </w:r>
                      <w:r w:rsidRPr="000A3615">
                        <w:t xml:space="preserve"> absent teachers</w:t>
                      </w:r>
                      <w:r>
                        <w:t xml:space="preserve"> </w:t>
                      </w:r>
                      <w:r w:rsidRPr="000A3615">
                        <w:t>fill out sick leave forms, but explained that they “treated it as a joke”.</w:t>
                      </w:r>
                    </w:p>
                    <w:p w14:paraId="63F34E00" w14:textId="6FA6EE11" w:rsidR="009F310F" w:rsidRPr="000A3615" w:rsidRDefault="009F310F" w:rsidP="00FF62CC">
                      <w:pPr>
                        <w:pStyle w:val="Bullets"/>
                        <w:numPr>
                          <w:ilvl w:val="0"/>
                          <w:numId w:val="49"/>
                        </w:numPr>
                        <w:shd w:val="clear" w:color="auto" w:fill="EDEDED" w:themeFill="accent3" w:themeFillTint="33"/>
                        <w:spacing w:after="0"/>
                      </w:pPr>
                      <w:r w:rsidRPr="000A3615">
                        <w:t>they had not developed or purchased pre-writing (picture)</w:t>
                      </w:r>
                      <w:r>
                        <w:t xml:space="preserve"> </w:t>
                      </w:r>
                      <w:r w:rsidRPr="000A3615">
                        <w:t>books</w:t>
                      </w:r>
                    </w:p>
                    <w:p w14:paraId="08043BC2" w14:textId="77777777" w:rsidR="009F310F" w:rsidRPr="000A3615" w:rsidRDefault="009F310F" w:rsidP="00FF62CC">
                      <w:pPr>
                        <w:pStyle w:val="Bullets"/>
                        <w:numPr>
                          <w:ilvl w:val="0"/>
                          <w:numId w:val="49"/>
                        </w:numPr>
                        <w:shd w:val="clear" w:color="auto" w:fill="EDEDED" w:themeFill="accent3" w:themeFillTint="33"/>
                        <w:spacing w:after="0"/>
                      </w:pPr>
                      <w:r w:rsidRPr="000A3615">
                        <w:t xml:space="preserve">electricity connection (expected </w:t>
                      </w:r>
                      <w:r>
                        <w:t xml:space="preserve">the main supply line </w:t>
                      </w:r>
                      <w:r w:rsidRPr="000A3615">
                        <w:t>would reach their village but it didn’t come)</w:t>
                      </w:r>
                    </w:p>
                    <w:p w14:paraId="25752837" w14:textId="77777777" w:rsidR="009F310F" w:rsidRPr="000A3615" w:rsidRDefault="009F310F" w:rsidP="00FF62CC">
                      <w:pPr>
                        <w:pStyle w:val="Bullets"/>
                        <w:numPr>
                          <w:ilvl w:val="0"/>
                          <w:numId w:val="49"/>
                        </w:numPr>
                        <w:shd w:val="clear" w:color="auto" w:fill="EDEDED" w:themeFill="accent3" w:themeFillTint="33"/>
                        <w:spacing w:after="0"/>
                      </w:pPr>
                      <w:r w:rsidRPr="000A3615">
                        <w:t>desks have been purchased but not nearly enough</w:t>
                      </w:r>
                    </w:p>
                    <w:p w14:paraId="1A949C4D" w14:textId="77777777" w:rsidR="009F310F" w:rsidRPr="00DD25A9" w:rsidRDefault="009F310F" w:rsidP="00FF62CC">
                      <w:pPr>
                        <w:pStyle w:val="Bullets"/>
                        <w:numPr>
                          <w:ilvl w:val="0"/>
                          <w:numId w:val="49"/>
                        </w:numPr>
                        <w:shd w:val="clear" w:color="auto" w:fill="EDEDED" w:themeFill="accent3" w:themeFillTint="33"/>
                      </w:pPr>
                      <w:r>
                        <w:t xml:space="preserve">soap </w:t>
                      </w:r>
                      <w:r w:rsidRPr="000A3615">
                        <w:t>given by T4</w:t>
                      </w:r>
                      <w:r>
                        <w:t xml:space="preserve">E as a student welfare activity </w:t>
                      </w:r>
                      <w:r w:rsidRPr="000A3615">
                        <w:t>only lasted a month</w:t>
                      </w:r>
                      <w:r>
                        <w:t>,</w:t>
                      </w:r>
                      <w:r w:rsidRPr="000A3615">
                        <w:t xml:space="preserve"> and they didn’t buy </w:t>
                      </w:r>
                      <w:r>
                        <w:t>any</w:t>
                      </w:r>
                      <w:r w:rsidRPr="000A3615">
                        <w:t>more.</w:t>
                      </w:r>
                    </w:p>
                    <w:p w14:paraId="523CF30A" w14:textId="77777777" w:rsidR="009F310F" w:rsidRDefault="009F310F" w:rsidP="00E83D77">
                      <w:pPr>
                        <w:shd w:val="clear" w:color="auto" w:fill="EDEDED" w:themeFill="accent3" w:themeFillTint="33"/>
                        <w:spacing w:after="120"/>
                        <w:rPr>
                          <w:sz w:val="20"/>
                        </w:rPr>
                      </w:pPr>
                      <w:r w:rsidRPr="005B3553">
                        <w:rPr>
                          <w:sz w:val="20"/>
                        </w:rPr>
                        <w:t xml:space="preserve">They had </w:t>
                      </w:r>
                      <w:r>
                        <w:rPr>
                          <w:sz w:val="20"/>
                        </w:rPr>
                        <w:t>yet</w:t>
                      </w:r>
                      <w:r w:rsidRPr="005B3553">
                        <w:rPr>
                          <w:sz w:val="20"/>
                        </w:rPr>
                        <w:t xml:space="preserve"> </w:t>
                      </w:r>
                      <w:r>
                        <w:rPr>
                          <w:sz w:val="20"/>
                        </w:rPr>
                        <w:t xml:space="preserve">to </w:t>
                      </w:r>
                      <w:r w:rsidRPr="005B3553">
                        <w:rPr>
                          <w:sz w:val="20"/>
                        </w:rPr>
                        <w:t>evaluate their performance from 201</w:t>
                      </w:r>
                      <w:r>
                        <w:rPr>
                          <w:sz w:val="20"/>
                        </w:rPr>
                        <w:t>8, and complained that t</w:t>
                      </w:r>
                      <w:r w:rsidRPr="005B3553">
                        <w:rPr>
                          <w:sz w:val="20"/>
                        </w:rPr>
                        <w:t>he District SLIP committee is supposed to provide support</w:t>
                      </w:r>
                      <w:r>
                        <w:rPr>
                          <w:sz w:val="20"/>
                        </w:rPr>
                        <w:t xml:space="preserve"> to them but doesn’t because of “no </w:t>
                      </w:r>
                      <w:r w:rsidRPr="005B3553">
                        <w:rPr>
                          <w:sz w:val="20"/>
                        </w:rPr>
                        <w:t xml:space="preserve">transport, no time”. In 2021 </w:t>
                      </w:r>
                      <w:r>
                        <w:rPr>
                          <w:sz w:val="20"/>
                        </w:rPr>
                        <w:t>they plan to</w:t>
                      </w:r>
                      <w:r w:rsidRPr="005B3553">
                        <w:rPr>
                          <w:sz w:val="20"/>
                        </w:rPr>
                        <w:t xml:space="preserve"> </w:t>
                      </w:r>
                      <w:r>
                        <w:rPr>
                          <w:sz w:val="20"/>
                        </w:rPr>
                        <w:t>review their SLIP to see what was not completed in order to</w:t>
                      </w:r>
                      <w:r w:rsidRPr="005B3553">
                        <w:rPr>
                          <w:sz w:val="20"/>
                        </w:rPr>
                        <w:t xml:space="preserve"> </w:t>
                      </w:r>
                      <w:r>
                        <w:rPr>
                          <w:sz w:val="20"/>
                        </w:rPr>
                        <w:t>roll it i</w:t>
                      </w:r>
                      <w:r w:rsidRPr="005B3553">
                        <w:rPr>
                          <w:sz w:val="20"/>
                        </w:rPr>
                        <w:t>nto the next one.</w:t>
                      </w:r>
                      <w:r>
                        <w:rPr>
                          <w:sz w:val="20"/>
                        </w:rPr>
                        <w:t xml:space="preserve"> They were not planning to solicit broad community involvement again using their own resources, but would rely on the community representative who sits on the board.</w:t>
                      </w:r>
                    </w:p>
                    <w:p w14:paraId="0744A1E6" w14:textId="77777777" w:rsidR="009F310F" w:rsidRPr="00AB6A1E" w:rsidRDefault="009F310F" w:rsidP="00E83D77">
                      <w:pPr>
                        <w:shd w:val="clear" w:color="auto" w:fill="EDEDED" w:themeFill="accent3" w:themeFillTint="33"/>
                        <w:rPr>
                          <w:sz w:val="18"/>
                        </w:rPr>
                      </w:pPr>
                      <w:r>
                        <w:rPr>
                          <w:sz w:val="20"/>
                        </w:rPr>
                        <w:t>A group of 16 parents (female) was interviewed. They were not a</w:t>
                      </w:r>
                      <w:r w:rsidRPr="00AB6A1E">
                        <w:rPr>
                          <w:sz w:val="20"/>
                        </w:rPr>
                        <w:t>ware of the SLIP</w:t>
                      </w:r>
                      <w:r>
                        <w:rPr>
                          <w:sz w:val="20"/>
                        </w:rPr>
                        <w:t>. They did however confirm that</w:t>
                      </w:r>
                      <w:r w:rsidRPr="00AB6A1E">
                        <w:rPr>
                          <w:sz w:val="20"/>
                        </w:rPr>
                        <w:t xml:space="preserve"> they paid a ‘project fee’ of</w:t>
                      </w:r>
                      <w:r>
                        <w:rPr>
                          <w:sz w:val="20"/>
                        </w:rPr>
                        <w:t xml:space="preserve"> K50, and some knew it was </w:t>
                      </w:r>
                      <w:r w:rsidRPr="00AB6A1E">
                        <w:rPr>
                          <w:sz w:val="20"/>
                        </w:rPr>
                        <w:t xml:space="preserve">for the </w:t>
                      </w:r>
                      <w:r>
                        <w:rPr>
                          <w:sz w:val="20"/>
                        </w:rPr>
                        <w:t>lumber</w:t>
                      </w:r>
                      <w:r w:rsidRPr="00AB6A1E">
                        <w:rPr>
                          <w:sz w:val="20"/>
                        </w:rPr>
                        <w:t xml:space="preserve"> f</w:t>
                      </w:r>
                      <w:r>
                        <w:rPr>
                          <w:sz w:val="20"/>
                        </w:rPr>
                        <w:t>or the new classroom</w:t>
                      </w:r>
                      <w:r w:rsidRPr="00AB6A1E">
                        <w:rPr>
                          <w:sz w:val="20"/>
                        </w:rPr>
                        <w:t xml:space="preserve">. Some were aware there were issues around the building of the </w:t>
                      </w:r>
                      <w:r>
                        <w:rPr>
                          <w:sz w:val="20"/>
                        </w:rPr>
                        <w:t>classroom</w:t>
                      </w:r>
                      <w:r w:rsidRPr="00AB6A1E">
                        <w:rPr>
                          <w:sz w:val="20"/>
                        </w:rPr>
                        <w:t xml:space="preserve">. According to </w:t>
                      </w:r>
                      <w:r>
                        <w:rPr>
                          <w:sz w:val="20"/>
                        </w:rPr>
                        <w:t>the Reading volunteer who had</w:t>
                      </w:r>
                      <w:r w:rsidRPr="00AB6A1E">
                        <w:rPr>
                          <w:sz w:val="20"/>
                        </w:rPr>
                        <w:t xml:space="preserve"> attended the </w:t>
                      </w:r>
                      <w:r>
                        <w:rPr>
                          <w:sz w:val="20"/>
                        </w:rPr>
                        <w:t>community</w:t>
                      </w:r>
                      <w:r w:rsidRPr="00AB6A1E">
                        <w:rPr>
                          <w:sz w:val="20"/>
                        </w:rPr>
                        <w:t xml:space="preserve"> </w:t>
                      </w:r>
                      <w:r>
                        <w:rPr>
                          <w:sz w:val="20"/>
                        </w:rPr>
                        <w:t>participation day</w:t>
                      </w:r>
                      <w:r w:rsidRPr="00AB6A1E">
                        <w:rPr>
                          <w:sz w:val="20"/>
                        </w:rPr>
                        <w:t xml:space="preserve">, </w:t>
                      </w:r>
                      <w:r>
                        <w:rPr>
                          <w:sz w:val="20"/>
                        </w:rPr>
                        <w:t>“once that was over, we were left in the dark”, complaining that they did not know what was in the SLIP or the status of its implementation.</w:t>
                      </w:r>
                    </w:p>
                    <w:p w14:paraId="6F03B12B" w14:textId="77777777" w:rsidR="009F310F" w:rsidRPr="00AB6A1E" w:rsidRDefault="009F310F" w:rsidP="00E83D77">
                      <w:pPr>
                        <w:rPr>
                          <w:sz w:val="18"/>
                        </w:rPr>
                      </w:pPr>
                    </w:p>
                  </w:txbxContent>
                </v:textbox>
                <w10:anchorlock/>
              </v:shape>
            </w:pict>
          </mc:Fallback>
        </mc:AlternateContent>
      </w:r>
    </w:p>
    <w:p w14:paraId="6EC1C7C1" w14:textId="77777777" w:rsidR="00E83D77" w:rsidRPr="00FA288E" w:rsidRDefault="00E83D77" w:rsidP="00061FD0">
      <w:pPr>
        <w:jc w:val="both"/>
        <w:rPr>
          <w:rFonts w:cs="Calibri"/>
          <w:sz w:val="20"/>
          <w:szCs w:val="20"/>
        </w:rPr>
      </w:pPr>
      <w:r w:rsidRPr="00FA288E">
        <w:rPr>
          <w:rFonts w:cs="Calibri"/>
          <w:sz w:val="20"/>
          <w:szCs w:val="20"/>
        </w:rPr>
        <w:t xml:space="preserve">Clearly, the training had an impact on the breadth of activities that the </w:t>
      </w:r>
      <w:proofErr w:type="spellStart"/>
      <w:r w:rsidRPr="00FA288E">
        <w:rPr>
          <w:rFonts w:cs="Calibri"/>
          <w:sz w:val="20"/>
          <w:szCs w:val="20"/>
        </w:rPr>
        <w:t>SBoM</w:t>
      </w:r>
      <w:proofErr w:type="spellEnd"/>
      <w:r w:rsidRPr="00FA288E">
        <w:rPr>
          <w:rFonts w:cs="Calibri"/>
          <w:sz w:val="20"/>
          <w:szCs w:val="20"/>
        </w:rPr>
        <w:t xml:space="preserve"> had planned for and attempted to implement, although they explained that many of these were routine activities they did as teachers which had just been formalised in the plan. The two District officers who had been involved in conducting the training were appreciative of the quality of the training provided by T4E, and were enthusiastic about the potential of SLIPs. The changes they described in schools since the SLIP training included mostly infrastructure and equipment-related improvements (schools painted, concrete floors, blackboards, classrooms built, uniforms, shoes and </w:t>
      </w:r>
      <w:r w:rsidRPr="00FA288E">
        <w:rPr>
          <w:rFonts w:cs="Calibri"/>
          <w:sz w:val="20"/>
          <w:szCs w:val="20"/>
        </w:rPr>
        <w:lastRenderedPageBreak/>
        <w:t xml:space="preserve">socks) as well as noting that discipline is better (students are quieter). Though they had the desire to extend the training to the other 75 schools in the district because the public event arranged to launch the completed SLIPs had generated a level of interest from other schools, they had no clear plans however for how to do so. They suggested that the schools would have to pay District officers in a ‘user pays’ system to provide the in-service training on SLIP development (as they are required to do for other district trainer-provided training). However, project staff were unsure of the </w:t>
      </w:r>
      <w:r w:rsidR="00A07B4A" w:rsidRPr="00FA288E">
        <w:rPr>
          <w:rFonts w:cs="Calibri"/>
          <w:sz w:val="20"/>
          <w:szCs w:val="20"/>
        </w:rPr>
        <w:t>abili</w:t>
      </w:r>
      <w:r w:rsidRPr="00FA288E">
        <w:rPr>
          <w:rFonts w:cs="Calibri"/>
          <w:sz w:val="20"/>
          <w:szCs w:val="20"/>
        </w:rPr>
        <w:t xml:space="preserve">ty of the district trainers to deliver this training to a sufficiently high standard without further assistance. In terms of extending it to the other 75 schools, ideas included exploring whether information from trained </w:t>
      </w:r>
      <w:proofErr w:type="spellStart"/>
      <w:r w:rsidRPr="00FA288E">
        <w:rPr>
          <w:rFonts w:cs="Calibri"/>
          <w:sz w:val="20"/>
          <w:szCs w:val="20"/>
        </w:rPr>
        <w:t>TiCs</w:t>
      </w:r>
      <w:proofErr w:type="spellEnd"/>
      <w:r w:rsidRPr="00FA288E">
        <w:rPr>
          <w:rFonts w:cs="Calibri"/>
          <w:sz w:val="20"/>
          <w:szCs w:val="20"/>
        </w:rPr>
        <w:t xml:space="preserve"> could be exchanged to non-project school </w:t>
      </w:r>
      <w:proofErr w:type="spellStart"/>
      <w:r w:rsidRPr="00FA288E">
        <w:rPr>
          <w:rFonts w:cs="Calibri"/>
          <w:sz w:val="20"/>
          <w:szCs w:val="20"/>
        </w:rPr>
        <w:t>TiCs</w:t>
      </w:r>
      <w:proofErr w:type="spellEnd"/>
      <w:r w:rsidRPr="00FA288E">
        <w:rPr>
          <w:rFonts w:cs="Calibri"/>
          <w:sz w:val="20"/>
          <w:szCs w:val="20"/>
        </w:rPr>
        <w:t xml:space="preserve"> when they attend the District planning meetings held by the District superintendent every Friday.</w:t>
      </w:r>
    </w:p>
    <w:p w14:paraId="1B19185F" w14:textId="77777777" w:rsidR="00E83D77" w:rsidRPr="00FA288E" w:rsidRDefault="00E83D77" w:rsidP="00E83D77">
      <w:pPr>
        <w:pStyle w:val="BodyText"/>
        <w:rPr>
          <w:rFonts w:ascii="Calibri" w:hAnsi="Calibri" w:cs="Calibri"/>
          <w:sz w:val="20"/>
          <w:szCs w:val="20"/>
        </w:rPr>
      </w:pPr>
      <w:bookmarkStart w:id="208" w:name="_Toc26457672"/>
      <w:r w:rsidRPr="00FA288E">
        <w:rPr>
          <w:rFonts w:ascii="Calibri" w:hAnsi="Calibri" w:cs="Calibri"/>
          <w:sz w:val="20"/>
          <w:szCs w:val="20"/>
        </w:rPr>
        <w:t>ii) Contribution of T4E activities to improved school management outcomes</w:t>
      </w:r>
      <w:bookmarkEnd w:id="208"/>
    </w:p>
    <w:p w14:paraId="2CC8C5A9" w14:textId="77777777" w:rsidR="00E83D77" w:rsidRPr="00FA288E" w:rsidRDefault="00E83D77" w:rsidP="00E83D77">
      <w:pPr>
        <w:rPr>
          <w:rFonts w:cs="Calibri"/>
          <w:i/>
          <w:sz w:val="20"/>
          <w:szCs w:val="20"/>
        </w:rPr>
      </w:pPr>
      <w:r w:rsidRPr="00FA288E">
        <w:rPr>
          <w:rFonts w:cs="Calibri"/>
          <w:i/>
          <w:sz w:val="20"/>
          <w:szCs w:val="20"/>
        </w:rPr>
        <w:t xml:space="preserve">Effect of the training on management of schools </w:t>
      </w:r>
    </w:p>
    <w:p w14:paraId="2D53B35F" w14:textId="77777777" w:rsidR="00E83D77" w:rsidRPr="00FA288E" w:rsidRDefault="00E83D77" w:rsidP="00061FD0">
      <w:pPr>
        <w:spacing w:after="120"/>
        <w:jc w:val="both"/>
        <w:rPr>
          <w:rFonts w:cs="Calibri"/>
          <w:sz w:val="20"/>
          <w:szCs w:val="20"/>
        </w:rPr>
      </w:pPr>
      <w:r w:rsidRPr="00FA288E">
        <w:rPr>
          <w:rFonts w:cs="Calibri"/>
          <w:sz w:val="20"/>
          <w:szCs w:val="20"/>
        </w:rPr>
        <w:t xml:space="preserve">Interviews with T4E management staff indicated that </w:t>
      </w:r>
      <w:proofErr w:type="spellStart"/>
      <w:r w:rsidRPr="00FA288E">
        <w:rPr>
          <w:rFonts w:cs="Calibri"/>
          <w:iCs/>
          <w:sz w:val="20"/>
          <w:szCs w:val="20"/>
        </w:rPr>
        <w:t>SBoMs</w:t>
      </w:r>
      <w:proofErr w:type="spellEnd"/>
      <w:r w:rsidRPr="00FA288E">
        <w:rPr>
          <w:rFonts w:cs="Calibri"/>
          <w:sz w:val="20"/>
          <w:szCs w:val="20"/>
        </w:rPr>
        <w:t xml:space="preserve"> were m</w:t>
      </w:r>
      <w:r w:rsidRPr="00FA288E">
        <w:rPr>
          <w:rFonts w:cs="Calibri"/>
          <w:iCs/>
          <w:sz w:val="20"/>
          <w:szCs w:val="20"/>
        </w:rPr>
        <w:t>uch stronger after the training, with observable improvements in governance as well as involvement of parents in maintenance of schools etc. Despite the reportedly high numbers of parents trained (</w:t>
      </w:r>
      <w:r w:rsidRPr="00FA288E">
        <w:rPr>
          <w:rFonts w:cs="Calibri"/>
          <w:sz w:val="20"/>
          <w:szCs w:val="20"/>
        </w:rPr>
        <w:t>6,341)</w:t>
      </w:r>
      <w:r w:rsidRPr="00FA288E">
        <w:rPr>
          <w:rFonts w:cs="Calibri"/>
          <w:iCs/>
          <w:sz w:val="20"/>
          <w:szCs w:val="20"/>
        </w:rPr>
        <w:t xml:space="preserve"> and directly involved in SLIP development (3,030), this contribution was not evident in the midline data, which indicated that less than 4% of the 1,372 parents/caregivers surveyed reported contributing to SLIP activities. This was also much lower than at baseline (</w:t>
      </w:r>
      <w:r w:rsidRPr="00FA288E">
        <w:rPr>
          <w:rFonts w:cs="Calibri"/>
          <w:sz w:val="20"/>
          <w:szCs w:val="20"/>
        </w:rPr>
        <w:t>12.2% of 763 parents surveyed said they contributed ideas to the SLIP), although it was not clear whether the question item was the same both years.</w:t>
      </w:r>
    </w:p>
    <w:p w14:paraId="7F150838" w14:textId="77777777" w:rsidR="00E83D77" w:rsidRPr="00FA288E" w:rsidRDefault="00E83D77" w:rsidP="00061FD0">
      <w:pPr>
        <w:spacing w:after="120"/>
        <w:jc w:val="both"/>
        <w:rPr>
          <w:rFonts w:cs="Calibri"/>
          <w:iCs/>
          <w:sz w:val="20"/>
          <w:szCs w:val="20"/>
        </w:rPr>
      </w:pPr>
      <w:r w:rsidRPr="00FA288E">
        <w:rPr>
          <w:rFonts w:cs="Calibri"/>
          <w:iCs/>
          <w:sz w:val="20"/>
          <w:szCs w:val="20"/>
        </w:rPr>
        <w:t xml:space="preserve">Unfortunately, the midline data did not differentiate between parents from intervention and control schools in any of the other SLIP related data in order to pick up on the potential benefits of the community awareness/involvement activities in the treatment areas. In another SLIP-related question, just over 40% (570) of parents interviewed from both intervention and control schools reported that their child’s school had a written SLIP, while a further 32% did not know whether they did or not. Of the 570, nearly three-quarters could list some activities in their school’s SLIP, while just over half of these reported that they had told their school’s BOM or P&amp;C representative what they wanted to see in the SLIP (which calls into question the validity of the 4% above – assuming these were drawn from the same respondent pool). Less than half (48%) had checked that the </w:t>
      </w:r>
      <w:proofErr w:type="spellStart"/>
      <w:r w:rsidRPr="00FA288E">
        <w:rPr>
          <w:rFonts w:cs="Calibri"/>
          <w:iCs/>
          <w:sz w:val="20"/>
          <w:szCs w:val="20"/>
        </w:rPr>
        <w:t>SBoM</w:t>
      </w:r>
      <w:proofErr w:type="spellEnd"/>
      <w:r w:rsidRPr="00FA288E">
        <w:rPr>
          <w:rFonts w:cs="Calibri"/>
          <w:iCs/>
          <w:sz w:val="20"/>
          <w:szCs w:val="20"/>
        </w:rPr>
        <w:t xml:space="preserve"> implemented their plans as intended. A large majority of the 570 (86%) reported that they had contributed time, money or materials to the school, however there was no indication that this was as a result of the SLIP, or part of routine collection of ‘funds’ for projects. With T4E able to involve only a small percentage of the overall school community directly in SLIP awareness raising and planning activities (as few as 28 parents), the midline data collection process may not be sufficiently sensitive to pick up on improvements to community engagement in SLIP planning, and the effect will always be small using this method – especially without differentiation between parents in the control group.</w:t>
      </w:r>
    </w:p>
    <w:p w14:paraId="64E93BD6" w14:textId="77777777" w:rsidR="00E83D77" w:rsidRPr="00FA288E" w:rsidRDefault="00E83D77" w:rsidP="00061FD0">
      <w:pPr>
        <w:spacing w:after="120"/>
        <w:jc w:val="both"/>
        <w:rPr>
          <w:rFonts w:cs="Calibri"/>
          <w:sz w:val="20"/>
          <w:szCs w:val="20"/>
        </w:rPr>
      </w:pPr>
      <w:r w:rsidRPr="00FA288E">
        <w:rPr>
          <w:rFonts w:cs="Calibri"/>
          <w:iCs/>
          <w:sz w:val="20"/>
          <w:szCs w:val="20"/>
        </w:rPr>
        <w:t>There is clearly a need to develop and implement more direct monitoring of SLIP development and content to contribute to knowledge of the impact of this intervention to improved management of schools. This would include more information of the extent to which all activities (including gender and disability inclusivity activities) were implemented, as well as sources and uses of the additional funds the 82 schools were reportedly successful in attracting.</w:t>
      </w:r>
    </w:p>
    <w:p w14:paraId="62A9655E" w14:textId="77777777" w:rsidR="00E83D77" w:rsidRPr="00FA288E" w:rsidRDefault="00E83D77" w:rsidP="00061FD0">
      <w:pPr>
        <w:pStyle w:val="BodyText"/>
        <w:rPr>
          <w:rFonts w:ascii="Calibri" w:hAnsi="Calibri" w:cs="Calibri"/>
          <w:sz w:val="20"/>
          <w:szCs w:val="20"/>
          <w:lang w:eastAsia="en-AU"/>
        </w:rPr>
      </w:pPr>
      <w:bookmarkStart w:id="209" w:name="_Toc26457673"/>
      <w:r w:rsidRPr="00FA288E">
        <w:rPr>
          <w:rFonts w:ascii="Calibri" w:hAnsi="Calibri" w:cs="Calibri"/>
          <w:sz w:val="20"/>
          <w:szCs w:val="20"/>
          <w:lang w:eastAsia="en-AU"/>
        </w:rPr>
        <w:t>iii) Conclusions on the effectiveness of school management interventions</w:t>
      </w:r>
      <w:bookmarkEnd w:id="209"/>
    </w:p>
    <w:p w14:paraId="17A2C52E" w14:textId="77777777" w:rsidR="00E83D77" w:rsidRPr="00FA288E" w:rsidRDefault="00E83D77" w:rsidP="00061FD0">
      <w:pPr>
        <w:jc w:val="both"/>
        <w:rPr>
          <w:rFonts w:cs="Calibri"/>
          <w:sz w:val="20"/>
          <w:szCs w:val="20"/>
          <w:lang w:eastAsia="en-AU"/>
        </w:rPr>
      </w:pPr>
      <w:r w:rsidRPr="00FA288E">
        <w:rPr>
          <w:rFonts w:cs="Calibri"/>
          <w:sz w:val="20"/>
          <w:szCs w:val="20"/>
          <w:lang w:eastAsia="en-AU"/>
        </w:rPr>
        <w:t xml:space="preserve">It is likely that the training provided to </w:t>
      </w:r>
      <w:proofErr w:type="spellStart"/>
      <w:r w:rsidRPr="00FA288E">
        <w:rPr>
          <w:rFonts w:cs="Calibri"/>
          <w:sz w:val="20"/>
          <w:szCs w:val="20"/>
          <w:lang w:eastAsia="en-AU"/>
        </w:rPr>
        <w:t>SBoM</w:t>
      </w:r>
      <w:proofErr w:type="spellEnd"/>
      <w:r w:rsidRPr="00FA288E">
        <w:rPr>
          <w:rFonts w:cs="Calibri"/>
          <w:sz w:val="20"/>
          <w:szCs w:val="20"/>
          <w:lang w:eastAsia="en-AU"/>
        </w:rPr>
        <w:t xml:space="preserve"> participants through both T4E and PKS </w:t>
      </w:r>
      <w:r w:rsidRPr="00FA288E">
        <w:rPr>
          <w:rFonts w:cs="Calibri"/>
          <w:i/>
          <w:sz w:val="20"/>
          <w:szCs w:val="20"/>
          <w:lang w:eastAsia="en-AU"/>
        </w:rPr>
        <w:t>is</w:t>
      </w:r>
      <w:r w:rsidRPr="00FA288E">
        <w:rPr>
          <w:rFonts w:cs="Calibri"/>
          <w:sz w:val="20"/>
          <w:szCs w:val="20"/>
          <w:lang w:eastAsia="en-AU"/>
        </w:rPr>
        <w:t xml:space="preserve"> able to result in incremental improvements to the content and quality of SLIPs, and that pro</w:t>
      </w:r>
      <w:r w:rsidR="001D27A1" w:rsidRPr="00FA288E">
        <w:rPr>
          <w:rFonts w:cs="Calibri"/>
          <w:sz w:val="20"/>
          <w:szCs w:val="20"/>
          <w:lang w:eastAsia="en-AU"/>
        </w:rPr>
        <w:t>ject</w:t>
      </w:r>
      <w:r w:rsidRPr="00FA288E">
        <w:rPr>
          <w:rFonts w:cs="Calibri"/>
          <w:sz w:val="20"/>
          <w:szCs w:val="20"/>
          <w:lang w:eastAsia="en-AU"/>
        </w:rPr>
        <w:t xml:space="preserve"> support from T4E in particular increased community participation in problem identification. The full extent of these improvements appears to have not yet been clearly documented aside from reporting the presence of gender/disability activities in the plans (to comply with the indicators). Monitoring of the </w:t>
      </w:r>
      <w:r w:rsidRPr="00FA288E">
        <w:rPr>
          <w:rFonts w:cs="Calibri"/>
          <w:i/>
          <w:sz w:val="20"/>
          <w:szCs w:val="20"/>
          <w:lang w:eastAsia="en-AU"/>
        </w:rPr>
        <w:t>actual</w:t>
      </w:r>
      <w:r w:rsidRPr="00FA288E">
        <w:rPr>
          <w:rFonts w:cs="Calibri"/>
          <w:sz w:val="20"/>
          <w:szCs w:val="20"/>
          <w:lang w:eastAsia="en-AU"/>
        </w:rPr>
        <w:t xml:space="preserve"> implementation of improved and more inclusive plans however is not yet sufficiently advanced to make judgements on their likely contribution to improved school management (PKS), or increased </w:t>
      </w:r>
      <w:r w:rsidRPr="00FA288E">
        <w:rPr>
          <w:rFonts w:cs="Calibri"/>
          <w:sz w:val="20"/>
          <w:szCs w:val="20"/>
        </w:rPr>
        <w:t>community demand for, and support of, quality inclusive education (T4E)</w:t>
      </w:r>
      <w:r w:rsidRPr="00FA288E">
        <w:rPr>
          <w:rFonts w:cs="Calibri"/>
          <w:sz w:val="20"/>
          <w:szCs w:val="20"/>
          <w:lang w:eastAsia="en-AU"/>
        </w:rPr>
        <w:t>. Considerations which will likely impact effectiveness are many and varied, and include:</w:t>
      </w:r>
    </w:p>
    <w:p w14:paraId="5A733D1E" w14:textId="77777777" w:rsidR="00E83D77" w:rsidRPr="00FA288E" w:rsidRDefault="00E83D77" w:rsidP="00FF62CC">
      <w:pPr>
        <w:pStyle w:val="ListParagraph"/>
        <w:numPr>
          <w:ilvl w:val="0"/>
          <w:numId w:val="50"/>
        </w:numPr>
        <w:jc w:val="both"/>
        <w:rPr>
          <w:rFonts w:ascii="Calibri" w:hAnsi="Calibri" w:cs="Calibri"/>
          <w:sz w:val="20"/>
          <w:szCs w:val="20"/>
          <w:lang w:val="en-AU" w:eastAsia="en-AU"/>
        </w:rPr>
      </w:pPr>
      <w:r w:rsidRPr="00FA288E">
        <w:rPr>
          <w:rFonts w:ascii="Calibri" w:hAnsi="Calibri" w:cs="Calibri"/>
          <w:sz w:val="20"/>
          <w:szCs w:val="20"/>
          <w:lang w:val="en-AU" w:eastAsia="en-AU"/>
        </w:rPr>
        <w:lastRenderedPageBreak/>
        <w:t xml:space="preserve">Despite emphasising the need for </w:t>
      </w:r>
      <w:proofErr w:type="spellStart"/>
      <w:r w:rsidRPr="00FA288E">
        <w:rPr>
          <w:rFonts w:ascii="Calibri" w:hAnsi="Calibri" w:cs="Calibri"/>
          <w:sz w:val="20"/>
          <w:szCs w:val="20"/>
          <w:lang w:val="en-AU" w:eastAsia="en-AU"/>
        </w:rPr>
        <w:t>SBoMs</w:t>
      </w:r>
      <w:proofErr w:type="spellEnd"/>
      <w:r w:rsidRPr="00FA288E">
        <w:rPr>
          <w:rFonts w:ascii="Calibri" w:hAnsi="Calibri" w:cs="Calibri"/>
          <w:sz w:val="20"/>
          <w:szCs w:val="20"/>
          <w:lang w:val="en-AU" w:eastAsia="en-AU"/>
        </w:rPr>
        <w:t xml:space="preserve"> to develop SLIPs in a consultative manner, a tendency was noted (both in pro</w:t>
      </w:r>
      <w:r w:rsidR="001D27A1" w:rsidRPr="00FA288E">
        <w:rPr>
          <w:rFonts w:ascii="Calibri" w:hAnsi="Calibri" w:cs="Calibri"/>
          <w:sz w:val="20"/>
          <w:szCs w:val="20"/>
          <w:lang w:val="en-AU" w:eastAsia="en-AU"/>
        </w:rPr>
        <w:t>ject</w:t>
      </w:r>
      <w:r w:rsidRPr="00FA288E">
        <w:rPr>
          <w:rFonts w:ascii="Calibri" w:hAnsi="Calibri" w:cs="Calibri"/>
          <w:sz w:val="20"/>
          <w:szCs w:val="20"/>
          <w:lang w:val="en-AU" w:eastAsia="en-AU"/>
        </w:rPr>
        <w:t xml:space="preserve"> reporting and field interviews) for a single </w:t>
      </w:r>
      <w:proofErr w:type="spellStart"/>
      <w:r w:rsidRPr="00FA288E">
        <w:rPr>
          <w:rFonts w:ascii="Calibri" w:hAnsi="Calibri" w:cs="Calibri"/>
          <w:sz w:val="20"/>
          <w:szCs w:val="20"/>
          <w:lang w:val="en-AU" w:eastAsia="en-AU"/>
        </w:rPr>
        <w:t>SBoM</w:t>
      </w:r>
      <w:proofErr w:type="spellEnd"/>
      <w:r w:rsidRPr="00FA288E">
        <w:rPr>
          <w:rFonts w:ascii="Calibri" w:hAnsi="Calibri" w:cs="Calibri"/>
          <w:sz w:val="20"/>
          <w:szCs w:val="20"/>
          <w:lang w:val="en-AU" w:eastAsia="en-AU"/>
        </w:rPr>
        <w:t xml:space="preserve"> representative to take control of the planning process, with often only limited sharing of information both between </w:t>
      </w:r>
      <w:proofErr w:type="spellStart"/>
      <w:r w:rsidRPr="00FA288E">
        <w:rPr>
          <w:rFonts w:ascii="Calibri" w:hAnsi="Calibri" w:cs="Calibri"/>
          <w:sz w:val="20"/>
          <w:szCs w:val="20"/>
          <w:lang w:val="en-AU" w:eastAsia="en-AU"/>
        </w:rPr>
        <w:t>SBoM</w:t>
      </w:r>
      <w:proofErr w:type="spellEnd"/>
      <w:r w:rsidRPr="00FA288E">
        <w:rPr>
          <w:rFonts w:ascii="Calibri" w:hAnsi="Calibri" w:cs="Calibri"/>
          <w:sz w:val="20"/>
          <w:szCs w:val="20"/>
          <w:lang w:val="en-AU" w:eastAsia="en-AU"/>
        </w:rPr>
        <w:t xml:space="preserve"> members themselves, or with the broader community. Neither pro</w:t>
      </w:r>
      <w:r w:rsidR="001D27A1" w:rsidRPr="00FA288E">
        <w:rPr>
          <w:rFonts w:ascii="Calibri" w:hAnsi="Calibri" w:cs="Calibri"/>
          <w:sz w:val="20"/>
          <w:szCs w:val="20"/>
          <w:lang w:val="en-AU" w:eastAsia="en-AU"/>
        </w:rPr>
        <w:t>ject</w:t>
      </w:r>
      <w:r w:rsidRPr="00FA288E">
        <w:rPr>
          <w:rFonts w:ascii="Calibri" w:hAnsi="Calibri" w:cs="Calibri"/>
          <w:sz w:val="20"/>
          <w:szCs w:val="20"/>
          <w:lang w:val="en-AU" w:eastAsia="en-AU"/>
        </w:rPr>
        <w:t xml:space="preserve"> appeared to include the establishment of a more expansive SLIP committee to manage the processes as suggested in the TORs for SLIP committees circulated by NDOE in June 2017. </w:t>
      </w:r>
    </w:p>
    <w:p w14:paraId="11FC85B6" w14:textId="77777777" w:rsidR="00E83D77" w:rsidRPr="00FA288E" w:rsidRDefault="00E83D77" w:rsidP="00FF62CC">
      <w:pPr>
        <w:pStyle w:val="ListParagraph"/>
        <w:numPr>
          <w:ilvl w:val="0"/>
          <w:numId w:val="50"/>
        </w:numPr>
        <w:jc w:val="both"/>
        <w:rPr>
          <w:rFonts w:ascii="Calibri" w:hAnsi="Calibri" w:cs="Calibri"/>
          <w:sz w:val="20"/>
          <w:szCs w:val="20"/>
          <w:lang w:val="en-AU" w:eastAsia="en-AU"/>
        </w:rPr>
      </w:pPr>
      <w:r w:rsidRPr="00FA288E">
        <w:rPr>
          <w:rFonts w:ascii="Calibri" w:hAnsi="Calibri" w:cs="Calibri"/>
          <w:sz w:val="20"/>
          <w:szCs w:val="20"/>
          <w:lang w:val="en-AU" w:eastAsia="en-AU"/>
        </w:rPr>
        <w:t>Though there is some community familiarity of SLIP activities, this is likely highest around the infrastructure component of SLIPs which are more visible, and for which they have contributed funds</w:t>
      </w:r>
    </w:p>
    <w:p w14:paraId="1FA25A7B" w14:textId="77777777" w:rsidR="00E83D77" w:rsidRPr="00FA288E" w:rsidRDefault="00E83D77" w:rsidP="00FF62CC">
      <w:pPr>
        <w:pStyle w:val="ListParagraph"/>
        <w:numPr>
          <w:ilvl w:val="0"/>
          <w:numId w:val="50"/>
        </w:numPr>
        <w:jc w:val="both"/>
        <w:rPr>
          <w:rFonts w:ascii="Calibri" w:hAnsi="Calibri" w:cs="Calibri"/>
          <w:sz w:val="20"/>
          <w:szCs w:val="20"/>
          <w:lang w:val="en-AU" w:eastAsia="en-AU"/>
        </w:rPr>
      </w:pPr>
      <w:r w:rsidRPr="00FA288E">
        <w:rPr>
          <w:rFonts w:ascii="Calibri" w:hAnsi="Calibri" w:cs="Calibri"/>
          <w:sz w:val="20"/>
          <w:szCs w:val="20"/>
          <w:lang w:val="en-AU" w:eastAsia="en-AU"/>
        </w:rPr>
        <w:t>Whilst mobilisation of significant numbers of community members was effectively achieved using pro</w:t>
      </w:r>
      <w:r w:rsidR="001D27A1" w:rsidRPr="00FA288E">
        <w:rPr>
          <w:rFonts w:ascii="Calibri" w:hAnsi="Calibri" w:cs="Calibri"/>
          <w:sz w:val="20"/>
          <w:szCs w:val="20"/>
          <w:lang w:val="en-AU" w:eastAsia="en-AU"/>
        </w:rPr>
        <w:t>ject</w:t>
      </w:r>
      <w:r w:rsidRPr="00FA288E">
        <w:rPr>
          <w:rFonts w:ascii="Calibri" w:hAnsi="Calibri" w:cs="Calibri"/>
          <w:sz w:val="20"/>
          <w:szCs w:val="20"/>
          <w:lang w:val="en-AU" w:eastAsia="en-AU"/>
        </w:rPr>
        <w:t xml:space="preserve"> staff and resources, there is limited evidence that </w:t>
      </w:r>
      <w:proofErr w:type="spellStart"/>
      <w:r w:rsidRPr="00FA288E">
        <w:rPr>
          <w:rFonts w:ascii="Calibri" w:hAnsi="Calibri" w:cs="Calibri"/>
          <w:sz w:val="20"/>
          <w:szCs w:val="20"/>
          <w:lang w:val="en-AU" w:eastAsia="en-AU"/>
        </w:rPr>
        <w:t>SBoMs</w:t>
      </w:r>
      <w:proofErr w:type="spellEnd"/>
      <w:r w:rsidRPr="00FA288E">
        <w:rPr>
          <w:rFonts w:ascii="Calibri" w:hAnsi="Calibri" w:cs="Calibri"/>
          <w:sz w:val="20"/>
          <w:szCs w:val="20"/>
          <w:lang w:val="en-AU" w:eastAsia="en-AU"/>
        </w:rPr>
        <w:t xml:space="preserve"> have the ability, interest, or authority to do this without a similar level of support. </w:t>
      </w:r>
      <w:r w:rsidRPr="00FA288E">
        <w:rPr>
          <w:rFonts w:ascii="Calibri" w:hAnsi="Calibri" w:cs="Calibri"/>
          <w:sz w:val="20"/>
          <w:szCs w:val="20"/>
          <w:lang w:val="en-AU"/>
        </w:rPr>
        <w:t xml:space="preserve">Expectations of the extent to which </w:t>
      </w:r>
      <w:proofErr w:type="spellStart"/>
      <w:r w:rsidRPr="00FA288E">
        <w:rPr>
          <w:rFonts w:ascii="Calibri" w:hAnsi="Calibri" w:cs="Calibri"/>
          <w:sz w:val="20"/>
          <w:szCs w:val="20"/>
          <w:lang w:val="en-AU"/>
        </w:rPr>
        <w:t>SBoM</w:t>
      </w:r>
      <w:proofErr w:type="spellEnd"/>
      <w:r w:rsidRPr="00FA288E">
        <w:rPr>
          <w:rFonts w:ascii="Calibri" w:hAnsi="Calibri" w:cs="Calibri"/>
          <w:sz w:val="20"/>
          <w:szCs w:val="20"/>
          <w:lang w:val="en-AU"/>
        </w:rPr>
        <w:t xml:space="preserve"> development can be consultative should be tempered with their ability to facilitate broader community participation – especially in larger communities. NDOE requirements on community involvement is not overly prescriptive in this regard.</w:t>
      </w:r>
    </w:p>
    <w:p w14:paraId="3275DF7A" w14:textId="77777777" w:rsidR="00E83D77" w:rsidRPr="00FA288E" w:rsidRDefault="00E83D77" w:rsidP="00FF62CC">
      <w:pPr>
        <w:pStyle w:val="ListParagraph"/>
        <w:numPr>
          <w:ilvl w:val="0"/>
          <w:numId w:val="50"/>
        </w:numPr>
        <w:jc w:val="both"/>
        <w:rPr>
          <w:rFonts w:ascii="Calibri" w:hAnsi="Calibri" w:cs="Calibri"/>
          <w:sz w:val="20"/>
          <w:szCs w:val="20"/>
          <w:lang w:val="en-AU" w:eastAsia="en-AU"/>
        </w:rPr>
      </w:pPr>
      <w:r w:rsidRPr="00FA288E">
        <w:rPr>
          <w:rFonts w:ascii="Calibri" w:hAnsi="Calibri" w:cs="Calibri"/>
          <w:sz w:val="20"/>
          <w:szCs w:val="20"/>
          <w:lang w:val="en-AU" w:eastAsia="en-AU"/>
        </w:rPr>
        <w:t>The focus on self-reliance for funding of SLIP activities appears to require that schools attract funding from other sources, reducing reliance on TFF</w:t>
      </w:r>
      <w:r w:rsidR="00D52BB0" w:rsidRPr="00FA288E">
        <w:rPr>
          <w:rFonts w:ascii="Calibri" w:hAnsi="Calibri" w:cs="Calibri"/>
          <w:sz w:val="20"/>
          <w:szCs w:val="20"/>
          <w:lang w:val="en-AU" w:eastAsia="en-AU"/>
        </w:rPr>
        <w:t xml:space="preserve"> subsidy</w:t>
      </w:r>
      <w:r w:rsidRPr="00FA288E">
        <w:rPr>
          <w:rFonts w:ascii="Calibri" w:hAnsi="Calibri" w:cs="Calibri"/>
          <w:sz w:val="20"/>
          <w:szCs w:val="20"/>
          <w:lang w:val="en-AU" w:eastAsia="en-AU"/>
        </w:rPr>
        <w:t>. However, the extent to which communities did this prior to the training (i.e. through routine collection of ‘project’ funds from the community) is not clear, with little explanation of the ‘additional’ resources and whether these had been accessed before and were simply now being recorded in the SLIP.</w:t>
      </w:r>
    </w:p>
    <w:p w14:paraId="6F0B0709" w14:textId="77777777" w:rsidR="00E83D77" w:rsidRPr="00FA288E" w:rsidRDefault="00E83D77" w:rsidP="00FF62CC">
      <w:pPr>
        <w:pStyle w:val="ListParagraph"/>
        <w:numPr>
          <w:ilvl w:val="0"/>
          <w:numId w:val="50"/>
        </w:numPr>
        <w:jc w:val="both"/>
        <w:rPr>
          <w:rFonts w:ascii="Calibri" w:hAnsi="Calibri" w:cs="Calibri"/>
          <w:sz w:val="20"/>
          <w:szCs w:val="20"/>
          <w:lang w:val="en-AU" w:eastAsia="en-AU"/>
        </w:rPr>
      </w:pPr>
      <w:r w:rsidRPr="00FA288E">
        <w:rPr>
          <w:rFonts w:ascii="Calibri" w:hAnsi="Calibri" w:cs="Calibri"/>
          <w:sz w:val="20"/>
          <w:szCs w:val="20"/>
          <w:lang w:val="en-AU" w:eastAsia="en-AU"/>
        </w:rPr>
        <w:t>The renewed focus on self-reliance also seems to have given rise to an unreasonable expectation by the Provincial/District level education actors involved in the pro</w:t>
      </w:r>
      <w:r w:rsidR="001D27A1" w:rsidRPr="00FA288E">
        <w:rPr>
          <w:rFonts w:ascii="Calibri" w:hAnsi="Calibri" w:cs="Calibri"/>
          <w:sz w:val="20"/>
          <w:szCs w:val="20"/>
          <w:lang w:val="en-AU" w:eastAsia="en-AU"/>
        </w:rPr>
        <w:t>ject</w:t>
      </w:r>
      <w:r w:rsidRPr="00FA288E">
        <w:rPr>
          <w:rFonts w:ascii="Calibri" w:hAnsi="Calibri" w:cs="Calibri"/>
          <w:sz w:val="20"/>
          <w:szCs w:val="20"/>
          <w:lang w:val="en-AU" w:eastAsia="en-AU"/>
        </w:rPr>
        <w:t xml:space="preserve">s that schools are now responsible for funding </w:t>
      </w:r>
      <w:r w:rsidRPr="00FA288E">
        <w:rPr>
          <w:rFonts w:ascii="Calibri" w:hAnsi="Calibri" w:cs="Calibri"/>
          <w:i/>
          <w:sz w:val="20"/>
          <w:szCs w:val="20"/>
          <w:lang w:val="en-AU" w:eastAsia="en-AU"/>
        </w:rPr>
        <w:t>everything</w:t>
      </w:r>
      <w:r w:rsidRPr="00FA288E">
        <w:rPr>
          <w:rFonts w:ascii="Calibri" w:hAnsi="Calibri" w:cs="Calibri"/>
          <w:sz w:val="20"/>
          <w:szCs w:val="20"/>
          <w:lang w:val="en-AU" w:eastAsia="en-AU"/>
        </w:rPr>
        <w:t xml:space="preserve">, including their own in-service training (e.g. for SBC and SLIP development), thereby reducing their own responsibilities in attracting and committing resources to the sector from their sectoral or discretionary funds. Based on the lessons since 2007, there would appear to be little incentive for schools to undertake planning according to external requirements if negligible funding is forthcoming from the TFF </w:t>
      </w:r>
      <w:r w:rsidR="00D52BB0" w:rsidRPr="00FA288E">
        <w:rPr>
          <w:rFonts w:ascii="Calibri" w:hAnsi="Calibri" w:cs="Calibri"/>
          <w:sz w:val="20"/>
          <w:szCs w:val="20"/>
          <w:lang w:val="en-AU" w:eastAsia="en-AU"/>
        </w:rPr>
        <w:t xml:space="preserve">subsidy </w:t>
      </w:r>
      <w:r w:rsidRPr="00FA288E">
        <w:rPr>
          <w:rFonts w:ascii="Calibri" w:hAnsi="Calibri" w:cs="Calibri"/>
          <w:sz w:val="20"/>
          <w:szCs w:val="20"/>
          <w:lang w:val="en-AU" w:eastAsia="en-AU"/>
        </w:rPr>
        <w:t>or external provincial funds.</w:t>
      </w:r>
    </w:p>
    <w:p w14:paraId="1519DB8F" w14:textId="77777777" w:rsidR="00E83D77" w:rsidRPr="00FA288E" w:rsidRDefault="00E83D77" w:rsidP="00FF62CC">
      <w:pPr>
        <w:pStyle w:val="ListParagraph"/>
        <w:numPr>
          <w:ilvl w:val="0"/>
          <w:numId w:val="50"/>
        </w:numPr>
        <w:jc w:val="both"/>
        <w:rPr>
          <w:rFonts w:ascii="Calibri" w:hAnsi="Calibri" w:cs="Calibri"/>
          <w:sz w:val="20"/>
          <w:szCs w:val="20"/>
          <w:lang w:val="en-AU" w:eastAsia="en-AU"/>
        </w:rPr>
      </w:pPr>
      <w:r w:rsidRPr="00FA288E">
        <w:rPr>
          <w:rFonts w:ascii="Calibri" w:hAnsi="Calibri" w:cs="Calibri"/>
          <w:sz w:val="20"/>
          <w:szCs w:val="20"/>
          <w:lang w:val="en-AU" w:eastAsia="en-AU"/>
        </w:rPr>
        <w:t xml:space="preserve">Initial monitoring of SLIPs by T4E indicate there has been an increase in the number of SLIPs with gender and disability sensitive activities. While a welcome outcome, the extent to which these (and other activities) were actually implemented, and the effectiveness of this is not known. </w:t>
      </w:r>
    </w:p>
    <w:p w14:paraId="1C08B705" w14:textId="77777777" w:rsidR="00E83D77" w:rsidRPr="00FA288E" w:rsidRDefault="00E83D77" w:rsidP="00FF62CC">
      <w:pPr>
        <w:pStyle w:val="ListParagraph"/>
        <w:numPr>
          <w:ilvl w:val="0"/>
          <w:numId w:val="50"/>
        </w:numPr>
        <w:jc w:val="both"/>
        <w:rPr>
          <w:rFonts w:ascii="Calibri" w:hAnsi="Calibri" w:cs="Calibri"/>
          <w:sz w:val="20"/>
          <w:szCs w:val="20"/>
          <w:lang w:val="en-AU" w:eastAsia="en-AU"/>
        </w:rPr>
      </w:pPr>
      <w:r w:rsidRPr="00FA288E">
        <w:rPr>
          <w:rFonts w:ascii="Calibri" w:hAnsi="Calibri" w:cs="Calibri"/>
          <w:sz w:val="20"/>
          <w:szCs w:val="20"/>
          <w:lang w:val="en-AU" w:eastAsia="en-AU"/>
        </w:rPr>
        <w:t xml:space="preserve">The more deliberate involvement of PDOE/District staff in SLIP training by PKS appears more likely to have developed the training </w:t>
      </w:r>
      <w:r w:rsidR="00A07B4A" w:rsidRPr="00FA288E">
        <w:rPr>
          <w:rFonts w:ascii="Calibri" w:hAnsi="Calibri" w:cs="Calibri"/>
          <w:sz w:val="20"/>
          <w:szCs w:val="20"/>
          <w:lang w:val="en-AU" w:eastAsia="en-AU"/>
        </w:rPr>
        <w:t>abil</w:t>
      </w:r>
      <w:r w:rsidRPr="00FA288E">
        <w:rPr>
          <w:rFonts w:ascii="Calibri" w:hAnsi="Calibri" w:cs="Calibri"/>
          <w:sz w:val="20"/>
          <w:szCs w:val="20"/>
          <w:lang w:val="en-AU" w:eastAsia="en-AU"/>
        </w:rPr>
        <w:t>ity of these staff to support non-pro</w:t>
      </w:r>
      <w:r w:rsidR="001D27A1" w:rsidRPr="00FA288E">
        <w:rPr>
          <w:rFonts w:ascii="Calibri" w:hAnsi="Calibri" w:cs="Calibri"/>
          <w:sz w:val="20"/>
          <w:szCs w:val="20"/>
          <w:lang w:val="en-AU" w:eastAsia="en-AU"/>
        </w:rPr>
        <w:t>ject</w:t>
      </w:r>
      <w:r w:rsidRPr="00FA288E">
        <w:rPr>
          <w:rFonts w:ascii="Calibri" w:hAnsi="Calibri" w:cs="Calibri"/>
          <w:sz w:val="20"/>
          <w:szCs w:val="20"/>
          <w:lang w:val="en-AU" w:eastAsia="en-AU"/>
        </w:rPr>
        <w:t xml:space="preserve"> schools in SLIP development, however in both pro</w:t>
      </w:r>
      <w:r w:rsidR="001D27A1" w:rsidRPr="00FA288E">
        <w:rPr>
          <w:rFonts w:ascii="Calibri" w:hAnsi="Calibri" w:cs="Calibri"/>
          <w:sz w:val="20"/>
          <w:szCs w:val="20"/>
          <w:lang w:val="en-AU" w:eastAsia="en-AU"/>
        </w:rPr>
        <w:t>jects</w:t>
      </w:r>
      <w:r w:rsidRPr="00FA288E">
        <w:rPr>
          <w:rFonts w:ascii="Calibri" w:hAnsi="Calibri" w:cs="Calibri"/>
          <w:sz w:val="20"/>
          <w:szCs w:val="20"/>
          <w:lang w:val="en-AU" w:eastAsia="en-AU"/>
        </w:rPr>
        <w:t>, resource constraints may limit the spread of this training.</w:t>
      </w:r>
    </w:p>
    <w:p w14:paraId="15620BE4" w14:textId="77777777" w:rsidR="00E83D77" w:rsidRPr="00FA288E" w:rsidRDefault="00E83D77" w:rsidP="00061FD0">
      <w:pPr>
        <w:jc w:val="both"/>
        <w:rPr>
          <w:rFonts w:cs="Calibri"/>
          <w:sz w:val="20"/>
          <w:szCs w:val="20"/>
        </w:rPr>
      </w:pPr>
      <w:r w:rsidRPr="00FA288E">
        <w:rPr>
          <w:rFonts w:cs="Calibri"/>
          <w:sz w:val="20"/>
          <w:szCs w:val="20"/>
        </w:rPr>
        <w:t>Possible ways forward</w:t>
      </w:r>
    </w:p>
    <w:p w14:paraId="6D6EF1D5" w14:textId="77777777" w:rsidR="00E83D77" w:rsidRPr="00FA288E" w:rsidRDefault="00E83D77" w:rsidP="00FF62CC">
      <w:pPr>
        <w:pStyle w:val="ListParagraph"/>
        <w:numPr>
          <w:ilvl w:val="0"/>
          <w:numId w:val="51"/>
        </w:numPr>
        <w:jc w:val="both"/>
        <w:rPr>
          <w:rFonts w:ascii="Calibri" w:hAnsi="Calibri" w:cs="Calibri"/>
          <w:sz w:val="20"/>
          <w:szCs w:val="20"/>
          <w:lang w:val="en-AU" w:eastAsia="en-AU"/>
        </w:rPr>
      </w:pPr>
      <w:r w:rsidRPr="00FA288E">
        <w:rPr>
          <w:rFonts w:ascii="Calibri" w:hAnsi="Calibri" w:cs="Calibri"/>
          <w:sz w:val="20"/>
          <w:szCs w:val="20"/>
          <w:lang w:val="en-AU" w:eastAsia="en-AU"/>
        </w:rPr>
        <w:t xml:space="preserve">Any future trial of seeking broader community engagement in SLIP preparation should take account of the limitations of </w:t>
      </w:r>
      <w:proofErr w:type="spellStart"/>
      <w:r w:rsidRPr="00FA288E">
        <w:rPr>
          <w:rFonts w:ascii="Calibri" w:hAnsi="Calibri" w:cs="Calibri"/>
          <w:sz w:val="20"/>
          <w:szCs w:val="20"/>
          <w:lang w:val="en-AU" w:eastAsia="en-AU"/>
        </w:rPr>
        <w:t>SBoM</w:t>
      </w:r>
      <w:proofErr w:type="spellEnd"/>
      <w:r w:rsidRPr="00FA288E">
        <w:rPr>
          <w:rFonts w:ascii="Calibri" w:hAnsi="Calibri" w:cs="Calibri"/>
          <w:sz w:val="20"/>
          <w:szCs w:val="20"/>
          <w:lang w:val="en-AU" w:eastAsia="en-AU"/>
        </w:rPr>
        <w:t xml:space="preserve"> member</w:t>
      </w:r>
      <w:r w:rsidR="00A07B4A" w:rsidRPr="00FA288E">
        <w:rPr>
          <w:rFonts w:ascii="Calibri" w:hAnsi="Calibri" w:cs="Calibri"/>
          <w:sz w:val="20"/>
          <w:szCs w:val="20"/>
          <w:lang w:val="en-AU" w:eastAsia="en-AU"/>
        </w:rPr>
        <w:t>’s abil</w:t>
      </w:r>
      <w:r w:rsidRPr="00FA288E">
        <w:rPr>
          <w:rFonts w:ascii="Calibri" w:hAnsi="Calibri" w:cs="Calibri"/>
          <w:sz w:val="20"/>
          <w:szCs w:val="20"/>
          <w:lang w:val="en-AU" w:eastAsia="en-AU"/>
        </w:rPr>
        <w:t xml:space="preserve">ity to facilitate community input, and the sustainability / replicability of significant external resources required. </w:t>
      </w:r>
      <w:r w:rsidRPr="00FA288E">
        <w:rPr>
          <w:rFonts w:ascii="Calibri" w:hAnsi="Calibri" w:cs="Calibri"/>
          <w:sz w:val="20"/>
          <w:szCs w:val="20"/>
          <w:lang w:val="en-AU"/>
        </w:rPr>
        <w:t xml:space="preserve">A more targeted approach may need to be explored, which is within the means of </w:t>
      </w:r>
      <w:proofErr w:type="spellStart"/>
      <w:r w:rsidRPr="00FA288E">
        <w:rPr>
          <w:rFonts w:ascii="Calibri" w:hAnsi="Calibri" w:cs="Calibri"/>
          <w:sz w:val="20"/>
          <w:szCs w:val="20"/>
          <w:lang w:val="en-AU"/>
        </w:rPr>
        <w:t>SBoMs</w:t>
      </w:r>
      <w:proofErr w:type="spellEnd"/>
      <w:r w:rsidRPr="00FA288E">
        <w:rPr>
          <w:rFonts w:ascii="Calibri" w:hAnsi="Calibri" w:cs="Calibri"/>
          <w:sz w:val="20"/>
          <w:szCs w:val="20"/>
          <w:lang w:val="en-AU"/>
        </w:rPr>
        <w:t xml:space="preserve"> to manage, such as specifying minimum community representation or including existing </w:t>
      </w:r>
      <w:proofErr w:type="spellStart"/>
      <w:r w:rsidRPr="00FA288E">
        <w:rPr>
          <w:rFonts w:ascii="Calibri" w:hAnsi="Calibri" w:cs="Calibri"/>
          <w:sz w:val="20"/>
          <w:szCs w:val="20"/>
          <w:lang w:val="en-AU"/>
        </w:rPr>
        <w:t>SBoM</w:t>
      </w:r>
      <w:proofErr w:type="spellEnd"/>
      <w:r w:rsidRPr="00FA288E">
        <w:rPr>
          <w:rFonts w:ascii="Calibri" w:hAnsi="Calibri" w:cs="Calibri"/>
          <w:sz w:val="20"/>
          <w:szCs w:val="20"/>
          <w:lang w:val="en-AU"/>
        </w:rPr>
        <w:t xml:space="preserve"> community representatives in SLIP training. The development of more expansive SLIP committees (as proposed in the 2017 TORs for SLIP Committees circulated by NDOE), might be a more realistic approach.</w:t>
      </w:r>
    </w:p>
    <w:p w14:paraId="54406792" w14:textId="77777777" w:rsidR="00E83D77" w:rsidRPr="00FA288E" w:rsidRDefault="00E83D77" w:rsidP="00FF62CC">
      <w:pPr>
        <w:pStyle w:val="ListParagraph"/>
        <w:numPr>
          <w:ilvl w:val="0"/>
          <w:numId w:val="51"/>
        </w:numPr>
        <w:jc w:val="both"/>
        <w:rPr>
          <w:rFonts w:ascii="Calibri" w:hAnsi="Calibri" w:cs="Calibri"/>
          <w:sz w:val="20"/>
          <w:szCs w:val="20"/>
          <w:lang w:val="en-AU" w:eastAsia="en-AU"/>
        </w:rPr>
      </w:pPr>
      <w:r w:rsidRPr="00FA288E">
        <w:rPr>
          <w:rFonts w:ascii="Calibri" w:hAnsi="Calibri" w:cs="Calibri"/>
          <w:sz w:val="20"/>
          <w:szCs w:val="20"/>
          <w:lang w:val="en-AU" w:eastAsia="en-AU"/>
        </w:rPr>
        <w:t>While both pro</w:t>
      </w:r>
      <w:r w:rsidR="001D27A1" w:rsidRPr="00FA288E">
        <w:rPr>
          <w:rFonts w:ascii="Calibri" w:hAnsi="Calibri" w:cs="Calibri"/>
          <w:sz w:val="20"/>
          <w:szCs w:val="20"/>
          <w:lang w:val="en-AU" w:eastAsia="en-AU"/>
        </w:rPr>
        <w:t>ject</w:t>
      </w:r>
      <w:r w:rsidRPr="00FA288E">
        <w:rPr>
          <w:rFonts w:ascii="Calibri" w:hAnsi="Calibri" w:cs="Calibri"/>
          <w:sz w:val="20"/>
          <w:szCs w:val="20"/>
          <w:lang w:val="en-AU" w:eastAsia="en-AU"/>
        </w:rPr>
        <w:t>s are exploring ways to strengthen the links between SLIP planning and District/Provincial level resourcing (e.g. PKS through DDA/DEIC linkages, and T4E through Service Charters), more emphasis may need to be placed on these activities to explore the extent to which provincial/district level funding decisions can be linked more deliberately to SLIPs in order to sustain any momentum created by the pro</w:t>
      </w:r>
      <w:r w:rsidR="001D27A1" w:rsidRPr="00FA288E">
        <w:rPr>
          <w:rFonts w:ascii="Calibri" w:hAnsi="Calibri" w:cs="Calibri"/>
          <w:sz w:val="20"/>
          <w:szCs w:val="20"/>
          <w:lang w:val="en-AU" w:eastAsia="en-AU"/>
        </w:rPr>
        <w:t>ject</w:t>
      </w:r>
      <w:r w:rsidRPr="00FA288E">
        <w:rPr>
          <w:rFonts w:ascii="Calibri" w:hAnsi="Calibri" w:cs="Calibri"/>
          <w:sz w:val="20"/>
          <w:szCs w:val="20"/>
          <w:lang w:val="en-AU" w:eastAsia="en-AU"/>
        </w:rPr>
        <w:t>s through SLIP revitalisation.</w:t>
      </w:r>
    </w:p>
    <w:p w14:paraId="45D23B28" w14:textId="77777777" w:rsidR="00E83D77" w:rsidRPr="00FA288E" w:rsidRDefault="00E83D77" w:rsidP="00FF62CC">
      <w:pPr>
        <w:pStyle w:val="ListParagraph"/>
        <w:numPr>
          <w:ilvl w:val="0"/>
          <w:numId w:val="51"/>
        </w:numPr>
        <w:jc w:val="both"/>
        <w:rPr>
          <w:rFonts w:ascii="Calibri" w:hAnsi="Calibri" w:cs="Calibri"/>
          <w:sz w:val="20"/>
          <w:szCs w:val="20"/>
          <w:lang w:val="en-AU" w:eastAsia="en-AU"/>
        </w:rPr>
      </w:pPr>
      <w:r w:rsidRPr="00FA288E">
        <w:rPr>
          <w:rFonts w:ascii="Calibri" w:hAnsi="Calibri" w:cs="Calibri"/>
          <w:sz w:val="20"/>
          <w:szCs w:val="20"/>
          <w:lang w:val="en-AU" w:eastAsia="en-AU"/>
        </w:rPr>
        <w:t xml:space="preserve">With more than a full year elapsing since the first round of T4E SLIPs were completed, it is timely to follow up on their implementation status (despite SLIP implementation not being an indicator that is monitored). This data would be extremely useful in justifying the value of the training effort and making judgements on the extent to which new, additional resources were sourced by schools; school management was improved; teachers were better supported in performing their teaching </w:t>
      </w:r>
      <w:r w:rsidRPr="00FA288E">
        <w:rPr>
          <w:rFonts w:ascii="Calibri" w:hAnsi="Calibri" w:cs="Calibri"/>
          <w:sz w:val="20"/>
          <w:szCs w:val="20"/>
          <w:lang w:val="en-AU" w:eastAsia="en-AU"/>
        </w:rPr>
        <w:lastRenderedPageBreak/>
        <w:t xml:space="preserve">responsibilities; girls and children with disabilities were better accommodated to learn; and any plausible links to broader learning outcomes. This should also be used to provide the NDOE with information about the extent to which their seven focus areas are appropriate and manageable by schools, or whether there may need to be a greater emphasis on improving </w:t>
      </w:r>
      <w:r w:rsidRPr="00FA288E">
        <w:rPr>
          <w:rFonts w:ascii="Calibri" w:hAnsi="Calibri" w:cs="Calibri"/>
          <w:i/>
          <w:sz w:val="20"/>
          <w:szCs w:val="20"/>
          <w:lang w:val="en-AU" w:eastAsia="en-AU"/>
        </w:rPr>
        <w:t xml:space="preserve">learning </w:t>
      </w:r>
      <w:r w:rsidRPr="00FA288E">
        <w:rPr>
          <w:rFonts w:ascii="Calibri" w:hAnsi="Calibri" w:cs="Calibri"/>
          <w:sz w:val="20"/>
          <w:szCs w:val="20"/>
          <w:lang w:val="en-AU" w:eastAsia="en-AU"/>
        </w:rPr>
        <w:t>outcomes through a more targeted school learning improvement process</w:t>
      </w:r>
    </w:p>
    <w:p w14:paraId="2D3455AF" w14:textId="77777777" w:rsidR="00E83D77" w:rsidRPr="00FA288E" w:rsidRDefault="00E83D77" w:rsidP="00FF62CC">
      <w:pPr>
        <w:pStyle w:val="ListParagraph"/>
        <w:numPr>
          <w:ilvl w:val="0"/>
          <w:numId w:val="51"/>
        </w:numPr>
        <w:rPr>
          <w:rFonts w:ascii="Calibri" w:hAnsi="Calibri" w:cs="Calibri"/>
          <w:sz w:val="20"/>
          <w:szCs w:val="20"/>
          <w:lang w:val="en-AU" w:eastAsia="en-AU"/>
        </w:rPr>
      </w:pPr>
      <w:r w:rsidRPr="00FA288E">
        <w:rPr>
          <w:rFonts w:ascii="Calibri" w:hAnsi="Calibri" w:cs="Calibri"/>
          <w:sz w:val="20"/>
          <w:szCs w:val="20"/>
          <w:lang w:val="en-AU"/>
        </w:rPr>
        <w:t xml:space="preserve">Similarly, the planned monitoring of SLIP content and its quality by PKS may need to consider a more rigorous process of SLIP audits rather than relying on </w:t>
      </w:r>
      <w:proofErr w:type="spellStart"/>
      <w:r w:rsidRPr="00FA288E">
        <w:rPr>
          <w:rFonts w:ascii="Calibri" w:hAnsi="Calibri" w:cs="Calibri"/>
          <w:sz w:val="20"/>
          <w:szCs w:val="20"/>
          <w:lang w:val="en-AU"/>
        </w:rPr>
        <w:t>SBoM</w:t>
      </w:r>
      <w:proofErr w:type="spellEnd"/>
      <w:r w:rsidRPr="00FA288E">
        <w:rPr>
          <w:rFonts w:ascii="Calibri" w:hAnsi="Calibri" w:cs="Calibri"/>
          <w:sz w:val="20"/>
          <w:szCs w:val="20"/>
          <w:lang w:val="en-AU"/>
        </w:rPr>
        <w:t xml:space="preserve"> self-assessment alone in order to improve the validity of the data.</w:t>
      </w:r>
    </w:p>
    <w:p w14:paraId="4BC7E07B" w14:textId="77777777" w:rsidR="00E83D77" w:rsidRPr="00FA288E" w:rsidRDefault="00E83D77" w:rsidP="00FF62CC">
      <w:pPr>
        <w:pStyle w:val="ListParagraph"/>
        <w:numPr>
          <w:ilvl w:val="0"/>
          <w:numId w:val="51"/>
        </w:numPr>
        <w:rPr>
          <w:rFonts w:ascii="Calibri" w:hAnsi="Calibri" w:cs="Calibri"/>
          <w:sz w:val="20"/>
          <w:szCs w:val="20"/>
          <w:lang w:val="en-AU" w:eastAsia="en-AU"/>
        </w:rPr>
      </w:pPr>
      <w:r w:rsidRPr="00FA288E">
        <w:rPr>
          <w:rFonts w:ascii="Calibri" w:hAnsi="Calibri" w:cs="Calibri"/>
          <w:sz w:val="20"/>
          <w:szCs w:val="20"/>
          <w:lang w:val="en-AU" w:eastAsia="en-AU"/>
        </w:rPr>
        <w:t>Both pro</w:t>
      </w:r>
      <w:r w:rsidR="001D27A1" w:rsidRPr="00FA288E">
        <w:rPr>
          <w:rFonts w:ascii="Calibri" w:hAnsi="Calibri" w:cs="Calibri"/>
          <w:sz w:val="20"/>
          <w:szCs w:val="20"/>
          <w:lang w:val="en-AU" w:eastAsia="en-AU"/>
        </w:rPr>
        <w:t>ject</w:t>
      </w:r>
      <w:r w:rsidRPr="00FA288E">
        <w:rPr>
          <w:rFonts w:ascii="Calibri" w:hAnsi="Calibri" w:cs="Calibri"/>
          <w:sz w:val="20"/>
          <w:szCs w:val="20"/>
          <w:lang w:val="en-AU" w:eastAsia="en-AU"/>
        </w:rPr>
        <w:t>s developed their training material independently of each other, and with only limited involvement of the NDOE. In order to enhance replicability, endorsement should be sought from the NDOE. To this end, both pro</w:t>
      </w:r>
      <w:r w:rsidR="001D27A1" w:rsidRPr="00FA288E">
        <w:rPr>
          <w:rFonts w:ascii="Calibri" w:hAnsi="Calibri" w:cs="Calibri"/>
          <w:sz w:val="20"/>
          <w:szCs w:val="20"/>
          <w:lang w:val="en-AU" w:eastAsia="en-AU"/>
        </w:rPr>
        <w:t>ject</w:t>
      </w:r>
      <w:r w:rsidRPr="00FA288E">
        <w:rPr>
          <w:rFonts w:ascii="Calibri" w:hAnsi="Calibri" w:cs="Calibri"/>
          <w:sz w:val="20"/>
          <w:szCs w:val="20"/>
          <w:lang w:val="en-AU" w:eastAsia="en-AU"/>
        </w:rPr>
        <w:t xml:space="preserve">s may need to engage in a joint review of their materials and processes that were piloted, involving PDOE trainers and NDOE staff, in order to determine the extent to which they meet the needs of NDOE, particularly considering the guidance provided by the draft </w:t>
      </w:r>
      <w:r w:rsidR="00D05B41" w:rsidRPr="00FA288E">
        <w:rPr>
          <w:rFonts w:ascii="Calibri" w:hAnsi="Calibri" w:cs="Calibri"/>
          <w:sz w:val="20"/>
          <w:szCs w:val="20"/>
          <w:lang w:val="en-AU" w:eastAsia="en-AU"/>
        </w:rPr>
        <w:t xml:space="preserve">of the new </w:t>
      </w:r>
      <w:r w:rsidRPr="00FA288E">
        <w:rPr>
          <w:rFonts w:ascii="Calibri" w:hAnsi="Calibri" w:cs="Calibri"/>
          <w:sz w:val="20"/>
          <w:szCs w:val="20"/>
          <w:lang w:val="en-AU" w:eastAsia="en-AU"/>
        </w:rPr>
        <w:t>NEP</w:t>
      </w:r>
      <w:r w:rsidR="00F23E3A" w:rsidRPr="00FA288E">
        <w:rPr>
          <w:rFonts w:ascii="Calibri" w:hAnsi="Calibri" w:cs="Calibri"/>
          <w:sz w:val="20"/>
          <w:szCs w:val="20"/>
          <w:lang w:val="en-AU" w:eastAsia="en-AU"/>
        </w:rPr>
        <w:t xml:space="preserve"> 2020-2029</w:t>
      </w:r>
      <w:r w:rsidRPr="00FA288E">
        <w:rPr>
          <w:rFonts w:ascii="Calibri" w:hAnsi="Calibri" w:cs="Calibri"/>
          <w:sz w:val="20"/>
          <w:szCs w:val="20"/>
          <w:lang w:val="en-AU" w:eastAsia="en-AU"/>
        </w:rPr>
        <w:t>.</w:t>
      </w:r>
      <w:r w:rsidRPr="00FA288E">
        <w:rPr>
          <w:rStyle w:val="FootnoteReference"/>
          <w:rFonts w:ascii="Calibri" w:hAnsi="Calibri" w:cs="Calibri"/>
          <w:sz w:val="20"/>
          <w:szCs w:val="20"/>
          <w:lang w:val="en-AU"/>
        </w:rPr>
        <w:footnoteReference w:id="121"/>
      </w:r>
      <w:r w:rsidRPr="00FA288E">
        <w:rPr>
          <w:rFonts w:ascii="Calibri" w:hAnsi="Calibri" w:cs="Calibri"/>
          <w:sz w:val="20"/>
          <w:szCs w:val="20"/>
          <w:lang w:val="en-AU" w:eastAsia="en-AU"/>
        </w:rPr>
        <w:t xml:space="preserve"> This would involve documenting and sharing lessons learnt, including frank assessments of the resourcing requirements of providing adequate training and support to the proposed SLIP Committees in SLIP development going forward.</w:t>
      </w:r>
    </w:p>
    <w:p w14:paraId="4DFBBA94" w14:textId="77777777" w:rsidR="00E83D77" w:rsidRPr="00FA288E" w:rsidRDefault="00E83D77" w:rsidP="00FF62CC">
      <w:pPr>
        <w:pStyle w:val="ListParagraph"/>
        <w:numPr>
          <w:ilvl w:val="0"/>
          <w:numId w:val="51"/>
        </w:numPr>
        <w:rPr>
          <w:rFonts w:ascii="Calibri" w:hAnsi="Calibri" w:cs="Calibri"/>
          <w:sz w:val="20"/>
          <w:szCs w:val="20"/>
          <w:lang w:val="en-AU" w:eastAsia="en-AU"/>
        </w:rPr>
      </w:pPr>
      <w:r w:rsidRPr="00FA288E">
        <w:rPr>
          <w:rFonts w:ascii="Calibri" w:hAnsi="Calibri" w:cs="Calibri"/>
          <w:sz w:val="20"/>
          <w:szCs w:val="20"/>
          <w:lang w:val="en-AU" w:eastAsia="en-AU"/>
        </w:rPr>
        <w:t xml:space="preserve">In order to inform future investments, it is also suggested that research be undertaken (outside the PPF target areas) to determine the extent to which the NDOE SLIP processes are being applied by schools and how this application is affected by different contexts and different school typologies (urban/rural/remote; small/large; elementary / primary / secondary.  Further, it may be useful to include in the research a desk study of current practices in other developing countries (e.g. Whole School Development) to inform possible adjustments to the SLIP process in order to work with the NDOE to improve application and effectiveness of the SLIP process.  </w:t>
      </w:r>
    </w:p>
    <w:p w14:paraId="4D31AF2F" w14:textId="77777777" w:rsidR="00061FD0" w:rsidRPr="00FA288E" w:rsidRDefault="00061FD0" w:rsidP="00FF62CC">
      <w:pPr>
        <w:pStyle w:val="ListParagraph"/>
        <w:numPr>
          <w:ilvl w:val="0"/>
          <w:numId w:val="51"/>
        </w:numPr>
        <w:rPr>
          <w:rFonts w:ascii="Calibri" w:hAnsi="Calibri" w:cs="Calibri"/>
          <w:sz w:val="20"/>
          <w:szCs w:val="20"/>
          <w:lang w:val="en-AU" w:eastAsia="en-AU"/>
        </w:rPr>
        <w:sectPr w:rsidR="00061FD0" w:rsidRPr="00FA288E">
          <w:pgSz w:w="11906" w:h="16838"/>
          <w:pgMar w:top="1440" w:right="1440" w:bottom="1440" w:left="1440" w:header="708" w:footer="708" w:gutter="0"/>
          <w:cols w:space="708"/>
          <w:docGrid w:linePitch="360"/>
        </w:sectPr>
      </w:pPr>
    </w:p>
    <w:p w14:paraId="061A7BBD" w14:textId="77777777" w:rsidR="008D2D4A" w:rsidRPr="00FA288E" w:rsidRDefault="008D2D4A" w:rsidP="003E1E3E">
      <w:pPr>
        <w:pStyle w:val="Heading1"/>
        <w:numPr>
          <w:ilvl w:val="0"/>
          <w:numId w:val="0"/>
        </w:numPr>
      </w:pPr>
      <w:bookmarkStart w:id="210" w:name="_Annex_G:_Documents"/>
      <w:bookmarkStart w:id="211" w:name="_Toc31625626"/>
      <w:bookmarkStart w:id="212" w:name="_Toc42076006"/>
      <w:bookmarkEnd w:id="210"/>
      <w:r w:rsidRPr="00FA288E">
        <w:lastRenderedPageBreak/>
        <w:t xml:space="preserve">Annex </w:t>
      </w:r>
      <w:r w:rsidR="003E1E3E" w:rsidRPr="00FA288E">
        <w:t>G</w:t>
      </w:r>
      <w:r w:rsidRPr="00FA288E">
        <w:t>: Documents Reviewed</w:t>
      </w:r>
      <w:bookmarkEnd w:id="211"/>
      <w:bookmarkEnd w:id="212"/>
    </w:p>
    <w:p w14:paraId="4109B716" w14:textId="77777777" w:rsidR="008D2D4A" w:rsidRPr="00FA288E" w:rsidRDefault="008D2D4A" w:rsidP="009C509C">
      <w:pPr>
        <w:spacing w:after="0" w:line="240" w:lineRule="auto"/>
        <w:rPr>
          <w:rFonts w:cs="Calibri"/>
          <w:sz w:val="20"/>
          <w:szCs w:val="20"/>
        </w:rPr>
      </w:pPr>
      <w:r w:rsidRPr="00FA288E">
        <w:rPr>
          <w:rFonts w:cs="Calibri"/>
          <w:sz w:val="20"/>
          <w:szCs w:val="20"/>
        </w:rPr>
        <w:t>Australian High Commission Education Portfolio Documents</w:t>
      </w:r>
    </w:p>
    <w:p w14:paraId="2CC18E07"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Aid Program Performance Reports 2017-2018 and 2018-2019</w:t>
      </w:r>
    </w:p>
    <w:p w14:paraId="18725D84"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Annual Review of the PNG-Australia Governance Partnership, Quality and Technical Assurance Group, Sept 2019</w:t>
      </w:r>
    </w:p>
    <w:p w14:paraId="767A428D"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 xml:space="preserve">Buk </w:t>
      </w:r>
      <w:proofErr w:type="spellStart"/>
      <w:r w:rsidRPr="00FA288E">
        <w:rPr>
          <w:rFonts w:ascii="Calibri" w:hAnsi="Calibri" w:cs="Calibri"/>
          <w:szCs w:val="20"/>
        </w:rPr>
        <w:t>Bilong</w:t>
      </w:r>
      <w:proofErr w:type="spellEnd"/>
      <w:r w:rsidRPr="00FA288E">
        <w:rPr>
          <w:rFonts w:ascii="Calibri" w:hAnsi="Calibri" w:cs="Calibri"/>
          <w:szCs w:val="20"/>
        </w:rPr>
        <w:t xml:space="preserve"> </w:t>
      </w:r>
      <w:proofErr w:type="spellStart"/>
      <w:r w:rsidRPr="00FA288E">
        <w:rPr>
          <w:rFonts w:ascii="Calibri" w:hAnsi="Calibri" w:cs="Calibri"/>
          <w:szCs w:val="20"/>
        </w:rPr>
        <w:t>Pikinini</w:t>
      </w:r>
      <w:proofErr w:type="spellEnd"/>
      <w:r w:rsidRPr="00FA288E">
        <w:rPr>
          <w:rFonts w:ascii="Calibri" w:hAnsi="Calibri" w:cs="Calibri"/>
          <w:szCs w:val="20"/>
        </w:rPr>
        <w:t xml:space="preserve"> Evaluation, The Australian Council for Educational Research Ltd (ACER), Palladium, 2018</w:t>
      </w:r>
    </w:p>
    <w:p w14:paraId="4B5824DE"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DFAT PNG Education and Leadership Portfolio Plan - 2018-2022</w:t>
      </w:r>
    </w:p>
    <w:p w14:paraId="0F8B260D"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Education for Prosperity Draft design (Quality Foundations for Education), 2019</w:t>
      </w:r>
    </w:p>
    <w:p w14:paraId="683F8C8C"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 xml:space="preserve">Insight into the PNG Education System Notes, by the Education Specialist; David </w:t>
      </w:r>
      <w:proofErr w:type="spellStart"/>
      <w:r w:rsidRPr="00FA288E">
        <w:rPr>
          <w:rFonts w:ascii="Calibri" w:hAnsi="Calibri" w:cs="Calibri"/>
          <w:szCs w:val="20"/>
        </w:rPr>
        <w:t>Letichevsky</w:t>
      </w:r>
      <w:proofErr w:type="spellEnd"/>
      <w:r w:rsidRPr="00FA288E">
        <w:rPr>
          <w:rFonts w:ascii="Calibri" w:hAnsi="Calibri" w:cs="Calibri"/>
          <w:szCs w:val="20"/>
        </w:rPr>
        <w:t>, 2013 - 2016</w:t>
      </w:r>
      <w:r w:rsidRPr="00FA288E">
        <w:rPr>
          <w:rFonts w:ascii="Calibri" w:hAnsi="Calibri" w:cs="Calibri"/>
          <w:szCs w:val="20"/>
        </w:rPr>
        <w:tab/>
      </w:r>
    </w:p>
    <w:p w14:paraId="68FFD02B"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Governance assessment first final at Dec 27 2017</w:t>
      </w:r>
    </w:p>
    <w:p w14:paraId="38E1DE62"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Gender and Education Assessment, Papua New Guinea: A review of the literature on girls and education, Jan Edwards, July 2015</w:t>
      </w:r>
    </w:p>
    <w:p w14:paraId="4C1D2A7F"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PNG Aid Investment Plan 2015-2018</w:t>
      </w:r>
    </w:p>
    <w:p w14:paraId="15F41C43"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PNG Australian Aid Partnership Arrangement - 2016-17</w:t>
      </w:r>
    </w:p>
    <w:p w14:paraId="50ECECD0"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PNG Governance Facility Design Document, 2015</w:t>
      </w:r>
    </w:p>
    <w:p w14:paraId="2C45C36D"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PPF Request for Proposal – Education Grants, 2017</w:t>
      </w:r>
    </w:p>
    <w:p w14:paraId="0B66FA9A"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PPF Aid Quality Check, Dec 2018</w:t>
      </w:r>
    </w:p>
    <w:p w14:paraId="08A89CCC"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PPF National Oversight Committee Terms of Reference, 28 May 2019</w:t>
      </w:r>
    </w:p>
    <w:p w14:paraId="4793F016"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PPF Annual Progress Report 2017, August - Final</w:t>
      </w:r>
    </w:p>
    <w:p w14:paraId="116E5BC1"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PPF FINAL A</w:t>
      </w:r>
      <w:r w:rsidR="000118A2" w:rsidRPr="00FA288E">
        <w:rPr>
          <w:rFonts w:ascii="Calibri" w:hAnsi="Calibri" w:cs="Calibri"/>
          <w:szCs w:val="20"/>
        </w:rPr>
        <w:t xml:space="preserve">id </w:t>
      </w:r>
      <w:r w:rsidRPr="00FA288E">
        <w:rPr>
          <w:rFonts w:ascii="Calibri" w:hAnsi="Calibri" w:cs="Calibri"/>
          <w:szCs w:val="20"/>
        </w:rPr>
        <w:t>Q</w:t>
      </w:r>
      <w:r w:rsidR="000118A2" w:rsidRPr="00FA288E">
        <w:rPr>
          <w:rFonts w:ascii="Calibri" w:hAnsi="Calibri" w:cs="Calibri"/>
          <w:szCs w:val="20"/>
        </w:rPr>
        <w:t xml:space="preserve">uality </w:t>
      </w:r>
      <w:r w:rsidRPr="00FA288E">
        <w:rPr>
          <w:rFonts w:ascii="Calibri" w:hAnsi="Calibri" w:cs="Calibri"/>
          <w:szCs w:val="20"/>
        </w:rPr>
        <w:t>C</w:t>
      </w:r>
      <w:r w:rsidR="000118A2" w:rsidRPr="00FA288E">
        <w:rPr>
          <w:rFonts w:ascii="Calibri" w:hAnsi="Calibri" w:cs="Calibri"/>
          <w:szCs w:val="20"/>
        </w:rPr>
        <w:t>heck</w:t>
      </w:r>
      <w:r w:rsidRPr="00FA288E">
        <w:rPr>
          <w:rFonts w:ascii="Calibri" w:hAnsi="Calibri" w:cs="Calibri"/>
          <w:szCs w:val="20"/>
        </w:rPr>
        <w:t>, 2019</w:t>
      </w:r>
    </w:p>
    <w:p w14:paraId="51C2B3D5"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Quality and Technical Assurance Group – Annual Review of the PNG – Australia Governance Partnership</w:t>
      </w:r>
    </w:p>
    <w:p w14:paraId="3579DF7A" w14:textId="77777777" w:rsidR="008D2D4A" w:rsidRPr="00FA288E" w:rsidRDefault="008D2D4A" w:rsidP="00FF62CC">
      <w:pPr>
        <w:pStyle w:val="Bullets"/>
        <w:numPr>
          <w:ilvl w:val="0"/>
          <w:numId w:val="52"/>
        </w:numPr>
        <w:spacing w:after="0" w:line="240" w:lineRule="auto"/>
        <w:rPr>
          <w:rFonts w:ascii="Calibri" w:hAnsi="Calibri" w:cs="Calibri"/>
          <w:szCs w:val="20"/>
        </w:rPr>
      </w:pPr>
      <w:r w:rsidRPr="00FA288E">
        <w:rPr>
          <w:rFonts w:ascii="Calibri" w:hAnsi="Calibri" w:cs="Calibri"/>
          <w:szCs w:val="20"/>
        </w:rPr>
        <w:t>Review of the Papua New Guinea Direct Financing Support Mechanism, 2018</w:t>
      </w:r>
    </w:p>
    <w:p w14:paraId="1F7F10C8" w14:textId="77777777" w:rsidR="00F746B0" w:rsidRPr="00FA288E" w:rsidRDefault="00F746B0" w:rsidP="009C509C">
      <w:pPr>
        <w:spacing w:after="0" w:line="240" w:lineRule="auto"/>
        <w:rPr>
          <w:rFonts w:cs="Calibri"/>
          <w:sz w:val="20"/>
          <w:szCs w:val="20"/>
        </w:rPr>
      </w:pPr>
    </w:p>
    <w:p w14:paraId="68B38ABE" w14:textId="77777777" w:rsidR="008D2D4A" w:rsidRPr="00FA288E" w:rsidRDefault="008D2D4A" w:rsidP="009C509C">
      <w:pPr>
        <w:spacing w:after="0" w:line="240" w:lineRule="auto"/>
        <w:rPr>
          <w:rFonts w:cs="Calibri"/>
          <w:sz w:val="20"/>
          <w:szCs w:val="20"/>
        </w:rPr>
      </w:pPr>
      <w:r w:rsidRPr="00FA288E">
        <w:rPr>
          <w:rFonts w:cs="Calibri"/>
          <w:sz w:val="20"/>
          <w:szCs w:val="20"/>
        </w:rPr>
        <w:t>Department of Foreign Affairs and Trade – other</w:t>
      </w:r>
    </w:p>
    <w:p w14:paraId="4ADE7CCE" w14:textId="77777777" w:rsidR="008D2D4A" w:rsidRPr="00FA288E" w:rsidRDefault="008D2D4A" w:rsidP="00FF62CC">
      <w:pPr>
        <w:pStyle w:val="Bullets"/>
        <w:numPr>
          <w:ilvl w:val="0"/>
          <w:numId w:val="53"/>
        </w:numPr>
        <w:spacing w:after="0" w:line="240" w:lineRule="auto"/>
        <w:rPr>
          <w:rFonts w:ascii="Calibri" w:hAnsi="Calibri" w:cs="Calibri"/>
          <w:szCs w:val="20"/>
        </w:rPr>
      </w:pPr>
      <w:r w:rsidRPr="00FA288E">
        <w:rPr>
          <w:rFonts w:ascii="Calibri" w:hAnsi="Calibri" w:cs="Calibri"/>
          <w:szCs w:val="20"/>
        </w:rPr>
        <w:t>DFAT Monitoring and Evaluation Standards, 2017</w:t>
      </w:r>
    </w:p>
    <w:p w14:paraId="5466C63F" w14:textId="77777777" w:rsidR="008D2D4A" w:rsidRPr="00FA288E" w:rsidRDefault="008D2D4A" w:rsidP="00FF62CC">
      <w:pPr>
        <w:pStyle w:val="Bullets"/>
        <w:numPr>
          <w:ilvl w:val="0"/>
          <w:numId w:val="53"/>
        </w:numPr>
        <w:spacing w:after="0" w:line="240" w:lineRule="auto"/>
        <w:rPr>
          <w:rFonts w:ascii="Calibri" w:hAnsi="Calibri" w:cs="Calibri"/>
          <w:szCs w:val="20"/>
        </w:rPr>
      </w:pPr>
      <w:r w:rsidRPr="00FA288E">
        <w:rPr>
          <w:rFonts w:ascii="Calibri" w:hAnsi="Calibri" w:cs="Calibri"/>
          <w:szCs w:val="20"/>
        </w:rPr>
        <w:t xml:space="preserve">DFAT Indonesia </w:t>
      </w:r>
      <w:proofErr w:type="spellStart"/>
      <w:r w:rsidRPr="00FA288E">
        <w:rPr>
          <w:rFonts w:ascii="Calibri" w:hAnsi="Calibri" w:cs="Calibri"/>
          <w:szCs w:val="20"/>
        </w:rPr>
        <w:t>Inovasi</w:t>
      </w:r>
      <w:proofErr w:type="spellEnd"/>
      <w:r w:rsidRPr="00FA288E">
        <w:rPr>
          <w:rFonts w:ascii="Calibri" w:hAnsi="Calibri" w:cs="Calibri"/>
          <w:szCs w:val="20"/>
        </w:rPr>
        <w:t xml:space="preserve"> Guiding Program Strategy Part 1 and 2, 2017</w:t>
      </w:r>
    </w:p>
    <w:p w14:paraId="05D04FCF" w14:textId="77777777" w:rsidR="008D2D4A" w:rsidRPr="00FA288E" w:rsidRDefault="008D2D4A" w:rsidP="00FF62CC">
      <w:pPr>
        <w:pStyle w:val="Bullets"/>
        <w:numPr>
          <w:ilvl w:val="0"/>
          <w:numId w:val="53"/>
        </w:numPr>
        <w:spacing w:after="0" w:line="240" w:lineRule="auto"/>
        <w:rPr>
          <w:rFonts w:ascii="Calibri" w:hAnsi="Calibri" w:cs="Calibri"/>
          <w:szCs w:val="20"/>
        </w:rPr>
      </w:pPr>
      <w:r w:rsidRPr="00FA288E">
        <w:rPr>
          <w:rFonts w:ascii="Calibri" w:hAnsi="Calibri" w:cs="Calibri"/>
          <w:szCs w:val="20"/>
        </w:rPr>
        <w:t>DFAT Innovation Strategy, 2018-2021</w:t>
      </w:r>
    </w:p>
    <w:p w14:paraId="23926169" w14:textId="77777777" w:rsidR="008D2D4A" w:rsidRPr="00FA288E" w:rsidRDefault="008D2D4A" w:rsidP="00FF62CC">
      <w:pPr>
        <w:pStyle w:val="Bullets"/>
        <w:numPr>
          <w:ilvl w:val="0"/>
          <w:numId w:val="53"/>
        </w:numPr>
        <w:spacing w:after="0" w:line="240" w:lineRule="auto"/>
        <w:rPr>
          <w:rFonts w:ascii="Calibri" w:hAnsi="Calibri" w:cs="Calibri"/>
          <w:szCs w:val="20"/>
        </w:rPr>
      </w:pPr>
      <w:r w:rsidRPr="00FA288E">
        <w:rPr>
          <w:rFonts w:ascii="Calibri" w:hAnsi="Calibri" w:cs="Calibri"/>
          <w:szCs w:val="20"/>
        </w:rPr>
        <w:t>Strategy for Australia’s Aid Investment in Education, 2015</w:t>
      </w:r>
    </w:p>
    <w:p w14:paraId="41AFCF3D" w14:textId="77777777" w:rsidR="008D2D4A" w:rsidRPr="00FA288E" w:rsidRDefault="008D2D4A" w:rsidP="00FF62CC">
      <w:pPr>
        <w:pStyle w:val="Bullets"/>
        <w:numPr>
          <w:ilvl w:val="0"/>
          <w:numId w:val="53"/>
        </w:numPr>
        <w:spacing w:after="0" w:line="240" w:lineRule="auto"/>
        <w:rPr>
          <w:rFonts w:ascii="Calibri" w:hAnsi="Calibri" w:cs="Calibri"/>
          <w:szCs w:val="20"/>
        </w:rPr>
      </w:pPr>
      <w:r w:rsidRPr="00FA288E">
        <w:rPr>
          <w:rFonts w:ascii="Calibri" w:hAnsi="Calibri" w:cs="Calibri"/>
          <w:szCs w:val="20"/>
        </w:rPr>
        <w:t>What Works Best for Education in Development: A Super Synthesis of the Evidence, 2017</w:t>
      </w:r>
    </w:p>
    <w:p w14:paraId="10AE25B0" w14:textId="77777777" w:rsidR="00F746B0" w:rsidRPr="00FA288E" w:rsidRDefault="00F746B0" w:rsidP="009C509C">
      <w:pPr>
        <w:spacing w:after="0" w:line="240" w:lineRule="auto"/>
        <w:rPr>
          <w:rFonts w:cs="Calibri"/>
          <w:sz w:val="20"/>
          <w:szCs w:val="20"/>
        </w:rPr>
      </w:pPr>
    </w:p>
    <w:p w14:paraId="03E89234" w14:textId="77777777" w:rsidR="008D2D4A" w:rsidRPr="00FA288E" w:rsidRDefault="008D2D4A" w:rsidP="009C509C">
      <w:pPr>
        <w:spacing w:after="0" w:line="240" w:lineRule="auto"/>
        <w:rPr>
          <w:rFonts w:cs="Calibri"/>
          <w:sz w:val="20"/>
          <w:szCs w:val="20"/>
        </w:rPr>
      </w:pPr>
      <w:r w:rsidRPr="00FA288E">
        <w:rPr>
          <w:rFonts w:cs="Calibri"/>
          <w:sz w:val="20"/>
          <w:szCs w:val="20"/>
        </w:rPr>
        <w:t>Government of PNG Documents, Policies and Plans</w:t>
      </w:r>
    </w:p>
    <w:p w14:paraId="0C3D9063" w14:textId="77777777" w:rsidR="008D2D4A" w:rsidRPr="00FA288E" w:rsidRDefault="008D2D4A" w:rsidP="00FF62CC">
      <w:pPr>
        <w:pStyle w:val="Bullets"/>
        <w:numPr>
          <w:ilvl w:val="0"/>
          <w:numId w:val="54"/>
        </w:numPr>
        <w:spacing w:after="0" w:line="240" w:lineRule="auto"/>
        <w:rPr>
          <w:rFonts w:ascii="Calibri" w:hAnsi="Calibri" w:cs="Calibri"/>
          <w:szCs w:val="20"/>
        </w:rPr>
      </w:pPr>
      <w:r w:rsidRPr="00FA288E">
        <w:rPr>
          <w:rFonts w:ascii="Calibri" w:hAnsi="Calibri" w:cs="Calibri"/>
          <w:szCs w:val="20"/>
        </w:rPr>
        <w:t>GoPNG Development Cooperation Policy 2018-2022</w:t>
      </w:r>
    </w:p>
    <w:p w14:paraId="30D8E1FC" w14:textId="77777777" w:rsidR="008D2D4A" w:rsidRPr="00FA288E" w:rsidRDefault="008D2D4A" w:rsidP="00FF62CC">
      <w:pPr>
        <w:pStyle w:val="Bullets"/>
        <w:numPr>
          <w:ilvl w:val="0"/>
          <w:numId w:val="54"/>
        </w:numPr>
        <w:spacing w:after="0" w:line="240" w:lineRule="auto"/>
        <w:rPr>
          <w:rFonts w:ascii="Calibri" w:hAnsi="Calibri" w:cs="Calibri"/>
          <w:szCs w:val="20"/>
        </w:rPr>
      </w:pPr>
      <w:r w:rsidRPr="00FA288E">
        <w:rPr>
          <w:rFonts w:ascii="Calibri" w:hAnsi="Calibri" w:cs="Calibri"/>
          <w:szCs w:val="20"/>
        </w:rPr>
        <w:t xml:space="preserve">GoPNG DPLGA Corporate Plan 2018-2022 </w:t>
      </w:r>
    </w:p>
    <w:p w14:paraId="0B6246FC" w14:textId="77777777" w:rsidR="008D2D4A" w:rsidRPr="00FA288E" w:rsidRDefault="008D2D4A" w:rsidP="00FF62CC">
      <w:pPr>
        <w:pStyle w:val="Bullets"/>
        <w:numPr>
          <w:ilvl w:val="0"/>
          <w:numId w:val="54"/>
        </w:numPr>
        <w:spacing w:after="0" w:line="240" w:lineRule="auto"/>
        <w:rPr>
          <w:rFonts w:ascii="Calibri" w:hAnsi="Calibri" w:cs="Calibri"/>
          <w:szCs w:val="20"/>
        </w:rPr>
      </w:pPr>
      <w:r w:rsidRPr="00FA288E">
        <w:rPr>
          <w:rFonts w:ascii="Calibri" w:hAnsi="Calibri" w:cs="Calibri"/>
          <w:szCs w:val="20"/>
        </w:rPr>
        <w:t>GoPNG Medium Term Development Plan III, 2018-2022</w:t>
      </w:r>
    </w:p>
    <w:p w14:paraId="5449DB22" w14:textId="77777777" w:rsidR="008D2D4A" w:rsidRPr="00FA288E" w:rsidRDefault="008D2D4A" w:rsidP="00FF62CC">
      <w:pPr>
        <w:pStyle w:val="Bullets"/>
        <w:numPr>
          <w:ilvl w:val="0"/>
          <w:numId w:val="54"/>
        </w:numPr>
        <w:spacing w:after="0" w:line="240" w:lineRule="auto"/>
        <w:rPr>
          <w:rFonts w:ascii="Calibri" w:hAnsi="Calibri" w:cs="Calibri"/>
          <w:szCs w:val="20"/>
        </w:rPr>
      </w:pPr>
      <w:r w:rsidRPr="00FA288E">
        <w:rPr>
          <w:rFonts w:ascii="Calibri" w:hAnsi="Calibri" w:cs="Calibri"/>
          <w:szCs w:val="20"/>
        </w:rPr>
        <w:t>GoPNG National Education Plan 2015 – 2019</w:t>
      </w:r>
    </w:p>
    <w:p w14:paraId="306879EC" w14:textId="77777777" w:rsidR="008D2D4A" w:rsidRPr="00FA288E" w:rsidRDefault="008D2D4A" w:rsidP="00FF62CC">
      <w:pPr>
        <w:pStyle w:val="Bullets"/>
        <w:numPr>
          <w:ilvl w:val="0"/>
          <w:numId w:val="54"/>
        </w:numPr>
        <w:spacing w:after="0" w:line="240" w:lineRule="auto"/>
        <w:rPr>
          <w:rFonts w:ascii="Calibri" w:hAnsi="Calibri" w:cs="Calibri"/>
          <w:szCs w:val="20"/>
        </w:rPr>
      </w:pPr>
      <w:r w:rsidRPr="00FA288E">
        <w:rPr>
          <w:rFonts w:ascii="Calibri" w:hAnsi="Calibri" w:cs="Calibri"/>
          <w:szCs w:val="20"/>
        </w:rPr>
        <w:t>GoPNG National Education Plan (Draft) 2020 - 2029</w:t>
      </w:r>
    </w:p>
    <w:p w14:paraId="331A3305" w14:textId="77777777" w:rsidR="008D2D4A" w:rsidRPr="00FA288E" w:rsidRDefault="008D2D4A" w:rsidP="00FF62CC">
      <w:pPr>
        <w:pStyle w:val="Bullets"/>
        <w:numPr>
          <w:ilvl w:val="0"/>
          <w:numId w:val="54"/>
        </w:numPr>
        <w:spacing w:after="0" w:line="240" w:lineRule="auto"/>
        <w:rPr>
          <w:rFonts w:ascii="Calibri" w:hAnsi="Calibri" w:cs="Calibri"/>
          <w:szCs w:val="20"/>
        </w:rPr>
      </w:pPr>
      <w:proofErr w:type="spellStart"/>
      <w:r w:rsidRPr="00FA288E">
        <w:rPr>
          <w:rFonts w:ascii="Calibri" w:hAnsi="Calibri" w:cs="Calibri"/>
          <w:szCs w:val="20"/>
        </w:rPr>
        <w:t>GoPNG</w:t>
      </w:r>
      <w:proofErr w:type="spellEnd"/>
      <w:r w:rsidRPr="00FA288E">
        <w:rPr>
          <w:rFonts w:ascii="Calibri" w:hAnsi="Calibri" w:cs="Calibri"/>
          <w:szCs w:val="20"/>
        </w:rPr>
        <w:t xml:space="preserve"> National </w:t>
      </w:r>
      <w:proofErr w:type="spellStart"/>
      <w:r w:rsidRPr="00FA288E">
        <w:rPr>
          <w:rFonts w:ascii="Calibri" w:hAnsi="Calibri" w:cs="Calibri"/>
          <w:szCs w:val="20"/>
        </w:rPr>
        <w:t>Lukautim</w:t>
      </w:r>
      <w:proofErr w:type="spellEnd"/>
      <w:r w:rsidRPr="00FA288E">
        <w:rPr>
          <w:rFonts w:ascii="Calibri" w:hAnsi="Calibri" w:cs="Calibri"/>
          <w:szCs w:val="20"/>
        </w:rPr>
        <w:t xml:space="preserve"> </w:t>
      </w:r>
      <w:proofErr w:type="spellStart"/>
      <w:r w:rsidRPr="00FA288E">
        <w:rPr>
          <w:rFonts w:ascii="Calibri" w:hAnsi="Calibri" w:cs="Calibri"/>
          <w:szCs w:val="20"/>
        </w:rPr>
        <w:t>Pikinini</w:t>
      </w:r>
      <w:proofErr w:type="spellEnd"/>
      <w:r w:rsidRPr="00FA288E">
        <w:rPr>
          <w:rFonts w:ascii="Calibri" w:hAnsi="Calibri" w:cs="Calibri"/>
          <w:szCs w:val="20"/>
        </w:rPr>
        <w:t xml:space="preserve"> (Child Protection) Policy 2017-2027</w:t>
      </w:r>
    </w:p>
    <w:p w14:paraId="0F2409F5" w14:textId="77777777" w:rsidR="008D2D4A" w:rsidRPr="00FA288E" w:rsidRDefault="008D2D4A" w:rsidP="00FF62CC">
      <w:pPr>
        <w:pStyle w:val="Bullets"/>
        <w:numPr>
          <w:ilvl w:val="0"/>
          <w:numId w:val="54"/>
        </w:numPr>
        <w:spacing w:after="0" w:line="240" w:lineRule="auto"/>
        <w:rPr>
          <w:rFonts w:ascii="Calibri" w:hAnsi="Calibri" w:cs="Calibri"/>
          <w:szCs w:val="20"/>
        </w:rPr>
      </w:pPr>
      <w:r w:rsidRPr="00FA288E">
        <w:rPr>
          <w:rFonts w:ascii="Calibri" w:hAnsi="Calibri" w:cs="Calibri"/>
          <w:szCs w:val="20"/>
        </w:rPr>
        <w:t>GoPNG Universal Basic Education Plan 2010 – 2019</w:t>
      </w:r>
    </w:p>
    <w:p w14:paraId="749EA5E3" w14:textId="77777777" w:rsidR="008D2D4A" w:rsidRPr="00FA288E" w:rsidRDefault="008D2D4A" w:rsidP="00FF62CC">
      <w:pPr>
        <w:pStyle w:val="Bullets"/>
        <w:numPr>
          <w:ilvl w:val="0"/>
          <w:numId w:val="54"/>
        </w:numPr>
        <w:spacing w:after="0" w:line="240" w:lineRule="auto"/>
        <w:rPr>
          <w:rFonts w:ascii="Calibri" w:hAnsi="Calibri" w:cs="Calibri"/>
          <w:szCs w:val="20"/>
        </w:rPr>
      </w:pPr>
      <w:r w:rsidRPr="00FA288E">
        <w:rPr>
          <w:rFonts w:ascii="Calibri" w:hAnsi="Calibri" w:cs="Calibri"/>
          <w:szCs w:val="20"/>
        </w:rPr>
        <w:t>NDOE Guidelines for School Learning Improvement Plans, 2006 and 2007</w:t>
      </w:r>
    </w:p>
    <w:p w14:paraId="054EE3EA" w14:textId="77777777" w:rsidR="008D2D4A" w:rsidRPr="00FA288E" w:rsidRDefault="008D2D4A" w:rsidP="00FF62CC">
      <w:pPr>
        <w:pStyle w:val="Bullets"/>
        <w:numPr>
          <w:ilvl w:val="0"/>
          <w:numId w:val="54"/>
        </w:numPr>
        <w:spacing w:after="0" w:line="240" w:lineRule="auto"/>
        <w:rPr>
          <w:rFonts w:ascii="Calibri" w:hAnsi="Calibri" w:cs="Calibri"/>
          <w:szCs w:val="20"/>
        </w:rPr>
      </w:pPr>
      <w:r w:rsidRPr="00FA288E">
        <w:rPr>
          <w:rFonts w:ascii="Calibri" w:hAnsi="Calibri" w:cs="Calibri"/>
          <w:szCs w:val="20"/>
        </w:rPr>
        <w:t>NDOE TORs for SLIP Committees, 2017</w:t>
      </w:r>
    </w:p>
    <w:p w14:paraId="3E8A3198" w14:textId="77777777" w:rsidR="008D2D4A" w:rsidRPr="00FA288E" w:rsidRDefault="008D2D4A" w:rsidP="00FF62CC">
      <w:pPr>
        <w:pStyle w:val="Bullets"/>
        <w:numPr>
          <w:ilvl w:val="0"/>
          <w:numId w:val="54"/>
        </w:numPr>
        <w:spacing w:after="0" w:line="240" w:lineRule="auto"/>
        <w:rPr>
          <w:rFonts w:ascii="Calibri" w:hAnsi="Calibri" w:cs="Calibri"/>
          <w:szCs w:val="20"/>
        </w:rPr>
      </w:pPr>
      <w:r w:rsidRPr="00FA288E">
        <w:rPr>
          <w:rFonts w:ascii="Calibri" w:hAnsi="Calibri" w:cs="Calibri"/>
          <w:szCs w:val="20"/>
        </w:rPr>
        <w:t>NDOE Top Management Team Meeting Circular, PPF Baseline Reports, 11 July, 2019</w:t>
      </w:r>
    </w:p>
    <w:p w14:paraId="569D66CA" w14:textId="77777777" w:rsidR="008D2D4A" w:rsidRPr="00FA288E" w:rsidRDefault="008D2D4A" w:rsidP="00FF62CC">
      <w:pPr>
        <w:pStyle w:val="Bullets"/>
        <w:numPr>
          <w:ilvl w:val="0"/>
          <w:numId w:val="54"/>
        </w:numPr>
        <w:spacing w:after="0" w:line="240" w:lineRule="auto"/>
        <w:rPr>
          <w:rFonts w:ascii="Calibri" w:hAnsi="Calibri" w:cs="Calibri"/>
          <w:szCs w:val="20"/>
        </w:rPr>
      </w:pPr>
      <w:r w:rsidRPr="00FA288E">
        <w:rPr>
          <w:rFonts w:ascii="Calibri" w:hAnsi="Calibri" w:cs="Calibri"/>
          <w:szCs w:val="20"/>
        </w:rPr>
        <w:t>PNG Vision 2050</w:t>
      </w:r>
      <w:r w:rsidRPr="00FA288E">
        <w:rPr>
          <w:rFonts w:ascii="Calibri" w:hAnsi="Calibri" w:cs="Calibri"/>
          <w:szCs w:val="20"/>
        </w:rPr>
        <w:tab/>
      </w:r>
    </w:p>
    <w:p w14:paraId="6F7D33AA" w14:textId="77777777" w:rsidR="008D2D4A" w:rsidRPr="00FA288E" w:rsidRDefault="008D2D4A" w:rsidP="00FF62CC">
      <w:pPr>
        <w:pStyle w:val="Bullets"/>
        <w:numPr>
          <w:ilvl w:val="0"/>
          <w:numId w:val="54"/>
        </w:numPr>
        <w:spacing w:after="0" w:line="240" w:lineRule="auto"/>
        <w:rPr>
          <w:rFonts w:ascii="Calibri" w:hAnsi="Calibri" w:cs="Calibri"/>
          <w:szCs w:val="20"/>
        </w:rPr>
      </w:pPr>
      <w:r w:rsidRPr="00FA288E">
        <w:rPr>
          <w:rFonts w:ascii="Calibri" w:hAnsi="Calibri" w:cs="Calibri"/>
          <w:szCs w:val="20"/>
        </w:rPr>
        <w:t xml:space="preserve">Memorandum of Understanding between NDOE, Grantees and </w:t>
      </w:r>
      <w:proofErr w:type="spellStart"/>
      <w:r w:rsidRPr="00FA288E">
        <w:rPr>
          <w:rFonts w:ascii="Calibri" w:hAnsi="Calibri" w:cs="Calibri"/>
          <w:szCs w:val="20"/>
        </w:rPr>
        <w:t>Abt</w:t>
      </w:r>
      <w:proofErr w:type="spellEnd"/>
      <w:r w:rsidRPr="00FA288E">
        <w:rPr>
          <w:rFonts w:ascii="Calibri" w:hAnsi="Calibri" w:cs="Calibri"/>
          <w:szCs w:val="20"/>
        </w:rPr>
        <w:t>, October 2019</w:t>
      </w:r>
    </w:p>
    <w:p w14:paraId="3133EA42" w14:textId="77777777" w:rsidR="008D2D4A" w:rsidRPr="00FA288E" w:rsidRDefault="008D2D4A" w:rsidP="00FF62CC">
      <w:pPr>
        <w:pStyle w:val="Bullets"/>
        <w:numPr>
          <w:ilvl w:val="0"/>
          <w:numId w:val="54"/>
        </w:numPr>
        <w:spacing w:after="0" w:line="240" w:lineRule="auto"/>
        <w:rPr>
          <w:rFonts w:ascii="Calibri" w:hAnsi="Calibri" w:cs="Calibri"/>
          <w:szCs w:val="20"/>
        </w:rPr>
      </w:pPr>
      <w:r w:rsidRPr="00FA288E">
        <w:rPr>
          <w:rFonts w:ascii="Calibri" w:hAnsi="Calibri" w:cs="Calibri"/>
          <w:szCs w:val="20"/>
        </w:rPr>
        <w:t xml:space="preserve">Memorandum of Understanding between CARE and PDOE, East </w:t>
      </w:r>
      <w:proofErr w:type="spellStart"/>
      <w:r w:rsidRPr="00FA288E">
        <w:rPr>
          <w:rFonts w:ascii="Calibri" w:hAnsi="Calibri" w:cs="Calibri"/>
          <w:szCs w:val="20"/>
        </w:rPr>
        <w:t>Simbu</w:t>
      </w:r>
      <w:proofErr w:type="spellEnd"/>
      <w:r w:rsidRPr="00FA288E">
        <w:rPr>
          <w:rFonts w:ascii="Calibri" w:hAnsi="Calibri" w:cs="Calibri"/>
          <w:szCs w:val="20"/>
        </w:rPr>
        <w:t xml:space="preserve"> Province, May 2018</w:t>
      </w:r>
    </w:p>
    <w:p w14:paraId="2FAEB63A" w14:textId="77777777" w:rsidR="008D2D4A" w:rsidRPr="00FA288E" w:rsidRDefault="008D2D4A" w:rsidP="00FF62CC">
      <w:pPr>
        <w:pStyle w:val="Bullets"/>
        <w:numPr>
          <w:ilvl w:val="0"/>
          <w:numId w:val="54"/>
        </w:numPr>
        <w:spacing w:after="0" w:line="240" w:lineRule="auto"/>
        <w:rPr>
          <w:rFonts w:ascii="Calibri" w:hAnsi="Calibri" w:cs="Calibri"/>
          <w:szCs w:val="20"/>
        </w:rPr>
      </w:pPr>
      <w:r w:rsidRPr="00FA288E">
        <w:rPr>
          <w:rFonts w:ascii="Calibri" w:hAnsi="Calibri" w:cs="Calibri"/>
          <w:szCs w:val="20"/>
        </w:rPr>
        <w:t>Memorandum of Understanding between Save the Children and PDOE, Education Division, EHP, May 2018</w:t>
      </w:r>
    </w:p>
    <w:p w14:paraId="5C919726" w14:textId="77777777" w:rsidR="008D2D4A" w:rsidRPr="00FA288E" w:rsidRDefault="008D2D4A" w:rsidP="00FF62CC">
      <w:pPr>
        <w:pStyle w:val="Bullets"/>
        <w:numPr>
          <w:ilvl w:val="0"/>
          <w:numId w:val="54"/>
        </w:numPr>
        <w:spacing w:after="0" w:line="240" w:lineRule="auto"/>
        <w:rPr>
          <w:rFonts w:ascii="Calibri" w:hAnsi="Calibri" w:cs="Calibri"/>
          <w:szCs w:val="20"/>
        </w:rPr>
      </w:pPr>
      <w:r w:rsidRPr="00FA288E">
        <w:rPr>
          <w:rFonts w:ascii="Calibri" w:hAnsi="Calibri" w:cs="Calibri"/>
          <w:szCs w:val="20"/>
        </w:rPr>
        <w:t>Boosting Education Standards Together in PNG (BEST PNG) Program Document, 2019</w:t>
      </w:r>
    </w:p>
    <w:p w14:paraId="586082F7" w14:textId="77777777" w:rsidR="00F746B0" w:rsidRPr="00FA288E" w:rsidRDefault="00F746B0" w:rsidP="009C509C">
      <w:pPr>
        <w:spacing w:after="0" w:line="240" w:lineRule="auto"/>
        <w:rPr>
          <w:rFonts w:cs="Calibri"/>
          <w:sz w:val="20"/>
          <w:szCs w:val="20"/>
        </w:rPr>
      </w:pPr>
    </w:p>
    <w:p w14:paraId="098D28BB" w14:textId="77777777" w:rsidR="008D2D4A" w:rsidRPr="00FA288E" w:rsidRDefault="008D2D4A" w:rsidP="009C509C">
      <w:pPr>
        <w:spacing w:after="0" w:line="240" w:lineRule="auto"/>
        <w:rPr>
          <w:rFonts w:cs="Calibri"/>
          <w:sz w:val="20"/>
          <w:szCs w:val="20"/>
        </w:rPr>
      </w:pPr>
      <w:r w:rsidRPr="00FA288E">
        <w:rPr>
          <w:rFonts w:cs="Calibri"/>
          <w:sz w:val="20"/>
          <w:szCs w:val="20"/>
        </w:rPr>
        <w:t>PNG Partnership Fund Secretariat Documents</w:t>
      </w:r>
    </w:p>
    <w:p w14:paraId="07605019" w14:textId="77777777" w:rsidR="008D2D4A" w:rsidRPr="00FA288E" w:rsidRDefault="008D2D4A" w:rsidP="00FF62CC">
      <w:pPr>
        <w:pStyle w:val="Bullets"/>
        <w:numPr>
          <w:ilvl w:val="0"/>
          <w:numId w:val="55"/>
        </w:numPr>
        <w:spacing w:after="0" w:line="240" w:lineRule="auto"/>
        <w:rPr>
          <w:rFonts w:ascii="Calibri" w:hAnsi="Calibri" w:cs="Calibri"/>
          <w:szCs w:val="20"/>
        </w:rPr>
      </w:pPr>
      <w:r w:rsidRPr="00FA288E">
        <w:rPr>
          <w:rFonts w:ascii="Calibri" w:hAnsi="Calibri" w:cs="Calibri"/>
          <w:szCs w:val="20"/>
        </w:rPr>
        <w:lastRenderedPageBreak/>
        <w:t>Gender and Social Inclusion in the PPF Education Projects, November 2019</w:t>
      </w:r>
    </w:p>
    <w:p w14:paraId="14ED9179" w14:textId="77777777" w:rsidR="008D2D4A" w:rsidRPr="00FA288E" w:rsidRDefault="008D2D4A" w:rsidP="00FF62CC">
      <w:pPr>
        <w:pStyle w:val="Bullets"/>
        <w:numPr>
          <w:ilvl w:val="0"/>
          <w:numId w:val="55"/>
        </w:numPr>
        <w:spacing w:after="0" w:line="240" w:lineRule="auto"/>
        <w:rPr>
          <w:rFonts w:ascii="Calibri" w:hAnsi="Calibri" w:cs="Calibri"/>
          <w:szCs w:val="20"/>
        </w:rPr>
      </w:pPr>
      <w:r w:rsidRPr="00FA288E">
        <w:rPr>
          <w:rFonts w:ascii="Calibri" w:hAnsi="Calibri" w:cs="Calibri"/>
          <w:szCs w:val="20"/>
        </w:rPr>
        <w:t xml:space="preserve">PPF Handbook Part II MEL Framework, </w:t>
      </w:r>
      <w:proofErr w:type="spellStart"/>
      <w:r w:rsidRPr="00FA288E">
        <w:rPr>
          <w:rFonts w:ascii="Calibri" w:hAnsi="Calibri" w:cs="Calibri"/>
          <w:szCs w:val="20"/>
        </w:rPr>
        <w:t>Abt</w:t>
      </w:r>
      <w:proofErr w:type="spellEnd"/>
      <w:r w:rsidRPr="00FA288E">
        <w:rPr>
          <w:rFonts w:ascii="Calibri" w:hAnsi="Calibri" w:cs="Calibri"/>
          <w:szCs w:val="20"/>
        </w:rPr>
        <w:t>, June 2018</w:t>
      </w:r>
    </w:p>
    <w:p w14:paraId="78F27FE2" w14:textId="77777777" w:rsidR="008D2D4A" w:rsidRPr="00FA288E" w:rsidRDefault="008D2D4A" w:rsidP="00FF62CC">
      <w:pPr>
        <w:pStyle w:val="Bullets"/>
        <w:numPr>
          <w:ilvl w:val="0"/>
          <w:numId w:val="55"/>
        </w:numPr>
        <w:spacing w:after="0" w:line="240" w:lineRule="auto"/>
        <w:rPr>
          <w:rFonts w:ascii="Calibri" w:hAnsi="Calibri" w:cs="Calibri"/>
          <w:szCs w:val="20"/>
        </w:rPr>
      </w:pPr>
      <w:r w:rsidRPr="00FA288E">
        <w:rPr>
          <w:rFonts w:ascii="Calibri" w:hAnsi="Calibri" w:cs="Calibri"/>
          <w:szCs w:val="20"/>
        </w:rPr>
        <w:t>PPF Education Monitoring trip Report RISE AROB Final, Sept 2018</w:t>
      </w:r>
    </w:p>
    <w:p w14:paraId="0A20F266" w14:textId="77777777" w:rsidR="008D2D4A" w:rsidRPr="00FA288E" w:rsidRDefault="008D2D4A" w:rsidP="00FF62CC">
      <w:pPr>
        <w:pStyle w:val="Bullets"/>
        <w:numPr>
          <w:ilvl w:val="0"/>
          <w:numId w:val="55"/>
        </w:numPr>
        <w:spacing w:after="0" w:line="240" w:lineRule="auto"/>
        <w:rPr>
          <w:rFonts w:ascii="Calibri" w:hAnsi="Calibri" w:cs="Calibri"/>
          <w:szCs w:val="20"/>
        </w:rPr>
      </w:pPr>
      <w:r w:rsidRPr="00FA288E">
        <w:rPr>
          <w:rFonts w:ascii="Calibri" w:hAnsi="Calibri" w:cs="Calibri"/>
          <w:szCs w:val="20"/>
        </w:rPr>
        <w:t>PPF Education Monitoring trip Report T4E –</w:t>
      </w:r>
      <w:proofErr w:type="spellStart"/>
      <w:r w:rsidRPr="00FA288E">
        <w:rPr>
          <w:rFonts w:ascii="Calibri" w:hAnsi="Calibri" w:cs="Calibri"/>
          <w:szCs w:val="20"/>
        </w:rPr>
        <w:t>Morobe</w:t>
      </w:r>
      <w:proofErr w:type="spellEnd"/>
      <w:r w:rsidRPr="00FA288E">
        <w:rPr>
          <w:rFonts w:ascii="Calibri" w:hAnsi="Calibri" w:cs="Calibri"/>
          <w:szCs w:val="20"/>
        </w:rPr>
        <w:t>, Draft 1, July 2018</w:t>
      </w:r>
    </w:p>
    <w:p w14:paraId="2CFFD8BF" w14:textId="77777777" w:rsidR="008D2D4A" w:rsidRPr="00FA288E" w:rsidRDefault="008D2D4A" w:rsidP="00FF62CC">
      <w:pPr>
        <w:pStyle w:val="Bullets"/>
        <w:numPr>
          <w:ilvl w:val="0"/>
          <w:numId w:val="55"/>
        </w:numPr>
        <w:spacing w:after="0" w:line="240" w:lineRule="auto"/>
        <w:rPr>
          <w:rFonts w:ascii="Calibri" w:hAnsi="Calibri" w:cs="Calibri"/>
          <w:szCs w:val="20"/>
        </w:rPr>
      </w:pPr>
      <w:r w:rsidRPr="00FA288E">
        <w:rPr>
          <w:rFonts w:ascii="Calibri" w:hAnsi="Calibri" w:cs="Calibri"/>
          <w:szCs w:val="20"/>
        </w:rPr>
        <w:t>PPF Education Monitoring trip Report T4E -Central Province - April 2018</w:t>
      </w:r>
    </w:p>
    <w:p w14:paraId="6E2AD8DF" w14:textId="77777777" w:rsidR="008D2D4A" w:rsidRPr="00FA288E" w:rsidRDefault="008D2D4A" w:rsidP="00FF62CC">
      <w:pPr>
        <w:pStyle w:val="Bullets"/>
        <w:numPr>
          <w:ilvl w:val="0"/>
          <w:numId w:val="55"/>
        </w:numPr>
        <w:spacing w:after="0" w:line="240" w:lineRule="auto"/>
        <w:rPr>
          <w:rFonts w:ascii="Calibri" w:hAnsi="Calibri" w:cs="Calibri"/>
          <w:szCs w:val="20"/>
        </w:rPr>
      </w:pPr>
      <w:r w:rsidRPr="00FA288E">
        <w:rPr>
          <w:rFonts w:ascii="Calibri" w:hAnsi="Calibri" w:cs="Calibri"/>
          <w:szCs w:val="20"/>
        </w:rPr>
        <w:t>PPF Six</w:t>
      </w:r>
      <w:r w:rsidR="00C12692" w:rsidRPr="00FA288E">
        <w:rPr>
          <w:rFonts w:ascii="Calibri" w:hAnsi="Calibri" w:cs="Calibri"/>
          <w:szCs w:val="20"/>
        </w:rPr>
        <w:t>-Monthly</w:t>
      </w:r>
      <w:r w:rsidRPr="00FA288E">
        <w:rPr>
          <w:rFonts w:ascii="Calibri" w:hAnsi="Calibri" w:cs="Calibri"/>
          <w:szCs w:val="20"/>
        </w:rPr>
        <w:t xml:space="preserve"> Progress Report, Jan-June 2019</w:t>
      </w:r>
    </w:p>
    <w:p w14:paraId="7CCED9C5" w14:textId="77777777" w:rsidR="008D2D4A" w:rsidRPr="00FA288E" w:rsidRDefault="008D2D4A" w:rsidP="00FF62CC">
      <w:pPr>
        <w:pStyle w:val="Bullets"/>
        <w:numPr>
          <w:ilvl w:val="0"/>
          <w:numId w:val="55"/>
        </w:numPr>
        <w:spacing w:after="0" w:line="240" w:lineRule="auto"/>
        <w:rPr>
          <w:rFonts w:ascii="Calibri" w:hAnsi="Calibri" w:cs="Calibri"/>
          <w:szCs w:val="20"/>
        </w:rPr>
      </w:pPr>
      <w:r w:rsidRPr="00FA288E">
        <w:rPr>
          <w:rFonts w:ascii="Calibri" w:hAnsi="Calibri" w:cs="Calibri"/>
          <w:szCs w:val="20"/>
        </w:rPr>
        <w:t>PPF Synthesised Baseline Report</w:t>
      </w:r>
      <w:r w:rsidR="00615C66" w:rsidRPr="00FA288E">
        <w:rPr>
          <w:rFonts w:ascii="Calibri" w:hAnsi="Calibri" w:cs="Calibri"/>
          <w:szCs w:val="20"/>
        </w:rPr>
        <w:t xml:space="preserve">, </w:t>
      </w:r>
      <w:r w:rsidR="00842F53" w:rsidRPr="00FA288E">
        <w:rPr>
          <w:rFonts w:ascii="Calibri" w:hAnsi="Calibri" w:cs="Calibri"/>
          <w:szCs w:val="20"/>
        </w:rPr>
        <w:t>July 2019</w:t>
      </w:r>
    </w:p>
    <w:p w14:paraId="26855706" w14:textId="77777777" w:rsidR="008D2D4A" w:rsidRPr="00FA288E" w:rsidRDefault="008D2D4A" w:rsidP="00FF62CC">
      <w:pPr>
        <w:pStyle w:val="Bullets"/>
        <w:numPr>
          <w:ilvl w:val="0"/>
          <w:numId w:val="55"/>
        </w:numPr>
        <w:spacing w:after="0" w:line="240" w:lineRule="auto"/>
        <w:rPr>
          <w:rFonts w:ascii="Calibri" w:hAnsi="Calibri" w:cs="Calibri"/>
          <w:szCs w:val="20"/>
        </w:rPr>
      </w:pPr>
      <w:r w:rsidRPr="00FA288E">
        <w:rPr>
          <w:rFonts w:ascii="Calibri" w:hAnsi="Calibri" w:cs="Calibri"/>
          <w:szCs w:val="20"/>
        </w:rPr>
        <w:t>PPF Education Monitoring trip Report T4E Madang, May 2019</w:t>
      </w:r>
    </w:p>
    <w:p w14:paraId="64684FC7" w14:textId="77777777" w:rsidR="008D2D4A" w:rsidRPr="00FA288E" w:rsidRDefault="008D2D4A" w:rsidP="00FF62CC">
      <w:pPr>
        <w:pStyle w:val="Bullets"/>
        <w:numPr>
          <w:ilvl w:val="0"/>
          <w:numId w:val="55"/>
        </w:numPr>
        <w:spacing w:after="0" w:line="240" w:lineRule="auto"/>
        <w:rPr>
          <w:rFonts w:ascii="Calibri" w:hAnsi="Calibri" w:cs="Calibri"/>
          <w:szCs w:val="20"/>
        </w:rPr>
      </w:pPr>
      <w:r w:rsidRPr="00FA288E">
        <w:rPr>
          <w:rFonts w:ascii="Calibri" w:hAnsi="Calibri" w:cs="Calibri"/>
          <w:szCs w:val="20"/>
        </w:rPr>
        <w:t>PPF Education Monitoring trip Report PKS Mt. Hagen Oct 2019</w:t>
      </w:r>
    </w:p>
    <w:p w14:paraId="10C973E4" w14:textId="77777777" w:rsidR="008D2D4A" w:rsidRPr="00FA288E" w:rsidRDefault="008D2D4A" w:rsidP="00FF62CC">
      <w:pPr>
        <w:pStyle w:val="Bullets"/>
        <w:numPr>
          <w:ilvl w:val="0"/>
          <w:numId w:val="55"/>
        </w:numPr>
        <w:spacing w:after="0" w:line="240" w:lineRule="auto"/>
        <w:rPr>
          <w:rFonts w:ascii="Calibri" w:hAnsi="Calibri" w:cs="Calibri"/>
          <w:szCs w:val="20"/>
        </w:rPr>
      </w:pPr>
      <w:r w:rsidRPr="00FA288E">
        <w:rPr>
          <w:rFonts w:ascii="Calibri" w:hAnsi="Calibri" w:cs="Calibri"/>
          <w:szCs w:val="20"/>
        </w:rPr>
        <w:t>PPF Education Monitoring trip Report RISE East Sepik, Oct 2019</w:t>
      </w:r>
    </w:p>
    <w:p w14:paraId="1B6FA934" w14:textId="77777777" w:rsidR="00F746B0" w:rsidRPr="00FA288E" w:rsidRDefault="00F746B0" w:rsidP="009C509C">
      <w:pPr>
        <w:spacing w:after="0" w:line="240" w:lineRule="auto"/>
        <w:rPr>
          <w:rFonts w:cs="Calibri"/>
          <w:sz w:val="20"/>
          <w:szCs w:val="20"/>
        </w:rPr>
      </w:pPr>
    </w:p>
    <w:p w14:paraId="25BAEC49" w14:textId="77777777" w:rsidR="008D2D4A" w:rsidRPr="00FA288E" w:rsidRDefault="008D2D4A" w:rsidP="009C509C">
      <w:pPr>
        <w:spacing w:after="0" w:line="240" w:lineRule="auto"/>
        <w:rPr>
          <w:rFonts w:cs="Calibri"/>
          <w:sz w:val="20"/>
          <w:szCs w:val="20"/>
        </w:rPr>
      </w:pPr>
      <w:proofErr w:type="spellStart"/>
      <w:r w:rsidRPr="00FA288E">
        <w:rPr>
          <w:rFonts w:cs="Calibri"/>
          <w:sz w:val="20"/>
          <w:szCs w:val="20"/>
        </w:rPr>
        <w:t>Pikinini</w:t>
      </w:r>
      <w:proofErr w:type="spellEnd"/>
      <w:r w:rsidRPr="00FA288E">
        <w:rPr>
          <w:rFonts w:cs="Calibri"/>
          <w:sz w:val="20"/>
          <w:szCs w:val="20"/>
        </w:rPr>
        <w:t xml:space="preserve"> </w:t>
      </w:r>
      <w:proofErr w:type="spellStart"/>
      <w:r w:rsidRPr="00FA288E">
        <w:rPr>
          <w:rFonts w:cs="Calibri"/>
          <w:sz w:val="20"/>
          <w:szCs w:val="20"/>
        </w:rPr>
        <w:t>Kisim</w:t>
      </w:r>
      <w:proofErr w:type="spellEnd"/>
      <w:r w:rsidRPr="00FA288E">
        <w:rPr>
          <w:rFonts w:cs="Calibri"/>
          <w:sz w:val="20"/>
          <w:szCs w:val="20"/>
        </w:rPr>
        <w:t xml:space="preserve"> Save Reports</w:t>
      </w:r>
    </w:p>
    <w:p w14:paraId="0F076F6F" w14:textId="77777777" w:rsidR="008D2D4A" w:rsidRPr="00FA288E" w:rsidRDefault="008D2D4A" w:rsidP="00FF62CC">
      <w:pPr>
        <w:pStyle w:val="Bullets"/>
        <w:numPr>
          <w:ilvl w:val="0"/>
          <w:numId w:val="56"/>
        </w:numPr>
        <w:spacing w:after="0" w:line="240" w:lineRule="auto"/>
        <w:rPr>
          <w:rFonts w:ascii="Calibri" w:hAnsi="Calibri" w:cs="Calibri"/>
          <w:szCs w:val="20"/>
        </w:rPr>
      </w:pPr>
      <w:r w:rsidRPr="00FA288E">
        <w:rPr>
          <w:rFonts w:ascii="Calibri" w:hAnsi="Calibri" w:cs="Calibri"/>
          <w:szCs w:val="20"/>
        </w:rPr>
        <w:t>CARE PKS Concept Note, August 2017</w:t>
      </w:r>
    </w:p>
    <w:p w14:paraId="2B4AB0AB" w14:textId="77777777" w:rsidR="008D2D4A" w:rsidRPr="00FA288E" w:rsidRDefault="008D2D4A" w:rsidP="00FF62CC">
      <w:pPr>
        <w:pStyle w:val="Bullets"/>
        <w:numPr>
          <w:ilvl w:val="0"/>
          <w:numId w:val="56"/>
        </w:numPr>
        <w:spacing w:after="0" w:line="240" w:lineRule="auto"/>
        <w:rPr>
          <w:rFonts w:ascii="Calibri" w:hAnsi="Calibri" w:cs="Calibri"/>
          <w:szCs w:val="20"/>
        </w:rPr>
      </w:pPr>
      <w:r w:rsidRPr="00FA288E">
        <w:rPr>
          <w:rFonts w:ascii="Calibri" w:hAnsi="Calibri" w:cs="Calibri"/>
          <w:szCs w:val="20"/>
        </w:rPr>
        <w:t>CARE PKS Annual Report, Dec 2018</w:t>
      </w:r>
    </w:p>
    <w:p w14:paraId="6B686490" w14:textId="77777777" w:rsidR="008D2D4A" w:rsidRPr="00FA288E" w:rsidRDefault="008D2D4A" w:rsidP="00FF62CC">
      <w:pPr>
        <w:pStyle w:val="Bullets"/>
        <w:numPr>
          <w:ilvl w:val="0"/>
          <w:numId w:val="56"/>
        </w:numPr>
        <w:spacing w:after="0" w:line="240" w:lineRule="auto"/>
        <w:rPr>
          <w:rFonts w:ascii="Calibri" w:hAnsi="Calibri" w:cs="Calibri"/>
          <w:szCs w:val="20"/>
        </w:rPr>
      </w:pPr>
      <w:r w:rsidRPr="00FA288E">
        <w:rPr>
          <w:rFonts w:ascii="Calibri" w:hAnsi="Calibri" w:cs="Calibri"/>
          <w:szCs w:val="20"/>
        </w:rPr>
        <w:t>PKS MEL Roadmap, November 2018</w:t>
      </w:r>
    </w:p>
    <w:p w14:paraId="1EE6DD5A" w14:textId="77777777" w:rsidR="008D2D4A" w:rsidRPr="00FA288E" w:rsidRDefault="008D2D4A" w:rsidP="00FF62CC">
      <w:pPr>
        <w:pStyle w:val="Bullets"/>
        <w:numPr>
          <w:ilvl w:val="0"/>
          <w:numId w:val="56"/>
        </w:numPr>
        <w:spacing w:after="0" w:line="240" w:lineRule="auto"/>
        <w:rPr>
          <w:rFonts w:ascii="Calibri" w:hAnsi="Calibri" w:cs="Calibri"/>
          <w:szCs w:val="20"/>
        </w:rPr>
      </w:pPr>
      <w:r w:rsidRPr="00FA288E">
        <w:rPr>
          <w:rFonts w:ascii="Calibri" w:hAnsi="Calibri" w:cs="Calibri"/>
          <w:szCs w:val="20"/>
        </w:rPr>
        <w:t>PKS School Leadership Training Modules 1 – 3, 2018</w:t>
      </w:r>
    </w:p>
    <w:p w14:paraId="19C6950C" w14:textId="77777777" w:rsidR="008D2D4A" w:rsidRPr="00FA288E" w:rsidRDefault="008D2D4A" w:rsidP="00FF62CC">
      <w:pPr>
        <w:pStyle w:val="Bullets"/>
        <w:numPr>
          <w:ilvl w:val="0"/>
          <w:numId w:val="56"/>
        </w:numPr>
        <w:spacing w:after="0" w:line="240" w:lineRule="auto"/>
        <w:rPr>
          <w:rFonts w:ascii="Calibri" w:hAnsi="Calibri" w:cs="Calibri"/>
          <w:szCs w:val="20"/>
        </w:rPr>
      </w:pPr>
      <w:r w:rsidRPr="00FA288E">
        <w:rPr>
          <w:rFonts w:ascii="Calibri" w:hAnsi="Calibri" w:cs="Calibri"/>
          <w:szCs w:val="20"/>
        </w:rPr>
        <w:t>Schedule 3- Grant Agreement Attachments, March 2018</w:t>
      </w:r>
    </w:p>
    <w:p w14:paraId="7250AE8B" w14:textId="77777777" w:rsidR="008D2D4A" w:rsidRPr="00FA288E" w:rsidRDefault="008D2D4A" w:rsidP="00FF62CC">
      <w:pPr>
        <w:pStyle w:val="Bullets"/>
        <w:numPr>
          <w:ilvl w:val="0"/>
          <w:numId w:val="56"/>
        </w:numPr>
        <w:spacing w:after="0" w:line="240" w:lineRule="auto"/>
        <w:rPr>
          <w:rFonts w:ascii="Calibri" w:hAnsi="Calibri" w:cs="Calibri"/>
          <w:szCs w:val="20"/>
        </w:rPr>
      </w:pPr>
      <w:r w:rsidRPr="00FA288E">
        <w:rPr>
          <w:rFonts w:ascii="Calibri" w:hAnsi="Calibri" w:cs="Calibri"/>
          <w:szCs w:val="20"/>
        </w:rPr>
        <w:t>CARE PKS Six</w:t>
      </w:r>
      <w:r w:rsidR="00C12692" w:rsidRPr="00FA288E">
        <w:rPr>
          <w:rFonts w:ascii="Calibri" w:hAnsi="Calibri" w:cs="Calibri"/>
          <w:szCs w:val="20"/>
        </w:rPr>
        <w:t>-</w:t>
      </w:r>
      <w:r w:rsidRPr="00FA288E">
        <w:rPr>
          <w:rFonts w:ascii="Calibri" w:hAnsi="Calibri" w:cs="Calibri"/>
          <w:szCs w:val="20"/>
        </w:rPr>
        <w:t>Month</w:t>
      </w:r>
      <w:r w:rsidR="00C12692" w:rsidRPr="00FA288E">
        <w:rPr>
          <w:rFonts w:ascii="Calibri" w:hAnsi="Calibri" w:cs="Calibri"/>
          <w:szCs w:val="20"/>
        </w:rPr>
        <w:t>ly</w:t>
      </w:r>
      <w:r w:rsidRPr="00FA288E">
        <w:rPr>
          <w:rFonts w:ascii="Calibri" w:hAnsi="Calibri" w:cs="Calibri"/>
          <w:szCs w:val="20"/>
        </w:rPr>
        <w:t xml:space="preserve"> Progress Report, July 2019</w:t>
      </w:r>
    </w:p>
    <w:p w14:paraId="1C450BC0" w14:textId="77777777" w:rsidR="008D2D4A" w:rsidRPr="00FA288E" w:rsidRDefault="008D2D4A" w:rsidP="00FF62CC">
      <w:pPr>
        <w:pStyle w:val="Bullets"/>
        <w:numPr>
          <w:ilvl w:val="0"/>
          <w:numId w:val="56"/>
        </w:numPr>
        <w:spacing w:after="0" w:line="240" w:lineRule="auto"/>
        <w:rPr>
          <w:rFonts w:ascii="Calibri" w:hAnsi="Calibri" w:cs="Calibri"/>
          <w:szCs w:val="20"/>
        </w:rPr>
      </w:pPr>
      <w:r w:rsidRPr="00FA288E">
        <w:rPr>
          <w:rFonts w:ascii="Calibri" w:hAnsi="Calibri" w:cs="Calibri"/>
          <w:szCs w:val="20"/>
        </w:rPr>
        <w:t xml:space="preserve">CARE PKS Baseline Survey Report, </w:t>
      </w:r>
      <w:proofErr w:type="spellStart"/>
      <w:r w:rsidRPr="00FA288E">
        <w:rPr>
          <w:rFonts w:ascii="Calibri" w:hAnsi="Calibri" w:cs="Calibri"/>
          <w:szCs w:val="20"/>
        </w:rPr>
        <w:t>Inamuka</w:t>
      </w:r>
      <w:proofErr w:type="spellEnd"/>
      <w:r w:rsidRPr="00FA288E">
        <w:rPr>
          <w:rFonts w:ascii="Calibri" w:hAnsi="Calibri" w:cs="Calibri"/>
          <w:szCs w:val="20"/>
        </w:rPr>
        <w:t>, E. (</w:t>
      </w:r>
      <w:r w:rsidRPr="00FA288E">
        <w:rPr>
          <w:rFonts w:ascii="Calibri" w:hAnsi="Calibri" w:cs="Calibri"/>
          <w:i/>
          <w:szCs w:val="20"/>
        </w:rPr>
        <w:t>et al</w:t>
      </w:r>
      <w:r w:rsidRPr="00FA288E">
        <w:rPr>
          <w:rFonts w:ascii="Calibri" w:hAnsi="Calibri" w:cs="Calibri"/>
          <w:szCs w:val="20"/>
        </w:rPr>
        <w:t>), February 2019</w:t>
      </w:r>
    </w:p>
    <w:p w14:paraId="1FE084F7" w14:textId="77777777" w:rsidR="008D2D4A" w:rsidRPr="00FA288E" w:rsidRDefault="008D2D4A" w:rsidP="00FF62CC">
      <w:pPr>
        <w:pStyle w:val="Bullets"/>
        <w:numPr>
          <w:ilvl w:val="0"/>
          <w:numId w:val="56"/>
        </w:numPr>
        <w:spacing w:after="0" w:line="240" w:lineRule="auto"/>
        <w:rPr>
          <w:rFonts w:ascii="Calibri" w:hAnsi="Calibri" w:cs="Calibri"/>
          <w:szCs w:val="20"/>
        </w:rPr>
      </w:pPr>
      <w:r w:rsidRPr="00FA288E">
        <w:rPr>
          <w:rFonts w:ascii="Calibri" w:hAnsi="Calibri" w:cs="Calibri"/>
          <w:szCs w:val="20"/>
        </w:rPr>
        <w:t xml:space="preserve">PKS Outcomes Monitoring Guide and Tools, </w:t>
      </w:r>
      <w:proofErr w:type="spellStart"/>
      <w:r w:rsidRPr="00FA288E">
        <w:rPr>
          <w:rFonts w:ascii="Calibri" w:hAnsi="Calibri" w:cs="Calibri"/>
          <w:szCs w:val="20"/>
        </w:rPr>
        <w:t>Inamuka</w:t>
      </w:r>
      <w:proofErr w:type="spellEnd"/>
      <w:r w:rsidRPr="00FA288E">
        <w:rPr>
          <w:rFonts w:ascii="Calibri" w:hAnsi="Calibri" w:cs="Calibri"/>
          <w:szCs w:val="20"/>
        </w:rPr>
        <w:t>, E. September 2019</w:t>
      </w:r>
    </w:p>
    <w:p w14:paraId="0359C4C3" w14:textId="77777777" w:rsidR="008D2D4A" w:rsidRPr="00FA288E" w:rsidRDefault="008D2D4A" w:rsidP="00FF62CC">
      <w:pPr>
        <w:pStyle w:val="Bullets"/>
        <w:numPr>
          <w:ilvl w:val="0"/>
          <w:numId w:val="56"/>
        </w:numPr>
        <w:spacing w:after="0" w:line="240" w:lineRule="auto"/>
        <w:rPr>
          <w:rFonts w:ascii="Calibri" w:hAnsi="Calibri" w:cs="Calibri"/>
          <w:szCs w:val="20"/>
        </w:rPr>
      </w:pPr>
      <w:r w:rsidRPr="00FA288E">
        <w:rPr>
          <w:rFonts w:ascii="Calibri" w:hAnsi="Calibri" w:cs="Calibri"/>
          <w:szCs w:val="20"/>
        </w:rPr>
        <w:t>PKS Overview Presentation for PPF Review, November 2019</w:t>
      </w:r>
    </w:p>
    <w:p w14:paraId="25DE15D4" w14:textId="77777777" w:rsidR="008D2D4A" w:rsidRPr="00FA288E" w:rsidRDefault="008D2D4A" w:rsidP="00FF62CC">
      <w:pPr>
        <w:pStyle w:val="Bullets"/>
        <w:numPr>
          <w:ilvl w:val="0"/>
          <w:numId w:val="56"/>
        </w:numPr>
        <w:spacing w:after="0" w:line="240" w:lineRule="auto"/>
        <w:rPr>
          <w:rFonts w:ascii="Calibri" w:hAnsi="Calibri" w:cs="Calibri"/>
          <w:szCs w:val="20"/>
        </w:rPr>
      </w:pPr>
      <w:r w:rsidRPr="00FA288E">
        <w:rPr>
          <w:rFonts w:ascii="Calibri" w:hAnsi="Calibri" w:cs="Calibri"/>
          <w:szCs w:val="20"/>
        </w:rPr>
        <w:t xml:space="preserve">CARE PKS updated MEP, July 2019 </w:t>
      </w:r>
    </w:p>
    <w:p w14:paraId="53F82734" w14:textId="77777777" w:rsidR="008D2D4A" w:rsidRPr="00FA288E" w:rsidRDefault="008D2D4A" w:rsidP="00FF62CC">
      <w:pPr>
        <w:pStyle w:val="Bullets"/>
        <w:numPr>
          <w:ilvl w:val="0"/>
          <w:numId w:val="56"/>
        </w:numPr>
        <w:spacing w:after="0" w:line="240" w:lineRule="auto"/>
        <w:rPr>
          <w:rFonts w:ascii="Calibri" w:hAnsi="Calibri" w:cs="Calibri"/>
          <w:szCs w:val="20"/>
        </w:rPr>
      </w:pPr>
      <w:r w:rsidRPr="00FA288E">
        <w:rPr>
          <w:rFonts w:ascii="Calibri" w:hAnsi="Calibri" w:cs="Calibri"/>
          <w:szCs w:val="20"/>
        </w:rPr>
        <w:t>CARE revised annual work plan 2019 - March 2019</w:t>
      </w:r>
    </w:p>
    <w:p w14:paraId="7204D0C7" w14:textId="77777777" w:rsidR="008D2D4A" w:rsidRPr="00FA288E" w:rsidRDefault="008D2D4A" w:rsidP="00FF62CC">
      <w:pPr>
        <w:pStyle w:val="Bullets"/>
        <w:numPr>
          <w:ilvl w:val="0"/>
          <w:numId w:val="56"/>
        </w:numPr>
        <w:spacing w:after="0" w:line="240" w:lineRule="auto"/>
        <w:rPr>
          <w:rFonts w:ascii="Calibri" w:hAnsi="Calibri" w:cs="Calibri"/>
          <w:szCs w:val="20"/>
        </w:rPr>
      </w:pPr>
      <w:r w:rsidRPr="00FA288E">
        <w:rPr>
          <w:rFonts w:ascii="Calibri" w:hAnsi="Calibri" w:cs="Calibri"/>
          <w:szCs w:val="20"/>
        </w:rPr>
        <w:t>CARE PKS Revised Scope of Works, Sept 2019</w:t>
      </w:r>
    </w:p>
    <w:p w14:paraId="3DCA48CC" w14:textId="77777777" w:rsidR="008D2D4A" w:rsidRPr="00FA288E" w:rsidRDefault="008D2D4A" w:rsidP="00FF62CC">
      <w:pPr>
        <w:pStyle w:val="Bullets"/>
        <w:numPr>
          <w:ilvl w:val="0"/>
          <w:numId w:val="56"/>
        </w:numPr>
        <w:spacing w:after="0" w:line="240" w:lineRule="auto"/>
        <w:rPr>
          <w:rFonts w:ascii="Calibri" w:hAnsi="Calibri" w:cs="Calibri"/>
          <w:szCs w:val="20"/>
        </w:rPr>
      </w:pPr>
      <w:r w:rsidRPr="00FA288E">
        <w:rPr>
          <w:rFonts w:ascii="Calibri" w:hAnsi="Calibri" w:cs="Calibri"/>
          <w:szCs w:val="20"/>
        </w:rPr>
        <w:t>PKS School Leadership Training Modules 4 – 5, 2019</w:t>
      </w:r>
    </w:p>
    <w:p w14:paraId="1457802C" w14:textId="77777777" w:rsidR="00F746B0" w:rsidRPr="00FA288E" w:rsidRDefault="00F746B0" w:rsidP="009C509C">
      <w:pPr>
        <w:spacing w:after="0" w:line="240" w:lineRule="auto"/>
        <w:rPr>
          <w:rFonts w:cs="Calibri"/>
          <w:sz w:val="20"/>
          <w:szCs w:val="20"/>
        </w:rPr>
      </w:pPr>
    </w:p>
    <w:p w14:paraId="7BDCC516" w14:textId="77777777" w:rsidR="008D2D4A" w:rsidRPr="00FA288E" w:rsidRDefault="008D2D4A" w:rsidP="009C509C">
      <w:pPr>
        <w:spacing w:after="0" w:line="240" w:lineRule="auto"/>
        <w:rPr>
          <w:rFonts w:cs="Calibri"/>
          <w:sz w:val="20"/>
          <w:szCs w:val="20"/>
        </w:rPr>
      </w:pPr>
      <w:r w:rsidRPr="00FA288E">
        <w:rPr>
          <w:rFonts w:cs="Calibri"/>
          <w:sz w:val="20"/>
          <w:szCs w:val="20"/>
        </w:rPr>
        <w:t>Rapidly Improving Standards in Elementary Documents</w:t>
      </w:r>
    </w:p>
    <w:p w14:paraId="5F81EA88" w14:textId="77777777" w:rsidR="008D2D4A" w:rsidRPr="00FA288E" w:rsidRDefault="008D2D4A" w:rsidP="00FF62CC">
      <w:pPr>
        <w:pStyle w:val="Bullets"/>
        <w:numPr>
          <w:ilvl w:val="0"/>
          <w:numId w:val="57"/>
        </w:numPr>
        <w:spacing w:after="0" w:line="240" w:lineRule="auto"/>
        <w:rPr>
          <w:rFonts w:ascii="Calibri" w:hAnsi="Calibri" w:cs="Calibri"/>
          <w:szCs w:val="20"/>
        </w:rPr>
      </w:pPr>
      <w:r w:rsidRPr="00FA288E">
        <w:rPr>
          <w:rFonts w:ascii="Calibri" w:hAnsi="Calibri" w:cs="Calibri"/>
          <w:szCs w:val="20"/>
        </w:rPr>
        <w:t>Save the Children RISE Concept Note and Annex A, April 2017</w:t>
      </w:r>
    </w:p>
    <w:p w14:paraId="160F41E5" w14:textId="77777777" w:rsidR="008D2D4A" w:rsidRPr="00FA288E" w:rsidRDefault="008D2D4A" w:rsidP="00FF62CC">
      <w:pPr>
        <w:pStyle w:val="Bullets"/>
        <w:numPr>
          <w:ilvl w:val="0"/>
          <w:numId w:val="57"/>
        </w:numPr>
        <w:spacing w:after="0" w:line="240" w:lineRule="auto"/>
        <w:rPr>
          <w:rFonts w:ascii="Calibri" w:hAnsi="Calibri" w:cs="Calibri"/>
          <w:szCs w:val="20"/>
        </w:rPr>
      </w:pPr>
      <w:r w:rsidRPr="00FA288E">
        <w:rPr>
          <w:rFonts w:ascii="Calibri" w:hAnsi="Calibri" w:cs="Calibri"/>
          <w:szCs w:val="20"/>
        </w:rPr>
        <w:t xml:space="preserve">Grant Agreement, </w:t>
      </w:r>
      <w:proofErr w:type="spellStart"/>
      <w:r w:rsidRPr="00FA288E">
        <w:rPr>
          <w:rFonts w:ascii="Calibri" w:hAnsi="Calibri" w:cs="Calibri"/>
          <w:szCs w:val="20"/>
        </w:rPr>
        <w:t>Abt</w:t>
      </w:r>
      <w:proofErr w:type="spellEnd"/>
      <w:r w:rsidRPr="00FA288E">
        <w:rPr>
          <w:rFonts w:ascii="Calibri" w:hAnsi="Calibri" w:cs="Calibri"/>
          <w:szCs w:val="20"/>
        </w:rPr>
        <w:t xml:space="preserve"> and </w:t>
      </w:r>
      <w:proofErr w:type="spellStart"/>
      <w:r w:rsidRPr="00FA288E">
        <w:rPr>
          <w:rFonts w:ascii="Calibri" w:hAnsi="Calibri" w:cs="Calibri"/>
          <w:szCs w:val="20"/>
        </w:rPr>
        <w:t>StC</w:t>
      </w:r>
      <w:proofErr w:type="spellEnd"/>
      <w:r w:rsidRPr="00FA288E">
        <w:rPr>
          <w:rFonts w:ascii="Calibri" w:hAnsi="Calibri" w:cs="Calibri"/>
          <w:szCs w:val="20"/>
        </w:rPr>
        <w:t xml:space="preserve"> PNG, May 2017</w:t>
      </w:r>
    </w:p>
    <w:p w14:paraId="625FA38A" w14:textId="77777777" w:rsidR="008D2D4A" w:rsidRPr="00FA288E" w:rsidRDefault="008D2D4A" w:rsidP="00FF62CC">
      <w:pPr>
        <w:pStyle w:val="Bullets"/>
        <w:numPr>
          <w:ilvl w:val="0"/>
          <w:numId w:val="57"/>
        </w:numPr>
        <w:spacing w:after="0" w:line="240" w:lineRule="auto"/>
        <w:rPr>
          <w:rFonts w:ascii="Calibri" w:hAnsi="Calibri" w:cs="Calibri"/>
          <w:szCs w:val="20"/>
        </w:rPr>
      </w:pPr>
      <w:r w:rsidRPr="00FA288E">
        <w:rPr>
          <w:rFonts w:ascii="Calibri" w:hAnsi="Calibri" w:cs="Calibri"/>
          <w:szCs w:val="20"/>
        </w:rPr>
        <w:t>Save the Children RISE Annual Report, Dec 2018</w:t>
      </w:r>
    </w:p>
    <w:p w14:paraId="0A11CB90" w14:textId="77777777" w:rsidR="008D2D4A" w:rsidRPr="00FA288E" w:rsidRDefault="008D2D4A" w:rsidP="00FF62CC">
      <w:pPr>
        <w:pStyle w:val="Bullets"/>
        <w:numPr>
          <w:ilvl w:val="0"/>
          <w:numId w:val="57"/>
        </w:numPr>
        <w:spacing w:after="0" w:line="240" w:lineRule="auto"/>
        <w:rPr>
          <w:rFonts w:ascii="Calibri" w:hAnsi="Calibri" w:cs="Calibri"/>
          <w:szCs w:val="20"/>
        </w:rPr>
      </w:pPr>
      <w:r w:rsidRPr="00FA288E">
        <w:rPr>
          <w:rFonts w:ascii="Calibri" w:hAnsi="Calibri" w:cs="Calibri"/>
          <w:szCs w:val="20"/>
        </w:rPr>
        <w:t>Save the Children RISE Six</w:t>
      </w:r>
      <w:r w:rsidR="00C12692" w:rsidRPr="00FA288E">
        <w:rPr>
          <w:rFonts w:ascii="Calibri" w:hAnsi="Calibri" w:cs="Calibri"/>
          <w:szCs w:val="20"/>
        </w:rPr>
        <w:t>-</w:t>
      </w:r>
      <w:r w:rsidRPr="00FA288E">
        <w:rPr>
          <w:rFonts w:ascii="Calibri" w:hAnsi="Calibri" w:cs="Calibri"/>
          <w:szCs w:val="20"/>
        </w:rPr>
        <w:t>Month</w:t>
      </w:r>
      <w:r w:rsidR="00C12692" w:rsidRPr="00FA288E">
        <w:rPr>
          <w:rFonts w:ascii="Calibri" w:hAnsi="Calibri" w:cs="Calibri"/>
          <w:szCs w:val="20"/>
        </w:rPr>
        <w:t>ly</w:t>
      </w:r>
      <w:r w:rsidRPr="00FA288E">
        <w:rPr>
          <w:rFonts w:ascii="Calibri" w:hAnsi="Calibri" w:cs="Calibri"/>
          <w:szCs w:val="20"/>
        </w:rPr>
        <w:t xml:space="preserve"> Progress Report, July 2019</w:t>
      </w:r>
    </w:p>
    <w:p w14:paraId="67BB1266" w14:textId="77777777" w:rsidR="008D2D4A" w:rsidRPr="00FA288E" w:rsidRDefault="008D2D4A" w:rsidP="00FF62CC">
      <w:pPr>
        <w:pStyle w:val="Bullets"/>
        <w:numPr>
          <w:ilvl w:val="0"/>
          <w:numId w:val="57"/>
        </w:numPr>
        <w:spacing w:after="0" w:line="240" w:lineRule="auto"/>
        <w:rPr>
          <w:rFonts w:ascii="Calibri" w:hAnsi="Calibri" w:cs="Calibri"/>
          <w:szCs w:val="20"/>
        </w:rPr>
      </w:pPr>
      <w:r w:rsidRPr="00FA288E">
        <w:rPr>
          <w:rFonts w:ascii="Calibri" w:hAnsi="Calibri" w:cs="Calibri"/>
          <w:szCs w:val="20"/>
        </w:rPr>
        <w:t xml:space="preserve">Save the Children RISE MEP Plan, Updated, July </w:t>
      </w:r>
    </w:p>
    <w:p w14:paraId="0EBDD103" w14:textId="77777777" w:rsidR="008D2D4A" w:rsidRPr="00FA288E" w:rsidRDefault="008D2D4A" w:rsidP="00FF62CC">
      <w:pPr>
        <w:pStyle w:val="Bullets"/>
        <w:numPr>
          <w:ilvl w:val="0"/>
          <w:numId w:val="57"/>
        </w:numPr>
        <w:spacing w:after="0" w:line="240" w:lineRule="auto"/>
        <w:rPr>
          <w:rFonts w:ascii="Calibri" w:hAnsi="Calibri" w:cs="Calibri"/>
          <w:szCs w:val="20"/>
        </w:rPr>
      </w:pPr>
      <w:r w:rsidRPr="00FA288E">
        <w:rPr>
          <w:rFonts w:ascii="Calibri" w:hAnsi="Calibri" w:cs="Calibri"/>
          <w:szCs w:val="20"/>
        </w:rPr>
        <w:t>Save the Children RISE Baseline Survey Report, Johnston, C., (</w:t>
      </w:r>
      <w:r w:rsidRPr="00FA288E">
        <w:rPr>
          <w:rFonts w:ascii="Calibri" w:hAnsi="Calibri" w:cs="Calibri"/>
          <w:i/>
          <w:szCs w:val="20"/>
        </w:rPr>
        <w:t>et al</w:t>
      </w:r>
      <w:r w:rsidRPr="00FA288E">
        <w:rPr>
          <w:rFonts w:ascii="Calibri" w:hAnsi="Calibri" w:cs="Calibri"/>
          <w:szCs w:val="20"/>
        </w:rPr>
        <w:t>), Sept 2018</w:t>
      </w:r>
    </w:p>
    <w:p w14:paraId="23082088" w14:textId="77777777" w:rsidR="008D2D4A" w:rsidRPr="00FA288E" w:rsidRDefault="008D2D4A" w:rsidP="00FF62CC">
      <w:pPr>
        <w:pStyle w:val="Bullets"/>
        <w:numPr>
          <w:ilvl w:val="0"/>
          <w:numId w:val="57"/>
        </w:numPr>
        <w:spacing w:after="0" w:line="240" w:lineRule="auto"/>
        <w:rPr>
          <w:rFonts w:ascii="Calibri" w:hAnsi="Calibri" w:cs="Calibri"/>
          <w:szCs w:val="20"/>
        </w:rPr>
      </w:pPr>
      <w:r w:rsidRPr="00FA288E">
        <w:rPr>
          <w:rFonts w:ascii="Calibri" w:hAnsi="Calibri" w:cs="Calibri"/>
          <w:szCs w:val="20"/>
        </w:rPr>
        <w:t>RISE Scope of work, 2019</w:t>
      </w:r>
    </w:p>
    <w:p w14:paraId="09D4BCFA" w14:textId="77777777" w:rsidR="008D2D4A" w:rsidRPr="00FA288E" w:rsidRDefault="008D2D4A" w:rsidP="00FF62CC">
      <w:pPr>
        <w:pStyle w:val="Bullets"/>
        <w:numPr>
          <w:ilvl w:val="0"/>
          <w:numId w:val="57"/>
        </w:numPr>
        <w:spacing w:after="0" w:line="240" w:lineRule="auto"/>
        <w:rPr>
          <w:rFonts w:ascii="Calibri" w:hAnsi="Calibri" w:cs="Calibri"/>
          <w:szCs w:val="20"/>
        </w:rPr>
      </w:pPr>
      <w:r w:rsidRPr="00FA288E">
        <w:rPr>
          <w:rFonts w:ascii="Calibri" w:hAnsi="Calibri" w:cs="Calibri"/>
          <w:szCs w:val="20"/>
        </w:rPr>
        <w:t xml:space="preserve">PPF Education Evaluation </w:t>
      </w:r>
      <w:proofErr w:type="spellStart"/>
      <w:r w:rsidRPr="00FA288E">
        <w:rPr>
          <w:rFonts w:ascii="Calibri" w:hAnsi="Calibri" w:cs="Calibri"/>
          <w:szCs w:val="20"/>
        </w:rPr>
        <w:t>ToR</w:t>
      </w:r>
      <w:proofErr w:type="spellEnd"/>
      <w:r w:rsidRPr="00FA288E">
        <w:rPr>
          <w:rFonts w:ascii="Calibri" w:hAnsi="Calibri" w:cs="Calibri"/>
          <w:szCs w:val="20"/>
        </w:rPr>
        <w:t xml:space="preserve">, RISE, Oct 2019 </w:t>
      </w:r>
    </w:p>
    <w:p w14:paraId="416285CE" w14:textId="77777777" w:rsidR="008D2D4A" w:rsidRPr="00FA288E" w:rsidRDefault="008D2D4A" w:rsidP="00FF62CC">
      <w:pPr>
        <w:pStyle w:val="Bullets"/>
        <w:numPr>
          <w:ilvl w:val="0"/>
          <w:numId w:val="57"/>
        </w:numPr>
        <w:spacing w:after="0" w:line="240" w:lineRule="auto"/>
        <w:rPr>
          <w:rFonts w:ascii="Calibri" w:hAnsi="Calibri" w:cs="Calibri"/>
          <w:szCs w:val="20"/>
        </w:rPr>
      </w:pPr>
      <w:r w:rsidRPr="00FA288E">
        <w:rPr>
          <w:rFonts w:ascii="Calibri" w:hAnsi="Calibri" w:cs="Calibri"/>
          <w:szCs w:val="20"/>
        </w:rPr>
        <w:t xml:space="preserve">RISE Learning Assessment Midline Report, Johnston, K. and </w:t>
      </w:r>
      <w:proofErr w:type="spellStart"/>
      <w:r w:rsidRPr="00FA288E">
        <w:rPr>
          <w:rFonts w:ascii="Calibri" w:hAnsi="Calibri" w:cs="Calibri"/>
          <w:szCs w:val="20"/>
        </w:rPr>
        <w:t>Namit</w:t>
      </w:r>
      <w:proofErr w:type="spellEnd"/>
      <w:r w:rsidRPr="00FA288E">
        <w:rPr>
          <w:rFonts w:ascii="Calibri" w:hAnsi="Calibri" w:cs="Calibri"/>
          <w:szCs w:val="20"/>
        </w:rPr>
        <w:t>, K., July 2019</w:t>
      </w:r>
    </w:p>
    <w:p w14:paraId="7BB41882" w14:textId="77777777" w:rsidR="008D2D4A" w:rsidRPr="00FA288E" w:rsidRDefault="008D2D4A" w:rsidP="00FF62CC">
      <w:pPr>
        <w:pStyle w:val="Bullets"/>
        <w:numPr>
          <w:ilvl w:val="0"/>
          <w:numId w:val="57"/>
        </w:numPr>
        <w:spacing w:after="0" w:line="240" w:lineRule="auto"/>
        <w:rPr>
          <w:rFonts w:ascii="Calibri" w:hAnsi="Calibri" w:cs="Calibri"/>
          <w:szCs w:val="20"/>
        </w:rPr>
      </w:pPr>
      <w:r w:rsidRPr="00FA288E">
        <w:rPr>
          <w:rFonts w:ascii="Calibri" w:hAnsi="Calibri" w:cs="Calibri"/>
          <w:szCs w:val="20"/>
        </w:rPr>
        <w:t>RISE PNG Education and Research Studies, Baseline and End Line Home Reading Practices Design, Undated</w:t>
      </w:r>
    </w:p>
    <w:p w14:paraId="471D29EA" w14:textId="77777777" w:rsidR="008D2D4A" w:rsidRPr="00FA288E" w:rsidRDefault="008D2D4A" w:rsidP="00FF62CC">
      <w:pPr>
        <w:pStyle w:val="Bullets"/>
        <w:numPr>
          <w:ilvl w:val="0"/>
          <w:numId w:val="57"/>
        </w:numPr>
        <w:spacing w:after="0" w:line="240" w:lineRule="auto"/>
        <w:rPr>
          <w:rFonts w:ascii="Calibri" w:hAnsi="Calibri" w:cs="Calibri"/>
          <w:szCs w:val="20"/>
        </w:rPr>
      </w:pPr>
      <w:r w:rsidRPr="00FA288E">
        <w:rPr>
          <w:rFonts w:ascii="Calibri" w:hAnsi="Calibri" w:cs="Calibri"/>
          <w:szCs w:val="20"/>
        </w:rPr>
        <w:t>RISE PNG Education and Research Studies, Literacy Boost and Numeracy Boost Design, Undated</w:t>
      </w:r>
    </w:p>
    <w:p w14:paraId="44DDC50F" w14:textId="77777777" w:rsidR="008D2D4A" w:rsidRPr="00FA288E" w:rsidRDefault="008D2D4A" w:rsidP="00FF62CC">
      <w:pPr>
        <w:pStyle w:val="Bullets"/>
        <w:numPr>
          <w:ilvl w:val="0"/>
          <w:numId w:val="57"/>
        </w:numPr>
        <w:spacing w:after="0" w:line="240" w:lineRule="auto"/>
        <w:rPr>
          <w:rFonts w:ascii="Calibri" w:hAnsi="Calibri" w:cs="Calibri"/>
          <w:szCs w:val="20"/>
        </w:rPr>
      </w:pPr>
      <w:r w:rsidRPr="00FA288E">
        <w:rPr>
          <w:rFonts w:ascii="Calibri" w:hAnsi="Calibri" w:cs="Calibri"/>
          <w:szCs w:val="20"/>
        </w:rPr>
        <w:t>RISE PNG Education and Research Studies, Teacher Competency Study Design, Undated</w:t>
      </w:r>
    </w:p>
    <w:p w14:paraId="0ADD9C21" w14:textId="77777777" w:rsidR="00F746B0" w:rsidRPr="00FA288E" w:rsidRDefault="00F746B0" w:rsidP="009C509C">
      <w:pPr>
        <w:spacing w:after="0" w:line="240" w:lineRule="auto"/>
        <w:rPr>
          <w:rFonts w:cs="Calibri"/>
          <w:sz w:val="20"/>
          <w:szCs w:val="20"/>
        </w:rPr>
      </w:pPr>
    </w:p>
    <w:p w14:paraId="72BB62FF" w14:textId="77777777" w:rsidR="00F746B0" w:rsidRPr="00FA288E" w:rsidRDefault="008D2D4A" w:rsidP="009C509C">
      <w:pPr>
        <w:spacing w:after="0" w:line="240" w:lineRule="auto"/>
        <w:rPr>
          <w:rFonts w:cs="Calibri"/>
          <w:sz w:val="20"/>
          <w:szCs w:val="20"/>
        </w:rPr>
      </w:pPr>
      <w:r w:rsidRPr="00FA288E">
        <w:rPr>
          <w:rFonts w:cs="Calibri"/>
          <w:sz w:val="20"/>
          <w:szCs w:val="20"/>
        </w:rPr>
        <w:t>Together for Education Documents</w:t>
      </w:r>
    </w:p>
    <w:p w14:paraId="19D1B5A5" w14:textId="77777777" w:rsidR="008D2D4A" w:rsidRPr="00FA288E" w:rsidRDefault="008D2D4A" w:rsidP="00FF62CC">
      <w:pPr>
        <w:pStyle w:val="Bullets"/>
        <w:numPr>
          <w:ilvl w:val="0"/>
          <w:numId w:val="58"/>
        </w:numPr>
        <w:spacing w:after="0" w:line="240" w:lineRule="auto"/>
        <w:rPr>
          <w:rFonts w:ascii="Calibri" w:hAnsi="Calibri" w:cs="Calibri"/>
          <w:szCs w:val="20"/>
        </w:rPr>
      </w:pPr>
      <w:r w:rsidRPr="00FA288E">
        <w:rPr>
          <w:rFonts w:ascii="Calibri" w:hAnsi="Calibri" w:cs="Calibri"/>
          <w:szCs w:val="20"/>
        </w:rPr>
        <w:t>World Vision T4E Concept Note, April 2017</w:t>
      </w:r>
    </w:p>
    <w:p w14:paraId="1D3228BA" w14:textId="77777777" w:rsidR="008D2D4A" w:rsidRPr="00FA288E" w:rsidRDefault="008D2D4A" w:rsidP="00FF62CC">
      <w:pPr>
        <w:pStyle w:val="Bullets"/>
        <w:numPr>
          <w:ilvl w:val="0"/>
          <w:numId w:val="58"/>
        </w:numPr>
        <w:spacing w:after="0" w:line="240" w:lineRule="auto"/>
        <w:rPr>
          <w:rFonts w:ascii="Calibri" w:hAnsi="Calibri" w:cs="Calibri"/>
          <w:szCs w:val="20"/>
        </w:rPr>
      </w:pPr>
      <w:r w:rsidRPr="00FA288E">
        <w:rPr>
          <w:rFonts w:ascii="Calibri" w:hAnsi="Calibri" w:cs="Calibri"/>
          <w:szCs w:val="20"/>
        </w:rPr>
        <w:t xml:space="preserve">Grant Agreement, </w:t>
      </w:r>
      <w:proofErr w:type="spellStart"/>
      <w:r w:rsidRPr="00FA288E">
        <w:rPr>
          <w:rFonts w:ascii="Calibri" w:hAnsi="Calibri" w:cs="Calibri"/>
          <w:szCs w:val="20"/>
        </w:rPr>
        <w:t>Abt</w:t>
      </w:r>
      <w:proofErr w:type="spellEnd"/>
      <w:r w:rsidRPr="00FA288E">
        <w:rPr>
          <w:rFonts w:ascii="Calibri" w:hAnsi="Calibri" w:cs="Calibri"/>
          <w:szCs w:val="20"/>
        </w:rPr>
        <w:t xml:space="preserve"> and World Vision Australia, May 2017</w:t>
      </w:r>
    </w:p>
    <w:p w14:paraId="28511A60" w14:textId="77777777" w:rsidR="008D2D4A" w:rsidRPr="00FA288E" w:rsidRDefault="008D2D4A" w:rsidP="00FF62CC">
      <w:pPr>
        <w:pStyle w:val="Bullets"/>
        <w:numPr>
          <w:ilvl w:val="0"/>
          <w:numId w:val="58"/>
        </w:numPr>
        <w:spacing w:after="0" w:line="240" w:lineRule="auto"/>
        <w:rPr>
          <w:rFonts w:ascii="Calibri" w:hAnsi="Calibri" w:cs="Calibri"/>
          <w:szCs w:val="20"/>
        </w:rPr>
      </w:pPr>
      <w:r w:rsidRPr="00FA288E">
        <w:rPr>
          <w:rFonts w:ascii="Calibri" w:hAnsi="Calibri" w:cs="Calibri"/>
          <w:szCs w:val="20"/>
        </w:rPr>
        <w:t>World Vision T4E Annual Work Plan, Dec 2019</w:t>
      </w:r>
    </w:p>
    <w:p w14:paraId="4A6D8E32" w14:textId="77777777" w:rsidR="008D2D4A" w:rsidRPr="00FA288E" w:rsidRDefault="008D2D4A" w:rsidP="00FF62CC">
      <w:pPr>
        <w:pStyle w:val="Bullets"/>
        <w:numPr>
          <w:ilvl w:val="0"/>
          <w:numId w:val="58"/>
        </w:numPr>
        <w:spacing w:after="0" w:line="240" w:lineRule="auto"/>
        <w:rPr>
          <w:rFonts w:ascii="Calibri" w:hAnsi="Calibri" w:cs="Calibri"/>
          <w:szCs w:val="20"/>
        </w:rPr>
      </w:pPr>
      <w:r w:rsidRPr="00FA288E">
        <w:rPr>
          <w:rFonts w:ascii="Calibri" w:hAnsi="Calibri" w:cs="Calibri"/>
          <w:szCs w:val="20"/>
        </w:rPr>
        <w:t>World Vision T4E Annual Report, Dec 2018</w:t>
      </w:r>
    </w:p>
    <w:p w14:paraId="67F4EC47" w14:textId="77777777" w:rsidR="008D2D4A" w:rsidRPr="00FA288E" w:rsidRDefault="008D2D4A" w:rsidP="00FF62CC">
      <w:pPr>
        <w:pStyle w:val="Bullets"/>
        <w:numPr>
          <w:ilvl w:val="0"/>
          <w:numId w:val="58"/>
        </w:numPr>
        <w:spacing w:after="0" w:line="240" w:lineRule="auto"/>
        <w:rPr>
          <w:rFonts w:ascii="Calibri" w:hAnsi="Calibri" w:cs="Calibri"/>
          <w:szCs w:val="20"/>
        </w:rPr>
      </w:pPr>
      <w:r w:rsidRPr="00FA288E">
        <w:rPr>
          <w:rFonts w:ascii="Calibri" w:hAnsi="Calibri" w:cs="Calibri"/>
          <w:szCs w:val="20"/>
        </w:rPr>
        <w:t>World Vision T4E Six</w:t>
      </w:r>
      <w:r w:rsidR="00C12692" w:rsidRPr="00FA288E">
        <w:rPr>
          <w:rFonts w:ascii="Calibri" w:hAnsi="Calibri" w:cs="Calibri"/>
          <w:szCs w:val="20"/>
        </w:rPr>
        <w:t>-</w:t>
      </w:r>
      <w:r w:rsidRPr="00FA288E">
        <w:rPr>
          <w:rFonts w:ascii="Calibri" w:hAnsi="Calibri" w:cs="Calibri"/>
          <w:szCs w:val="20"/>
        </w:rPr>
        <w:t>Month</w:t>
      </w:r>
      <w:r w:rsidR="00C12692" w:rsidRPr="00FA288E">
        <w:rPr>
          <w:rFonts w:ascii="Calibri" w:hAnsi="Calibri" w:cs="Calibri"/>
          <w:szCs w:val="20"/>
        </w:rPr>
        <w:t>ly</w:t>
      </w:r>
      <w:r w:rsidRPr="00FA288E">
        <w:rPr>
          <w:rFonts w:ascii="Calibri" w:hAnsi="Calibri" w:cs="Calibri"/>
          <w:szCs w:val="20"/>
        </w:rPr>
        <w:t xml:space="preserve"> Progress Report, July 2019</w:t>
      </w:r>
    </w:p>
    <w:p w14:paraId="3A195103" w14:textId="77777777" w:rsidR="008D2D4A" w:rsidRPr="00FA288E" w:rsidRDefault="008D2D4A" w:rsidP="00FF62CC">
      <w:pPr>
        <w:pStyle w:val="Bullets"/>
        <w:numPr>
          <w:ilvl w:val="0"/>
          <w:numId w:val="58"/>
        </w:numPr>
        <w:spacing w:after="0" w:line="240" w:lineRule="auto"/>
        <w:rPr>
          <w:rFonts w:ascii="Calibri" w:hAnsi="Calibri" w:cs="Calibri"/>
          <w:szCs w:val="20"/>
        </w:rPr>
      </w:pPr>
      <w:r w:rsidRPr="00FA288E">
        <w:rPr>
          <w:rFonts w:ascii="Calibri" w:hAnsi="Calibri" w:cs="Calibri"/>
          <w:szCs w:val="20"/>
        </w:rPr>
        <w:t>World Vision T4E MEP, July 2019</w:t>
      </w:r>
    </w:p>
    <w:p w14:paraId="7845A52C" w14:textId="77777777" w:rsidR="008D2D4A" w:rsidRPr="00FA288E" w:rsidRDefault="008D2D4A" w:rsidP="00FF62CC">
      <w:pPr>
        <w:pStyle w:val="Bullets"/>
        <w:numPr>
          <w:ilvl w:val="0"/>
          <w:numId w:val="58"/>
        </w:numPr>
        <w:spacing w:after="0" w:line="240" w:lineRule="auto"/>
        <w:rPr>
          <w:rFonts w:ascii="Calibri" w:hAnsi="Calibri" w:cs="Calibri"/>
          <w:szCs w:val="20"/>
        </w:rPr>
      </w:pPr>
      <w:r w:rsidRPr="00FA288E">
        <w:rPr>
          <w:rFonts w:ascii="Calibri" w:hAnsi="Calibri" w:cs="Calibri"/>
          <w:szCs w:val="20"/>
        </w:rPr>
        <w:t xml:space="preserve">World Vision T4E Baseline Survey Report, Smith, H., and </w:t>
      </w:r>
      <w:proofErr w:type="spellStart"/>
      <w:r w:rsidRPr="00FA288E">
        <w:rPr>
          <w:rFonts w:ascii="Calibri" w:hAnsi="Calibri" w:cs="Calibri"/>
          <w:szCs w:val="20"/>
        </w:rPr>
        <w:t>Simoncini</w:t>
      </w:r>
      <w:proofErr w:type="spellEnd"/>
      <w:r w:rsidRPr="00FA288E">
        <w:rPr>
          <w:rFonts w:ascii="Calibri" w:hAnsi="Calibri" w:cs="Calibri"/>
          <w:szCs w:val="20"/>
        </w:rPr>
        <w:t>, K., June 2018</w:t>
      </w:r>
    </w:p>
    <w:p w14:paraId="22DE74F5" w14:textId="77777777" w:rsidR="008D2D4A" w:rsidRPr="00FA288E" w:rsidRDefault="008D2D4A" w:rsidP="00FF62CC">
      <w:pPr>
        <w:pStyle w:val="Bullets"/>
        <w:numPr>
          <w:ilvl w:val="0"/>
          <w:numId w:val="58"/>
        </w:numPr>
        <w:spacing w:after="0" w:line="240" w:lineRule="auto"/>
        <w:rPr>
          <w:rFonts w:ascii="Calibri" w:hAnsi="Calibri" w:cs="Calibri"/>
          <w:szCs w:val="20"/>
        </w:rPr>
      </w:pPr>
      <w:r w:rsidRPr="00FA288E">
        <w:rPr>
          <w:rFonts w:ascii="Calibri" w:hAnsi="Calibri" w:cs="Calibri"/>
          <w:szCs w:val="20"/>
        </w:rPr>
        <w:t xml:space="preserve">T4E Midline Report, PNG Central, Madang and </w:t>
      </w:r>
      <w:proofErr w:type="spellStart"/>
      <w:r w:rsidRPr="00FA288E">
        <w:rPr>
          <w:rFonts w:ascii="Calibri" w:hAnsi="Calibri" w:cs="Calibri"/>
          <w:szCs w:val="20"/>
        </w:rPr>
        <w:t>Morobe</w:t>
      </w:r>
      <w:proofErr w:type="spellEnd"/>
      <w:r w:rsidRPr="00FA288E">
        <w:rPr>
          <w:rFonts w:ascii="Calibri" w:hAnsi="Calibri" w:cs="Calibri"/>
          <w:szCs w:val="20"/>
        </w:rPr>
        <w:t xml:space="preserve"> Provinces, </w:t>
      </w:r>
      <w:proofErr w:type="spellStart"/>
      <w:r w:rsidRPr="00FA288E">
        <w:rPr>
          <w:rFonts w:ascii="Calibri" w:hAnsi="Calibri" w:cs="Calibri"/>
          <w:szCs w:val="20"/>
        </w:rPr>
        <w:t>Simoncini</w:t>
      </w:r>
      <w:proofErr w:type="spellEnd"/>
      <w:r w:rsidRPr="00FA288E">
        <w:rPr>
          <w:rFonts w:ascii="Calibri" w:hAnsi="Calibri" w:cs="Calibri"/>
          <w:szCs w:val="20"/>
        </w:rPr>
        <w:t xml:space="preserve">, K and </w:t>
      </w:r>
      <w:proofErr w:type="spellStart"/>
      <w:r w:rsidRPr="00FA288E">
        <w:rPr>
          <w:rFonts w:ascii="Calibri" w:hAnsi="Calibri" w:cs="Calibri"/>
          <w:szCs w:val="20"/>
        </w:rPr>
        <w:t>Namit</w:t>
      </w:r>
      <w:proofErr w:type="spellEnd"/>
      <w:r w:rsidRPr="00FA288E">
        <w:rPr>
          <w:rFonts w:ascii="Calibri" w:hAnsi="Calibri" w:cs="Calibri"/>
          <w:szCs w:val="20"/>
        </w:rPr>
        <w:t>, K., August 2019</w:t>
      </w:r>
    </w:p>
    <w:p w14:paraId="4B39AB1A" w14:textId="77777777" w:rsidR="008D2D4A" w:rsidRPr="00FA288E" w:rsidRDefault="008D2D4A" w:rsidP="00FF62CC">
      <w:pPr>
        <w:pStyle w:val="Bullets"/>
        <w:numPr>
          <w:ilvl w:val="0"/>
          <w:numId w:val="58"/>
        </w:numPr>
        <w:spacing w:after="0" w:line="240" w:lineRule="auto"/>
        <w:rPr>
          <w:rFonts w:ascii="Calibri" w:hAnsi="Calibri" w:cs="Calibri"/>
          <w:szCs w:val="20"/>
        </w:rPr>
      </w:pPr>
      <w:r w:rsidRPr="00FA288E">
        <w:rPr>
          <w:rFonts w:ascii="Calibri" w:hAnsi="Calibri" w:cs="Calibri"/>
          <w:szCs w:val="20"/>
        </w:rPr>
        <w:t>T4E Work Plan, Final, 2019</w:t>
      </w:r>
    </w:p>
    <w:p w14:paraId="7E65E4F3" w14:textId="77777777" w:rsidR="008D2D4A" w:rsidRPr="00FA288E" w:rsidRDefault="008D2D4A" w:rsidP="00FF62CC">
      <w:pPr>
        <w:pStyle w:val="Bullets"/>
        <w:numPr>
          <w:ilvl w:val="0"/>
          <w:numId w:val="58"/>
        </w:numPr>
        <w:spacing w:after="0" w:line="240" w:lineRule="auto"/>
        <w:rPr>
          <w:rFonts w:ascii="Calibri" w:hAnsi="Calibri" w:cs="Calibri"/>
          <w:szCs w:val="20"/>
        </w:rPr>
      </w:pPr>
      <w:r w:rsidRPr="00FA288E">
        <w:rPr>
          <w:rFonts w:ascii="Calibri" w:hAnsi="Calibri" w:cs="Calibri"/>
          <w:szCs w:val="20"/>
        </w:rPr>
        <w:t>T4E School Board of Management Leadership Workshop, Facilitator’s Manual, April 2019</w:t>
      </w:r>
    </w:p>
    <w:p w14:paraId="260D3CAF" w14:textId="77777777" w:rsidR="008D2D4A" w:rsidRPr="00FA288E" w:rsidRDefault="008D2D4A" w:rsidP="00FF62CC">
      <w:pPr>
        <w:pStyle w:val="Bullets"/>
        <w:numPr>
          <w:ilvl w:val="0"/>
          <w:numId w:val="58"/>
        </w:numPr>
        <w:spacing w:after="0" w:line="240" w:lineRule="auto"/>
        <w:rPr>
          <w:rFonts w:ascii="Calibri" w:hAnsi="Calibri" w:cs="Calibri"/>
          <w:szCs w:val="20"/>
        </w:rPr>
      </w:pPr>
      <w:r w:rsidRPr="00FA288E">
        <w:rPr>
          <w:rFonts w:ascii="Calibri" w:hAnsi="Calibri" w:cs="Calibri"/>
          <w:szCs w:val="20"/>
        </w:rPr>
        <w:t xml:space="preserve">PPF Education Evaluation </w:t>
      </w:r>
      <w:proofErr w:type="spellStart"/>
      <w:r w:rsidRPr="00FA288E">
        <w:rPr>
          <w:rFonts w:ascii="Calibri" w:hAnsi="Calibri" w:cs="Calibri"/>
          <w:szCs w:val="20"/>
        </w:rPr>
        <w:t>ToR</w:t>
      </w:r>
      <w:proofErr w:type="spellEnd"/>
      <w:r w:rsidRPr="00FA288E">
        <w:rPr>
          <w:rFonts w:ascii="Calibri" w:hAnsi="Calibri" w:cs="Calibri"/>
          <w:szCs w:val="20"/>
        </w:rPr>
        <w:t xml:space="preserve">, T4E, Sept 2019 </w:t>
      </w:r>
    </w:p>
    <w:p w14:paraId="64DDC988" w14:textId="77777777" w:rsidR="008D2D4A" w:rsidRPr="00FA288E" w:rsidRDefault="008D2D4A" w:rsidP="00FF62CC">
      <w:pPr>
        <w:pStyle w:val="Bullets"/>
        <w:numPr>
          <w:ilvl w:val="0"/>
          <w:numId w:val="58"/>
        </w:numPr>
        <w:spacing w:after="0" w:line="240" w:lineRule="auto"/>
        <w:rPr>
          <w:rFonts w:ascii="Calibri" w:hAnsi="Calibri" w:cs="Calibri"/>
          <w:szCs w:val="20"/>
        </w:rPr>
      </w:pPr>
      <w:r w:rsidRPr="00FA288E">
        <w:rPr>
          <w:rFonts w:ascii="Calibri" w:hAnsi="Calibri" w:cs="Calibri"/>
          <w:szCs w:val="20"/>
        </w:rPr>
        <w:lastRenderedPageBreak/>
        <w:t>Library for All, Midline review of the Spark Digital Library Kits (unpublished), Updated Nov 2019</w:t>
      </w:r>
    </w:p>
    <w:p w14:paraId="2B895CF2" w14:textId="77777777" w:rsidR="00F746B0" w:rsidRPr="00FA288E" w:rsidRDefault="00F746B0" w:rsidP="009C509C">
      <w:pPr>
        <w:pStyle w:val="Bullets"/>
        <w:numPr>
          <w:ilvl w:val="0"/>
          <w:numId w:val="0"/>
        </w:numPr>
        <w:spacing w:after="0" w:line="240" w:lineRule="auto"/>
        <w:ind w:left="454" w:hanging="341"/>
        <w:rPr>
          <w:rFonts w:ascii="Calibri" w:hAnsi="Calibri" w:cs="Calibri"/>
          <w:szCs w:val="20"/>
        </w:rPr>
      </w:pPr>
    </w:p>
    <w:p w14:paraId="4FBF7107" w14:textId="77777777" w:rsidR="008D2D4A" w:rsidRPr="00FA288E" w:rsidRDefault="008D2D4A" w:rsidP="009C509C">
      <w:pPr>
        <w:pStyle w:val="Bullets"/>
        <w:numPr>
          <w:ilvl w:val="0"/>
          <w:numId w:val="0"/>
        </w:numPr>
        <w:spacing w:after="0" w:line="240" w:lineRule="auto"/>
        <w:ind w:left="454" w:hanging="341"/>
        <w:rPr>
          <w:rFonts w:ascii="Calibri" w:hAnsi="Calibri" w:cs="Calibri"/>
          <w:szCs w:val="20"/>
        </w:rPr>
      </w:pPr>
      <w:r w:rsidRPr="00FA288E">
        <w:rPr>
          <w:rFonts w:ascii="Calibri" w:hAnsi="Calibri" w:cs="Calibri"/>
          <w:szCs w:val="20"/>
        </w:rPr>
        <w:t>Other documents</w:t>
      </w:r>
    </w:p>
    <w:p w14:paraId="7E5FED76" w14:textId="77777777" w:rsidR="008D2D4A" w:rsidRPr="00FA288E" w:rsidRDefault="008D2D4A" w:rsidP="00FF62CC">
      <w:pPr>
        <w:pStyle w:val="Bullets"/>
        <w:numPr>
          <w:ilvl w:val="0"/>
          <w:numId w:val="59"/>
        </w:numPr>
        <w:spacing w:after="0" w:line="240" w:lineRule="auto"/>
        <w:rPr>
          <w:rFonts w:ascii="Calibri" w:hAnsi="Calibri" w:cs="Calibri"/>
          <w:szCs w:val="20"/>
        </w:rPr>
      </w:pPr>
      <w:r w:rsidRPr="00FA288E">
        <w:rPr>
          <w:rFonts w:ascii="Calibri" w:hAnsi="Calibri" w:cs="Calibri"/>
          <w:szCs w:val="20"/>
        </w:rPr>
        <w:t>Pacific Islands Literacy and Numeracy Assessment, PNG Report, Educational Quality Assessment Program, 2015 and 2018</w:t>
      </w:r>
    </w:p>
    <w:p w14:paraId="4125B27E" w14:textId="77777777" w:rsidR="008D2D4A" w:rsidRPr="00FA288E" w:rsidRDefault="008D2D4A" w:rsidP="00FF62CC">
      <w:pPr>
        <w:pStyle w:val="Bullets"/>
        <w:numPr>
          <w:ilvl w:val="0"/>
          <w:numId w:val="59"/>
        </w:numPr>
        <w:spacing w:after="0" w:line="240" w:lineRule="auto"/>
        <w:rPr>
          <w:rFonts w:ascii="Calibri" w:hAnsi="Calibri" w:cs="Calibri"/>
          <w:szCs w:val="20"/>
        </w:rPr>
      </w:pPr>
      <w:proofErr w:type="spellStart"/>
      <w:r w:rsidRPr="00FA288E">
        <w:rPr>
          <w:rFonts w:ascii="Calibri" w:hAnsi="Calibri" w:cs="Calibri"/>
          <w:szCs w:val="20"/>
        </w:rPr>
        <w:t>Bilum</w:t>
      </w:r>
      <w:proofErr w:type="spellEnd"/>
      <w:r w:rsidRPr="00FA288E">
        <w:rPr>
          <w:rFonts w:ascii="Calibri" w:hAnsi="Calibri" w:cs="Calibri"/>
          <w:szCs w:val="20"/>
        </w:rPr>
        <w:t xml:space="preserve"> Books SBC English for PNG, Overview, May 2018</w:t>
      </w:r>
    </w:p>
    <w:p w14:paraId="5E3D5188" w14:textId="77777777" w:rsidR="008D2D4A" w:rsidRPr="00FA288E" w:rsidRDefault="008D2D4A" w:rsidP="00FF62CC">
      <w:pPr>
        <w:pStyle w:val="Bullets"/>
        <w:numPr>
          <w:ilvl w:val="0"/>
          <w:numId w:val="59"/>
        </w:numPr>
        <w:spacing w:after="0" w:line="240" w:lineRule="auto"/>
        <w:rPr>
          <w:rFonts w:ascii="Calibri" w:hAnsi="Calibri" w:cs="Calibri"/>
          <w:szCs w:val="20"/>
        </w:rPr>
      </w:pPr>
      <w:r w:rsidRPr="00FA288E">
        <w:rPr>
          <w:rFonts w:ascii="Calibri" w:hAnsi="Calibri" w:cs="Calibri"/>
          <w:szCs w:val="20"/>
        </w:rPr>
        <w:t>Indicators for All? Monitoring Quality and Equity for a Broad and Bold Post-2015 Global Education Agenda, Barret, A., and Sorenson, T., Open Society Foundations, April 2015</w:t>
      </w:r>
    </w:p>
    <w:p w14:paraId="716DAC5D" w14:textId="77777777" w:rsidR="008D2D4A" w:rsidRPr="00FA288E" w:rsidRDefault="008D2D4A" w:rsidP="00FF62CC">
      <w:pPr>
        <w:pStyle w:val="Bullets"/>
        <w:numPr>
          <w:ilvl w:val="0"/>
          <w:numId w:val="59"/>
        </w:numPr>
        <w:spacing w:after="0" w:line="240" w:lineRule="auto"/>
        <w:rPr>
          <w:rFonts w:ascii="Calibri" w:hAnsi="Calibri" w:cs="Calibri"/>
          <w:szCs w:val="20"/>
        </w:rPr>
      </w:pPr>
      <w:r w:rsidRPr="00FA288E">
        <w:rPr>
          <w:rFonts w:ascii="Calibri" w:hAnsi="Calibri" w:cs="Calibri"/>
          <w:szCs w:val="20"/>
        </w:rPr>
        <w:t>Goals and Indicators for Education and Development, Consolidating the Architectures, Lewin, K., Open Society Foundations, April 2015</w:t>
      </w:r>
    </w:p>
    <w:p w14:paraId="177A6373" w14:textId="77777777" w:rsidR="008D2D4A" w:rsidRPr="00FA288E" w:rsidRDefault="008D2D4A" w:rsidP="00FF62CC">
      <w:pPr>
        <w:pStyle w:val="Bullets"/>
        <w:numPr>
          <w:ilvl w:val="0"/>
          <w:numId w:val="59"/>
        </w:numPr>
        <w:spacing w:after="0" w:line="240" w:lineRule="auto"/>
        <w:rPr>
          <w:rFonts w:ascii="Calibri" w:hAnsi="Calibri" w:cs="Calibri"/>
          <w:szCs w:val="20"/>
        </w:rPr>
      </w:pPr>
      <w:r w:rsidRPr="00FA288E">
        <w:rPr>
          <w:rFonts w:ascii="Calibri" w:hAnsi="Calibri" w:cs="Calibri"/>
          <w:szCs w:val="20"/>
        </w:rPr>
        <w:t>Improving Educational Outcomes in Developing Countries: Lessons from Rigorous Evaluations, Working Paper 20284, National Bureau of Economic Research, July 2014</w:t>
      </w:r>
    </w:p>
    <w:p w14:paraId="4D45E966" w14:textId="77777777" w:rsidR="008D2D4A" w:rsidRPr="00FA288E" w:rsidRDefault="008D2D4A" w:rsidP="00FF62CC">
      <w:pPr>
        <w:pStyle w:val="Bullets"/>
        <w:numPr>
          <w:ilvl w:val="0"/>
          <w:numId w:val="59"/>
        </w:numPr>
        <w:spacing w:after="0" w:line="240" w:lineRule="auto"/>
        <w:rPr>
          <w:rFonts w:ascii="Calibri" w:hAnsi="Calibri" w:cs="Calibri"/>
          <w:szCs w:val="20"/>
        </w:rPr>
      </w:pPr>
      <w:r w:rsidRPr="00FA288E">
        <w:rPr>
          <w:rFonts w:ascii="Calibri" w:hAnsi="Calibri" w:cs="Calibri"/>
          <w:szCs w:val="20"/>
        </w:rPr>
        <w:t>Measuring Early Learning Quality and Outcomes Overview, UNESCO, UNICEF, Brookings Institution and the World Bank, 2017</w:t>
      </w:r>
    </w:p>
    <w:p w14:paraId="0E17D7DB" w14:textId="77777777" w:rsidR="00643EB3" w:rsidRPr="00FA288E" w:rsidRDefault="008D2D4A" w:rsidP="00FF62CC">
      <w:pPr>
        <w:pStyle w:val="Bullets"/>
        <w:numPr>
          <w:ilvl w:val="0"/>
          <w:numId w:val="59"/>
        </w:numPr>
        <w:tabs>
          <w:tab w:val="left" w:pos="1188"/>
        </w:tabs>
        <w:spacing w:after="0" w:line="240" w:lineRule="auto"/>
        <w:rPr>
          <w:rFonts w:ascii="Calibri" w:hAnsi="Calibri" w:cs="Calibri"/>
          <w:szCs w:val="20"/>
        </w:rPr>
      </w:pPr>
      <w:r w:rsidRPr="00FA288E">
        <w:rPr>
          <w:rFonts w:ascii="Calibri" w:hAnsi="Calibri" w:cs="Calibri"/>
          <w:szCs w:val="20"/>
        </w:rPr>
        <w:t>PNG Education Budget Analysis – 2012-2018, PNG National Research Institute, 2019</w:t>
      </w:r>
    </w:p>
    <w:p w14:paraId="43C0B251" w14:textId="77777777" w:rsidR="00042C08" w:rsidRPr="00602E8D" w:rsidRDefault="00042C08" w:rsidP="00042C08"/>
    <w:p w14:paraId="5285AB63" w14:textId="77777777" w:rsidR="00042C08" w:rsidRPr="00602E8D" w:rsidRDefault="00042C08" w:rsidP="00042C08">
      <w:pPr>
        <w:pStyle w:val="Heading1"/>
        <w:numPr>
          <w:ilvl w:val="0"/>
          <w:numId w:val="0"/>
        </w:numPr>
        <w:ind w:left="432"/>
        <w:sectPr w:rsidR="00042C08" w:rsidRPr="00602E8D">
          <w:pgSz w:w="11906" w:h="16838"/>
          <w:pgMar w:top="1440" w:right="1440" w:bottom="1440" w:left="1440" w:header="708" w:footer="708" w:gutter="0"/>
          <w:cols w:space="708"/>
          <w:docGrid w:linePitch="360"/>
        </w:sectPr>
      </w:pPr>
    </w:p>
    <w:p w14:paraId="4771E7BF" w14:textId="2739893F" w:rsidR="00601737" w:rsidRDefault="00601737" w:rsidP="00601737">
      <w:pPr>
        <w:pStyle w:val="Heading1"/>
        <w:numPr>
          <w:ilvl w:val="0"/>
          <w:numId w:val="0"/>
        </w:numPr>
      </w:pPr>
      <w:bookmarkStart w:id="213" w:name="_Annex_H:_DFAT"/>
      <w:bookmarkStart w:id="214" w:name="_Toc42076007"/>
      <w:bookmarkEnd w:id="213"/>
      <w:r w:rsidRPr="00FA288E">
        <w:lastRenderedPageBreak/>
        <w:t xml:space="preserve">Annex </w:t>
      </w:r>
      <w:r>
        <w:t>H</w:t>
      </w:r>
      <w:r w:rsidRPr="00FA288E">
        <w:t>:</w:t>
      </w:r>
      <w:r>
        <w:t xml:space="preserve"> DFAT </w:t>
      </w:r>
      <w:r w:rsidR="00B12671">
        <w:t>Monitoring and Evaluation Standards</w:t>
      </w:r>
      <w:bookmarkEnd w:id="214"/>
    </w:p>
    <w:p w14:paraId="39E6A8EE" w14:textId="77777777" w:rsidR="00174C98" w:rsidRDefault="00174C98" w:rsidP="00174C98">
      <w:pPr>
        <w:rPr>
          <w:rFonts w:ascii="Arial" w:hAnsi="Arial" w:cs="Arial"/>
          <w:szCs w:val="21"/>
        </w:rPr>
      </w:pPr>
    </w:p>
    <w:tbl>
      <w:tblPr>
        <w:tblStyle w:val="TableGridLight"/>
        <w:tblW w:w="9040" w:type="dxa"/>
        <w:tblLook w:val="04A0" w:firstRow="1" w:lastRow="0" w:firstColumn="1" w:lastColumn="0" w:noHBand="0" w:noVBand="1"/>
        <w:tblCaption w:val="DFAT Monitoring and Evaluation Standards"/>
        <w:tblDescription w:val="The standard which consortiums failed to meet adequately was: The M&amp;E plan is consistent with current international standards for evaluation practice. The standard which they did very well on was for baselines."/>
      </w:tblPr>
      <w:tblGrid>
        <w:gridCol w:w="683"/>
        <w:gridCol w:w="4328"/>
        <w:gridCol w:w="1343"/>
        <w:gridCol w:w="1343"/>
        <w:gridCol w:w="1343"/>
      </w:tblGrid>
      <w:tr w:rsidR="00802B69" w14:paraId="0BC8A9F1" w14:textId="77777777" w:rsidTr="00AE259C">
        <w:trPr>
          <w:tblHeader/>
        </w:trPr>
        <w:tc>
          <w:tcPr>
            <w:tcW w:w="683" w:type="dxa"/>
          </w:tcPr>
          <w:p w14:paraId="1EBDA065" w14:textId="77777777" w:rsidR="00802B69" w:rsidRDefault="00802B69">
            <w:pPr>
              <w:spacing w:beforeLines="30" w:before="72" w:afterLines="30" w:after="72"/>
              <w:rPr>
                <w:rFonts w:ascii="Franklin Gothic Book" w:hAnsi="Franklin Gothic Book"/>
                <w:sz w:val="19"/>
                <w:szCs w:val="19"/>
                <w:lang w:val="en-US"/>
              </w:rPr>
            </w:pPr>
            <w:bookmarkStart w:id="215" w:name="_Hlk42082541"/>
          </w:p>
        </w:tc>
        <w:tc>
          <w:tcPr>
            <w:tcW w:w="4328" w:type="dxa"/>
          </w:tcPr>
          <w:p w14:paraId="6BBF012E" w14:textId="223D63CD" w:rsidR="00802B69" w:rsidRDefault="0054071F">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Criteria Description</w:t>
            </w:r>
          </w:p>
        </w:tc>
        <w:tc>
          <w:tcPr>
            <w:tcW w:w="1343" w:type="dxa"/>
          </w:tcPr>
          <w:p w14:paraId="199D2E49" w14:textId="67BE9C6D" w:rsidR="00802B69" w:rsidRDefault="00802B69" w:rsidP="0054071F">
            <w:pPr>
              <w:spacing w:beforeLines="30" w:before="72" w:afterLines="30" w:after="72"/>
              <w:jc w:val="center"/>
              <w:rPr>
                <w:rFonts w:ascii="Franklin Gothic Book" w:hAnsi="Franklin Gothic Book"/>
                <w:sz w:val="19"/>
                <w:szCs w:val="19"/>
                <w:lang w:val="en-US"/>
              </w:rPr>
            </w:pPr>
            <w:r>
              <w:rPr>
                <w:rFonts w:ascii="Franklin Gothic Book" w:hAnsi="Franklin Gothic Book"/>
                <w:sz w:val="19"/>
                <w:szCs w:val="19"/>
                <w:lang w:val="en-US"/>
              </w:rPr>
              <w:t>PKS</w:t>
            </w:r>
          </w:p>
        </w:tc>
        <w:tc>
          <w:tcPr>
            <w:tcW w:w="1343" w:type="dxa"/>
          </w:tcPr>
          <w:p w14:paraId="3E0561A3" w14:textId="613E5973" w:rsidR="00802B69" w:rsidRDefault="00802B69" w:rsidP="0054071F">
            <w:pPr>
              <w:spacing w:beforeLines="30" w:before="72" w:afterLines="30" w:after="72"/>
              <w:jc w:val="center"/>
              <w:rPr>
                <w:rFonts w:ascii="Franklin Gothic Book" w:hAnsi="Franklin Gothic Book"/>
                <w:sz w:val="19"/>
                <w:szCs w:val="19"/>
                <w:lang w:val="en-US"/>
              </w:rPr>
            </w:pPr>
            <w:r>
              <w:rPr>
                <w:rFonts w:ascii="Franklin Gothic Book" w:hAnsi="Franklin Gothic Book"/>
                <w:sz w:val="19"/>
                <w:szCs w:val="19"/>
                <w:lang w:val="en-US"/>
              </w:rPr>
              <w:t>RISE</w:t>
            </w:r>
          </w:p>
        </w:tc>
        <w:tc>
          <w:tcPr>
            <w:tcW w:w="1343" w:type="dxa"/>
          </w:tcPr>
          <w:p w14:paraId="6F7F901D" w14:textId="480540A5" w:rsidR="00802B69" w:rsidRDefault="00802B69" w:rsidP="0054071F">
            <w:pPr>
              <w:spacing w:beforeLines="30" w:before="72" w:afterLines="30" w:after="72"/>
              <w:jc w:val="center"/>
              <w:rPr>
                <w:rFonts w:ascii="Franklin Gothic Book" w:hAnsi="Franklin Gothic Book"/>
                <w:sz w:val="19"/>
                <w:szCs w:val="19"/>
                <w:lang w:val="en-US"/>
              </w:rPr>
            </w:pPr>
            <w:r>
              <w:rPr>
                <w:rFonts w:ascii="Franklin Gothic Book" w:hAnsi="Franklin Gothic Book"/>
                <w:sz w:val="19"/>
                <w:szCs w:val="19"/>
                <w:lang w:val="en-US"/>
              </w:rPr>
              <w:t>T4E</w:t>
            </w:r>
          </w:p>
        </w:tc>
      </w:tr>
      <w:tr w:rsidR="00802B69" w14:paraId="7A0CDFCB" w14:textId="0E041EF3" w:rsidTr="001D72A5">
        <w:tc>
          <w:tcPr>
            <w:tcW w:w="683" w:type="dxa"/>
            <w:hideMark/>
          </w:tcPr>
          <w:p w14:paraId="60EB888D" w14:textId="77777777" w:rsidR="00802B69" w:rsidRDefault="00802B69" w:rsidP="00802B69">
            <w:pPr>
              <w:spacing w:beforeLines="30" w:before="72" w:afterLines="30" w:after="72"/>
              <w:rPr>
                <w:rFonts w:ascii="Franklin Gothic Book" w:hAnsi="Franklin Gothic Book" w:cs="Calibri"/>
                <w:sz w:val="19"/>
                <w:szCs w:val="19"/>
                <w:lang w:val="en-US"/>
              </w:rPr>
            </w:pPr>
            <w:r>
              <w:rPr>
                <w:rFonts w:ascii="Franklin Gothic Book" w:hAnsi="Franklin Gothic Book"/>
                <w:sz w:val="19"/>
                <w:szCs w:val="19"/>
                <w:lang w:val="en-US"/>
              </w:rPr>
              <w:t>2.6</w:t>
            </w:r>
          </w:p>
        </w:tc>
        <w:tc>
          <w:tcPr>
            <w:tcW w:w="4328" w:type="dxa"/>
            <w:hideMark/>
          </w:tcPr>
          <w:p w14:paraId="46E27E1C"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The M&amp;E Plan provides a summary of the overarching system design including key M&amp;E approaches and activities</w:t>
            </w:r>
          </w:p>
        </w:tc>
        <w:tc>
          <w:tcPr>
            <w:tcW w:w="1343" w:type="dxa"/>
          </w:tcPr>
          <w:p w14:paraId="72A7E516" w14:textId="282A67BF"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3</w:t>
            </w:r>
          </w:p>
        </w:tc>
        <w:tc>
          <w:tcPr>
            <w:tcW w:w="1343" w:type="dxa"/>
          </w:tcPr>
          <w:p w14:paraId="13BED59A" w14:textId="7DDACDAB"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3</w:t>
            </w:r>
          </w:p>
        </w:tc>
        <w:tc>
          <w:tcPr>
            <w:tcW w:w="1343" w:type="dxa"/>
          </w:tcPr>
          <w:p w14:paraId="4F23FDE8" w14:textId="4E111DAB"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3</w:t>
            </w:r>
          </w:p>
        </w:tc>
      </w:tr>
      <w:tr w:rsidR="00802B69" w14:paraId="57D812B5" w14:textId="32D09EE0" w:rsidTr="001D72A5">
        <w:tc>
          <w:tcPr>
            <w:tcW w:w="683" w:type="dxa"/>
            <w:hideMark/>
          </w:tcPr>
          <w:p w14:paraId="5AF276F7"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2.7</w:t>
            </w:r>
          </w:p>
        </w:tc>
        <w:tc>
          <w:tcPr>
            <w:tcW w:w="4328" w:type="dxa"/>
            <w:hideMark/>
          </w:tcPr>
          <w:p w14:paraId="22CAC443"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The M&amp;E Plan is consistent with current international standards for evaluation practice (e.g. Joint Committee on Standards for Educational Evaluation – Program Evaluation Standards)</w:t>
            </w:r>
          </w:p>
        </w:tc>
        <w:tc>
          <w:tcPr>
            <w:tcW w:w="1343" w:type="dxa"/>
          </w:tcPr>
          <w:p w14:paraId="2F85006A" w14:textId="01AC0F67"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2</w:t>
            </w:r>
          </w:p>
        </w:tc>
        <w:tc>
          <w:tcPr>
            <w:tcW w:w="1343" w:type="dxa"/>
          </w:tcPr>
          <w:p w14:paraId="156EEC67" w14:textId="40D79392"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2</w:t>
            </w:r>
          </w:p>
        </w:tc>
        <w:tc>
          <w:tcPr>
            <w:tcW w:w="1343" w:type="dxa"/>
          </w:tcPr>
          <w:p w14:paraId="086BB8F1" w14:textId="294527E0"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2</w:t>
            </w:r>
          </w:p>
        </w:tc>
      </w:tr>
      <w:tr w:rsidR="00802B69" w14:paraId="0570C5B3" w14:textId="27A2A68E" w:rsidTr="001D72A5">
        <w:tc>
          <w:tcPr>
            <w:tcW w:w="683" w:type="dxa"/>
            <w:hideMark/>
          </w:tcPr>
          <w:p w14:paraId="175297D4"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2.8</w:t>
            </w:r>
          </w:p>
        </w:tc>
        <w:tc>
          <w:tcPr>
            <w:tcW w:w="4328" w:type="dxa"/>
            <w:hideMark/>
          </w:tcPr>
          <w:p w14:paraId="56974CF9"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Goals and End-of-program outcomes are clearly articulated and assessed</w:t>
            </w:r>
          </w:p>
        </w:tc>
        <w:tc>
          <w:tcPr>
            <w:tcW w:w="1343" w:type="dxa"/>
          </w:tcPr>
          <w:p w14:paraId="356CFBB5" w14:textId="5D179311"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c>
          <w:tcPr>
            <w:tcW w:w="1343" w:type="dxa"/>
          </w:tcPr>
          <w:p w14:paraId="6D22F03B" w14:textId="6C71D315"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c>
          <w:tcPr>
            <w:tcW w:w="1343" w:type="dxa"/>
          </w:tcPr>
          <w:p w14:paraId="25DC677C" w14:textId="65BBB9A6"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r>
      <w:tr w:rsidR="00802B69" w14:paraId="728DF976" w14:textId="137AC7FB" w:rsidTr="001D72A5">
        <w:tc>
          <w:tcPr>
            <w:tcW w:w="683" w:type="dxa"/>
            <w:hideMark/>
          </w:tcPr>
          <w:p w14:paraId="525D2451"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2.9</w:t>
            </w:r>
          </w:p>
        </w:tc>
        <w:tc>
          <w:tcPr>
            <w:tcW w:w="4328" w:type="dxa"/>
            <w:hideMark/>
          </w:tcPr>
          <w:p w14:paraId="5A470B6B"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The plan is focused around key performance indicators and evaluation questions linked to specific intended uses of the information</w:t>
            </w:r>
          </w:p>
        </w:tc>
        <w:tc>
          <w:tcPr>
            <w:tcW w:w="1343" w:type="dxa"/>
          </w:tcPr>
          <w:p w14:paraId="144E4318" w14:textId="6DCDFA3B"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c>
          <w:tcPr>
            <w:tcW w:w="1343" w:type="dxa"/>
          </w:tcPr>
          <w:p w14:paraId="3C40A284" w14:textId="12059CFA"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c>
          <w:tcPr>
            <w:tcW w:w="1343" w:type="dxa"/>
          </w:tcPr>
          <w:p w14:paraId="6856AA0B" w14:textId="7C63D9E4"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r>
      <w:tr w:rsidR="00802B69" w14:paraId="11CD044E" w14:textId="5FC65B3C" w:rsidTr="001D72A5">
        <w:tc>
          <w:tcPr>
            <w:tcW w:w="683" w:type="dxa"/>
            <w:hideMark/>
          </w:tcPr>
          <w:p w14:paraId="4BA80BCB"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2.10</w:t>
            </w:r>
          </w:p>
        </w:tc>
        <w:tc>
          <w:tcPr>
            <w:tcW w:w="4328" w:type="dxa"/>
            <w:hideMark/>
          </w:tcPr>
          <w:p w14:paraId="08D94231"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The reach/coverage, quality, and exposure of participants to key deliverables are monitored and evaluated</w:t>
            </w:r>
          </w:p>
        </w:tc>
        <w:tc>
          <w:tcPr>
            <w:tcW w:w="1343" w:type="dxa"/>
          </w:tcPr>
          <w:p w14:paraId="10207320" w14:textId="1DAAED13"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5</w:t>
            </w:r>
          </w:p>
        </w:tc>
        <w:tc>
          <w:tcPr>
            <w:tcW w:w="1343" w:type="dxa"/>
          </w:tcPr>
          <w:p w14:paraId="31817537" w14:textId="4155C573"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5</w:t>
            </w:r>
          </w:p>
        </w:tc>
        <w:tc>
          <w:tcPr>
            <w:tcW w:w="1343" w:type="dxa"/>
          </w:tcPr>
          <w:p w14:paraId="57A6F492" w14:textId="12849490"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5</w:t>
            </w:r>
          </w:p>
        </w:tc>
      </w:tr>
      <w:tr w:rsidR="00802B69" w14:paraId="5DF2BB5A" w14:textId="3B0174D5" w:rsidTr="001D72A5">
        <w:tc>
          <w:tcPr>
            <w:tcW w:w="683" w:type="dxa"/>
            <w:hideMark/>
          </w:tcPr>
          <w:p w14:paraId="012AE826"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2.11</w:t>
            </w:r>
          </w:p>
        </w:tc>
        <w:tc>
          <w:tcPr>
            <w:tcW w:w="4328" w:type="dxa"/>
            <w:hideMark/>
          </w:tcPr>
          <w:p w14:paraId="6618BC0A"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Relevant aspects of the context and key risks are monitored</w:t>
            </w:r>
          </w:p>
        </w:tc>
        <w:tc>
          <w:tcPr>
            <w:tcW w:w="1343" w:type="dxa"/>
          </w:tcPr>
          <w:p w14:paraId="75C3B850" w14:textId="03440C3E"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c>
          <w:tcPr>
            <w:tcW w:w="1343" w:type="dxa"/>
          </w:tcPr>
          <w:p w14:paraId="4C34F0C7" w14:textId="64965547"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c>
          <w:tcPr>
            <w:tcW w:w="1343" w:type="dxa"/>
          </w:tcPr>
          <w:p w14:paraId="41EBE985" w14:textId="76526BD2"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r>
      <w:tr w:rsidR="00802B69" w14:paraId="770CC371" w14:textId="126A5A80" w:rsidTr="001D72A5">
        <w:tc>
          <w:tcPr>
            <w:tcW w:w="683" w:type="dxa"/>
            <w:hideMark/>
          </w:tcPr>
          <w:p w14:paraId="440A4A54"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2.12</w:t>
            </w:r>
          </w:p>
        </w:tc>
        <w:tc>
          <w:tcPr>
            <w:tcW w:w="4328" w:type="dxa"/>
            <w:hideMark/>
          </w:tcPr>
          <w:p w14:paraId="59D2622A"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Methods are fully described for sampling, data collection, management, analysis and processing</w:t>
            </w:r>
          </w:p>
        </w:tc>
        <w:tc>
          <w:tcPr>
            <w:tcW w:w="1343" w:type="dxa"/>
          </w:tcPr>
          <w:p w14:paraId="6284EE2E" w14:textId="52FF3EC4"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c>
          <w:tcPr>
            <w:tcW w:w="1343" w:type="dxa"/>
          </w:tcPr>
          <w:p w14:paraId="4922DE4D" w14:textId="2517B933"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c>
          <w:tcPr>
            <w:tcW w:w="1343" w:type="dxa"/>
          </w:tcPr>
          <w:p w14:paraId="151EA968" w14:textId="1A28A4C2"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3</w:t>
            </w:r>
          </w:p>
        </w:tc>
      </w:tr>
      <w:tr w:rsidR="00802B69" w14:paraId="0B9DAADA" w14:textId="5455CA81" w:rsidTr="001D72A5">
        <w:tc>
          <w:tcPr>
            <w:tcW w:w="683" w:type="dxa"/>
            <w:hideMark/>
          </w:tcPr>
          <w:p w14:paraId="3FB2AC41"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2.13</w:t>
            </w:r>
          </w:p>
        </w:tc>
        <w:tc>
          <w:tcPr>
            <w:tcW w:w="4328" w:type="dxa"/>
            <w:hideMark/>
          </w:tcPr>
          <w:p w14:paraId="44870A29"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Baselines are constructed where appropriate</w:t>
            </w:r>
          </w:p>
        </w:tc>
        <w:tc>
          <w:tcPr>
            <w:tcW w:w="1343" w:type="dxa"/>
          </w:tcPr>
          <w:p w14:paraId="72BBB2AE" w14:textId="2445680A"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6</w:t>
            </w:r>
          </w:p>
        </w:tc>
        <w:tc>
          <w:tcPr>
            <w:tcW w:w="1343" w:type="dxa"/>
          </w:tcPr>
          <w:p w14:paraId="5D370B49" w14:textId="15B51F01"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6</w:t>
            </w:r>
          </w:p>
        </w:tc>
        <w:tc>
          <w:tcPr>
            <w:tcW w:w="1343" w:type="dxa"/>
          </w:tcPr>
          <w:p w14:paraId="7A469AE4" w14:textId="607314E5"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5</w:t>
            </w:r>
          </w:p>
        </w:tc>
      </w:tr>
      <w:tr w:rsidR="00802B69" w14:paraId="3E068AA5" w14:textId="01B1097A" w:rsidTr="001D72A5">
        <w:tc>
          <w:tcPr>
            <w:tcW w:w="683" w:type="dxa"/>
            <w:hideMark/>
          </w:tcPr>
          <w:p w14:paraId="3AB02C83"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2.14</w:t>
            </w:r>
          </w:p>
        </w:tc>
        <w:tc>
          <w:tcPr>
            <w:tcW w:w="4328" w:type="dxa"/>
            <w:hideMark/>
          </w:tcPr>
          <w:p w14:paraId="13A863BA"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Responsibility is allocated to specific individuals (not organizations) for all M&amp;E activities</w:t>
            </w:r>
          </w:p>
        </w:tc>
        <w:tc>
          <w:tcPr>
            <w:tcW w:w="1343" w:type="dxa"/>
          </w:tcPr>
          <w:p w14:paraId="3A652334" w14:textId="39F5837D"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3</w:t>
            </w:r>
          </w:p>
        </w:tc>
        <w:tc>
          <w:tcPr>
            <w:tcW w:w="1343" w:type="dxa"/>
          </w:tcPr>
          <w:p w14:paraId="05FCFE79" w14:textId="1AC21446"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c>
          <w:tcPr>
            <w:tcW w:w="1343" w:type="dxa"/>
          </w:tcPr>
          <w:p w14:paraId="7FC54F7A" w14:textId="22908E4F"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r>
      <w:tr w:rsidR="00802B69" w14:paraId="1A6DCF76" w14:textId="4F870A6F" w:rsidTr="001D72A5">
        <w:tc>
          <w:tcPr>
            <w:tcW w:w="683" w:type="dxa"/>
            <w:hideMark/>
          </w:tcPr>
          <w:p w14:paraId="1C01BF00"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2.15</w:t>
            </w:r>
          </w:p>
        </w:tc>
        <w:tc>
          <w:tcPr>
            <w:tcW w:w="4328" w:type="dxa"/>
            <w:hideMark/>
          </w:tcPr>
          <w:p w14:paraId="0A091B6D"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Mutual accountability and joint assessment by local partners is provided for (using partner systems where appropriate)</w:t>
            </w:r>
          </w:p>
        </w:tc>
        <w:tc>
          <w:tcPr>
            <w:tcW w:w="1343" w:type="dxa"/>
          </w:tcPr>
          <w:p w14:paraId="23E3BF3C" w14:textId="1EB02E1D"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c>
          <w:tcPr>
            <w:tcW w:w="1343" w:type="dxa"/>
          </w:tcPr>
          <w:p w14:paraId="066E7F1F" w14:textId="67E5D7F6"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3</w:t>
            </w:r>
          </w:p>
        </w:tc>
        <w:tc>
          <w:tcPr>
            <w:tcW w:w="1343" w:type="dxa"/>
          </w:tcPr>
          <w:p w14:paraId="0AA832B2" w14:textId="779AF8DE"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3</w:t>
            </w:r>
          </w:p>
        </w:tc>
      </w:tr>
      <w:tr w:rsidR="00802B69" w14:paraId="2B8244A8" w14:textId="71AD9F7E" w:rsidTr="001D72A5">
        <w:tc>
          <w:tcPr>
            <w:tcW w:w="683" w:type="dxa"/>
            <w:hideMark/>
          </w:tcPr>
          <w:p w14:paraId="01BC9173"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2.16</w:t>
            </w:r>
          </w:p>
        </w:tc>
        <w:tc>
          <w:tcPr>
            <w:tcW w:w="4328" w:type="dxa"/>
            <w:hideMark/>
          </w:tcPr>
          <w:p w14:paraId="3A24A95E"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Individuals responsible for implementing the M&amp;E plan have the capacity to do so (time, resources and skills)</w:t>
            </w:r>
          </w:p>
        </w:tc>
        <w:tc>
          <w:tcPr>
            <w:tcW w:w="1343" w:type="dxa"/>
          </w:tcPr>
          <w:p w14:paraId="020BF9D0" w14:textId="0F4A4A32"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Not assessed</w:t>
            </w:r>
          </w:p>
        </w:tc>
        <w:tc>
          <w:tcPr>
            <w:tcW w:w="1343" w:type="dxa"/>
          </w:tcPr>
          <w:p w14:paraId="63B1E2D9" w14:textId="300D2938"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Not assessed</w:t>
            </w:r>
          </w:p>
        </w:tc>
        <w:tc>
          <w:tcPr>
            <w:tcW w:w="1343" w:type="dxa"/>
          </w:tcPr>
          <w:p w14:paraId="2CCC93E5" w14:textId="03F32702"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Not assessed</w:t>
            </w:r>
          </w:p>
        </w:tc>
      </w:tr>
      <w:tr w:rsidR="00802B69" w14:paraId="5A1A3CC5" w14:textId="3F527A0E" w:rsidTr="001D72A5">
        <w:tc>
          <w:tcPr>
            <w:tcW w:w="683" w:type="dxa"/>
            <w:hideMark/>
          </w:tcPr>
          <w:p w14:paraId="3F90B2C7"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2.17</w:t>
            </w:r>
          </w:p>
        </w:tc>
        <w:tc>
          <w:tcPr>
            <w:tcW w:w="4328" w:type="dxa"/>
            <w:hideMark/>
          </w:tcPr>
          <w:p w14:paraId="2D275CA7"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A strategy for the utilization of information is described</w:t>
            </w:r>
          </w:p>
        </w:tc>
        <w:tc>
          <w:tcPr>
            <w:tcW w:w="1343" w:type="dxa"/>
          </w:tcPr>
          <w:p w14:paraId="38A3FAAB" w14:textId="222C2D27"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c>
          <w:tcPr>
            <w:tcW w:w="1343" w:type="dxa"/>
          </w:tcPr>
          <w:p w14:paraId="7427B5F5" w14:textId="13CCF834"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c>
          <w:tcPr>
            <w:tcW w:w="1343" w:type="dxa"/>
          </w:tcPr>
          <w:p w14:paraId="5A2137F6" w14:textId="395A9DDC"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r>
      <w:tr w:rsidR="00802B69" w14:paraId="17027F90" w14:textId="476CC025" w:rsidTr="001D72A5">
        <w:tc>
          <w:tcPr>
            <w:tcW w:w="683" w:type="dxa"/>
            <w:hideMark/>
          </w:tcPr>
          <w:p w14:paraId="3B9A440F"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2.18</w:t>
            </w:r>
          </w:p>
        </w:tc>
        <w:tc>
          <w:tcPr>
            <w:tcW w:w="4328" w:type="dxa"/>
            <w:hideMark/>
          </w:tcPr>
          <w:p w14:paraId="2831BBE8"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A complete schedule of M&amp;E activities shows when all key M&amp;E activities will be carried out and information available</w:t>
            </w:r>
          </w:p>
        </w:tc>
        <w:tc>
          <w:tcPr>
            <w:tcW w:w="1343" w:type="dxa"/>
          </w:tcPr>
          <w:p w14:paraId="3956B1DD" w14:textId="6466D8E3"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2</w:t>
            </w:r>
          </w:p>
        </w:tc>
        <w:tc>
          <w:tcPr>
            <w:tcW w:w="1343" w:type="dxa"/>
          </w:tcPr>
          <w:p w14:paraId="6A16F247" w14:textId="589B5FBE"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2</w:t>
            </w:r>
          </w:p>
        </w:tc>
        <w:tc>
          <w:tcPr>
            <w:tcW w:w="1343" w:type="dxa"/>
          </w:tcPr>
          <w:p w14:paraId="321414DF" w14:textId="5BB4EFB6"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r>
      <w:tr w:rsidR="00802B69" w14:paraId="37128081" w14:textId="47718926" w:rsidTr="001D72A5">
        <w:tc>
          <w:tcPr>
            <w:tcW w:w="683" w:type="dxa"/>
            <w:hideMark/>
          </w:tcPr>
          <w:p w14:paraId="55E46757"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2.19</w:t>
            </w:r>
          </w:p>
        </w:tc>
        <w:tc>
          <w:tcPr>
            <w:tcW w:w="4328" w:type="dxa"/>
            <w:hideMark/>
          </w:tcPr>
          <w:p w14:paraId="365D5F01"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The M&amp;E plan can be easily understood by non-specialists and key stakeholders</w:t>
            </w:r>
          </w:p>
        </w:tc>
        <w:tc>
          <w:tcPr>
            <w:tcW w:w="1343" w:type="dxa"/>
          </w:tcPr>
          <w:p w14:paraId="60DA1F3D" w14:textId="475D0457"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c>
          <w:tcPr>
            <w:tcW w:w="1343" w:type="dxa"/>
          </w:tcPr>
          <w:p w14:paraId="3CD20207" w14:textId="567C54AC"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c>
          <w:tcPr>
            <w:tcW w:w="1343" w:type="dxa"/>
          </w:tcPr>
          <w:p w14:paraId="69A76459" w14:textId="7AC926DE"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3</w:t>
            </w:r>
          </w:p>
        </w:tc>
      </w:tr>
      <w:tr w:rsidR="00802B69" w14:paraId="7D2B2450" w14:textId="55C19999" w:rsidTr="001D72A5">
        <w:tc>
          <w:tcPr>
            <w:tcW w:w="683" w:type="dxa"/>
            <w:hideMark/>
          </w:tcPr>
          <w:p w14:paraId="5BD8B838"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2.20</w:t>
            </w:r>
          </w:p>
        </w:tc>
        <w:tc>
          <w:tcPr>
            <w:tcW w:w="4328" w:type="dxa"/>
            <w:hideMark/>
          </w:tcPr>
          <w:p w14:paraId="242010A4" w14:textId="77777777" w:rsidR="00802B69" w:rsidRDefault="00802B69" w:rsidP="00802B69">
            <w:pPr>
              <w:spacing w:beforeLines="30" w:before="72" w:afterLines="30" w:after="72"/>
              <w:rPr>
                <w:rFonts w:ascii="Franklin Gothic Book" w:hAnsi="Franklin Gothic Book"/>
                <w:sz w:val="19"/>
                <w:szCs w:val="19"/>
                <w:lang w:val="en-US"/>
              </w:rPr>
            </w:pPr>
            <w:r>
              <w:rPr>
                <w:rFonts w:ascii="Franklin Gothic Book" w:hAnsi="Franklin Gothic Book"/>
                <w:sz w:val="19"/>
                <w:szCs w:val="19"/>
                <w:lang w:val="en-US"/>
              </w:rPr>
              <w:t>The M&amp;E plan is resourced and costed</w:t>
            </w:r>
          </w:p>
        </w:tc>
        <w:tc>
          <w:tcPr>
            <w:tcW w:w="1343" w:type="dxa"/>
          </w:tcPr>
          <w:p w14:paraId="6B3C8AA9" w14:textId="11E5116E"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3</w:t>
            </w:r>
          </w:p>
        </w:tc>
        <w:tc>
          <w:tcPr>
            <w:tcW w:w="1343" w:type="dxa"/>
          </w:tcPr>
          <w:p w14:paraId="4A9DF648" w14:textId="1BDA6954"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c>
          <w:tcPr>
            <w:tcW w:w="1343" w:type="dxa"/>
          </w:tcPr>
          <w:p w14:paraId="7F2E78AA" w14:textId="5C087619" w:rsidR="00802B69" w:rsidRDefault="00802B69" w:rsidP="0054071F">
            <w:pPr>
              <w:spacing w:beforeLines="30" w:before="72" w:afterLines="30" w:after="72"/>
              <w:jc w:val="center"/>
              <w:rPr>
                <w:rFonts w:ascii="Franklin Gothic Book" w:hAnsi="Franklin Gothic Book"/>
                <w:sz w:val="19"/>
                <w:szCs w:val="19"/>
                <w:lang w:val="en-US"/>
              </w:rPr>
            </w:pPr>
            <w:r w:rsidRPr="0054071F">
              <w:rPr>
                <w:rFonts w:ascii="Franklin Gothic Book" w:hAnsi="Franklin Gothic Book"/>
                <w:sz w:val="19"/>
                <w:szCs w:val="19"/>
                <w:lang w:val="en-US"/>
              </w:rPr>
              <w:t>4</w:t>
            </w:r>
          </w:p>
        </w:tc>
      </w:tr>
      <w:bookmarkEnd w:id="215"/>
    </w:tbl>
    <w:p w14:paraId="7B1D0EDD" w14:textId="77777777" w:rsidR="00174C98" w:rsidRDefault="00174C98" w:rsidP="00174C98">
      <w:pPr>
        <w:rPr>
          <w:rFonts w:ascii="Arial" w:eastAsiaTheme="minorHAnsi" w:hAnsi="Arial" w:cs="Arial"/>
          <w:szCs w:val="21"/>
        </w:rPr>
      </w:pPr>
    </w:p>
    <w:p w14:paraId="6552FA4B" w14:textId="77777777" w:rsidR="00174C98" w:rsidRPr="00174C98" w:rsidRDefault="00174C98" w:rsidP="00174C98"/>
    <w:p w14:paraId="6D0CC642" w14:textId="77777777" w:rsidR="00042C08" w:rsidRPr="00602E8D" w:rsidRDefault="00042C08" w:rsidP="00042C08"/>
    <w:sectPr w:rsidR="00042C08" w:rsidRPr="00602E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9AD28" w14:textId="77777777" w:rsidR="009F310F" w:rsidRDefault="009F310F" w:rsidP="001D50EA">
      <w:r>
        <w:separator/>
      </w:r>
    </w:p>
  </w:endnote>
  <w:endnote w:type="continuationSeparator" w:id="0">
    <w:p w14:paraId="095DA82E" w14:textId="77777777" w:rsidR="009F310F" w:rsidRDefault="009F310F" w:rsidP="001D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444380"/>
      <w:docPartObj>
        <w:docPartGallery w:val="Page Numbers (Bottom of Page)"/>
        <w:docPartUnique/>
      </w:docPartObj>
    </w:sdtPr>
    <w:sdtEndPr>
      <w:rPr>
        <w:noProof/>
      </w:rPr>
    </w:sdtEndPr>
    <w:sdtContent>
      <w:p w14:paraId="3062EB82" w14:textId="06C43E49" w:rsidR="009F310F" w:rsidRDefault="009F310F">
        <w:pPr>
          <w:pStyle w:val="Footer"/>
          <w:jc w:val="right"/>
        </w:pPr>
        <w:r>
          <w:fldChar w:fldCharType="begin"/>
        </w:r>
        <w:r>
          <w:instrText xml:space="preserve"> PAGE   \* MERGEFORMAT </w:instrText>
        </w:r>
        <w:r>
          <w:fldChar w:fldCharType="separate"/>
        </w:r>
        <w:r w:rsidR="00EA14BA">
          <w:rPr>
            <w:noProof/>
          </w:rPr>
          <w:t>i</w:t>
        </w:r>
        <w:r>
          <w:rPr>
            <w:noProof/>
          </w:rPr>
          <w:fldChar w:fldCharType="end"/>
        </w:r>
      </w:p>
    </w:sdtContent>
  </w:sdt>
  <w:p w14:paraId="5DF1A35B" w14:textId="77777777" w:rsidR="009F310F" w:rsidRDefault="009F3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39123"/>
      <w:docPartObj>
        <w:docPartGallery w:val="Page Numbers (Bottom of Page)"/>
        <w:docPartUnique/>
      </w:docPartObj>
    </w:sdtPr>
    <w:sdtEndPr>
      <w:rPr>
        <w:noProof/>
      </w:rPr>
    </w:sdtEndPr>
    <w:sdtContent>
      <w:p w14:paraId="6E9F8C4A" w14:textId="4C120A52" w:rsidR="009F310F" w:rsidRDefault="009F310F">
        <w:pPr>
          <w:pStyle w:val="Footer"/>
          <w:jc w:val="right"/>
        </w:pPr>
        <w:r>
          <w:fldChar w:fldCharType="begin"/>
        </w:r>
        <w:r>
          <w:instrText xml:space="preserve"> PAGE   \* MERGEFORMAT </w:instrText>
        </w:r>
        <w:r>
          <w:fldChar w:fldCharType="separate"/>
        </w:r>
        <w:r w:rsidR="00AB27DB">
          <w:rPr>
            <w:noProof/>
          </w:rPr>
          <w:t>6</w:t>
        </w:r>
        <w:r>
          <w:rPr>
            <w:noProof/>
          </w:rPr>
          <w:fldChar w:fldCharType="end"/>
        </w:r>
      </w:p>
    </w:sdtContent>
  </w:sdt>
  <w:p w14:paraId="79D5DC9A" w14:textId="77777777" w:rsidR="009F310F" w:rsidRDefault="009F3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692911"/>
      <w:docPartObj>
        <w:docPartGallery w:val="Page Numbers (Bottom of Page)"/>
        <w:docPartUnique/>
      </w:docPartObj>
    </w:sdtPr>
    <w:sdtEndPr>
      <w:rPr>
        <w:noProof/>
        <w:sz w:val="20"/>
        <w:szCs w:val="20"/>
      </w:rPr>
    </w:sdtEndPr>
    <w:sdtContent>
      <w:p w14:paraId="04306FE6" w14:textId="47C3ABAA" w:rsidR="009F310F" w:rsidRPr="008D2D4A" w:rsidRDefault="009F310F">
        <w:pPr>
          <w:pStyle w:val="Footer"/>
          <w:jc w:val="right"/>
          <w:rPr>
            <w:sz w:val="20"/>
            <w:szCs w:val="20"/>
          </w:rPr>
        </w:pPr>
        <w:r w:rsidRPr="008D2D4A">
          <w:rPr>
            <w:sz w:val="20"/>
            <w:szCs w:val="20"/>
          </w:rPr>
          <w:fldChar w:fldCharType="begin"/>
        </w:r>
        <w:r w:rsidRPr="008D2D4A">
          <w:rPr>
            <w:sz w:val="20"/>
            <w:szCs w:val="20"/>
          </w:rPr>
          <w:instrText xml:space="preserve"> PAGE   \* MERGEFORMAT </w:instrText>
        </w:r>
        <w:r w:rsidRPr="008D2D4A">
          <w:rPr>
            <w:sz w:val="20"/>
            <w:szCs w:val="20"/>
          </w:rPr>
          <w:fldChar w:fldCharType="separate"/>
        </w:r>
        <w:r w:rsidR="00AE259C">
          <w:rPr>
            <w:noProof/>
            <w:sz w:val="20"/>
            <w:szCs w:val="20"/>
          </w:rPr>
          <w:t>106</w:t>
        </w:r>
        <w:r w:rsidRPr="008D2D4A">
          <w:rPr>
            <w:noProof/>
            <w:sz w:val="20"/>
            <w:szCs w:val="20"/>
          </w:rPr>
          <w:fldChar w:fldCharType="end"/>
        </w:r>
      </w:p>
    </w:sdtContent>
  </w:sdt>
  <w:p w14:paraId="514177F6" w14:textId="77777777" w:rsidR="009F310F" w:rsidRDefault="009F3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C76B2" w14:textId="77777777" w:rsidR="009F310F" w:rsidRDefault="009F310F" w:rsidP="001D50EA">
      <w:r>
        <w:separator/>
      </w:r>
    </w:p>
  </w:footnote>
  <w:footnote w:type="continuationSeparator" w:id="0">
    <w:p w14:paraId="1F519899" w14:textId="77777777" w:rsidR="009F310F" w:rsidRDefault="009F310F" w:rsidP="001D50EA">
      <w:r>
        <w:continuationSeparator/>
      </w:r>
    </w:p>
  </w:footnote>
  <w:footnote w:id="1">
    <w:p w14:paraId="3A360A84" w14:textId="585F87C0" w:rsidR="009F310F" w:rsidRDefault="009F310F" w:rsidP="00A00560">
      <w:pPr>
        <w:pStyle w:val="FootnoteText"/>
        <w:spacing w:after="0" w:line="216" w:lineRule="auto"/>
      </w:pPr>
      <w:r>
        <w:rPr>
          <w:rStyle w:val="FootnoteReference"/>
        </w:rPr>
        <w:footnoteRef/>
      </w:r>
      <w:r>
        <w:t xml:space="preserve"> Two of the grants were awarded June 2017 to originally conclude April 2020, with implementation beginning in January 2018. The third grant was awarded in March 2018 to originally conclude April 2020 with implementation beginning in September 2018. All grants received an extension from April 2020 to June 2020.</w:t>
      </w:r>
    </w:p>
  </w:footnote>
  <w:footnote w:id="2">
    <w:p w14:paraId="463E454A" w14:textId="77777777" w:rsidR="009F310F" w:rsidRDefault="009F310F" w:rsidP="00A00560">
      <w:pPr>
        <w:pStyle w:val="FootnoteText"/>
        <w:spacing w:after="0" w:line="216" w:lineRule="auto"/>
      </w:pPr>
      <w:r>
        <w:rPr>
          <w:rStyle w:val="FootnoteReference"/>
        </w:rPr>
        <w:footnoteRef/>
      </w:r>
      <w:r>
        <w:t xml:space="preserve"> The term ‘foundational’ refers to early grade education, particularly in relation to the acquisition of literacy and numeracy skills. In other countries, this is sometimes referred to as ‘basic education’. Of particular note, literacy in the PNG context refers to English language literacy.</w:t>
      </w:r>
    </w:p>
  </w:footnote>
  <w:footnote w:id="3">
    <w:p w14:paraId="5DF511D4" w14:textId="77777777" w:rsidR="009F310F" w:rsidRDefault="009F310F" w:rsidP="00A00560">
      <w:pPr>
        <w:pStyle w:val="FootnoteText"/>
        <w:spacing w:after="0" w:line="216" w:lineRule="auto"/>
      </w:pPr>
      <w:r>
        <w:rPr>
          <w:rStyle w:val="FootnoteReference"/>
        </w:rPr>
        <w:footnoteRef/>
      </w:r>
      <w:r>
        <w:t xml:space="preserve"> Totals were calculated based on information in the most recent Six-Monthly Progress Reports (June 2019) of the three projects.</w:t>
      </w:r>
    </w:p>
  </w:footnote>
  <w:footnote w:id="4">
    <w:p w14:paraId="1DB9EC14" w14:textId="63E7C8C9" w:rsidR="009F310F" w:rsidRPr="00E32C6B" w:rsidRDefault="009F310F" w:rsidP="00A00560">
      <w:pPr>
        <w:pStyle w:val="FootnoteText"/>
        <w:spacing w:after="0" w:line="216" w:lineRule="auto"/>
        <w:rPr>
          <w:rFonts w:cstheme="minorHAnsi"/>
        </w:rPr>
      </w:pPr>
      <w:r w:rsidRPr="00E32C6B">
        <w:rPr>
          <w:rStyle w:val="FootnoteReference"/>
          <w:rFonts w:cstheme="minorHAnsi"/>
        </w:rPr>
        <w:footnoteRef/>
      </w:r>
      <w:r w:rsidRPr="00E32C6B">
        <w:rPr>
          <w:rFonts w:cstheme="minorHAnsi"/>
        </w:rPr>
        <w:t xml:space="preserve"> These are the provinces of Central (Rigo District), Western Highlands (Tambul N</w:t>
      </w:r>
      <w:r>
        <w:rPr>
          <w:rFonts w:cstheme="minorHAnsi"/>
        </w:rPr>
        <w:t>e</w:t>
      </w:r>
      <w:r w:rsidRPr="00E32C6B">
        <w:rPr>
          <w:rFonts w:cstheme="minorHAnsi"/>
        </w:rPr>
        <w:t>bilyer District) and East Sepik (Yangorrou Sausia District and Wewak District).</w:t>
      </w:r>
    </w:p>
  </w:footnote>
  <w:footnote w:id="5">
    <w:p w14:paraId="71E127CE" w14:textId="77777777" w:rsidR="009F310F" w:rsidRPr="00E32C6B" w:rsidRDefault="009F310F" w:rsidP="00A00560">
      <w:pPr>
        <w:pStyle w:val="FootnoteText"/>
        <w:spacing w:after="0" w:line="216" w:lineRule="auto"/>
        <w:rPr>
          <w:rFonts w:cstheme="minorHAnsi"/>
        </w:rPr>
      </w:pPr>
      <w:r w:rsidRPr="00E32C6B">
        <w:rPr>
          <w:rStyle w:val="FootnoteReference"/>
          <w:rFonts w:cstheme="minorHAnsi"/>
        </w:rPr>
        <w:footnoteRef/>
      </w:r>
      <w:r w:rsidRPr="00E32C6B">
        <w:rPr>
          <w:rFonts w:cstheme="minorHAnsi"/>
        </w:rPr>
        <w:t xml:space="preserve"> Each of the projects designed and implemented a number of interventions – composed of a set of activities – to achieve specific results.  For example, in-service teacher training is classified as an intervention although there were several discrete activities implemented.</w:t>
      </w:r>
    </w:p>
  </w:footnote>
  <w:footnote w:id="6">
    <w:p w14:paraId="65C10611" w14:textId="4E0EA069" w:rsidR="009F310F" w:rsidRDefault="009F310F" w:rsidP="00A00560">
      <w:pPr>
        <w:pStyle w:val="FootnoteText"/>
        <w:spacing w:after="0" w:line="216" w:lineRule="auto"/>
      </w:pPr>
      <w:r w:rsidRPr="00E32C6B">
        <w:rPr>
          <w:rStyle w:val="FootnoteReference"/>
          <w:rFonts w:cstheme="minorHAnsi"/>
        </w:rPr>
        <w:footnoteRef/>
      </w:r>
      <w:r w:rsidRPr="00E32C6B">
        <w:rPr>
          <w:rFonts w:cstheme="minorHAnsi"/>
        </w:rPr>
        <w:t xml:space="preserve"> RISE and T4E conducted midline evaluations after 12 months of implementation (January 2019). The final midline evaluation reports were submitted July </w:t>
      </w:r>
      <w:r w:rsidRPr="001340BE">
        <w:rPr>
          <w:rFonts w:cstheme="minorHAnsi"/>
        </w:rPr>
        <w:t>2019 to the PPF Secretariat.</w:t>
      </w:r>
    </w:p>
  </w:footnote>
  <w:footnote w:id="7">
    <w:p w14:paraId="3912A5B3" w14:textId="751BE450" w:rsidR="009F310F" w:rsidRDefault="009F310F" w:rsidP="00A00560">
      <w:pPr>
        <w:pStyle w:val="FootnoteText"/>
        <w:spacing w:after="0" w:line="216" w:lineRule="auto"/>
      </w:pPr>
      <w:r>
        <w:rPr>
          <w:rStyle w:val="FootnoteReference"/>
        </w:rPr>
        <w:footnoteRef/>
      </w:r>
      <w:r>
        <w:t xml:space="preserve"> The proposed ‘Theory of Change’ workshop was renamed the ‘Framework for Change’ workshop following preparation of the draft Mid-Term Review report.</w:t>
      </w:r>
    </w:p>
  </w:footnote>
  <w:footnote w:id="8">
    <w:p w14:paraId="1B6B909B" w14:textId="77777777" w:rsidR="009F310F" w:rsidRPr="003C2F2A" w:rsidRDefault="009F310F" w:rsidP="00B17E15">
      <w:pPr>
        <w:pStyle w:val="FootnoteText"/>
        <w:spacing w:after="0" w:line="216" w:lineRule="auto"/>
        <w:rPr>
          <w:rFonts w:asciiTheme="majorHAnsi" w:hAnsiTheme="majorHAnsi"/>
        </w:rPr>
      </w:pPr>
      <w:r w:rsidRPr="003C2F2A">
        <w:rPr>
          <w:rStyle w:val="FootnoteReference"/>
          <w:rFonts w:asciiTheme="majorHAnsi" w:hAnsiTheme="majorHAnsi"/>
        </w:rPr>
        <w:footnoteRef/>
      </w:r>
      <w:r w:rsidRPr="003C2F2A">
        <w:rPr>
          <w:rFonts w:asciiTheme="majorHAnsi" w:hAnsiTheme="majorHAnsi"/>
        </w:rPr>
        <w:t xml:space="preserve"> Originally the province of Madang was identified for a field visit of the T4E project.  Madang was replaced by Central Province due to safety and security concerns.</w:t>
      </w:r>
    </w:p>
  </w:footnote>
  <w:footnote w:id="9">
    <w:p w14:paraId="08975637" w14:textId="77CD58A5" w:rsidR="009F310F" w:rsidRPr="0054524C" w:rsidRDefault="009F310F" w:rsidP="005821EE">
      <w:pPr>
        <w:pStyle w:val="FootnoteText"/>
        <w:spacing w:after="0"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w:t>
      </w:r>
      <w:r w:rsidRPr="0054524C">
        <w:rPr>
          <w:rFonts w:asciiTheme="majorHAnsi" w:hAnsiTheme="majorHAnsi" w:cstheme="majorHAnsi"/>
        </w:rPr>
        <w:t>Currently ranked 153</w:t>
      </w:r>
      <w:r w:rsidRPr="0054524C">
        <w:rPr>
          <w:rFonts w:asciiTheme="majorHAnsi" w:hAnsiTheme="majorHAnsi" w:cstheme="majorHAnsi"/>
          <w:vertAlign w:val="superscript"/>
        </w:rPr>
        <w:t>rd</w:t>
      </w:r>
      <w:r w:rsidRPr="0054524C">
        <w:rPr>
          <w:rFonts w:asciiTheme="majorHAnsi" w:hAnsiTheme="majorHAnsi" w:cstheme="majorHAnsi"/>
        </w:rPr>
        <w:t xml:space="preserve"> of 189 countries, PNG is aiming to achieve a Human Development Index rank of 50 by 2050</w:t>
      </w:r>
      <w:r>
        <w:rPr>
          <w:rFonts w:asciiTheme="majorHAnsi" w:hAnsiTheme="majorHAnsi" w:cstheme="majorHAnsi"/>
        </w:rPr>
        <w:t>.</w:t>
      </w:r>
    </w:p>
  </w:footnote>
  <w:footnote w:id="10">
    <w:p w14:paraId="30D32F88" w14:textId="77777777" w:rsidR="009F310F" w:rsidRPr="0054524C" w:rsidRDefault="009F310F" w:rsidP="005821EE">
      <w:pPr>
        <w:pStyle w:val="FootnoteText"/>
        <w:spacing w:after="0" w:line="216" w:lineRule="auto"/>
        <w:rPr>
          <w:rFonts w:asciiTheme="majorHAnsi" w:hAnsiTheme="majorHAnsi"/>
        </w:rPr>
      </w:pPr>
      <w:r w:rsidRPr="0054524C">
        <w:rPr>
          <w:rStyle w:val="FootnoteReference"/>
          <w:rFonts w:asciiTheme="majorHAnsi" w:hAnsiTheme="majorHAnsi"/>
        </w:rPr>
        <w:footnoteRef/>
      </w:r>
      <w:r w:rsidRPr="0054524C">
        <w:rPr>
          <w:rFonts w:asciiTheme="majorHAnsi" w:hAnsiTheme="majorHAnsi"/>
        </w:rPr>
        <w:t xml:space="preserve"> These reforms are reflected in the GoPNG Medium-Term Development Plan III: 2018-2022.</w:t>
      </w:r>
    </w:p>
  </w:footnote>
  <w:footnote w:id="11">
    <w:p w14:paraId="30D34D0C" w14:textId="77777777" w:rsidR="009F310F" w:rsidRPr="0054524C" w:rsidRDefault="009F310F" w:rsidP="005821EE">
      <w:pPr>
        <w:pStyle w:val="FootnoteText"/>
        <w:spacing w:after="0" w:line="216" w:lineRule="auto"/>
        <w:rPr>
          <w:rFonts w:asciiTheme="majorHAnsi" w:hAnsiTheme="majorHAnsi"/>
        </w:rPr>
      </w:pPr>
      <w:r w:rsidRPr="0054524C">
        <w:rPr>
          <w:rStyle w:val="FootnoteReference"/>
          <w:rFonts w:asciiTheme="majorHAnsi" w:hAnsiTheme="majorHAnsi"/>
        </w:rPr>
        <w:footnoteRef/>
      </w:r>
      <w:r w:rsidRPr="0054524C">
        <w:rPr>
          <w:rFonts w:asciiTheme="majorHAnsi" w:hAnsiTheme="majorHAnsi"/>
        </w:rPr>
        <w:t xml:space="preserve"> The Tuition Fee Free (TFF) policy has been associated with a 17 percent increase in school enrolments since its introduction in 2012. Following the conduct of fieldwork for this review in December 2019, the GoPNG announced replacement of the TFF policy with the Government Tuition Fee Subsidy – which will require parents to contribute 36% of the costs of education at the local school level. </w:t>
      </w:r>
    </w:p>
  </w:footnote>
  <w:footnote w:id="12">
    <w:p w14:paraId="353F9AA1" w14:textId="77777777" w:rsidR="009F310F" w:rsidRPr="0054524C" w:rsidRDefault="009F310F" w:rsidP="005821EE">
      <w:pPr>
        <w:pStyle w:val="FootnoteText"/>
        <w:spacing w:after="0" w:line="216" w:lineRule="auto"/>
        <w:rPr>
          <w:rFonts w:asciiTheme="majorHAnsi" w:hAnsiTheme="majorHAnsi" w:cstheme="majorHAnsi"/>
        </w:rPr>
      </w:pPr>
      <w:r w:rsidRPr="0054524C">
        <w:rPr>
          <w:rStyle w:val="FootnoteReference"/>
          <w:rFonts w:asciiTheme="majorHAnsi" w:hAnsiTheme="majorHAnsi" w:cstheme="majorHAnsi"/>
        </w:rPr>
        <w:footnoteRef/>
      </w:r>
      <w:r w:rsidRPr="0054524C">
        <w:rPr>
          <w:rFonts w:asciiTheme="majorHAnsi" w:hAnsiTheme="majorHAnsi" w:cstheme="majorHAnsi"/>
        </w:rPr>
        <w:t xml:space="preserve"> Currently the PNG education system implements the 3-4-6 education structure - comprises three years at the elementary level, 6 years at the primary level and 4 years at the secondary level.  The 1-6-6 structure will combine elementary and primary levels, allowing for a one-year preparatory level – similar to Kindergarten in other countries.</w:t>
      </w:r>
    </w:p>
  </w:footnote>
  <w:footnote w:id="13">
    <w:p w14:paraId="641BE116" w14:textId="77777777" w:rsidR="009F310F" w:rsidRPr="0054524C" w:rsidRDefault="009F310F" w:rsidP="005821EE">
      <w:pPr>
        <w:pStyle w:val="FootnoteText"/>
        <w:spacing w:after="0" w:line="216" w:lineRule="auto"/>
        <w:rPr>
          <w:rFonts w:asciiTheme="majorHAnsi" w:hAnsiTheme="majorHAnsi" w:cstheme="majorHAnsi"/>
        </w:rPr>
      </w:pPr>
      <w:r w:rsidRPr="0054524C">
        <w:rPr>
          <w:rStyle w:val="FootnoteReference"/>
          <w:rFonts w:asciiTheme="majorHAnsi" w:hAnsiTheme="majorHAnsi" w:cstheme="majorHAnsi"/>
        </w:rPr>
        <w:footnoteRef/>
      </w:r>
      <w:r w:rsidRPr="0054524C">
        <w:rPr>
          <w:rFonts w:asciiTheme="majorHAnsi" w:hAnsiTheme="majorHAnsi" w:cstheme="majorHAnsi"/>
        </w:rPr>
        <w:t xml:space="preserve"> A reported 77 per cent in grade 5 and 67 per cent in grade 3 are reading at well below their expected grade levels, and only 50 per cent were meeting the standard for mathematics (Pacific Islands Literacy and Numeracy Assessment 2015 data - Early Grade Reading Assessments 2017-18; quoted in the Education for Prosperity (E4P) Draft Design document, 2019). The unofficial 2018 data (the official report had not yet been released at the time of the mid-term review) indicates improvement in literacy and numeracy test results from the 2015 assessment.</w:t>
      </w:r>
    </w:p>
  </w:footnote>
  <w:footnote w:id="14">
    <w:p w14:paraId="1C96F797" w14:textId="77777777" w:rsidR="009F310F" w:rsidRPr="0054524C" w:rsidRDefault="009F310F" w:rsidP="005821EE">
      <w:pPr>
        <w:pStyle w:val="FootnoteText"/>
        <w:spacing w:after="0" w:line="216" w:lineRule="auto"/>
        <w:rPr>
          <w:rFonts w:asciiTheme="majorHAnsi" w:hAnsiTheme="majorHAnsi" w:cstheme="majorHAnsi"/>
        </w:rPr>
      </w:pPr>
      <w:r w:rsidRPr="0054524C">
        <w:rPr>
          <w:rStyle w:val="FootnoteReference"/>
          <w:rFonts w:asciiTheme="majorHAnsi" w:hAnsiTheme="majorHAnsi" w:cstheme="majorHAnsi"/>
        </w:rPr>
        <w:footnoteRef/>
      </w:r>
      <w:r w:rsidRPr="0054524C">
        <w:rPr>
          <w:rFonts w:asciiTheme="majorHAnsi" w:hAnsiTheme="majorHAnsi" w:cstheme="majorHAnsi"/>
        </w:rPr>
        <w:t xml:space="preserve"> Economic modelling in 2016 estimated that additional education sector funding of A$1 billion per year would be needed to service PNG’s education needs adequately through to 2030 (Swan &amp; Walton, 2016, quoted in the E4P Draft Design document, 2019). Interviews with GoPNG officials indicated that increased government funding for education is unlikely in the short to medium-term.</w:t>
      </w:r>
    </w:p>
  </w:footnote>
  <w:footnote w:id="15">
    <w:p w14:paraId="66A5133A" w14:textId="77777777" w:rsidR="009F310F" w:rsidRPr="0054524C" w:rsidRDefault="009F310F" w:rsidP="005821EE">
      <w:pPr>
        <w:pStyle w:val="FootnoteText"/>
        <w:spacing w:after="0" w:line="216" w:lineRule="auto"/>
        <w:rPr>
          <w:rFonts w:asciiTheme="majorHAnsi" w:hAnsiTheme="majorHAnsi"/>
        </w:rPr>
      </w:pPr>
      <w:r w:rsidRPr="0054524C">
        <w:rPr>
          <w:rStyle w:val="FootnoteReference"/>
          <w:rFonts w:asciiTheme="majorHAnsi" w:hAnsiTheme="majorHAnsi"/>
        </w:rPr>
        <w:footnoteRef/>
      </w:r>
      <w:r w:rsidRPr="0054524C">
        <w:rPr>
          <w:rFonts w:asciiTheme="majorHAnsi" w:hAnsiTheme="majorHAnsi"/>
        </w:rPr>
        <w:t xml:space="preserve"> </w:t>
      </w:r>
      <w:r w:rsidRPr="0054524C">
        <w:rPr>
          <w:rFonts w:asciiTheme="majorHAnsi" w:hAnsiTheme="majorHAnsi" w:cstheme="majorHAnsi"/>
        </w:rPr>
        <w:t>For elementary education, introduced in 1995, the qualification of teachers continues to be an issue.  Many teachers engaged in the elementary level have not graduated from Year 12 and lack both content and teaching skills.</w:t>
      </w:r>
    </w:p>
  </w:footnote>
  <w:footnote w:id="16">
    <w:p w14:paraId="65DF7AD3" w14:textId="77777777" w:rsidR="009F310F" w:rsidRPr="0054524C" w:rsidRDefault="009F310F" w:rsidP="005821EE">
      <w:pPr>
        <w:pStyle w:val="FootnoteText"/>
        <w:spacing w:after="0" w:line="216" w:lineRule="auto"/>
        <w:rPr>
          <w:rFonts w:asciiTheme="majorHAnsi" w:hAnsiTheme="majorHAnsi" w:cstheme="majorHAnsi"/>
        </w:rPr>
      </w:pPr>
      <w:r w:rsidRPr="0054524C">
        <w:rPr>
          <w:rStyle w:val="FootnoteReference"/>
          <w:rFonts w:asciiTheme="majorHAnsi" w:hAnsiTheme="majorHAnsi" w:cstheme="majorHAnsi"/>
        </w:rPr>
        <w:footnoteRef/>
      </w:r>
      <w:r w:rsidRPr="0054524C">
        <w:rPr>
          <w:rFonts w:asciiTheme="majorHAnsi" w:hAnsiTheme="majorHAnsi" w:cstheme="majorHAnsi"/>
        </w:rPr>
        <w:t xml:space="preserve"> There is limited data on the enrolment, retention and achievement rates of children with disabilities in mainstream schools, but the E4P Draft Design document estimated that only 2 per cent of children with disabilities receive services from GoPNG, while what little support there is tends to be urban based and funded externally. The GoPNG National Lukautim Pikinini Policy 2017-2027 estimates that between 7-10% of the PNG population experience some form of disability, suggesting a large underserved population of children with disabilities.</w:t>
      </w:r>
    </w:p>
  </w:footnote>
  <w:footnote w:id="17">
    <w:p w14:paraId="4977D9ED" w14:textId="77777777" w:rsidR="009F310F" w:rsidRPr="003C2F2A" w:rsidRDefault="009F310F" w:rsidP="00B17E15">
      <w:pPr>
        <w:pStyle w:val="FootnoteText"/>
        <w:spacing w:after="0" w:line="216" w:lineRule="auto"/>
        <w:rPr>
          <w:rFonts w:asciiTheme="majorHAnsi" w:hAnsiTheme="majorHAnsi"/>
        </w:rPr>
      </w:pPr>
      <w:r w:rsidRPr="003C2F2A">
        <w:rPr>
          <w:rStyle w:val="FootnoteReference"/>
          <w:rFonts w:asciiTheme="majorHAnsi" w:hAnsiTheme="majorHAnsi"/>
        </w:rPr>
        <w:footnoteRef/>
      </w:r>
      <w:r w:rsidRPr="003C2F2A">
        <w:rPr>
          <w:rFonts w:asciiTheme="majorHAnsi" w:hAnsiTheme="majorHAnsi"/>
        </w:rPr>
        <w:t xml:space="preserve"> Abt Associates manages the PNG-Australia Governance Partnership under which the PPF Secretariat is situated.  The PPF Secretariat also provides management oversight and quality assurance to three grants for health.</w:t>
      </w:r>
    </w:p>
  </w:footnote>
  <w:footnote w:id="18">
    <w:p w14:paraId="15F03ACF" w14:textId="77777777" w:rsidR="009F310F" w:rsidRPr="003C2F2A" w:rsidRDefault="009F310F" w:rsidP="00B17E15">
      <w:pPr>
        <w:pStyle w:val="FootnoteText"/>
        <w:spacing w:after="0" w:line="216" w:lineRule="auto"/>
        <w:rPr>
          <w:rFonts w:asciiTheme="majorHAnsi" w:hAnsiTheme="majorHAnsi"/>
        </w:rPr>
      </w:pPr>
      <w:r w:rsidRPr="003C2F2A">
        <w:rPr>
          <w:rStyle w:val="FootnoteReference"/>
          <w:rFonts w:asciiTheme="majorHAnsi" w:hAnsiTheme="majorHAnsi"/>
        </w:rPr>
        <w:footnoteRef/>
      </w:r>
      <w:r w:rsidRPr="003C2F2A">
        <w:rPr>
          <w:rFonts w:asciiTheme="majorHAnsi" w:hAnsiTheme="majorHAnsi"/>
        </w:rPr>
        <w:t xml:space="preserve"> The PPF NOC is similar to a Program Steering Committee that is usually established to provide high-level strategic advice to program investments.</w:t>
      </w:r>
    </w:p>
  </w:footnote>
  <w:footnote w:id="19">
    <w:p w14:paraId="3C0CC548" w14:textId="77777777" w:rsidR="009F310F" w:rsidRDefault="009F310F" w:rsidP="00B17E15">
      <w:pPr>
        <w:pStyle w:val="FootnoteText"/>
        <w:spacing w:after="0" w:line="216" w:lineRule="auto"/>
      </w:pPr>
      <w:r>
        <w:rPr>
          <w:rStyle w:val="FootnoteReference"/>
        </w:rPr>
        <w:footnoteRef/>
      </w:r>
      <w:r>
        <w:t xml:space="preserve"> The use of the term ‘Aide-Memoire’ </w:t>
      </w:r>
      <w:r w:rsidRPr="00195B42">
        <w:t xml:space="preserve">generally refers </w:t>
      </w:r>
      <w:r>
        <w:t>to</w:t>
      </w:r>
      <w:r w:rsidRPr="00195B42">
        <w:t xml:space="preserve"> a document that is produced to summarise key findings and important recommendations of a</w:t>
      </w:r>
      <w:r>
        <w:t>n assessment, review or</w:t>
      </w:r>
      <w:r w:rsidRPr="00195B42">
        <w:t xml:space="preserve"> evaluation</w:t>
      </w:r>
      <w:r>
        <w:t>.</w:t>
      </w:r>
    </w:p>
  </w:footnote>
  <w:footnote w:id="20">
    <w:p w14:paraId="50F929D5" w14:textId="77777777" w:rsidR="009F310F" w:rsidRDefault="009F310F" w:rsidP="00B17E15">
      <w:pPr>
        <w:pStyle w:val="FootnoteText"/>
        <w:spacing w:after="0" w:line="216" w:lineRule="auto"/>
      </w:pPr>
      <w:r>
        <w:rPr>
          <w:rStyle w:val="FootnoteReference"/>
        </w:rPr>
        <w:footnoteRef/>
      </w:r>
      <w:r>
        <w:t xml:space="preserve"> </w:t>
      </w:r>
      <w:r w:rsidRPr="00953B20">
        <w:rPr>
          <w:rFonts w:asciiTheme="majorHAnsi" w:hAnsiTheme="majorHAnsi"/>
          <w:sz w:val="16"/>
        </w:rPr>
        <w:t>Implementation for the RISE and T4E project was less than two years at the time of the mid-term review, while PKS had implemented for only 15 months.</w:t>
      </w:r>
    </w:p>
  </w:footnote>
  <w:footnote w:id="21">
    <w:p w14:paraId="01C69F95" w14:textId="77777777" w:rsidR="009F310F" w:rsidRPr="00F906A1" w:rsidRDefault="009F310F" w:rsidP="00B17E15">
      <w:pPr>
        <w:pStyle w:val="FootnoteText"/>
        <w:spacing w:after="0" w:line="216" w:lineRule="auto"/>
        <w:rPr>
          <w:rFonts w:asciiTheme="majorHAnsi" w:hAnsiTheme="majorHAnsi"/>
          <w:sz w:val="17"/>
          <w:szCs w:val="17"/>
        </w:rPr>
      </w:pPr>
      <w:r w:rsidRPr="003C2F2A">
        <w:rPr>
          <w:rStyle w:val="FootnoteReference"/>
          <w:rFonts w:asciiTheme="majorHAnsi" w:hAnsiTheme="majorHAnsi"/>
        </w:rPr>
        <w:footnoteRef/>
      </w:r>
      <w:r w:rsidRPr="003C2F2A">
        <w:rPr>
          <w:rFonts w:asciiTheme="majorHAnsi" w:hAnsiTheme="majorHAnsi"/>
        </w:rPr>
        <w:t xml:space="preserve"> </w:t>
      </w:r>
      <w:r w:rsidRPr="00F906A1">
        <w:rPr>
          <w:rFonts w:asciiTheme="majorHAnsi" w:hAnsiTheme="majorHAnsi"/>
          <w:sz w:val="17"/>
          <w:szCs w:val="17"/>
        </w:rPr>
        <w:t>RISE and T4E began implementation in January 2018, while PKS began in September 2018.</w:t>
      </w:r>
    </w:p>
  </w:footnote>
  <w:footnote w:id="22">
    <w:p w14:paraId="2BDDE8E8" w14:textId="1E1CB4D6" w:rsidR="009F310F" w:rsidRPr="003B2316" w:rsidRDefault="009F310F" w:rsidP="003B2316">
      <w:pPr>
        <w:spacing w:line="240" w:lineRule="auto"/>
      </w:pPr>
      <w:r w:rsidRPr="00F906A1">
        <w:rPr>
          <w:rStyle w:val="FootnoteReference"/>
          <w:rFonts w:asciiTheme="majorHAnsi" w:hAnsiTheme="majorHAnsi"/>
          <w:sz w:val="17"/>
          <w:szCs w:val="17"/>
        </w:rPr>
        <w:footnoteRef/>
      </w:r>
      <w:r w:rsidRPr="00F906A1">
        <w:rPr>
          <w:rFonts w:asciiTheme="majorHAnsi" w:hAnsiTheme="majorHAnsi"/>
          <w:sz w:val="17"/>
          <w:szCs w:val="17"/>
        </w:rPr>
        <w:t xml:space="preserve"> </w:t>
      </w:r>
      <w:bookmarkStart w:id="65" w:name="_Hlk33101122"/>
      <w:r w:rsidRPr="0077168A">
        <w:rPr>
          <w:sz w:val="17"/>
          <w:szCs w:val="17"/>
        </w:rPr>
        <w:t>While the midline evaluation appeared to demonstrate some statistically significant results, the mid-term review team noted some areas for improvement of future evaluation design to be taken into consideration, such as more precise sampling and better evaluation administration (issues noted on p7 below).</w:t>
      </w:r>
      <w:r>
        <w:rPr>
          <w:sz w:val="17"/>
          <w:szCs w:val="17"/>
        </w:rPr>
        <w:t xml:space="preserve"> </w:t>
      </w:r>
      <w:bookmarkEnd w:id="65"/>
      <w:r>
        <w:rPr>
          <w:rFonts w:asciiTheme="majorHAnsi" w:hAnsiTheme="majorHAnsi"/>
          <w:sz w:val="17"/>
          <w:szCs w:val="17"/>
        </w:rPr>
        <w:t>Other results which are reported to be s</w:t>
      </w:r>
      <w:r w:rsidRPr="00A22822">
        <w:rPr>
          <w:rFonts w:asciiTheme="majorHAnsi" w:hAnsiTheme="majorHAnsi"/>
          <w:sz w:val="17"/>
          <w:szCs w:val="17"/>
        </w:rPr>
        <w:t xml:space="preserve">tatistically significant </w:t>
      </w:r>
      <w:r>
        <w:rPr>
          <w:rFonts w:asciiTheme="majorHAnsi" w:hAnsiTheme="majorHAnsi"/>
          <w:sz w:val="17"/>
          <w:szCs w:val="17"/>
        </w:rPr>
        <w:t>include</w:t>
      </w:r>
      <w:r w:rsidRPr="00A22822">
        <w:rPr>
          <w:rFonts w:asciiTheme="majorHAnsi" w:hAnsiTheme="majorHAnsi"/>
          <w:sz w:val="17"/>
          <w:szCs w:val="17"/>
        </w:rPr>
        <w:t xml:space="preserve"> </w:t>
      </w:r>
      <w:r>
        <w:rPr>
          <w:rFonts w:asciiTheme="majorHAnsi" w:hAnsiTheme="majorHAnsi"/>
          <w:sz w:val="17"/>
          <w:szCs w:val="17"/>
        </w:rPr>
        <w:t>overall girls’ numeracy in RISE provinces; overall literacy and numeracy in East Sepik Province (particularly for girls); and</w:t>
      </w:r>
      <w:r w:rsidRPr="00A22822">
        <w:rPr>
          <w:rFonts w:asciiTheme="majorHAnsi" w:hAnsiTheme="majorHAnsi"/>
          <w:sz w:val="17"/>
          <w:szCs w:val="17"/>
        </w:rPr>
        <w:t xml:space="preserve"> girls</w:t>
      </w:r>
      <w:r>
        <w:rPr>
          <w:rFonts w:asciiTheme="majorHAnsi" w:hAnsiTheme="majorHAnsi"/>
          <w:sz w:val="17"/>
          <w:szCs w:val="17"/>
        </w:rPr>
        <w:t>’</w:t>
      </w:r>
      <w:r w:rsidRPr="00A22822">
        <w:rPr>
          <w:rFonts w:asciiTheme="majorHAnsi" w:hAnsiTheme="majorHAnsi"/>
          <w:sz w:val="17"/>
          <w:szCs w:val="17"/>
        </w:rPr>
        <w:t xml:space="preserve"> numeracy</w:t>
      </w:r>
      <w:r>
        <w:rPr>
          <w:rFonts w:asciiTheme="majorHAnsi" w:hAnsiTheme="majorHAnsi"/>
          <w:sz w:val="17"/>
          <w:szCs w:val="17"/>
        </w:rPr>
        <w:t xml:space="preserve"> in the Autonomous Region of Bougainville. Other midline findings will need to be validated at end line, including: the added contribution of</w:t>
      </w:r>
      <w:r w:rsidRPr="00A22822">
        <w:rPr>
          <w:rFonts w:asciiTheme="majorHAnsi" w:hAnsiTheme="majorHAnsi"/>
          <w:sz w:val="17"/>
          <w:szCs w:val="17"/>
        </w:rPr>
        <w:t xml:space="preserve"> ECCE prior experience</w:t>
      </w:r>
      <w:r>
        <w:rPr>
          <w:rFonts w:asciiTheme="majorHAnsi" w:hAnsiTheme="majorHAnsi"/>
          <w:sz w:val="17"/>
          <w:szCs w:val="17"/>
        </w:rPr>
        <w:t xml:space="preserve"> and frequency of borrowing books to improve a child’s learning and the effect of</w:t>
      </w:r>
      <w:r w:rsidRPr="00A22822">
        <w:rPr>
          <w:rFonts w:asciiTheme="majorHAnsi" w:hAnsiTheme="majorHAnsi"/>
          <w:sz w:val="17"/>
          <w:szCs w:val="17"/>
        </w:rPr>
        <w:t xml:space="preserve"> socio-economic factors</w:t>
      </w:r>
      <w:r>
        <w:rPr>
          <w:rFonts w:asciiTheme="majorHAnsi" w:hAnsiTheme="majorHAnsi"/>
          <w:sz w:val="17"/>
          <w:szCs w:val="17"/>
        </w:rPr>
        <w:t>.</w:t>
      </w:r>
    </w:p>
  </w:footnote>
  <w:footnote w:id="23">
    <w:p w14:paraId="7B3CD050" w14:textId="77777777" w:rsidR="009F310F" w:rsidRPr="00F906A1" w:rsidRDefault="009F310F" w:rsidP="003B2316">
      <w:pPr>
        <w:pStyle w:val="FootnoteText"/>
        <w:spacing w:after="0" w:line="240" w:lineRule="auto"/>
        <w:rPr>
          <w:rFonts w:asciiTheme="majorHAnsi" w:hAnsiTheme="majorHAnsi"/>
          <w:sz w:val="17"/>
          <w:szCs w:val="17"/>
        </w:rPr>
      </w:pPr>
      <w:r w:rsidRPr="00A22822">
        <w:rPr>
          <w:rStyle w:val="FootnoteReference"/>
        </w:rPr>
        <w:footnoteRef/>
      </w:r>
      <w:r w:rsidRPr="00F906A1">
        <w:rPr>
          <w:rFonts w:asciiTheme="majorHAnsi" w:hAnsiTheme="majorHAnsi"/>
          <w:sz w:val="17"/>
          <w:szCs w:val="17"/>
        </w:rPr>
        <w:t xml:space="preserve"> Data is derived from the Midline Evaluation Reports for RISE and T4E. Midline evaluations were conducted early 2019. Final reports were prepared in July for RISE and August for T4E.</w:t>
      </w:r>
    </w:p>
  </w:footnote>
  <w:footnote w:id="24">
    <w:p w14:paraId="67108A91" w14:textId="77777777" w:rsidR="009F310F" w:rsidRPr="00A22822" w:rsidRDefault="009F310F" w:rsidP="003B2316">
      <w:pPr>
        <w:pStyle w:val="FootnoteText"/>
        <w:spacing w:after="0" w:line="240" w:lineRule="auto"/>
        <w:rPr>
          <w:rFonts w:asciiTheme="majorHAnsi" w:hAnsiTheme="majorHAnsi"/>
          <w:sz w:val="17"/>
          <w:szCs w:val="17"/>
        </w:rPr>
      </w:pPr>
      <w:r w:rsidRPr="00A22822">
        <w:rPr>
          <w:rStyle w:val="FootnoteReference"/>
        </w:rPr>
        <w:footnoteRef/>
      </w:r>
      <w:r w:rsidRPr="00A22822">
        <w:rPr>
          <w:rStyle w:val="FootnoteReference"/>
        </w:rPr>
        <w:t xml:space="preserve"> </w:t>
      </w:r>
      <w:r w:rsidRPr="00F906A1">
        <w:rPr>
          <w:rFonts w:asciiTheme="majorHAnsi" w:hAnsiTheme="majorHAnsi"/>
          <w:sz w:val="17"/>
          <w:szCs w:val="17"/>
        </w:rPr>
        <w:t>A midline evaluation was not conducted for PKS due to the later implementation start.</w:t>
      </w:r>
    </w:p>
  </w:footnote>
  <w:footnote w:id="25">
    <w:p w14:paraId="00A0C01C" w14:textId="77777777" w:rsidR="009F310F" w:rsidRPr="00F906A1" w:rsidRDefault="009F310F" w:rsidP="003B2316">
      <w:pPr>
        <w:pStyle w:val="FootnoteText"/>
        <w:spacing w:after="0" w:line="240" w:lineRule="auto"/>
        <w:rPr>
          <w:rFonts w:asciiTheme="majorHAnsi" w:hAnsiTheme="majorHAnsi"/>
          <w:sz w:val="17"/>
          <w:szCs w:val="17"/>
        </w:rPr>
      </w:pPr>
      <w:r w:rsidRPr="00A22822">
        <w:rPr>
          <w:rStyle w:val="FootnoteReference"/>
          <w:rFonts w:asciiTheme="majorHAnsi" w:hAnsiTheme="majorHAnsi"/>
          <w:sz w:val="17"/>
          <w:szCs w:val="17"/>
        </w:rPr>
        <w:footnoteRef/>
      </w:r>
      <w:r w:rsidRPr="00F906A1">
        <w:rPr>
          <w:rFonts w:asciiTheme="majorHAnsi" w:hAnsiTheme="majorHAnsi"/>
          <w:sz w:val="17"/>
          <w:szCs w:val="17"/>
        </w:rPr>
        <w:t xml:space="preserve"> The percentages reported in the table were derived from calculating an average of all scores on literacy elements.</w:t>
      </w:r>
    </w:p>
  </w:footnote>
  <w:footnote w:id="26">
    <w:p w14:paraId="31F6A713" w14:textId="77777777" w:rsidR="009F310F" w:rsidRPr="00F906A1" w:rsidRDefault="009F310F" w:rsidP="003B2316">
      <w:pPr>
        <w:pStyle w:val="FootnoteText"/>
        <w:tabs>
          <w:tab w:val="left" w:pos="2490"/>
        </w:tabs>
        <w:spacing w:after="0" w:line="240" w:lineRule="auto"/>
        <w:rPr>
          <w:rFonts w:asciiTheme="majorHAnsi" w:hAnsiTheme="majorHAnsi"/>
          <w:sz w:val="17"/>
          <w:szCs w:val="17"/>
        </w:rPr>
      </w:pPr>
      <w:r w:rsidRPr="00F906A1">
        <w:rPr>
          <w:rStyle w:val="FootnoteReference"/>
          <w:rFonts w:asciiTheme="majorHAnsi" w:hAnsiTheme="majorHAnsi"/>
          <w:sz w:val="17"/>
          <w:szCs w:val="17"/>
        </w:rPr>
        <w:footnoteRef/>
      </w:r>
      <w:r w:rsidRPr="00F906A1">
        <w:rPr>
          <w:rFonts w:asciiTheme="majorHAnsi" w:hAnsiTheme="majorHAnsi"/>
          <w:sz w:val="17"/>
          <w:szCs w:val="17"/>
        </w:rPr>
        <w:t xml:space="preserve"> Statistically significant means that the result is not attributed to chance and that the result can be reasonably attributed to the effect of an intervention. Statistical significance indicates whether research results are meaningful or if the results are due to chance.</w:t>
      </w:r>
    </w:p>
  </w:footnote>
  <w:footnote w:id="27">
    <w:p w14:paraId="5E744085" w14:textId="77777777" w:rsidR="009F310F" w:rsidRPr="003C2F2A" w:rsidRDefault="009F310F" w:rsidP="003B2316">
      <w:pPr>
        <w:pStyle w:val="FootnoteText"/>
        <w:spacing w:after="0" w:line="240" w:lineRule="auto"/>
        <w:rPr>
          <w:rFonts w:asciiTheme="majorHAnsi" w:hAnsiTheme="majorHAnsi"/>
        </w:rPr>
      </w:pPr>
      <w:r w:rsidRPr="00F906A1">
        <w:rPr>
          <w:rStyle w:val="FootnoteReference"/>
          <w:rFonts w:asciiTheme="majorHAnsi" w:hAnsiTheme="majorHAnsi"/>
          <w:sz w:val="17"/>
          <w:szCs w:val="17"/>
        </w:rPr>
        <w:footnoteRef/>
      </w:r>
      <w:r w:rsidRPr="00F906A1">
        <w:rPr>
          <w:rFonts w:asciiTheme="majorHAnsi" w:hAnsiTheme="majorHAnsi"/>
          <w:sz w:val="17"/>
          <w:szCs w:val="17"/>
        </w:rPr>
        <w:t xml:space="preserve"> The percentages reported in the table were derived from calculating an average of all scores on numeracy elements</w:t>
      </w:r>
      <w:r w:rsidRPr="003C2F2A">
        <w:rPr>
          <w:rFonts w:asciiTheme="majorHAnsi" w:hAnsiTheme="majorHAnsi"/>
        </w:rPr>
        <w:t>.</w:t>
      </w:r>
    </w:p>
  </w:footnote>
  <w:footnote w:id="28">
    <w:p w14:paraId="2CDC11A3" w14:textId="77777777" w:rsidR="009F310F" w:rsidRPr="003C2F2A" w:rsidRDefault="009F310F" w:rsidP="00B17E15">
      <w:pPr>
        <w:pStyle w:val="FootnoteText"/>
        <w:spacing w:after="0" w:line="216" w:lineRule="auto"/>
        <w:rPr>
          <w:rFonts w:asciiTheme="majorHAnsi" w:hAnsiTheme="majorHAnsi" w:cstheme="majorHAnsi"/>
        </w:rPr>
      </w:pPr>
      <w:r w:rsidRPr="003C2F2A">
        <w:rPr>
          <w:rStyle w:val="FootnoteReference"/>
          <w:rFonts w:asciiTheme="majorHAnsi" w:hAnsiTheme="majorHAnsi" w:cstheme="majorHAnsi"/>
        </w:rPr>
        <w:footnoteRef/>
      </w:r>
      <w:r w:rsidRPr="003C2F2A">
        <w:rPr>
          <w:rFonts w:asciiTheme="majorHAnsi" w:hAnsiTheme="majorHAnsi" w:cstheme="majorHAnsi"/>
        </w:rPr>
        <w:t xml:space="preserve"> This is particularly true for PKS, which has been implementing for less than 15 months at the time of the review.</w:t>
      </w:r>
    </w:p>
  </w:footnote>
  <w:footnote w:id="29">
    <w:p w14:paraId="119D57CF" w14:textId="77777777" w:rsidR="009F310F" w:rsidRPr="003C2F2A" w:rsidRDefault="009F310F" w:rsidP="00B17E15">
      <w:pPr>
        <w:pStyle w:val="FootnoteText"/>
        <w:spacing w:after="0" w:line="216" w:lineRule="auto"/>
        <w:rPr>
          <w:rFonts w:asciiTheme="majorHAnsi" w:hAnsiTheme="majorHAnsi"/>
        </w:rPr>
      </w:pPr>
      <w:r w:rsidRPr="003C2F2A">
        <w:rPr>
          <w:rStyle w:val="FootnoteReference"/>
          <w:rFonts w:asciiTheme="majorHAnsi" w:hAnsiTheme="majorHAnsi"/>
        </w:rPr>
        <w:footnoteRef/>
      </w:r>
      <w:r w:rsidRPr="003C2F2A">
        <w:rPr>
          <w:rFonts w:asciiTheme="majorHAnsi" w:hAnsiTheme="majorHAnsi"/>
        </w:rPr>
        <w:t xml:space="preserve"> </w:t>
      </w:r>
      <w:r w:rsidRPr="003C2F2A">
        <w:rPr>
          <w:rFonts w:asciiTheme="majorHAnsi" w:hAnsiTheme="majorHAnsi" w:cs="Calibri"/>
          <w:szCs w:val="20"/>
        </w:rPr>
        <w:t>Annual targets for RISE and T4E are identified. PKS reports do not provide annual targets.</w:t>
      </w:r>
    </w:p>
  </w:footnote>
  <w:footnote w:id="30">
    <w:p w14:paraId="5C3E5F83" w14:textId="77777777" w:rsidR="009F310F" w:rsidRPr="003C2F2A" w:rsidRDefault="009F310F" w:rsidP="00B17E15">
      <w:pPr>
        <w:pStyle w:val="FootnoteText"/>
        <w:spacing w:after="0" w:line="216" w:lineRule="auto"/>
        <w:rPr>
          <w:rFonts w:asciiTheme="majorHAnsi" w:hAnsiTheme="majorHAnsi"/>
        </w:rPr>
      </w:pPr>
      <w:r w:rsidRPr="003C2F2A">
        <w:rPr>
          <w:rStyle w:val="FootnoteReference"/>
          <w:rFonts w:asciiTheme="majorHAnsi" w:hAnsiTheme="majorHAnsi"/>
        </w:rPr>
        <w:footnoteRef/>
      </w:r>
      <w:r w:rsidRPr="003C2F2A">
        <w:rPr>
          <w:rFonts w:asciiTheme="majorHAnsi" w:hAnsiTheme="majorHAnsi"/>
        </w:rPr>
        <w:t xml:space="preserve"> </w:t>
      </w:r>
      <w:r w:rsidRPr="003C2F2A">
        <w:rPr>
          <w:rFonts w:asciiTheme="majorHAnsi" w:hAnsiTheme="majorHAnsi" w:cs="Calibri"/>
          <w:szCs w:val="20"/>
        </w:rPr>
        <w:t>PKS data is based on a presentation of progress to date made to the review team in November 2019.</w:t>
      </w:r>
    </w:p>
  </w:footnote>
  <w:footnote w:id="31">
    <w:p w14:paraId="3D4AA84C" w14:textId="77777777" w:rsidR="009F310F" w:rsidRPr="003C2F2A" w:rsidRDefault="009F310F" w:rsidP="00B17E15">
      <w:pPr>
        <w:pStyle w:val="FootnoteText"/>
        <w:spacing w:after="0" w:line="216" w:lineRule="auto"/>
        <w:rPr>
          <w:rFonts w:asciiTheme="majorHAnsi" w:hAnsiTheme="majorHAnsi"/>
        </w:rPr>
      </w:pPr>
      <w:r w:rsidRPr="003C2F2A">
        <w:rPr>
          <w:rStyle w:val="FootnoteReference"/>
          <w:rFonts w:asciiTheme="majorHAnsi" w:hAnsiTheme="majorHAnsi"/>
        </w:rPr>
        <w:footnoteRef/>
      </w:r>
      <w:r w:rsidRPr="003C2F2A">
        <w:rPr>
          <w:rFonts w:asciiTheme="majorHAnsi" w:hAnsiTheme="majorHAnsi"/>
        </w:rPr>
        <w:t xml:space="preserve"> Percentages have been calculated by averaging scores on different elements to measure application of different teaching strategies.</w:t>
      </w:r>
    </w:p>
  </w:footnote>
  <w:footnote w:id="32">
    <w:p w14:paraId="2513536F" w14:textId="77777777" w:rsidR="009F310F" w:rsidRPr="003C2F2A" w:rsidRDefault="009F310F" w:rsidP="00B17E15">
      <w:pPr>
        <w:pStyle w:val="FootnoteText"/>
        <w:spacing w:after="0" w:line="216" w:lineRule="auto"/>
        <w:rPr>
          <w:rFonts w:asciiTheme="majorHAnsi" w:hAnsiTheme="majorHAnsi"/>
        </w:rPr>
      </w:pPr>
      <w:r w:rsidRPr="003C2F2A">
        <w:rPr>
          <w:rStyle w:val="FootnoteReference"/>
          <w:rFonts w:asciiTheme="majorHAnsi" w:hAnsiTheme="majorHAnsi"/>
        </w:rPr>
        <w:footnoteRef/>
      </w:r>
      <w:r w:rsidRPr="003C2F2A">
        <w:rPr>
          <w:rFonts w:asciiTheme="majorHAnsi" w:hAnsiTheme="majorHAnsi"/>
        </w:rPr>
        <w:t xml:space="preserve"> </w:t>
      </w:r>
      <w:r w:rsidRPr="003C2F2A">
        <w:rPr>
          <w:rFonts w:asciiTheme="majorHAnsi" w:hAnsiTheme="majorHAnsi" w:cs="Calibri"/>
          <w:szCs w:val="20"/>
        </w:rPr>
        <w:t>Annual targets for RISE and T4E are identified. PKS reports do not provide annual targets.</w:t>
      </w:r>
    </w:p>
  </w:footnote>
  <w:footnote w:id="33">
    <w:p w14:paraId="71748603" w14:textId="77777777" w:rsidR="009F310F" w:rsidRPr="003C2F2A" w:rsidRDefault="009F310F" w:rsidP="00B17E15">
      <w:pPr>
        <w:pStyle w:val="FootnoteText"/>
        <w:spacing w:after="0" w:line="216" w:lineRule="auto"/>
        <w:rPr>
          <w:rFonts w:asciiTheme="majorHAnsi" w:hAnsiTheme="majorHAnsi"/>
        </w:rPr>
      </w:pPr>
      <w:r w:rsidRPr="003C2F2A">
        <w:rPr>
          <w:rStyle w:val="FootnoteReference"/>
          <w:rFonts w:asciiTheme="majorHAnsi" w:hAnsiTheme="majorHAnsi"/>
        </w:rPr>
        <w:footnoteRef/>
      </w:r>
      <w:r w:rsidRPr="003C2F2A">
        <w:rPr>
          <w:rFonts w:asciiTheme="majorHAnsi" w:hAnsiTheme="majorHAnsi"/>
        </w:rPr>
        <w:t xml:space="preserve"> </w:t>
      </w:r>
      <w:r w:rsidRPr="003C2F2A">
        <w:rPr>
          <w:rFonts w:asciiTheme="majorHAnsi" w:hAnsiTheme="majorHAnsi" w:cs="Calibri"/>
          <w:szCs w:val="20"/>
        </w:rPr>
        <w:t>PKS data is based on a presentation of progress to date made to the review team in November 2019.</w:t>
      </w:r>
    </w:p>
  </w:footnote>
  <w:footnote w:id="34">
    <w:p w14:paraId="1E46263D" w14:textId="1BC403FC" w:rsidR="009F310F" w:rsidRPr="003C2F2A" w:rsidRDefault="009F310F" w:rsidP="00B17E15">
      <w:pPr>
        <w:pStyle w:val="NormalWeb"/>
        <w:shd w:val="clear" w:color="auto" w:fill="FFFFFF"/>
        <w:spacing w:before="0" w:beforeAutospacing="0" w:after="0" w:afterAutospacing="0" w:line="216" w:lineRule="auto"/>
        <w:rPr>
          <w:rFonts w:asciiTheme="majorHAnsi" w:eastAsiaTheme="minorHAnsi" w:hAnsiTheme="majorHAnsi" w:cstheme="minorBidi"/>
          <w:sz w:val="18"/>
          <w:lang w:val="en-AU"/>
        </w:rPr>
      </w:pPr>
      <w:r w:rsidRPr="003C2F2A">
        <w:rPr>
          <w:rStyle w:val="FootnoteReference"/>
          <w:rFonts w:asciiTheme="majorHAnsi" w:eastAsiaTheme="minorHAnsi" w:hAnsiTheme="majorHAnsi" w:cstheme="minorBidi"/>
          <w:sz w:val="18"/>
          <w:lang w:val="en-AU"/>
        </w:rPr>
        <w:footnoteRef/>
      </w:r>
      <w:r w:rsidRPr="003C2F2A">
        <w:rPr>
          <w:rFonts w:asciiTheme="majorHAnsi" w:hAnsiTheme="majorHAnsi"/>
        </w:rPr>
        <w:t xml:space="preserve"> </w:t>
      </w:r>
      <w:r w:rsidRPr="003C2F2A">
        <w:rPr>
          <w:rFonts w:asciiTheme="majorHAnsi" w:eastAsiaTheme="minorHAnsi" w:hAnsiTheme="majorHAnsi" w:cstheme="minorBidi"/>
          <w:sz w:val="18"/>
          <w:lang w:val="en-AU"/>
        </w:rPr>
        <w:t>The Bloom Reader uses the Summer Institute of Linguistics software to easily develop reading materials in different languages and adaptable to different contexts. The reading materials are uploaded to a mobile application and can be used to create ‘talking books’</w:t>
      </w:r>
      <w:r>
        <w:rPr>
          <w:rFonts w:asciiTheme="majorHAnsi" w:eastAsiaTheme="minorHAnsi" w:hAnsiTheme="majorHAnsi" w:cstheme="minorBidi"/>
          <w:sz w:val="18"/>
          <w:lang w:val="en-AU"/>
        </w:rPr>
        <w:t>.</w:t>
      </w:r>
    </w:p>
  </w:footnote>
  <w:footnote w:id="35">
    <w:p w14:paraId="0435C376" w14:textId="77777777" w:rsidR="009F310F" w:rsidRPr="003C2F2A" w:rsidRDefault="009F310F" w:rsidP="00B17E15">
      <w:pPr>
        <w:pStyle w:val="FootnoteText"/>
        <w:spacing w:after="0" w:line="216" w:lineRule="auto"/>
        <w:rPr>
          <w:rFonts w:asciiTheme="majorHAnsi" w:hAnsiTheme="majorHAnsi"/>
        </w:rPr>
      </w:pPr>
      <w:r w:rsidRPr="003C2F2A">
        <w:rPr>
          <w:rStyle w:val="FootnoteReference"/>
          <w:rFonts w:asciiTheme="majorHAnsi" w:hAnsiTheme="majorHAnsi"/>
        </w:rPr>
        <w:footnoteRef/>
      </w:r>
      <w:r w:rsidRPr="003C2F2A">
        <w:rPr>
          <w:rFonts w:asciiTheme="majorHAnsi" w:hAnsiTheme="majorHAnsi"/>
        </w:rPr>
        <w:t xml:space="preserve"> Education for Life kits are an adaptation of the Bloom Reader mobile application that has been developed by SIL. While the Bloom Reader application is intended for use on a mobile phone, the Education for Life kit comes with a solar panel and projector to allow the Bloom Reader to be used in a classroom setting.</w:t>
      </w:r>
    </w:p>
  </w:footnote>
  <w:footnote w:id="36">
    <w:p w14:paraId="1D983C6B" w14:textId="77777777" w:rsidR="009F310F" w:rsidRPr="003C2F2A" w:rsidRDefault="009F310F" w:rsidP="00B17E15">
      <w:pPr>
        <w:pStyle w:val="FootnoteText"/>
        <w:spacing w:after="0" w:line="216" w:lineRule="auto"/>
        <w:rPr>
          <w:rFonts w:asciiTheme="majorHAnsi" w:hAnsiTheme="majorHAnsi" w:cstheme="majorHAnsi"/>
        </w:rPr>
      </w:pPr>
      <w:r w:rsidRPr="003C2F2A">
        <w:rPr>
          <w:rStyle w:val="FootnoteReference"/>
          <w:rFonts w:asciiTheme="majorHAnsi" w:hAnsiTheme="majorHAnsi"/>
        </w:rPr>
        <w:footnoteRef/>
      </w:r>
      <w:r w:rsidRPr="003C2F2A">
        <w:rPr>
          <w:rFonts w:asciiTheme="majorHAnsi" w:hAnsiTheme="majorHAnsi"/>
        </w:rPr>
        <w:t xml:space="preserve"> The ‘</w:t>
      </w:r>
      <w:r w:rsidRPr="003C2F2A">
        <w:rPr>
          <w:rFonts w:asciiTheme="majorHAnsi" w:hAnsiTheme="majorHAnsi" w:cstheme="majorHAnsi"/>
        </w:rPr>
        <w:t>Reach and Match’ kit is an educational package of learning aids to empower children with special needs by developing essential childhood skills including cognitive, motor, social and communication skills.</w:t>
      </w:r>
    </w:p>
  </w:footnote>
  <w:footnote w:id="37">
    <w:p w14:paraId="74529156" w14:textId="77777777" w:rsidR="009F310F" w:rsidRPr="003C2F2A" w:rsidRDefault="009F310F" w:rsidP="00B17E15">
      <w:pPr>
        <w:pStyle w:val="FootnoteText"/>
        <w:spacing w:after="0" w:line="216" w:lineRule="auto"/>
        <w:rPr>
          <w:rFonts w:asciiTheme="majorHAnsi" w:hAnsiTheme="majorHAnsi" w:cstheme="majorHAnsi"/>
        </w:rPr>
      </w:pPr>
      <w:r w:rsidRPr="003C2F2A">
        <w:rPr>
          <w:rStyle w:val="FootnoteReference"/>
          <w:rFonts w:asciiTheme="majorHAnsi" w:hAnsiTheme="majorHAnsi"/>
        </w:rPr>
        <w:footnoteRef/>
      </w:r>
      <w:r w:rsidRPr="003C2F2A">
        <w:rPr>
          <w:rFonts w:asciiTheme="majorHAnsi" w:hAnsiTheme="majorHAnsi"/>
        </w:rPr>
        <w:t xml:space="preserve"> Library for All (LfA) </w:t>
      </w:r>
      <w:r w:rsidRPr="003C2F2A">
        <w:rPr>
          <w:rFonts w:asciiTheme="majorHAnsi" w:hAnsiTheme="majorHAnsi" w:cstheme="majorHAnsi"/>
        </w:rPr>
        <w:t>comprises 500 locally written, high quality readers for early grades. The readers have been produced in print and loaded onto tablets in electronic form. The e-versions are being trialled in 12 schools.</w:t>
      </w:r>
    </w:p>
  </w:footnote>
  <w:footnote w:id="38">
    <w:p w14:paraId="1E9E807D" w14:textId="77777777" w:rsidR="009F310F" w:rsidRPr="003C2F2A" w:rsidRDefault="009F310F" w:rsidP="00B17E15">
      <w:pPr>
        <w:pStyle w:val="FootnoteText"/>
        <w:spacing w:after="0" w:line="216" w:lineRule="auto"/>
        <w:rPr>
          <w:rFonts w:asciiTheme="majorHAnsi" w:hAnsiTheme="majorHAnsi" w:cstheme="majorHAnsi"/>
        </w:rPr>
      </w:pPr>
      <w:r w:rsidRPr="003C2F2A">
        <w:rPr>
          <w:rStyle w:val="FootnoteReference"/>
          <w:rFonts w:asciiTheme="majorHAnsi" w:hAnsiTheme="majorHAnsi" w:cstheme="majorHAnsi"/>
        </w:rPr>
        <w:footnoteRef/>
      </w:r>
      <w:r w:rsidRPr="003C2F2A">
        <w:rPr>
          <w:rFonts w:asciiTheme="majorHAnsi" w:hAnsiTheme="majorHAnsi" w:cstheme="majorHAnsi"/>
        </w:rPr>
        <w:t xml:space="preserve"> RISE did not have interventions targeting improvement in school management.</w:t>
      </w:r>
    </w:p>
  </w:footnote>
  <w:footnote w:id="39">
    <w:p w14:paraId="41B3F2C8" w14:textId="77777777" w:rsidR="009F310F" w:rsidRPr="003C2F2A" w:rsidRDefault="009F310F" w:rsidP="00B17E15">
      <w:pPr>
        <w:pStyle w:val="FootnoteText"/>
        <w:spacing w:after="0" w:line="216" w:lineRule="auto"/>
        <w:rPr>
          <w:rFonts w:asciiTheme="majorHAnsi" w:hAnsiTheme="majorHAnsi"/>
        </w:rPr>
      </w:pPr>
      <w:r w:rsidRPr="003C2F2A">
        <w:rPr>
          <w:rStyle w:val="FootnoteReference"/>
          <w:rFonts w:asciiTheme="majorHAnsi" w:hAnsiTheme="majorHAnsi"/>
        </w:rPr>
        <w:footnoteRef/>
      </w:r>
      <w:r w:rsidRPr="003C2F2A">
        <w:rPr>
          <w:rFonts w:asciiTheme="majorHAnsi" w:hAnsiTheme="majorHAnsi"/>
        </w:rPr>
        <w:t xml:space="preserve"> </w:t>
      </w:r>
      <w:r w:rsidRPr="003C2F2A">
        <w:rPr>
          <w:rFonts w:asciiTheme="majorHAnsi" w:hAnsiTheme="majorHAnsi" w:cs="Calibri"/>
          <w:szCs w:val="20"/>
        </w:rPr>
        <w:t>Annual targets for RISE and T4E are identified. PKS reports do not provide annual targets.</w:t>
      </w:r>
    </w:p>
  </w:footnote>
  <w:footnote w:id="40">
    <w:p w14:paraId="2F75C56A" w14:textId="77777777" w:rsidR="009F310F" w:rsidRPr="003C2F2A" w:rsidRDefault="009F310F" w:rsidP="00B17E15">
      <w:pPr>
        <w:pStyle w:val="FootnoteText"/>
        <w:spacing w:after="0" w:line="216" w:lineRule="auto"/>
        <w:rPr>
          <w:rFonts w:asciiTheme="majorHAnsi" w:hAnsiTheme="majorHAnsi"/>
        </w:rPr>
      </w:pPr>
      <w:r w:rsidRPr="003C2F2A">
        <w:rPr>
          <w:rStyle w:val="FootnoteReference"/>
          <w:rFonts w:asciiTheme="majorHAnsi" w:hAnsiTheme="majorHAnsi"/>
        </w:rPr>
        <w:footnoteRef/>
      </w:r>
      <w:r w:rsidRPr="003C2F2A">
        <w:rPr>
          <w:rFonts w:asciiTheme="majorHAnsi" w:hAnsiTheme="majorHAnsi"/>
        </w:rPr>
        <w:t xml:space="preserve"> </w:t>
      </w:r>
      <w:r w:rsidRPr="003C2F2A">
        <w:rPr>
          <w:rFonts w:asciiTheme="majorHAnsi" w:hAnsiTheme="majorHAnsi" w:cs="Calibri"/>
          <w:szCs w:val="20"/>
        </w:rPr>
        <w:t>PKS data is based on a presentation of progress to date made to the review team in November 2019.</w:t>
      </w:r>
    </w:p>
  </w:footnote>
  <w:footnote w:id="41">
    <w:p w14:paraId="5423366B" w14:textId="77777777" w:rsidR="009F310F" w:rsidRPr="003C2F2A" w:rsidRDefault="009F310F" w:rsidP="00B17E15">
      <w:pPr>
        <w:pStyle w:val="FootnoteText"/>
        <w:spacing w:after="0" w:line="216" w:lineRule="auto"/>
        <w:rPr>
          <w:rFonts w:asciiTheme="majorHAnsi" w:hAnsiTheme="majorHAnsi"/>
        </w:rPr>
      </w:pPr>
      <w:r w:rsidRPr="003C2F2A">
        <w:rPr>
          <w:rStyle w:val="FootnoteReference"/>
          <w:rFonts w:asciiTheme="majorHAnsi" w:hAnsiTheme="majorHAnsi"/>
        </w:rPr>
        <w:footnoteRef/>
      </w:r>
      <w:r w:rsidRPr="003C2F2A">
        <w:rPr>
          <w:rFonts w:asciiTheme="majorHAnsi" w:hAnsiTheme="majorHAnsi"/>
        </w:rPr>
        <w:t xml:space="preserve"> The International Development and Early Learning Assessment is an early childhood development assessment developed by StC.  The assessment has been developed for global application and was released for use in 2014.</w:t>
      </w:r>
    </w:p>
  </w:footnote>
  <w:footnote w:id="42">
    <w:p w14:paraId="65EB8893" w14:textId="77777777" w:rsidR="009F310F" w:rsidRPr="00A16F03" w:rsidRDefault="009F310F" w:rsidP="00B17E15">
      <w:pPr>
        <w:pStyle w:val="FootnoteText"/>
        <w:spacing w:after="0" w:line="216" w:lineRule="auto"/>
        <w:jc w:val="left"/>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‘Innovation’ as defined by DFAT’s Innovation Strategy 2018-2021: Seizing Opportunities, Solving Challenges. “We define innovation as the applicati</w:t>
      </w:r>
      <w:r w:rsidRPr="00A16F03">
        <w:rPr>
          <w:rFonts w:asciiTheme="majorHAnsi" w:hAnsiTheme="majorHAnsi" w:cstheme="majorHAnsi"/>
          <w:szCs w:val="18"/>
        </w:rPr>
        <w:t xml:space="preserve">on of a new approach that creates a positive impact that is significantly greater than can be realised through current practice”. </w:t>
      </w:r>
      <w:hyperlink r:id="rId1" w:history="1">
        <w:r w:rsidRPr="00A16F03">
          <w:rPr>
            <w:rStyle w:val="Hyperlink"/>
            <w:rFonts w:asciiTheme="majorHAnsi" w:hAnsiTheme="majorHAnsi" w:cstheme="majorHAnsi"/>
            <w:i/>
            <w:iCs/>
            <w:szCs w:val="18"/>
          </w:rPr>
          <w:t>https://d3qlm9hpgjc8os.cloudfront.net/wp-content/uploads/2018/07/03095158/DFAT-Innovation-Strategy-FINAL.pdf</w:t>
        </w:r>
      </w:hyperlink>
    </w:p>
  </w:footnote>
  <w:footnote w:id="43">
    <w:p w14:paraId="0A6E684C" w14:textId="7DDCB3F9" w:rsidR="009F310F" w:rsidRDefault="009F310F">
      <w:pPr>
        <w:pStyle w:val="FootnoteText"/>
      </w:pPr>
      <w:r>
        <w:rPr>
          <w:rStyle w:val="FootnoteReference"/>
        </w:rPr>
        <w:footnoteRef/>
      </w:r>
      <w:r>
        <w:t xml:space="preserve"> Refer footnote 42 above.</w:t>
      </w:r>
    </w:p>
  </w:footnote>
  <w:footnote w:id="44">
    <w:p w14:paraId="48A3D472" w14:textId="77777777" w:rsidR="009F310F" w:rsidRPr="00CC511A" w:rsidRDefault="009F310F" w:rsidP="00B17E15">
      <w:pPr>
        <w:pStyle w:val="FootnoteText"/>
        <w:spacing w:after="0" w:line="216" w:lineRule="auto"/>
        <w:rPr>
          <w:rFonts w:asciiTheme="majorHAnsi" w:hAnsiTheme="majorHAnsi" w:cstheme="majorHAnsi"/>
        </w:rPr>
      </w:pPr>
      <w:r w:rsidRPr="00CC511A">
        <w:rPr>
          <w:rStyle w:val="FootnoteReference"/>
          <w:rFonts w:asciiTheme="majorHAnsi" w:hAnsiTheme="majorHAnsi" w:cstheme="majorHAnsi"/>
        </w:rPr>
        <w:footnoteRef/>
      </w:r>
      <w:r w:rsidRPr="00CC511A">
        <w:rPr>
          <w:rFonts w:asciiTheme="majorHAnsi" w:hAnsiTheme="majorHAnsi" w:cstheme="majorHAnsi"/>
        </w:rPr>
        <w:t xml:space="preserve"> The Reach and Match (Braille Learning and Sensory Plan Mat) kit is an education package designed to empower children with special needs by developing cognitive, motor, social and communication skills. It has been used in other settings to enhance social inclusion skills, including post-conflict situations.</w:t>
      </w:r>
    </w:p>
  </w:footnote>
  <w:footnote w:id="45">
    <w:p w14:paraId="5019F307" w14:textId="77777777" w:rsidR="009F310F" w:rsidRPr="003C2F2A" w:rsidRDefault="009F310F" w:rsidP="00B17E15">
      <w:pPr>
        <w:pStyle w:val="FootnoteText"/>
        <w:spacing w:after="0" w:line="216" w:lineRule="auto"/>
        <w:rPr>
          <w:rFonts w:asciiTheme="majorHAnsi" w:hAnsiTheme="majorHAnsi" w:cstheme="majorHAnsi"/>
        </w:rPr>
      </w:pPr>
      <w:r w:rsidRPr="00CC511A">
        <w:rPr>
          <w:rStyle w:val="FootnoteReference"/>
          <w:rFonts w:asciiTheme="majorHAnsi" w:hAnsiTheme="majorHAnsi" w:cstheme="majorHAnsi"/>
        </w:rPr>
        <w:footnoteRef/>
      </w:r>
      <w:r w:rsidRPr="00CC511A">
        <w:rPr>
          <w:rFonts w:asciiTheme="majorHAnsi" w:hAnsiTheme="majorHAnsi" w:cstheme="majorHAnsi"/>
        </w:rPr>
        <w:t xml:space="preserve"> The CIMC was established in 1998 by the National Executive Council in response to a call by the private sector and civil society to provide a mechanism to engage with government policy and decision-making. The CIMC is administered by the Institute of National </w:t>
      </w:r>
      <w:r w:rsidRPr="003C2F2A">
        <w:rPr>
          <w:rFonts w:asciiTheme="majorHAnsi" w:hAnsiTheme="majorHAnsi" w:cstheme="majorHAnsi"/>
        </w:rPr>
        <w:t>Affairs (a private non-profit research centre), chaired by the Minister for National Planning and Monitoring, and reporting to the National Executive Council.</w:t>
      </w:r>
    </w:p>
  </w:footnote>
  <w:footnote w:id="46">
    <w:p w14:paraId="0E8D36AD" w14:textId="77777777" w:rsidR="009F310F" w:rsidRPr="003C2F2A" w:rsidRDefault="009F310F" w:rsidP="00B17E15">
      <w:pPr>
        <w:pStyle w:val="FootnoteText"/>
        <w:spacing w:after="0" w:line="216" w:lineRule="auto"/>
        <w:rPr>
          <w:rFonts w:asciiTheme="majorHAnsi" w:hAnsiTheme="majorHAnsi"/>
        </w:rPr>
      </w:pPr>
      <w:r w:rsidRPr="003C2F2A">
        <w:rPr>
          <w:rStyle w:val="FootnoteReference"/>
          <w:rFonts w:asciiTheme="majorHAnsi" w:hAnsiTheme="majorHAnsi"/>
        </w:rPr>
        <w:footnoteRef/>
      </w:r>
      <w:r w:rsidRPr="003C2F2A">
        <w:rPr>
          <w:rFonts w:asciiTheme="majorHAnsi" w:hAnsiTheme="majorHAnsi"/>
        </w:rPr>
        <w:t xml:space="preserve"> It was reported to the review team that only one NDOE representative was able to attend the national forum.</w:t>
      </w:r>
    </w:p>
  </w:footnote>
  <w:footnote w:id="47">
    <w:p w14:paraId="5A774A3C" w14:textId="77777777" w:rsidR="009F310F" w:rsidRPr="003C2F2A" w:rsidRDefault="009F310F" w:rsidP="00B17E15">
      <w:pPr>
        <w:pStyle w:val="FootnoteText"/>
        <w:spacing w:after="0" w:line="216" w:lineRule="auto"/>
        <w:rPr>
          <w:rFonts w:asciiTheme="majorHAnsi" w:hAnsiTheme="majorHAnsi"/>
        </w:rPr>
      </w:pPr>
      <w:r w:rsidRPr="003C2F2A">
        <w:rPr>
          <w:rStyle w:val="FootnoteReference"/>
          <w:rFonts w:asciiTheme="majorHAnsi" w:hAnsiTheme="majorHAnsi"/>
        </w:rPr>
        <w:footnoteRef/>
      </w:r>
      <w:r w:rsidRPr="003C2F2A">
        <w:rPr>
          <w:rFonts w:asciiTheme="majorHAnsi" w:hAnsiTheme="majorHAnsi"/>
        </w:rPr>
        <w:t xml:space="preserve"> PPF Secretariat monitoring visits serve to provide management oversight and quality assurance of the work of the grantees. Monitoring visits are led by the PPF Secretariat and are to include NDOE and Australian Government representatives.</w:t>
      </w:r>
    </w:p>
  </w:footnote>
  <w:footnote w:id="48">
    <w:p w14:paraId="2D67D343" w14:textId="77777777" w:rsidR="009F310F" w:rsidRPr="003C2F2A" w:rsidRDefault="009F310F" w:rsidP="00B17E15">
      <w:pPr>
        <w:pStyle w:val="FootnoteText"/>
        <w:spacing w:after="0" w:line="216" w:lineRule="auto"/>
        <w:rPr>
          <w:rFonts w:asciiTheme="majorHAnsi" w:hAnsiTheme="majorHAnsi" w:cstheme="majorHAnsi"/>
        </w:rPr>
      </w:pPr>
      <w:r w:rsidRPr="003C2F2A">
        <w:rPr>
          <w:rStyle w:val="FootnoteReference"/>
          <w:rFonts w:asciiTheme="majorHAnsi" w:hAnsiTheme="majorHAnsi" w:cstheme="majorHAnsi"/>
        </w:rPr>
        <w:footnoteRef/>
      </w:r>
      <w:r w:rsidRPr="003C2F2A">
        <w:rPr>
          <w:rFonts w:asciiTheme="majorHAnsi" w:hAnsiTheme="majorHAnsi" w:cstheme="majorHAnsi"/>
        </w:rPr>
        <w:t xml:space="preserve"> Of interest is the observation that eight senior NDOE officials attended the presentation of the Aide-Memoire on 25 November 2019 and offered feedback and advice to both the review team and to the Australian Government. </w:t>
      </w:r>
    </w:p>
  </w:footnote>
  <w:footnote w:id="49">
    <w:p w14:paraId="032087A9" w14:textId="77777777" w:rsidR="009F310F" w:rsidRPr="003C2F2A" w:rsidRDefault="009F310F" w:rsidP="00B17E15">
      <w:pPr>
        <w:pStyle w:val="FootnoteText"/>
        <w:spacing w:after="0" w:line="216" w:lineRule="auto"/>
        <w:rPr>
          <w:rFonts w:asciiTheme="majorHAnsi" w:hAnsiTheme="majorHAnsi"/>
        </w:rPr>
      </w:pPr>
      <w:r w:rsidRPr="003C2F2A">
        <w:rPr>
          <w:rStyle w:val="FootnoteReference"/>
          <w:rFonts w:asciiTheme="majorHAnsi" w:hAnsiTheme="majorHAnsi"/>
        </w:rPr>
        <w:footnoteRef/>
      </w:r>
      <w:r w:rsidRPr="003C2F2A">
        <w:rPr>
          <w:rFonts w:asciiTheme="majorHAnsi" w:hAnsiTheme="majorHAnsi"/>
        </w:rPr>
        <w:t xml:space="preserve"> At the PPF NOC meeting in December 2019, it was agreed that the PPF NOC would share information with participating PDOEs and will be inviting three PDOE representatives to participate in future PPF NOC meetings.</w:t>
      </w:r>
    </w:p>
  </w:footnote>
  <w:footnote w:id="50">
    <w:p w14:paraId="12011B77" w14:textId="77777777" w:rsidR="009F310F" w:rsidRPr="003C2F2A" w:rsidRDefault="009F310F" w:rsidP="00B17E15">
      <w:pPr>
        <w:pStyle w:val="FootnoteText"/>
        <w:spacing w:after="0" w:line="216" w:lineRule="auto"/>
        <w:rPr>
          <w:rFonts w:asciiTheme="majorHAnsi" w:hAnsiTheme="majorHAnsi"/>
        </w:rPr>
      </w:pPr>
      <w:r w:rsidRPr="003C2F2A">
        <w:rPr>
          <w:rStyle w:val="FootnoteReference"/>
          <w:rFonts w:asciiTheme="majorHAnsi" w:hAnsiTheme="majorHAnsi"/>
        </w:rPr>
        <w:footnoteRef/>
      </w:r>
      <w:r w:rsidRPr="003C2F2A">
        <w:rPr>
          <w:rFonts w:asciiTheme="majorHAnsi" w:hAnsiTheme="majorHAnsi"/>
        </w:rPr>
        <w:t xml:space="preserve"> Both RISE and PKS advised the review team that they proceeded with MOUs with the PDOEs in the absence of a national MOU.</w:t>
      </w:r>
    </w:p>
  </w:footnote>
  <w:footnote w:id="51">
    <w:p w14:paraId="4F875922" w14:textId="77777777" w:rsidR="009F310F" w:rsidRPr="00A16F03" w:rsidRDefault="009F310F" w:rsidP="00B17E15">
      <w:pPr>
        <w:pStyle w:val="FootnoteText"/>
        <w:spacing w:after="0"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These included increased: teacher confidence; literacy and numeracy skills for elementary students; access to and use of library and school reading materials; enrolment of girls and retention of girls and boys; and parent/community awareness of and involvement in early childhood </w:t>
      </w:r>
      <w:r>
        <w:rPr>
          <w:rFonts w:asciiTheme="majorHAnsi" w:hAnsiTheme="majorHAnsi" w:cstheme="majorHAnsi"/>
        </w:rPr>
        <w:t xml:space="preserve">care and </w:t>
      </w:r>
      <w:r w:rsidRPr="00A16F03">
        <w:rPr>
          <w:rFonts w:asciiTheme="majorHAnsi" w:hAnsiTheme="majorHAnsi" w:cstheme="majorHAnsi"/>
        </w:rPr>
        <w:t>education and reading programs in particular. Request for Proposal, PPF 2017 Competitive Grants, Funding Round 1 – Education Grants, March 2017</w:t>
      </w:r>
    </w:p>
  </w:footnote>
  <w:footnote w:id="52">
    <w:p w14:paraId="167340F9" w14:textId="77777777" w:rsidR="009F310F" w:rsidRPr="001C1C21" w:rsidRDefault="009F310F" w:rsidP="00B17E15">
      <w:pPr>
        <w:pStyle w:val="FootnoteText"/>
        <w:spacing w:after="0" w:line="216" w:lineRule="auto"/>
        <w:rPr>
          <w:rFonts w:asciiTheme="majorHAnsi" w:hAnsiTheme="majorHAnsi" w:cstheme="majorHAnsi"/>
          <w:szCs w:val="18"/>
        </w:rPr>
      </w:pPr>
      <w:r w:rsidRPr="001C1C21">
        <w:rPr>
          <w:rStyle w:val="FootnoteReference"/>
          <w:rFonts w:asciiTheme="majorHAnsi" w:hAnsiTheme="majorHAnsi" w:cstheme="majorHAnsi"/>
          <w:szCs w:val="18"/>
        </w:rPr>
        <w:footnoteRef/>
      </w:r>
      <w:r w:rsidRPr="001C1C21">
        <w:rPr>
          <w:rFonts w:asciiTheme="majorHAnsi" w:hAnsiTheme="majorHAnsi" w:cstheme="majorHAnsi"/>
          <w:szCs w:val="18"/>
        </w:rPr>
        <w:t xml:space="preserve"> Annual Review of the PNG-Australia Governance Partnership, Quality Technical Assurance Group, Oxford Policy Management Australia, September 2019</w:t>
      </w:r>
    </w:p>
  </w:footnote>
  <w:footnote w:id="53">
    <w:p w14:paraId="5E905F35" w14:textId="77777777" w:rsidR="009F310F" w:rsidRPr="00643B5D" w:rsidRDefault="009F310F" w:rsidP="00B17E15">
      <w:pPr>
        <w:pStyle w:val="FootnoteText"/>
        <w:spacing w:after="0" w:line="216" w:lineRule="auto"/>
        <w:rPr>
          <w:rFonts w:asciiTheme="majorHAnsi" w:hAnsiTheme="majorHAnsi" w:cstheme="majorHAnsi"/>
          <w:szCs w:val="18"/>
        </w:rPr>
      </w:pPr>
      <w:r w:rsidRPr="00643B5D">
        <w:rPr>
          <w:rStyle w:val="FootnoteReference"/>
          <w:rFonts w:asciiTheme="majorHAnsi" w:hAnsiTheme="majorHAnsi" w:cstheme="majorHAnsi"/>
          <w:szCs w:val="18"/>
        </w:rPr>
        <w:footnoteRef/>
      </w:r>
      <w:r w:rsidRPr="00643B5D">
        <w:rPr>
          <w:rFonts w:asciiTheme="majorHAnsi" w:hAnsiTheme="majorHAnsi" w:cstheme="majorHAnsi"/>
          <w:szCs w:val="18"/>
        </w:rPr>
        <w:t xml:space="preserve"> Excludes standard 2.16: </w:t>
      </w:r>
      <w:r w:rsidRPr="00643B5D">
        <w:rPr>
          <w:rFonts w:asciiTheme="majorHAnsi" w:eastAsia="Times New Roman" w:hAnsiTheme="majorHAnsi" w:cstheme="majorHAnsi"/>
          <w:iCs/>
          <w:szCs w:val="18"/>
          <w:lang w:val="en-US"/>
        </w:rPr>
        <w:t>Individuals responsible for implementing the M&amp;E plan have the capacity to do so (time, resources and skills) due to lack of sufficient information/time.</w:t>
      </w:r>
    </w:p>
  </w:footnote>
  <w:footnote w:id="54">
    <w:p w14:paraId="63A14A6B" w14:textId="77777777" w:rsidR="009F310F" w:rsidRPr="00643B5D" w:rsidRDefault="009F310F" w:rsidP="00B17E15">
      <w:pPr>
        <w:pStyle w:val="FootnoteText"/>
        <w:spacing w:after="0" w:line="216" w:lineRule="auto"/>
        <w:rPr>
          <w:rFonts w:asciiTheme="majorHAnsi" w:hAnsiTheme="majorHAnsi" w:cstheme="majorHAnsi"/>
          <w:szCs w:val="18"/>
        </w:rPr>
      </w:pPr>
      <w:r w:rsidRPr="00643B5D">
        <w:rPr>
          <w:rStyle w:val="FootnoteReference"/>
          <w:rFonts w:asciiTheme="majorHAnsi" w:hAnsiTheme="majorHAnsi" w:cstheme="majorHAnsi"/>
          <w:szCs w:val="18"/>
        </w:rPr>
        <w:footnoteRef/>
      </w:r>
      <w:r w:rsidRPr="00643B5D">
        <w:rPr>
          <w:rFonts w:asciiTheme="majorHAnsi" w:hAnsiTheme="majorHAnsi" w:cstheme="majorHAnsi"/>
          <w:szCs w:val="18"/>
        </w:rPr>
        <w:t xml:space="preserve"> Score</w:t>
      </w:r>
      <w:r w:rsidRPr="00643B5D">
        <w:rPr>
          <w:rFonts w:asciiTheme="majorHAnsi" w:hAnsiTheme="majorHAnsi" w:cstheme="majorHAnsi"/>
          <w:szCs w:val="18"/>
        </w:rPr>
        <w:tab/>
      </w:r>
      <w:r>
        <w:rPr>
          <w:rFonts w:asciiTheme="majorHAnsi" w:hAnsiTheme="majorHAnsi" w:cstheme="majorHAnsi"/>
          <w:szCs w:val="18"/>
        </w:rPr>
        <w:t>Assessment</w:t>
      </w:r>
      <w:r w:rsidRPr="00643B5D">
        <w:rPr>
          <w:rFonts w:asciiTheme="majorHAnsi" w:hAnsiTheme="majorHAnsi" w:cstheme="majorHAnsi"/>
          <w:szCs w:val="18"/>
        </w:rPr>
        <w:tab/>
        <w:t xml:space="preserve"> Description</w:t>
      </w:r>
    </w:p>
    <w:p w14:paraId="3DB0E6BA" w14:textId="77777777" w:rsidR="009F310F" w:rsidRPr="00643B5D" w:rsidRDefault="009F310F" w:rsidP="00B17E15">
      <w:pPr>
        <w:pStyle w:val="FootnoteText"/>
        <w:spacing w:after="0" w:line="216" w:lineRule="auto"/>
        <w:ind w:left="284"/>
        <w:rPr>
          <w:rFonts w:asciiTheme="majorHAnsi" w:hAnsiTheme="majorHAnsi" w:cstheme="majorHAnsi"/>
          <w:szCs w:val="18"/>
        </w:rPr>
      </w:pPr>
      <w:r w:rsidRPr="00643B5D">
        <w:rPr>
          <w:rFonts w:asciiTheme="majorHAnsi" w:hAnsiTheme="majorHAnsi" w:cstheme="majorHAnsi"/>
          <w:szCs w:val="18"/>
        </w:rPr>
        <w:t>1</w:t>
      </w:r>
      <w:r w:rsidRPr="00643B5D">
        <w:rPr>
          <w:rFonts w:asciiTheme="majorHAnsi" w:hAnsiTheme="majorHAnsi" w:cstheme="majorHAnsi"/>
          <w:szCs w:val="18"/>
        </w:rPr>
        <w:tab/>
        <w:t>Very poor</w:t>
      </w:r>
      <w:r w:rsidRPr="00643B5D">
        <w:rPr>
          <w:rFonts w:asciiTheme="majorHAnsi" w:hAnsiTheme="majorHAnsi" w:cstheme="majorHAnsi"/>
          <w:szCs w:val="18"/>
        </w:rPr>
        <w:tab/>
      </w:r>
      <w:r w:rsidRPr="00643B5D">
        <w:rPr>
          <w:rFonts w:asciiTheme="majorHAnsi" w:hAnsiTheme="majorHAnsi" w:cstheme="majorHAnsi"/>
          <w:szCs w:val="18"/>
        </w:rPr>
        <w:tab/>
        <w:t xml:space="preserve">Fails to meet any aspect of this criterion </w:t>
      </w:r>
    </w:p>
    <w:p w14:paraId="46905113" w14:textId="77777777" w:rsidR="009F310F" w:rsidRPr="00643B5D" w:rsidRDefault="009F310F" w:rsidP="00B17E15">
      <w:pPr>
        <w:pStyle w:val="FootnoteText"/>
        <w:spacing w:after="0" w:line="216" w:lineRule="auto"/>
        <w:ind w:left="284"/>
        <w:rPr>
          <w:rFonts w:asciiTheme="majorHAnsi" w:hAnsiTheme="majorHAnsi" w:cstheme="majorHAnsi"/>
          <w:szCs w:val="18"/>
        </w:rPr>
      </w:pPr>
      <w:r w:rsidRPr="00643B5D">
        <w:rPr>
          <w:rFonts w:asciiTheme="majorHAnsi" w:hAnsiTheme="majorHAnsi" w:cstheme="majorHAnsi"/>
          <w:szCs w:val="18"/>
        </w:rPr>
        <w:t>2</w:t>
      </w:r>
      <w:r w:rsidRPr="00643B5D">
        <w:rPr>
          <w:rFonts w:asciiTheme="majorHAnsi" w:hAnsiTheme="majorHAnsi" w:cstheme="majorHAnsi"/>
          <w:szCs w:val="18"/>
        </w:rPr>
        <w:tab/>
        <w:t>Poor</w:t>
      </w:r>
      <w:r w:rsidRPr="00643B5D">
        <w:rPr>
          <w:rFonts w:asciiTheme="majorHAnsi" w:hAnsiTheme="majorHAnsi" w:cstheme="majorHAnsi"/>
          <w:szCs w:val="18"/>
        </w:rPr>
        <w:tab/>
      </w:r>
      <w:r w:rsidRPr="00643B5D">
        <w:rPr>
          <w:rFonts w:asciiTheme="majorHAnsi" w:hAnsiTheme="majorHAnsi" w:cstheme="majorHAnsi"/>
          <w:szCs w:val="18"/>
        </w:rPr>
        <w:tab/>
        <w:t>There are significant shortcomings</w:t>
      </w:r>
    </w:p>
    <w:p w14:paraId="29832823" w14:textId="77777777" w:rsidR="009F310F" w:rsidRPr="00643B5D" w:rsidRDefault="009F310F" w:rsidP="00B17E15">
      <w:pPr>
        <w:pStyle w:val="FootnoteText"/>
        <w:spacing w:after="0" w:line="216" w:lineRule="auto"/>
        <w:ind w:left="284"/>
        <w:rPr>
          <w:rFonts w:asciiTheme="majorHAnsi" w:hAnsiTheme="majorHAnsi" w:cstheme="majorHAnsi"/>
          <w:szCs w:val="18"/>
        </w:rPr>
      </w:pPr>
      <w:r w:rsidRPr="00643B5D">
        <w:rPr>
          <w:rFonts w:asciiTheme="majorHAnsi" w:hAnsiTheme="majorHAnsi" w:cstheme="majorHAnsi"/>
          <w:szCs w:val="18"/>
        </w:rPr>
        <w:t>3</w:t>
      </w:r>
      <w:r w:rsidRPr="00643B5D">
        <w:rPr>
          <w:rFonts w:asciiTheme="majorHAnsi" w:hAnsiTheme="majorHAnsi" w:cstheme="majorHAnsi"/>
          <w:szCs w:val="18"/>
        </w:rPr>
        <w:tab/>
        <w:t>Less than adequate</w:t>
      </w:r>
      <w:r w:rsidRPr="00643B5D">
        <w:rPr>
          <w:rFonts w:asciiTheme="majorHAnsi" w:hAnsiTheme="majorHAnsi" w:cstheme="majorHAnsi"/>
          <w:szCs w:val="18"/>
        </w:rPr>
        <w:tab/>
        <w:t>On balance does not meet the criterion</w:t>
      </w:r>
    </w:p>
    <w:p w14:paraId="27A77F36" w14:textId="77777777" w:rsidR="009F310F" w:rsidRPr="00643B5D" w:rsidRDefault="009F310F" w:rsidP="00B17E15">
      <w:pPr>
        <w:pStyle w:val="FootnoteText"/>
        <w:spacing w:after="0" w:line="216" w:lineRule="auto"/>
        <w:ind w:left="284"/>
        <w:rPr>
          <w:rFonts w:asciiTheme="majorHAnsi" w:hAnsiTheme="majorHAnsi" w:cstheme="majorHAnsi"/>
          <w:szCs w:val="18"/>
        </w:rPr>
      </w:pPr>
      <w:r w:rsidRPr="00643B5D">
        <w:rPr>
          <w:rFonts w:asciiTheme="majorHAnsi" w:hAnsiTheme="majorHAnsi" w:cstheme="majorHAnsi"/>
          <w:szCs w:val="18"/>
        </w:rPr>
        <w:t>4</w:t>
      </w:r>
      <w:r w:rsidRPr="00643B5D">
        <w:rPr>
          <w:rFonts w:asciiTheme="majorHAnsi" w:hAnsiTheme="majorHAnsi" w:cstheme="majorHAnsi"/>
          <w:szCs w:val="18"/>
        </w:rPr>
        <w:tab/>
        <w:t>Adequate</w:t>
      </w:r>
      <w:r w:rsidRPr="00643B5D">
        <w:rPr>
          <w:rFonts w:asciiTheme="majorHAnsi" w:hAnsiTheme="majorHAnsi" w:cstheme="majorHAnsi"/>
          <w:szCs w:val="18"/>
        </w:rPr>
        <w:tab/>
      </w:r>
      <w:r w:rsidRPr="00643B5D">
        <w:rPr>
          <w:rFonts w:asciiTheme="majorHAnsi" w:hAnsiTheme="majorHAnsi" w:cstheme="majorHAnsi"/>
          <w:szCs w:val="18"/>
        </w:rPr>
        <w:tab/>
        <w:t xml:space="preserve">On balance satisfies criterion </w:t>
      </w:r>
    </w:p>
    <w:p w14:paraId="5FC812CE" w14:textId="77777777" w:rsidR="009F310F" w:rsidRPr="00643B5D" w:rsidRDefault="009F310F" w:rsidP="00B17E15">
      <w:pPr>
        <w:pStyle w:val="FootnoteText"/>
        <w:spacing w:after="0" w:line="216" w:lineRule="auto"/>
        <w:ind w:left="284"/>
        <w:rPr>
          <w:rFonts w:asciiTheme="majorHAnsi" w:hAnsiTheme="majorHAnsi" w:cstheme="majorHAnsi"/>
          <w:szCs w:val="18"/>
        </w:rPr>
      </w:pPr>
      <w:r w:rsidRPr="00643B5D">
        <w:rPr>
          <w:rFonts w:asciiTheme="majorHAnsi" w:hAnsiTheme="majorHAnsi" w:cstheme="majorHAnsi"/>
          <w:szCs w:val="18"/>
        </w:rPr>
        <w:t>5</w:t>
      </w:r>
      <w:r w:rsidRPr="00643B5D">
        <w:rPr>
          <w:rFonts w:asciiTheme="majorHAnsi" w:hAnsiTheme="majorHAnsi" w:cstheme="majorHAnsi"/>
          <w:szCs w:val="18"/>
        </w:rPr>
        <w:tab/>
        <w:t xml:space="preserve">Good </w:t>
      </w:r>
      <w:r w:rsidRPr="00643B5D">
        <w:rPr>
          <w:rFonts w:asciiTheme="majorHAnsi" w:hAnsiTheme="majorHAnsi" w:cstheme="majorHAnsi"/>
          <w:szCs w:val="18"/>
        </w:rPr>
        <w:tab/>
      </w:r>
      <w:r w:rsidRPr="00643B5D">
        <w:rPr>
          <w:rFonts w:asciiTheme="majorHAnsi" w:hAnsiTheme="majorHAnsi" w:cstheme="majorHAnsi"/>
          <w:szCs w:val="18"/>
        </w:rPr>
        <w:tab/>
        <w:t>The criterion was met with only minor shortcomings</w:t>
      </w:r>
    </w:p>
    <w:p w14:paraId="19866106" w14:textId="77777777" w:rsidR="009F310F" w:rsidRPr="00643B5D" w:rsidRDefault="009F310F" w:rsidP="00B17E15">
      <w:pPr>
        <w:pStyle w:val="FootnoteText"/>
        <w:spacing w:after="0" w:line="216" w:lineRule="auto"/>
        <w:ind w:left="284"/>
        <w:rPr>
          <w:rFonts w:asciiTheme="majorHAnsi" w:hAnsiTheme="majorHAnsi" w:cstheme="majorHAnsi"/>
          <w:szCs w:val="18"/>
        </w:rPr>
      </w:pPr>
      <w:r w:rsidRPr="00643B5D">
        <w:rPr>
          <w:rFonts w:asciiTheme="majorHAnsi" w:hAnsiTheme="majorHAnsi" w:cstheme="majorHAnsi"/>
          <w:szCs w:val="18"/>
        </w:rPr>
        <w:t>6</w:t>
      </w:r>
      <w:r w:rsidRPr="00643B5D">
        <w:rPr>
          <w:rFonts w:asciiTheme="majorHAnsi" w:hAnsiTheme="majorHAnsi" w:cstheme="majorHAnsi"/>
          <w:szCs w:val="18"/>
        </w:rPr>
        <w:tab/>
        <w:t>Excellent</w:t>
      </w:r>
      <w:r w:rsidRPr="00643B5D">
        <w:rPr>
          <w:rFonts w:asciiTheme="majorHAnsi" w:hAnsiTheme="majorHAnsi" w:cstheme="majorHAnsi"/>
          <w:szCs w:val="18"/>
        </w:rPr>
        <w:tab/>
      </w:r>
      <w:r w:rsidRPr="00643B5D">
        <w:rPr>
          <w:rFonts w:asciiTheme="majorHAnsi" w:hAnsiTheme="majorHAnsi" w:cstheme="majorHAnsi"/>
          <w:szCs w:val="18"/>
        </w:rPr>
        <w:tab/>
        <w:t>The criterion was fully met (or exceeded) and there were no shortcomings</w:t>
      </w:r>
    </w:p>
  </w:footnote>
  <w:footnote w:id="55">
    <w:p w14:paraId="5344E424" w14:textId="77777777" w:rsidR="009F310F" w:rsidRPr="00A16F03" w:rsidRDefault="009F310F" w:rsidP="00B17E15">
      <w:pPr>
        <w:pStyle w:val="FootnoteText"/>
        <w:spacing w:after="0"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Gender and Social Inclusion in PPF Education Programs, PPF Secretariat, November 2019</w:t>
      </w:r>
    </w:p>
  </w:footnote>
  <w:footnote w:id="56">
    <w:p w14:paraId="14F1256D" w14:textId="77777777" w:rsidR="009F310F" w:rsidRDefault="009F310F" w:rsidP="00B17E15">
      <w:pPr>
        <w:pStyle w:val="FootnoteText"/>
        <w:spacing w:after="0" w:line="216" w:lineRule="auto"/>
      </w:pPr>
      <w:r>
        <w:rPr>
          <w:rStyle w:val="FootnoteReference"/>
        </w:rPr>
        <w:footnoteRef/>
      </w:r>
      <w:r>
        <w:t xml:space="preserve"> The same assessment system used for determining scores for Table 7 was used for assessing scores for Table 9.</w:t>
      </w:r>
    </w:p>
  </w:footnote>
  <w:footnote w:id="57">
    <w:p w14:paraId="0235931B" w14:textId="77777777" w:rsidR="009F310F" w:rsidRDefault="009F310F" w:rsidP="00B17E15">
      <w:pPr>
        <w:pStyle w:val="FootnoteText"/>
        <w:spacing w:after="0" w:line="216" w:lineRule="auto"/>
      </w:pPr>
      <w:r>
        <w:rPr>
          <w:rStyle w:val="FootnoteReference"/>
        </w:rPr>
        <w:footnoteRef/>
      </w:r>
      <w:r>
        <w:t xml:space="preserve"> </w:t>
      </w:r>
      <w:r w:rsidRPr="00A16F03">
        <w:rPr>
          <w:rFonts w:asciiTheme="majorHAnsi" w:hAnsiTheme="majorHAnsi" w:cstheme="majorHAnsi"/>
        </w:rPr>
        <w:t>Personal correspondence from the PPF education adviser, 18/11/2019</w:t>
      </w:r>
    </w:p>
  </w:footnote>
  <w:footnote w:id="58">
    <w:p w14:paraId="5C591161" w14:textId="77777777" w:rsidR="009F310F" w:rsidRPr="00643B5D" w:rsidRDefault="009F310F" w:rsidP="00B17E15">
      <w:pPr>
        <w:pStyle w:val="FootnoteText"/>
        <w:spacing w:after="0" w:line="216" w:lineRule="auto"/>
        <w:rPr>
          <w:rFonts w:asciiTheme="majorHAnsi" w:hAnsiTheme="majorHAnsi" w:cstheme="majorHAnsi"/>
          <w:szCs w:val="18"/>
        </w:rPr>
      </w:pPr>
      <w:r w:rsidRPr="00643B5D">
        <w:rPr>
          <w:rStyle w:val="FootnoteReference"/>
          <w:rFonts w:asciiTheme="majorHAnsi" w:hAnsiTheme="majorHAnsi" w:cstheme="majorHAnsi"/>
          <w:szCs w:val="18"/>
        </w:rPr>
        <w:footnoteRef/>
      </w:r>
      <w:r w:rsidRPr="00643B5D">
        <w:rPr>
          <w:rFonts w:asciiTheme="majorHAnsi" w:hAnsiTheme="majorHAnsi" w:cstheme="majorHAnsi"/>
          <w:szCs w:val="18"/>
        </w:rPr>
        <w:t xml:space="preserve"> Efficiency, for the purposes of the review, has been defined from the perspective of the amount of funding allocated to </w:t>
      </w:r>
      <w:r>
        <w:rPr>
          <w:rFonts w:asciiTheme="majorHAnsi" w:hAnsiTheme="majorHAnsi" w:cstheme="majorHAnsi"/>
          <w:szCs w:val="18"/>
        </w:rPr>
        <w:t xml:space="preserve">achieve </w:t>
      </w:r>
      <w:r w:rsidRPr="00643B5D">
        <w:rPr>
          <w:rFonts w:asciiTheme="majorHAnsi" w:hAnsiTheme="majorHAnsi" w:cstheme="majorHAnsi"/>
          <w:szCs w:val="18"/>
        </w:rPr>
        <w:t xml:space="preserve">the expected results.  Since it is too early to determine actual results, the review team has based the assessment on the </w:t>
      </w:r>
      <w:r>
        <w:rPr>
          <w:rFonts w:asciiTheme="majorHAnsi" w:hAnsiTheme="majorHAnsi" w:cstheme="majorHAnsi"/>
          <w:szCs w:val="18"/>
        </w:rPr>
        <w:t xml:space="preserve">total project </w:t>
      </w:r>
      <w:r w:rsidRPr="00643B5D">
        <w:rPr>
          <w:rFonts w:asciiTheme="majorHAnsi" w:hAnsiTheme="majorHAnsi" w:cstheme="majorHAnsi"/>
          <w:szCs w:val="18"/>
        </w:rPr>
        <w:t xml:space="preserve">cost </w:t>
      </w:r>
      <w:r>
        <w:rPr>
          <w:rFonts w:asciiTheme="majorHAnsi" w:hAnsiTheme="majorHAnsi" w:cstheme="majorHAnsi"/>
          <w:szCs w:val="18"/>
        </w:rPr>
        <w:t>per primary beneficiary</w:t>
      </w:r>
      <w:r w:rsidRPr="00643B5D">
        <w:rPr>
          <w:rFonts w:asciiTheme="majorHAnsi" w:hAnsiTheme="majorHAnsi" w:cstheme="majorHAnsi"/>
          <w:szCs w:val="18"/>
        </w:rPr>
        <w:t xml:space="preserve"> to demonstrate </w:t>
      </w:r>
      <w:r>
        <w:rPr>
          <w:rFonts w:asciiTheme="majorHAnsi" w:hAnsiTheme="majorHAnsi" w:cstheme="majorHAnsi"/>
          <w:szCs w:val="18"/>
        </w:rPr>
        <w:t xml:space="preserve">the need for a more detailed </w:t>
      </w:r>
      <w:r w:rsidRPr="00643B5D">
        <w:rPr>
          <w:rFonts w:asciiTheme="majorHAnsi" w:hAnsiTheme="majorHAnsi" w:cstheme="majorHAnsi"/>
          <w:szCs w:val="18"/>
        </w:rPr>
        <w:t xml:space="preserve">value-for-money </w:t>
      </w:r>
      <w:r>
        <w:rPr>
          <w:rFonts w:asciiTheme="majorHAnsi" w:hAnsiTheme="majorHAnsi" w:cstheme="majorHAnsi"/>
          <w:szCs w:val="18"/>
        </w:rPr>
        <w:t>assessment</w:t>
      </w:r>
      <w:r w:rsidRPr="00643B5D">
        <w:rPr>
          <w:rFonts w:asciiTheme="majorHAnsi" w:hAnsiTheme="majorHAnsi" w:cstheme="majorHAnsi"/>
          <w:szCs w:val="18"/>
        </w:rPr>
        <w:t xml:space="preserve">. </w:t>
      </w:r>
    </w:p>
  </w:footnote>
  <w:footnote w:id="59">
    <w:p w14:paraId="5FFC9446" w14:textId="77777777" w:rsidR="009F310F" w:rsidRPr="00643B5D" w:rsidRDefault="009F310F" w:rsidP="00B17E15">
      <w:pPr>
        <w:pStyle w:val="FootnoteText"/>
        <w:spacing w:after="0" w:line="216" w:lineRule="auto"/>
        <w:rPr>
          <w:rFonts w:asciiTheme="majorHAnsi" w:hAnsiTheme="majorHAnsi" w:cstheme="majorHAnsi"/>
          <w:szCs w:val="18"/>
        </w:rPr>
      </w:pPr>
      <w:r w:rsidRPr="00643B5D">
        <w:rPr>
          <w:rStyle w:val="FootnoteReference"/>
          <w:rFonts w:asciiTheme="majorHAnsi" w:hAnsiTheme="majorHAnsi" w:cstheme="majorHAnsi"/>
          <w:szCs w:val="18"/>
        </w:rPr>
        <w:footnoteRef/>
      </w:r>
      <w:r w:rsidRPr="00643B5D">
        <w:rPr>
          <w:rFonts w:asciiTheme="majorHAnsi" w:hAnsiTheme="majorHAnsi" w:cstheme="majorHAnsi"/>
          <w:szCs w:val="18"/>
        </w:rPr>
        <w:t xml:space="preserve"> The mid-term review felt this ‘tension’ during interviews with </w:t>
      </w:r>
      <w:r>
        <w:rPr>
          <w:rFonts w:asciiTheme="majorHAnsi" w:hAnsiTheme="majorHAnsi" w:cstheme="majorHAnsi"/>
          <w:szCs w:val="18"/>
        </w:rPr>
        <w:t xml:space="preserve">representatives of </w:t>
      </w:r>
      <w:r w:rsidRPr="00643B5D">
        <w:rPr>
          <w:rFonts w:asciiTheme="majorHAnsi" w:hAnsiTheme="majorHAnsi" w:cstheme="majorHAnsi"/>
          <w:szCs w:val="18"/>
        </w:rPr>
        <w:t>the A</w:t>
      </w:r>
      <w:r>
        <w:rPr>
          <w:rFonts w:asciiTheme="majorHAnsi" w:hAnsiTheme="majorHAnsi" w:cstheme="majorHAnsi"/>
          <w:szCs w:val="18"/>
        </w:rPr>
        <w:t>ustralian Government</w:t>
      </w:r>
      <w:r w:rsidRPr="00643B5D">
        <w:rPr>
          <w:rFonts w:asciiTheme="majorHAnsi" w:hAnsiTheme="majorHAnsi" w:cstheme="majorHAnsi"/>
          <w:szCs w:val="18"/>
        </w:rPr>
        <w:t xml:space="preserve"> and the PPF Secretariat, in attempting to respond to the desire for a consolidated comparison of</w:t>
      </w:r>
      <w:r>
        <w:rPr>
          <w:rFonts w:asciiTheme="majorHAnsi" w:hAnsiTheme="majorHAnsi" w:cstheme="majorHAnsi"/>
          <w:szCs w:val="18"/>
        </w:rPr>
        <w:t xml:space="preserve"> the</w:t>
      </w:r>
      <w:r w:rsidRPr="00643B5D">
        <w:rPr>
          <w:rFonts w:asciiTheme="majorHAnsi" w:hAnsiTheme="majorHAnsi" w:cstheme="majorHAnsi"/>
          <w:szCs w:val="18"/>
        </w:rPr>
        <w:t xml:space="preserve"> different models and strategies.</w:t>
      </w:r>
    </w:p>
  </w:footnote>
  <w:footnote w:id="60">
    <w:p w14:paraId="77D130B2" w14:textId="77777777" w:rsidR="009F310F" w:rsidRPr="00643B5D" w:rsidRDefault="009F310F" w:rsidP="00B17E15">
      <w:pPr>
        <w:pStyle w:val="FootnoteText"/>
        <w:spacing w:after="0" w:line="216" w:lineRule="auto"/>
        <w:rPr>
          <w:rFonts w:asciiTheme="majorHAnsi" w:hAnsiTheme="majorHAnsi" w:cstheme="majorHAnsi"/>
          <w:szCs w:val="18"/>
        </w:rPr>
      </w:pPr>
      <w:r w:rsidRPr="00643B5D">
        <w:rPr>
          <w:rStyle w:val="FootnoteReference"/>
          <w:rFonts w:asciiTheme="majorHAnsi" w:hAnsiTheme="majorHAnsi" w:cstheme="majorHAnsi"/>
          <w:szCs w:val="18"/>
        </w:rPr>
        <w:footnoteRef/>
      </w:r>
      <w:r w:rsidRPr="00643B5D">
        <w:rPr>
          <w:rFonts w:asciiTheme="majorHAnsi" w:hAnsiTheme="majorHAnsi" w:cstheme="majorHAnsi"/>
          <w:szCs w:val="18"/>
        </w:rPr>
        <w:t xml:space="preserve"> All of the grantees have their own ‘connections’ within government departments, including NDOE, and have used these connections to informally communicate information </w:t>
      </w:r>
      <w:r>
        <w:rPr>
          <w:rFonts w:asciiTheme="majorHAnsi" w:hAnsiTheme="majorHAnsi" w:cstheme="majorHAnsi"/>
          <w:szCs w:val="18"/>
        </w:rPr>
        <w:t>related to</w:t>
      </w:r>
      <w:r w:rsidRPr="00643B5D">
        <w:rPr>
          <w:rFonts w:asciiTheme="majorHAnsi" w:hAnsiTheme="majorHAnsi" w:cstheme="majorHAnsi"/>
          <w:szCs w:val="18"/>
        </w:rPr>
        <w:t xml:space="preserve"> the projects.</w:t>
      </w:r>
    </w:p>
  </w:footnote>
  <w:footnote w:id="61">
    <w:p w14:paraId="2F4612C1" w14:textId="2ECB8995" w:rsidR="009F310F" w:rsidRPr="00643B5D" w:rsidRDefault="009F310F" w:rsidP="00B17E15">
      <w:pPr>
        <w:pStyle w:val="FootnoteText"/>
        <w:spacing w:after="0" w:line="216" w:lineRule="auto"/>
        <w:rPr>
          <w:rFonts w:asciiTheme="majorHAnsi" w:hAnsiTheme="majorHAnsi" w:cstheme="majorHAnsi"/>
          <w:szCs w:val="18"/>
        </w:rPr>
      </w:pPr>
      <w:r w:rsidRPr="00643B5D">
        <w:rPr>
          <w:rStyle w:val="FootnoteReference"/>
          <w:rFonts w:asciiTheme="majorHAnsi" w:hAnsiTheme="majorHAnsi" w:cstheme="majorHAnsi"/>
          <w:szCs w:val="18"/>
        </w:rPr>
        <w:footnoteRef/>
      </w:r>
      <w:r w:rsidRPr="00643B5D">
        <w:rPr>
          <w:rFonts w:asciiTheme="majorHAnsi" w:hAnsiTheme="majorHAnsi" w:cstheme="majorHAnsi"/>
          <w:szCs w:val="18"/>
        </w:rPr>
        <w:t xml:space="preserve"> Additionally, the wisdom of conducting a midline evaluation for such a short implementation duration is questioned. T4E and RISE advised that they had little time to adjust their programming based on the results of the midline evaluation since the results were available at or near the time the </w:t>
      </w:r>
      <w:r>
        <w:rPr>
          <w:rFonts w:asciiTheme="majorHAnsi" w:hAnsiTheme="majorHAnsi" w:cstheme="majorHAnsi"/>
          <w:szCs w:val="18"/>
        </w:rPr>
        <w:t>end line</w:t>
      </w:r>
      <w:r w:rsidRPr="00643B5D">
        <w:rPr>
          <w:rFonts w:asciiTheme="majorHAnsi" w:hAnsiTheme="majorHAnsi" w:cstheme="majorHAnsi"/>
          <w:szCs w:val="18"/>
        </w:rPr>
        <w:t xml:space="preserve"> was being conducted. When asked if the midline could be removed, T4E was advised that the midline had to be conducted.</w:t>
      </w:r>
    </w:p>
  </w:footnote>
  <w:footnote w:id="62">
    <w:p w14:paraId="2E4A33C8" w14:textId="77777777" w:rsidR="009F310F" w:rsidRPr="00643B5D" w:rsidRDefault="009F310F" w:rsidP="00B17E15">
      <w:pPr>
        <w:pStyle w:val="FootnoteText"/>
        <w:spacing w:after="0" w:line="216" w:lineRule="auto"/>
        <w:rPr>
          <w:rFonts w:asciiTheme="majorHAnsi" w:hAnsiTheme="majorHAnsi" w:cstheme="majorHAnsi"/>
          <w:szCs w:val="18"/>
        </w:rPr>
      </w:pPr>
      <w:r w:rsidRPr="00643B5D">
        <w:rPr>
          <w:rStyle w:val="FootnoteReference"/>
          <w:rFonts w:asciiTheme="majorHAnsi" w:hAnsiTheme="majorHAnsi" w:cstheme="majorHAnsi"/>
          <w:szCs w:val="18"/>
        </w:rPr>
        <w:footnoteRef/>
      </w:r>
      <w:r w:rsidRPr="00643B5D">
        <w:rPr>
          <w:rFonts w:asciiTheme="majorHAnsi" w:hAnsiTheme="majorHAnsi" w:cstheme="majorHAnsi"/>
          <w:szCs w:val="18"/>
        </w:rPr>
        <w:t xml:space="preserve"> </w:t>
      </w:r>
      <w:r>
        <w:rPr>
          <w:rFonts w:asciiTheme="majorHAnsi" w:hAnsiTheme="majorHAnsi" w:cstheme="majorHAnsi"/>
          <w:szCs w:val="18"/>
        </w:rPr>
        <w:t>With</w:t>
      </w:r>
      <w:r w:rsidRPr="00643B5D">
        <w:rPr>
          <w:rFonts w:asciiTheme="majorHAnsi" w:hAnsiTheme="majorHAnsi" w:cstheme="majorHAnsi"/>
          <w:szCs w:val="18"/>
        </w:rPr>
        <w:t xml:space="preserve"> confirmation that PKS will be extended, CARE can make the decision to postpone the current plan to conduct their end line in early 2020, allowing greater intervention maturity. </w:t>
      </w:r>
    </w:p>
  </w:footnote>
  <w:footnote w:id="63">
    <w:p w14:paraId="6FB145F0" w14:textId="77777777" w:rsidR="009F310F" w:rsidRDefault="009F310F" w:rsidP="00B17E15">
      <w:pPr>
        <w:pStyle w:val="FootnoteText"/>
        <w:spacing w:after="0" w:line="216" w:lineRule="auto"/>
      </w:pPr>
      <w:r>
        <w:rPr>
          <w:rStyle w:val="FootnoteReference"/>
        </w:rPr>
        <w:footnoteRef/>
      </w:r>
      <w:r>
        <w:t xml:space="preserve"> </w:t>
      </w:r>
      <w:r w:rsidRPr="00957447">
        <w:rPr>
          <w:rFonts w:asciiTheme="majorHAnsi" w:hAnsiTheme="majorHAnsi"/>
        </w:rPr>
        <w:t>It was reported that another agency – not a consortia member – has funded the development of an additional 250 titles to bring the number of titles to a total of 750.</w:t>
      </w:r>
      <w:r>
        <w:t xml:space="preserve"> </w:t>
      </w:r>
    </w:p>
  </w:footnote>
  <w:footnote w:id="64">
    <w:p w14:paraId="7ED4F08F" w14:textId="77777777" w:rsidR="009F310F" w:rsidRDefault="009F310F" w:rsidP="00B17E15">
      <w:pPr>
        <w:pStyle w:val="FootnoteText"/>
        <w:spacing w:after="0" w:line="216" w:lineRule="auto"/>
      </w:pPr>
      <w:r>
        <w:rPr>
          <w:rStyle w:val="FootnoteReference"/>
        </w:rPr>
        <w:footnoteRef/>
      </w:r>
      <w:r>
        <w:t xml:space="preserve"> </w:t>
      </w:r>
      <w:r w:rsidRPr="00643B5D">
        <w:rPr>
          <w:rFonts w:asciiTheme="majorHAnsi" w:hAnsiTheme="majorHAnsi" w:cstheme="majorHAnsi"/>
          <w:szCs w:val="18"/>
        </w:rPr>
        <w:t>The A</w:t>
      </w:r>
      <w:r>
        <w:rPr>
          <w:rFonts w:asciiTheme="majorHAnsi" w:hAnsiTheme="majorHAnsi" w:cstheme="majorHAnsi"/>
          <w:szCs w:val="18"/>
        </w:rPr>
        <w:t>ustralian Government</w:t>
      </w:r>
      <w:r w:rsidRPr="00643B5D">
        <w:rPr>
          <w:rFonts w:asciiTheme="majorHAnsi" w:hAnsiTheme="majorHAnsi" w:cstheme="majorHAnsi"/>
          <w:szCs w:val="18"/>
        </w:rPr>
        <w:t xml:space="preserve"> expressed a view that the grants have ‘turned the corner’ with respect to coherence and collaboration.  The baseline data has been able to tell a ‘collective’ story, the PPF NOC is approved as well as the MOU between the NDOE and the grantees.</w:t>
      </w:r>
    </w:p>
  </w:footnote>
  <w:footnote w:id="65">
    <w:p w14:paraId="4A1D9F33" w14:textId="77777777" w:rsidR="009F310F" w:rsidRPr="00643B5D" w:rsidRDefault="009F310F" w:rsidP="0047648E">
      <w:pPr>
        <w:pStyle w:val="FootnoteText"/>
        <w:spacing w:after="0" w:line="216" w:lineRule="auto"/>
        <w:rPr>
          <w:rFonts w:asciiTheme="majorHAnsi" w:hAnsiTheme="majorHAnsi" w:cstheme="majorHAnsi"/>
          <w:szCs w:val="18"/>
        </w:rPr>
      </w:pPr>
      <w:r w:rsidRPr="00643B5D">
        <w:rPr>
          <w:rStyle w:val="FootnoteReference"/>
          <w:rFonts w:asciiTheme="majorHAnsi" w:hAnsiTheme="majorHAnsi" w:cstheme="majorHAnsi"/>
          <w:szCs w:val="18"/>
        </w:rPr>
        <w:footnoteRef/>
      </w:r>
      <w:r w:rsidRPr="00643B5D">
        <w:rPr>
          <w:rFonts w:asciiTheme="majorHAnsi" w:hAnsiTheme="majorHAnsi" w:cstheme="majorHAnsi"/>
          <w:szCs w:val="18"/>
        </w:rPr>
        <w:t xml:space="preserve"> Some of the interventions may be considered as ‘standard’ as one would expect education interventions to include teacher and school management training and the provision of teaching and learning resources. Other interventions are ‘tests’ that often require additional resources to develop.  These ‘tests’ or demonstration interventions would include the EFL, LfA tablets, Adult Literacy, C</w:t>
      </w:r>
      <w:r>
        <w:rPr>
          <w:rFonts w:asciiTheme="majorHAnsi" w:hAnsiTheme="majorHAnsi" w:cstheme="majorHAnsi"/>
          <w:szCs w:val="18"/>
        </w:rPr>
        <w:t>LV</w:t>
      </w:r>
      <w:r w:rsidRPr="00643B5D">
        <w:rPr>
          <w:rFonts w:asciiTheme="majorHAnsi" w:hAnsiTheme="majorHAnsi" w:cstheme="majorHAnsi"/>
          <w:szCs w:val="18"/>
        </w:rPr>
        <w:t>s, and Knowledge Hub as some examples.</w:t>
      </w:r>
    </w:p>
  </w:footnote>
  <w:footnote w:id="66">
    <w:p w14:paraId="6D714E1A" w14:textId="77777777" w:rsidR="009F310F" w:rsidRDefault="009F310F" w:rsidP="0047648E">
      <w:pPr>
        <w:pStyle w:val="FootnoteText"/>
        <w:spacing w:after="0" w:line="216" w:lineRule="auto"/>
      </w:pPr>
      <w:r>
        <w:rPr>
          <w:rStyle w:val="FootnoteReference"/>
        </w:rPr>
        <w:footnoteRef/>
      </w:r>
      <w:r>
        <w:t xml:space="preserve"> Data on number of beneficiaries and total cost is derived from a PPF Secretariat document entitled ‘High Level Beneficiary Numbers_2019_PPF_Education_050419’</w:t>
      </w:r>
    </w:p>
  </w:footnote>
  <w:footnote w:id="67">
    <w:p w14:paraId="2ECE2ED6" w14:textId="77777777" w:rsidR="009F310F" w:rsidRPr="00A16F03" w:rsidRDefault="009F310F" w:rsidP="0047648E">
      <w:pPr>
        <w:pStyle w:val="FootnoteText"/>
        <w:spacing w:after="0"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CARE’s Concept Note for the PKS project did highlight the challenge of ensuring sustainability in such a short </w:t>
      </w:r>
      <w:r>
        <w:rPr>
          <w:rFonts w:asciiTheme="majorHAnsi" w:hAnsiTheme="majorHAnsi" w:cstheme="majorHAnsi"/>
        </w:rPr>
        <w:t>timeframe</w:t>
      </w:r>
      <w:r w:rsidRPr="00A16F03">
        <w:rPr>
          <w:rFonts w:asciiTheme="majorHAnsi" w:hAnsiTheme="majorHAnsi" w:cstheme="majorHAnsi"/>
        </w:rPr>
        <w:t>.</w:t>
      </w:r>
    </w:p>
  </w:footnote>
  <w:footnote w:id="68">
    <w:p w14:paraId="36E79718" w14:textId="77777777" w:rsidR="009F310F" w:rsidRDefault="009F310F" w:rsidP="0047648E">
      <w:pPr>
        <w:pStyle w:val="FootnoteText"/>
        <w:spacing w:after="0" w:line="216" w:lineRule="auto"/>
      </w:pPr>
      <w:r>
        <w:rPr>
          <w:rStyle w:val="FootnoteReference"/>
        </w:rPr>
        <w:footnoteRef/>
      </w:r>
      <w:r>
        <w:t xml:space="preserve"> </w:t>
      </w:r>
      <w:r w:rsidRPr="00AF28FE">
        <w:t xml:space="preserve">PKS was most notable for its insistence on working in close collaboration with, and through, district and provincial officials to build individual abilities with </w:t>
      </w:r>
      <w:r>
        <w:t xml:space="preserve">what appears to be </w:t>
      </w:r>
      <w:r w:rsidRPr="00AF28FE">
        <w:t>a</w:t>
      </w:r>
      <w:r>
        <w:t xml:space="preserve"> passive</w:t>
      </w:r>
      <w:r w:rsidRPr="00AF28FE">
        <w:t xml:space="preserve"> intention to influence practice.</w:t>
      </w:r>
    </w:p>
  </w:footnote>
  <w:footnote w:id="69">
    <w:p w14:paraId="6D9C34E7" w14:textId="77777777" w:rsidR="009F310F" w:rsidRPr="00A16F03" w:rsidRDefault="009F310F" w:rsidP="0047648E">
      <w:pPr>
        <w:pStyle w:val="FootnoteText"/>
        <w:spacing w:after="0"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In environments like PNG, the lifespan of printed materials is in the range of 3-5 years.  With PNG seeming to struggle with the purchase and distribution of SBC materials, acquisition of supplemental resources may not be </w:t>
      </w:r>
      <w:r>
        <w:rPr>
          <w:rFonts w:asciiTheme="majorHAnsi" w:hAnsiTheme="majorHAnsi" w:cstheme="majorHAnsi"/>
        </w:rPr>
        <w:t>a high priority</w:t>
      </w:r>
      <w:r w:rsidRPr="00A16F03">
        <w:rPr>
          <w:rFonts w:asciiTheme="majorHAnsi" w:hAnsiTheme="majorHAnsi" w:cstheme="majorHAnsi"/>
        </w:rPr>
        <w:t>.</w:t>
      </w:r>
    </w:p>
  </w:footnote>
  <w:footnote w:id="70">
    <w:p w14:paraId="1CA6832C" w14:textId="77777777" w:rsidR="009F310F" w:rsidRDefault="009F310F" w:rsidP="0047648E">
      <w:pPr>
        <w:pStyle w:val="FootnoteText"/>
        <w:spacing w:after="0" w:line="216" w:lineRule="auto"/>
      </w:pPr>
      <w:r>
        <w:rPr>
          <w:rStyle w:val="FootnoteReference"/>
        </w:rPr>
        <w:footnoteRef/>
      </w:r>
      <w:r>
        <w:t xml:space="preserve"> NDOE officials expressed considerable interest in acquiring the teacher training packages.</w:t>
      </w:r>
    </w:p>
  </w:footnote>
  <w:footnote w:id="71">
    <w:p w14:paraId="3B02EF33" w14:textId="77777777" w:rsidR="009F310F" w:rsidRPr="00A16F03" w:rsidRDefault="009F310F" w:rsidP="0047648E">
      <w:pPr>
        <w:pStyle w:val="FootnoteText"/>
        <w:spacing w:after="0"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StC wears StC t-shirts and provides RISE t-shirts to volunteers. CARE wears CARE t-shirts. Neither have </w:t>
      </w:r>
      <w:r>
        <w:rPr>
          <w:rFonts w:asciiTheme="majorHAnsi" w:hAnsiTheme="majorHAnsi" w:cstheme="majorHAnsi"/>
        </w:rPr>
        <w:t>PNGAus Partnership</w:t>
      </w:r>
      <w:r w:rsidRPr="00A16F03">
        <w:rPr>
          <w:rFonts w:asciiTheme="majorHAnsi" w:hAnsiTheme="majorHAnsi" w:cstheme="majorHAnsi"/>
        </w:rPr>
        <w:t xml:space="preserve"> logos on them.</w:t>
      </w:r>
    </w:p>
  </w:footnote>
  <w:footnote w:id="72">
    <w:p w14:paraId="7A9F448D" w14:textId="77777777" w:rsidR="009F310F" w:rsidRDefault="009F310F" w:rsidP="0047648E">
      <w:pPr>
        <w:pStyle w:val="FootnoteText"/>
        <w:spacing w:after="0" w:line="216" w:lineRule="auto"/>
      </w:pPr>
      <w:r>
        <w:rPr>
          <w:rStyle w:val="FootnoteReference"/>
        </w:rPr>
        <w:footnoteRef/>
      </w:r>
      <w:r>
        <w:t xml:space="preserve"> Anecdotal evidence obtained by the review team suggested that there was considerable urgency to award contracts and obligate funds prior to the end of the Australian Government fiscal year in June 2017.</w:t>
      </w:r>
    </w:p>
  </w:footnote>
  <w:footnote w:id="73">
    <w:p w14:paraId="4B15CAEF" w14:textId="77777777" w:rsidR="009F310F" w:rsidRDefault="009F310F" w:rsidP="0047648E">
      <w:pPr>
        <w:pStyle w:val="FootnoteText"/>
        <w:spacing w:after="0" w:line="216" w:lineRule="auto"/>
      </w:pPr>
      <w:r>
        <w:rPr>
          <w:rStyle w:val="FootnoteReference"/>
        </w:rPr>
        <w:footnoteRef/>
      </w:r>
      <w:r>
        <w:t xml:space="preserve"> The policy of the GoPNG is that English is to be the language of instruction in all schools. International research indicates that learning in the early grades is improved if that learning is done in the mother-tongue or lingua franca of the community.</w:t>
      </w:r>
    </w:p>
  </w:footnote>
  <w:footnote w:id="74">
    <w:p w14:paraId="1E171A74" w14:textId="77777777" w:rsidR="009F310F" w:rsidRDefault="009F310F" w:rsidP="0047648E">
      <w:pPr>
        <w:pStyle w:val="FootnoteText"/>
        <w:spacing w:after="0" w:line="216" w:lineRule="auto"/>
      </w:pPr>
      <w:r>
        <w:rPr>
          <w:rStyle w:val="FootnoteReference"/>
        </w:rPr>
        <w:footnoteRef/>
      </w:r>
      <w:r>
        <w:t xml:space="preserve"> All three projects have developed informal and unofficial relationships with different NDOE officials. Some of these relationships are the product of previous engagement by the NGOs, while others have been developed by the NGOs to exchange information without having to go through official channels.</w:t>
      </w:r>
    </w:p>
  </w:footnote>
  <w:footnote w:id="75">
    <w:p w14:paraId="775E8FA1" w14:textId="52B5C8BA" w:rsidR="009F310F" w:rsidRDefault="009F310F" w:rsidP="0047648E">
      <w:pPr>
        <w:pStyle w:val="FootnoteText"/>
        <w:spacing w:after="0" w:line="216" w:lineRule="auto"/>
      </w:pPr>
      <w:r>
        <w:rPr>
          <w:rStyle w:val="FootnoteReference"/>
        </w:rPr>
        <w:footnoteRef/>
      </w:r>
      <w:r>
        <w:t xml:space="preserve"> Finalisation of the mid-term review was postponed to late March 2020.</w:t>
      </w:r>
    </w:p>
  </w:footnote>
  <w:footnote w:id="76">
    <w:p w14:paraId="01B91C3D" w14:textId="77777777" w:rsidR="009F310F" w:rsidRPr="00A16F03" w:rsidRDefault="009F310F" w:rsidP="0047648E">
      <w:pPr>
        <w:pStyle w:val="FootnoteText"/>
        <w:spacing w:after="0"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The Mid-term Review was conducted in late 2019. Annual progress reports will be prepared for the January-December 2019 period and were not available.  The review relied on information provided in the January to June 2019 S</w:t>
      </w:r>
      <w:r>
        <w:rPr>
          <w:rFonts w:asciiTheme="majorHAnsi" w:hAnsiTheme="majorHAnsi" w:cstheme="majorHAnsi"/>
        </w:rPr>
        <w:t>ix-Monthly Progress Report</w:t>
      </w:r>
      <w:r w:rsidRPr="00A16F03">
        <w:rPr>
          <w:rFonts w:asciiTheme="majorHAnsi" w:hAnsiTheme="majorHAnsi" w:cstheme="majorHAnsi"/>
        </w:rPr>
        <w:t>s.</w:t>
      </w:r>
    </w:p>
  </w:footnote>
  <w:footnote w:id="77">
    <w:p w14:paraId="357CF04E" w14:textId="77777777" w:rsidR="009F310F" w:rsidRPr="00A16F03" w:rsidRDefault="009F310F" w:rsidP="0047648E">
      <w:pPr>
        <w:pStyle w:val="FootnoteText"/>
        <w:spacing w:after="0"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While the PPF Secretariat would design and facilitate the forum, given the participation of the PPF Secretariat in the forum an independent program logic facilitator may be necessary.</w:t>
      </w:r>
    </w:p>
  </w:footnote>
  <w:footnote w:id="78">
    <w:p w14:paraId="151BB742" w14:textId="77777777" w:rsidR="009F310F" w:rsidRPr="00A16F03" w:rsidRDefault="009F310F" w:rsidP="0047648E">
      <w:pPr>
        <w:pStyle w:val="FootnoteText"/>
        <w:spacing w:after="0" w:line="216" w:lineRule="auto"/>
        <w:rPr>
          <w:rFonts w:asciiTheme="majorHAnsi" w:hAnsiTheme="majorHAnsi" w:cstheme="majorHAnsi"/>
          <w:sz w:val="16"/>
          <w:szCs w:val="16"/>
        </w:rPr>
      </w:pPr>
      <w:r w:rsidRPr="00A16F03">
        <w:rPr>
          <w:rStyle w:val="FootnoteReference"/>
          <w:rFonts w:asciiTheme="majorHAnsi" w:hAnsiTheme="majorHAnsi" w:cstheme="majorHAnsi"/>
          <w:sz w:val="16"/>
          <w:szCs w:val="16"/>
        </w:rPr>
        <w:footnoteRef/>
      </w:r>
      <w:r w:rsidRPr="00A16F03">
        <w:rPr>
          <w:rFonts w:asciiTheme="majorHAnsi" w:hAnsiTheme="majorHAnsi" w:cstheme="majorHAnsi"/>
          <w:sz w:val="16"/>
          <w:szCs w:val="16"/>
        </w:rPr>
        <w:t xml:space="preserve"> </w:t>
      </w:r>
      <w:r w:rsidRPr="001444CE">
        <w:rPr>
          <w:rFonts w:asciiTheme="majorHAnsi" w:hAnsiTheme="majorHAnsi" w:cstheme="majorHAnsi"/>
        </w:rPr>
        <w:t>The Australian government expressed the intention to extend the grants to the end of February 2022 to: the StC and WV consortia on 8 November 2019, during the review team’s meeting with them; CARE on 20 November 2019 during the review team’s debriefing session; and, representatives of the NDOE and DNPM during the presentation of the Aide-Memoire on 25 November 2019.</w:t>
      </w:r>
      <w:r>
        <w:rPr>
          <w:rFonts w:asciiTheme="majorHAnsi" w:hAnsiTheme="majorHAnsi" w:cstheme="majorHAnsi"/>
        </w:rPr>
        <w:t xml:space="preserve"> Since then, the Australian Government has indicated that the grants are to be extended to February 2022, with actual implementation likely concluding December 2021.</w:t>
      </w:r>
    </w:p>
  </w:footnote>
  <w:footnote w:id="79">
    <w:p w14:paraId="63521E10" w14:textId="77777777" w:rsidR="009F310F" w:rsidRPr="00A16F03" w:rsidRDefault="009F310F" w:rsidP="0047648E">
      <w:pPr>
        <w:pStyle w:val="FootnoteText"/>
        <w:spacing w:after="0" w:line="216" w:lineRule="auto"/>
        <w:rPr>
          <w:rFonts w:asciiTheme="majorHAnsi" w:hAnsiTheme="majorHAnsi" w:cstheme="majorHAnsi"/>
          <w:sz w:val="16"/>
          <w:szCs w:val="16"/>
        </w:rPr>
      </w:pPr>
      <w:r w:rsidRPr="00A16F03">
        <w:rPr>
          <w:rStyle w:val="FootnoteReference"/>
          <w:rFonts w:asciiTheme="majorHAnsi" w:hAnsiTheme="majorHAnsi" w:cstheme="majorHAnsi"/>
          <w:sz w:val="16"/>
          <w:szCs w:val="16"/>
        </w:rPr>
        <w:footnoteRef/>
      </w:r>
      <w:r w:rsidRPr="00A16F03">
        <w:rPr>
          <w:rFonts w:asciiTheme="majorHAnsi" w:hAnsiTheme="majorHAnsi" w:cstheme="majorHAnsi"/>
          <w:sz w:val="16"/>
          <w:szCs w:val="16"/>
        </w:rPr>
        <w:t xml:space="preserve"> </w:t>
      </w:r>
      <w:r w:rsidRPr="001444CE">
        <w:rPr>
          <w:rFonts w:asciiTheme="majorHAnsi" w:hAnsiTheme="majorHAnsi" w:cstheme="majorHAnsi"/>
        </w:rPr>
        <w:t>The MOU was signed by StC on 11 October 2019, by WV on 17 October 2019, by CARE on 22 October 2019 and by Abt Associates on 24 October 2019.  The MOU was signed by the Secretary of Education, but there is no date provided. During interviews with key informants the comment was made that it took over two years to sign the MOU.</w:t>
      </w:r>
    </w:p>
  </w:footnote>
  <w:footnote w:id="80">
    <w:p w14:paraId="605849C4" w14:textId="77777777" w:rsidR="009F310F" w:rsidRPr="00A16F03" w:rsidRDefault="009F310F" w:rsidP="0047648E">
      <w:pPr>
        <w:pStyle w:val="FootnoteText"/>
        <w:spacing w:after="0" w:line="216" w:lineRule="auto"/>
        <w:rPr>
          <w:rFonts w:asciiTheme="majorHAnsi" w:hAnsiTheme="majorHAnsi" w:cstheme="majorHAnsi"/>
          <w:sz w:val="16"/>
          <w:szCs w:val="16"/>
        </w:rPr>
      </w:pPr>
      <w:r w:rsidRPr="00A16F03">
        <w:rPr>
          <w:rStyle w:val="FootnoteReference"/>
          <w:rFonts w:asciiTheme="majorHAnsi" w:hAnsiTheme="majorHAnsi" w:cstheme="majorHAnsi"/>
          <w:sz w:val="16"/>
          <w:szCs w:val="16"/>
        </w:rPr>
        <w:footnoteRef/>
      </w:r>
      <w:r w:rsidRPr="00A16F03">
        <w:rPr>
          <w:rFonts w:asciiTheme="majorHAnsi" w:hAnsiTheme="majorHAnsi" w:cstheme="majorHAnsi"/>
          <w:sz w:val="16"/>
          <w:szCs w:val="16"/>
        </w:rPr>
        <w:t xml:space="preserve"> </w:t>
      </w:r>
      <w:r w:rsidRPr="001444CE">
        <w:rPr>
          <w:rFonts w:asciiTheme="majorHAnsi" w:hAnsiTheme="majorHAnsi" w:cstheme="majorHAnsi"/>
        </w:rPr>
        <w:t>The Secretary of NDOE signed on 27 September 2019, the final draft of the Terms of Reference for the PPF N</w:t>
      </w:r>
      <w:r>
        <w:rPr>
          <w:rFonts w:asciiTheme="majorHAnsi" w:hAnsiTheme="majorHAnsi" w:cstheme="majorHAnsi"/>
        </w:rPr>
        <w:t>OC</w:t>
      </w:r>
      <w:r w:rsidRPr="001444CE">
        <w:rPr>
          <w:rFonts w:asciiTheme="majorHAnsi" w:hAnsiTheme="majorHAnsi" w:cstheme="majorHAnsi"/>
        </w:rPr>
        <w:t xml:space="preserve"> (dated 28 May 2019).  The PPF </w:t>
      </w:r>
      <w:r>
        <w:rPr>
          <w:rFonts w:asciiTheme="majorHAnsi" w:hAnsiTheme="majorHAnsi" w:cstheme="majorHAnsi"/>
        </w:rPr>
        <w:t>NOC</w:t>
      </w:r>
      <w:r w:rsidRPr="001444CE">
        <w:rPr>
          <w:rFonts w:asciiTheme="majorHAnsi" w:hAnsiTheme="majorHAnsi" w:cstheme="majorHAnsi"/>
        </w:rPr>
        <w:t xml:space="preserve"> serves as a Steering Committee.</w:t>
      </w:r>
    </w:p>
  </w:footnote>
  <w:footnote w:id="81">
    <w:p w14:paraId="3612CB01" w14:textId="77777777" w:rsidR="009F310F" w:rsidRPr="00A16F03" w:rsidRDefault="009F310F" w:rsidP="0047648E">
      <w:pPr>
        <w:pStyle w:val="FootnoteText"/>
        <w:spacing w:after="0"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The review team was not provided information on the scope of services for Abt Associates with respect to their roles, functions and obligations in supporting the PPF Education Grants.  As a result, the review team is unable to ascertain whether the suggestions provided to expand and/or adjust the roles and functions of the PPF Secretariat are feasible under the current contract arrangements with Abt Associates.</w:t>
      </w:r>
    </w:p>
  </w:footnote>
  <w:footnote w:id="82">
    <w:p w14:paraId="0A02C74C" w14:textId="77777777" w:rsidR="009F310F" w:rsidRPr="00A16F03" w:rsidRDefault="009F310F" w:rsidP="0047648E">
      <w:pPr>
        <w:pStyle w:val="FootnoteText"/>
        <w:spacing w:after="0"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The term ‘hot-spots’ is used in the PNG M</w:t>
      </w:r>
      <w:r>
        <w:rPr>
          <w:rFonts w:asciiTheme="majorHAnsi" w:hAnsiTheme="majorHAnsi" w:cstheme="majorHAnsi"/>
        </w:rPr>
        <w:t>edium-Term Development Plan</w:t>
      </w:r>
      <w:r w:rsidRPr="00A16F03">
        <w:rPr>
          <w:rFonts w:asciiTheme="majorHAnsi" w:hAnsiTheme="majorHAnsi" w:cstheme="majorHAnsi"/>
        </w:rPr>
        <w:t xml:space="preserve"> 2018-2022 to denote areas where additional development attention is required.  The term ‘hot-spot’ refers primarily to the incidence of poverty and thus the focus for development, including economic development initiatives – and education is viewed as an important contributor.</w:t>
      </w:r>
    </w:p>
  </w:footnote>
  <w:footnote w:id="83">
    <w:p w14:paraId="27A47199" w14:textId="77777777" w:rsidR="009F310F" w:rsidRDefault="009F310F" w:rsidP="0047648E">
      <w:pPr>
        <w:pStyle w:val="FootnoteText"/>
        <w:spacing w:after="0" w:line="216" w:lineRule="auto"/>
      </w:pPr>
      <w:r>
        <w:rPr>
          <w:rStyle w:val="FootnoteReference"/>
        </w:rPr>
        <w:footnoteRef/>
      </w:r>
      <w:r>
        <w:t xml:space="preserve"> The ‘cluster’ concept is a model which encourages schools which are near to each other to work together to support each other and exchange ideas and practices.  In other countries (e.g. Philippines), a ‘lead’ school is usually assigned to engage six to eight nearby schools.</w:t>
      </w:r>
    </w:p>
  </w:footnote>
  <w:footnote w:id="84">
    <w:p w14:paraId="6AA6BCE4" w14:textId="77777777" w:rsidR="009F310F" w:rsidRPr="00A16F03" w:rsidRDefault="009F310F" w:rsidP="0047648E">
      <w:pPr>
        <w:pStyle w:val="FootnoteText"/>
        <w:spacing w:after="0"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International research continues to confirm that the most significant factor related to a child’s learning is the ability of the teacher. This is particularly evident with respect to learning in the early grades. Results from the PPF Education Grants midline studies indicate that there have been significant improvements in the acquisition of knowledge and skills by the teachers who have participated in the training program provided, however lack of adequate follow-up and support may impede application and practice. More targeted correlation studies should be able to support this causality.  </w:t>
      </w:r>
    </w:p>
  </w:footnote>
  <w:footnote w:id="85">
    <w:p w14:paraId="19A96D84" w14:textId="77777777" w:rsidR="009F310F" w:rsidRPr="00A16F03" w:rsidRDefault="009F310F" w:rsidP="0047648E">
      <w:pPr>
        <w:pStyle w:val="FootnoteText"/>
        <w:spacing w:after="0"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Discussions with the A</w:t>
      </w:r>
      <w:r>
        <w:rPr>
          <w:rFonts w:asciiTheme="majorHAnsi" w:hAnsiTheme="majorHAnsi" w:cstheme="majorHAnsi"/>
        </w:rPr>
        <w:t>ustralian Government</w:t>
      </w:r>
      <w:r w:rsidRPr="00A16F03">
        <w:rPr>
          <w:rFonts w:asciiTheme="majorHAnsi" w:hAnsiTheme="majorHAnsi" w:cstheme="majorHAnsi"/>
        </w:rPr>
        <w:t xml:space="preserve"> and advisers assigned to the E</w:t>
      </w:r>
      <w:r>
        <w:rPr>
          <w:rFonts w:asciiTheme="majorHAnsi" w:hAnsiTheme="majorHAnsi" w:cstheme="majorHAnsi"/>
        </w:rPr>
        <w:t>ducation Capacity Development Facility</w:t>
      </w:r>
      <w:r w:rsidRPr="00A16F03">
        <w:rPr>
          <w:rFonts w:asciiTheme="majorHAnsi" w:hAnsiTheme="majorHAnsi" w:cstheme="majorHAnsi"/>
        </w:rPr>
        <w:t xml:space="preserve">, a planning horizon of more than 10 years is envisioned for a future investment to help improve PNG’s early grades’ education. </w:t>
      </w:r>
    </w:p>
  </w:footnote>
  <w:footnote w:id="86">
    <w:p w14:paraId="13DB3001" w14:textId="77777777" w:rsidR="009F310F" w:rsidRPr="00A16F03" w:rsidRDefault="009F310F" w:rsidP="0047648E">
      <w:pPr>
        <w:pStyle w:val="FootnoteText"/>
        <w:spacing w:after="0"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Improvements in pre-service teacher preparation will reduce the requirements for intensive in-service training programs.</w:t>
      </w:r>
    </w:p>
  </w:footnote>
  <w:footnote w:id="87">
    <w:p w14:paraId="14370502" w14:textId="22E26F59" w:rsidR="009F310F" w:rsidRDefault="009F310F" w:rsidP="0047648E">
      <w:pPr>
        <w:pStyle w:val="Heading3"/>
        <w:numPr>
          <w:ilvl w:val="0"/>
          <w:numId w:val="0"/>
        </w:numPr>
        <w:shd w:val="clear" w:color="auto" w:fill="FFFFFF"/>
        <w:spacing w:before="0" w:after="0" w:line="216" w:lineRule="auto"/>
        <w:textAlignment w:val="baseline"/>
      </w:pPr>
      <w:r w:rsidRPr="00E06FB0">
        <w:rPr>
          <w:rStyle w:val="FootnoteReference"/>
          <w:color w:val="000000" w:themeColor="text1"/>
        </w:rPr>
        <w:footnoteRef/>
      </w:r>
      <w:r>
        <w:t xml:space="preserve"> </w:t>
      </w:r>
      <w:r w:rsidRPr="00772C8E">
        <w:rPr>
          <w:rFonts w:asciiTheme="majorHAnsi" w:eastAsiaTheme="minorHAnsi" w:hAnsiTheme="majorHAnsi" w:cstheme="majorHAnsi"/>
          <w:color w:val="auto"/>
          <w:sz w:val="18"/>
          <w:szCs w:val="24"/>
          <w:lang w:val="en-AU"/>
        </w:rPr>
        <w:t xml:space="preserve">The Whole School Development model </w:t>
      </w:r>
      <w:r>
        <w:rPr>
          <w:rFonts w:asciiTheme="majorHAnsi" w:eastAsiaTheme="minorHAnsi" w:hAnsiTheme="majorHAnsi" w:cstheme="majorHAnsi"/>
          <w:color w:val="auto"/>
          <w:sz w:val="18"/>
          <w:szCs w:val="24"/>
          <w:lang w:val="en-AU"/>
        </w:rPr>
        <w:t xml:space="preserve">is similar to the SLIP model used in PNG, however, it is intended </w:t>
      </w:r>
      <w:r w:rsidRPr="00772C8E">
        <w:rPr>
          <w:rFonts w:asciiTheme="majorHAnsi" w:eastAsiaTheme="minorHAnsi" w:hAnsiTheme="majorHAnsi" w:cstheme="majorHAnsi"/>
          <w:color w:val="auto"/>
          <w:sz w:val="18"/>
          <w:szCs w:val="24"/>
          <w:lang w:val="en-AU"/>
        </w:rPr>
        <w:t>to incre</w:t>
      </w:r>
      <w:r>
        <w:rPr>
          <w:rFonts w:asciiTheme="majorHAnsi" w:eastAsiaTheme="minorHAnsi" w:hAnsiTheme="majorHAnsi" w:cstheme="majorHAnsi"/>
          <w:color w:val="auto"/>
          <w:sz w:val="18"/>
          <w:szCs w:val="24"/>
          <w:lang w:val="en-AU"/>
        </w:rPr>
        <w:t xml:space="preserve">mentally address a broader range of </w:t>
      </w:r>
      <w:r w:rsidRPr="00772C8E">
        <w:rPr>
          <w:rFonts w:asciiTheme="majorHAnsi" w:eastAsiaTheme="minorHAnsi" w:hAnsiTheme="majorHAnsi" w:cstheme="majorHAnsi"/>
          <w:color w:val="auto"/>
          <w:sz w:val="18"/>
          <w:szCs w:val="24"/>
          <w:lang w:val="en-AU"/>
        </w:rPr>
        <w:t>issues</w:t>
      </w:r>
      <w:r>
        <w:rPr>
          <w:rFonts w:asciiTheme="majorHAnsi" w:eastAsiaTheme="minorHAnsi" w:hAnsiTheme="majorHAnsi" w:cstheme="majorHAnsi"/>
          <w:color w:val="auto"/>
          <w:sz w:val="18"/>
          <w:szCs w:val="24"/>
          <w:lang w:val="en-AU"/>
        </w:rPr>
        <w:t>, including</w:t>
      </w:r>
      <w:r w:rsidRPr="00772C8E">
        <w:rPr>
          <w:rFonts w:asciiTheme="majorHAnsi" w:eastAsiaTheme="minorHAnsi" w:hAnsiTheme="majorHAnsi" w:cstheme="majorHAnsi"/>
          <w:color w:val="auto"/>
          <w:sz w:val="18"/>
          <w:szCs w:val="24"/>
          <w:lang w:val="en-AU"/>
        </w:rPr>
        <w:t>:</w:t>
      </w:r>
      <w:r>
        <w:rPr>
          <w:rFonts w:asciiTheme="majorHAnsi" w:eastAsiaTheme="minorHAnsi" w:hAnsiTheme="majorHAnsi" w:cstheme="majorHAnsi"/>
          <w:color w:val="auto"/>
          <w:sz w:val="18"/>
          <w:szCs w:val="24"/>
          <w:lang w:val="en-AU"/>
        </w:rPr>
        <w:t xml:space="preserve"> i) </w:t>
      </w:r>
      <w:r w:rsidRPr="00772C8E">
        <w:rPr>
          <w:rFonts w:asciiTheme="majorHAnsi" w:eastAsiaTheme="minorHAnsi" w:hAnsiTheme="majorHAnsi" w:cstheme="majorHAnsi"/>
          <w:color w:val="auto"/>
          <w:sz w:val="18"/>
          <w:szCs w:val="24"/>
        </w:rPr>
        <w:t>strategic planning, leadership, management and governance</w:t>
      </w:r>
      <w:r>
        <w:rPr>
          <w:rFonts w:asciiTheme="majorHAnsi" w:eastAsiaTheme="minorHAnsi" w:hAnsiTheme="majorHAnsi" w:cstheme="majorHAnsi"/>
          <w:color w:val="auto"/>
          <w:sz w:val="18"/>
          <w:szCs w:val="24"/>
        </w:rPr>
        <w:t xml:space="preserve">; ii) </w:t>
      </w:r>
      <w:r w:rsidRPr="00772C8E">
        <w:rPr>
          <w:rFonts w:asciiTheme="majorHAnsi" w:eastAsiaTheme="minorHAnsi" w:hAnsiTheme="majorHAnsi" w:cstheme="majorHAnsi"/>
          <w:color w:val="auto"/>
          <w:sz w:val="18"/>
          <w:szCs w:val="24"/>
        </w:rPr>
        <w:t xml:space="preserve">educator development, including knowledge and implementation </w:t>
      </w:r>
      <w:r w:rsidRPr="007757A3">
        <w:rPr>
          <w:rFonts w:asciiTheme="majorHAnsi" w:eastAsiaTheme="minorHAnsi" w:hAnsiTheme="majorHAnsi" w:cstheme="majorHAnsi"/>
          <w:color w:val="auto"/>
          <w:sz w:val="18"/>
          <w:szCs w:val="24"/>
        </w:rPr>
        <w:t xml:space="preserve">of curriculum; iii) school safety, security and discipline; iv) infrastructure; v) learner support systems in mathematics, science, counselling etc.; vi) </w:t>
      </w:r>
      <w:r w:rsidRPr="007757A3">
        <w:rPr>
          <w:rFonts w:asciiTheme="majorHAnsi" w:eastAsiaTheme="minorHAnsi" w:hAnsiTheme="majorHAnsi" w:cstheme="majorHAnsi"/>
          <w:color w:val="auto"/>
          <w:sz w:val="18"/>
        </w:rPr>
        <w:t>extra and co-curricular activities, and, vii) social welfare of learners</w:t>
      </w:r>
    </w:p>
  </w:footnote>
  <w:footnote w:id="88">
    <w:p w14:paraId="1DC7DC5E" w14:textId="77777777" w:rsidR="009F310F" w:rsidRDefault="009F310F" w:rsidP="0047648E">
      <w:pPr>
        <w:pStyle w:val="FootnoteText"/>
        <w:spacing w:after="0" w:line="216" w:lineRule="auto"/>
      </w:pPr>
      <w:r>
        <w:rPr>
          <w:rStyle w:val="FootnoteReference"/>
        </w:rPr>
        <w:footnoteRef/>
      </w:r>
      <w:r>
        <w:t xml:space="preserve"> </w:t>
      </w:r>
      <w:r w:rsidRPr="00A16F03">
        <w:rPr>
          <w:rFonts w:asciiTheme="majorHAnsi" w:hAnsiTheme="majorHAnsi" w:cstheme="majorHAnsi"/>
        </w:rPr>
        <w:t>The Whole School Development approach could build upon and strengthen the School Learning Improvement Plan (SLIP)</w:t>
      </w:r>
      <w:r>
        <w:rPr>
          <w:rFonts w:asciiTheme="majorHAnsi" w:hAnsiTheme="majorHAnsi" w:cstheme="majorHAnsi"/>
        </w:rPr>
        <w:t xml:space="preserve"> process.</w:t>
      </w:r>
    </w:p>
  </w:footnote>
  <w:footnote w:id="89">
    <w:p w14:paraId="175DD64C" w14:textId="77777777" w:rsidR="009F310F" w:rsidRDefault="009F310F" w:rsidP="00E041B6">
      <w:pPr>
        <w:pStyle w:val="FootnoteText"/>
      </w:pPr>
      <w:r>
        <w:rPr>
          <w:rStyle w:val="FootnoteReference"/>
        </w:rPr>
        <w:footnoteRef/>
      </w:r>
      <w:r>
        <w:t xml:space="preserve"> As the different PPF consortia have their own MEL frameworks, they should also be drawn on to supplement these indicative questions.</w:t>
      </w:r>
    </w:p>
  </w:footnote>
  <w:footnote w:id="90">
    <w:p w14:paraId="05F2D46A" w14:textId="77777777" w:rsidR="009F310F" w:rsidRDefault="009F310F" w:rsidP="00E041B6">
      <w:pPr>
        <w:pStyle w:val="FootnoteText"/>
      </w:pPr>
      <w:r>
        <w:rPr>
          <w:rStyle w:val="FootnoteReference"/>
        </w:rPr>
        <w:footnoteRef/>
      </w:r>
      <w:r>
        <w:t xml:space="preserve"> A useful guiding document would be ‘Inovasi Guiding Program Strategy, Part 1: November 2017’, in particular pp.11 and 18-21 on strategies for influencing change, and methodologies for assessing change. </w:t>
      </w:r>
    </w:p>
  </w:footnote>
  <w:footnote w:id="91">
    <w:p w14:paraId="4FCB9FD4" w14:textId="77777777" w:rsidR="009F310F" w:rsidRDefault="009F310F" w:rsidP="00E041B6">
      <w:pPr>
        <w:pStyle w:val="FootnoteText"/>
      </w:pPr>
      <w:r>
        <w:rPr>
          <w:rStyle w:val="FootnoteReference"/>
        </w:rPr>
        <w:footnoteRef/>
      </w:r>
      <w:r>
        <w:t xml:space="preserve"> These dates could be advanced if required, but the overall time needed should not change.</w:t>
      </w:r>
    </w:p>
  </w:footnote>
  <w:footnote w:id="92">
    <w:p w14:paraId="51BF6021" w14:textId="77777777" w:rsidR="009F310F" w:rsidRDefault="009F310F" w:rsidP="00E041B6">
      <w:pPr>
        <w:pStyle w:val="FootnoteText"/>
      </w:pPr>
      <w:r>
        <w:rPr>
          <w:rStyle w:val="FootnoteReference"/>
        </w:rPr>
        <w:footnoteRef/>
      </w:r>
      <w:r>
        <w:t xml:space="preserve"> </w:t>
      </w:r>
      <w:r w:rsidRPr="005B28C2">
        <w:t xml:space="preserve">Annexes are expected but should only be attached if they contain information critical to </w:t>
      </w:r>
      <w:r>
        <w:t xml:space="preserve">the </w:t>
      </w:r>
      <w:r w:rsidRPr="005B28C2">
        <w:t>reader’s understanding of the report or to the application of the Review’s recommendations.</w:t>
      </w:r>
      <w:r>
        <w:t xml:space="preserve"> As there are three projects involved in this evaluation, annexes that relate findings from individual consortia activities may be helpful.</w:t>
      </w:r>
    </w:p>
  </w:footnote>
  <w:footnote w:id="93">
    <w:p w14:paraId="35D7C335" w14:textId="77777777" w:rsidR="009F310F" w:rsidRPr="00BB2DEE" w:rsidRDefault="009F310F" w:rsidP="003C1678">
      <w:pPr>
        <w:pStyle w:val="FootnoteText"/>
        <w:spacing w:after="0" w:line="240" w:lineRule="auto"/>
      </w:pPr>
      <w:r>
        <w:rPr>
          <w:rStyle w:val="FootnoteReference"/>
        </w:rPr>
        <w:footnoteRef/>
      </w:r>
      <w:r>
        <w:t xml:space="preserve"> Senior government officials have cited the need for the PPF Education Grants to adhere to the PNG Development Cooperation Policy of 2015. This policy has been recently revised and is aligned with the Medium-Term Development Plan 2018-2022.</w:t>
      </w:r>
    </w:p>
  </w:footnote>
  <w:footnote w:id="94">
    <w:p w14:paraId="31688D57" w14:textId="77777777" w:rsidR="009F310F" w:rsidRPr="00261D41" w:rsidRDefault="009F310F" w:rsidP="003C1678">
      <w:pPr>
        <w:pStyle w:val="FootnoteText"/>
        <w:spacing w:after="0" w:line="240" w:lineRule="auto"/>
      </w:pPr>
      <w:r>
        <w:rPr>
          <w:rStyle w:val="FootnoteReference"/>
        </w:rPr>
        <w:footnoteRef/>
      </w:r>
      <w:r>
        <w:t xml:space="preserve"> The review team was not provided information on the scope of services for Abt Associates with respect to their roles, functions and obligations in supporting the PPF Education Grants.  As a result, the review team is unable to ascertain whether this suggestion is feasible under the current contract arrangements.</w:t>
      </w:r>
    </w:p>
  </w:footnote>
  <w:footnote w:id="95">
    <w:p w14:paraId="13030838" w14:textId="77777777" w:rsidR="009F310F" w:rsidRPr="00037DD5" w:rsidRDefault="009F310F" w:rsidP="003C1678">
      <w:pPr>
        <w:pStyle w:val="FootnoteText"/>
      </w:pPr>
      <w:r>
        <w:rPr>
          <w:rStyle w:val="FootnoteReference"/>
        </w:rPr>
        <w:footnoteRef/>
      </w:r>
      <w:r>
        <w:t xml:space="preserve"> International research continues to confirm that the most significant factor related to a child’s learning is the knowledge, skills and ability of the teacher. This is particularly evident with respect to learning in the early grades. Results from the PPF Education Grants mid-line studies indicate that there have been significant improvements in the acquisition of knowledge and skills by the teachers who have participated in the training program provided. More targeted correlation studies should be able to support this causality.  </w:t>
      </w:r>
    </w:p>
  </w:footnote>
  <w:footnote w:id="96">
    <w:p w14:paraId="765EF600" w14:textId="16F14DB2" w:rsidR="009F310F" w:rsidRPr="007D42FB" w:rsidRDefault="009F310F" w:rsidP="003C1678">
      <w:pPr>
        <w:pStyle w:val="FootnoteText"/>
      </w:pPr>
      <w:r>
        <w:rPr>
          <w:rStyle w:val="FootnoteReference"/>
        </w:rPr>
        <w:footnoteRef/>
      </w:r>
      <w:r>
        <w:t xml:space="preserve"> The Whole School Development (WSD) approach would strengthen and build upon the current School Learning Improvement Plan (SLIP).</w:t>
      </w:r>
    </w:p>
  </w:footnote>
  <w:footnote w:id="97">
    <w:p w14:paraId="34105DE7" w14:textId="77777777" w:rsidR="009F310F" w:rsidRPr="00A16F03" w:rsidRDefault="009F310F" w:rsidP="00436FDA">
      <w:pPr>
        <w:pStyle w:val="FootnoteText"/>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The T4E project reported the highest incidence of monitoring, in part due to two decisions: 1) T4E did not randomly identify schools for intervention, but purposively identified schools that were ‘reachable’ for the first year of training – whereas RISE and PKS undertook a random selection of schools which included remote and difficult to access schools; and 2) the number of schools targeted for interventions by T4E was significantly lower than RISE or PKS. T4E did note increased challenges in monitoring the 2019 target schools due these being more remote.</w:t>
      </w:r>
    </w:p>
  </w:footnote>
  <w:footnote w:id="98">
    <w:p w14:paraId="72EF4327" w14:textId="77777777" w:rsidR="009F310F" w:rsidRPr="00A16F03" w:rsidRDefault="009F310F" w:rsidP="00436FDA">
      <w:pPr>
        <w:pStyle w:val="FootnoteText"/>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A provincial official passed a written note to one of the review team members asking that the per diem offered by PKS for district and provincial officials be increased to be the same as government per diems (CARE offers its pro</w:t>
      </w:r>
      <w:r>
        <w:rPr>
          <w:rFonts w:asciiTheme="majorHAnsi" w:hAnsiTheme="majorHAnsi" w:cstheme="majorHAnsi"/>
        </w:rPr>
        <w:t>ject</w:t>
      </w:r>
      <w:r w:rsidRPr="00A16F03">
        <w:rPr>
          <w:rFonts w:asciiTheme="majorHAnsi" w:hAnsiTheme="majorHAnsi" w:cstheme="majorHAnsi"/>
        </w:rPr>
        <w:t xml:space="preserve"> staff and government partners K149/day, while it is understood government per diems are in the range of K200/day).</w:t>
      </w:r>
    </w:p>
  </w:footnote>
  <w:footnote w:id="99">
    <w:p w14:paraId="5FF02002" w14:textId="77777777" w:rsidR="009F310F" w:rsidRPr="00A16F03" w:rsidRDefault="009F310F" w:rsidP="005340AB">
      <w:pPr>
        <w:pStyle w:val="FootnoteText"/>
        <w:spacing w:after="0" w:line="240"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When asked why the district officials did not accompany the monitoring visits, the explanation given was that it might be that district officials did not wish to go to schools where there were issues relating to teachers not receiving salaries or the school not receiving the TFF</w:t>
      </w:r>
      <w:r>
        <w:rPr>
          <w:rFonts w:asciiTheme="majorHAnsi" w:hAnsiTheme="majorHAnsi" w:cstheme="majorHAnsi"/>
        </w:rPr>
        <w:t xml:space="preserve"> subsidy</w:t>
      </w:r>
      <w:r w:rsidRPr="00A16F03">
        <w:rPr>
          <w:rFonts w:asciiTheme="majorHAnsi" w:hAnsiTheme="majorHAnsi" w:cstheme="majorHAnsi"/>
        </w:rPr>
        <w:t>.</w:t>
      </w:r>
    </w:p>
  </w:footnote>
  <w:footnote w:id="100">
    <w:p w14:paraId="1A08DBD9" w14:textId="77777777" w:rsidR="009F310F" w:rsidRPr="00A16F03" w:rsidRDefault="009F310F" w:rsidP="005340AB">
      <w:pPr>
        <w:pStyle w:val="FootnoteText"/>
        <w:spacing w:after="0" w:line="240"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The TEACH tool is a simplified observation tool of teaching practice.  It has been developed by the World Bank and has been used in a number of developing countries.</w:t>
      </w:r>
    </w:p>
  </w:footnote>
  <w:footnote w:id="101">
    <w:p w14:paraId="60E6D59E" w14:textId="77777777" w:rsidR="009F310F" w:rsidRPr="00A16F03" w:rsidRDefault="009F310F" w:rsidP="00436FDA">
      <w:pPr>
        <w:pStyle w:val="FootnoteText"/>
        <w:spacing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During the field visit to East Sepik, one school visit was cancelled due to an ongoing disturbance in the community where the school was located.  PKS decided to change districts where they were originally intending to work due to peace and order concerns. Anecdotal evidence also suggests that some schools have closed due to the absence of the TFF </w:t>
      </w:r>
      <w:r>
        <w:rPr>
          <w:rFonts w:asciiTheme="majorHAnsi" w:hAnsiTheme="majorHAnsi" w:cstheme="majorHAnsi"/>
        </w:rPr>
        <w:t xml:space="preserve">subsidy </w:t>
      </w:r>
      <w:r w:rsidRPr="00A16F03">
        <w:rPr>
          <w:rFonts w:asciiTheme="majorHAnsi" w:hAnsiTheme="majorHAnsi" w:cstheme="majorHAnsi"/>
        </w:rPr>
        <w:t>and/or the absence of salary for teachers</w:t>
      </w:r>
      <w:r>
        <w:rPr>
          <w:rFonts w:asciiTheme="majorHAnsi" w:hAnsiTheme="majorHAnsi" w:cstheme="majorHAnsi"/>
        </w:rPr>
        <w:t>.</w:t>
      </w:r>
    </w:p>
  </w:footnote>
  <w:footnote w:id="102">
    <w:p w14:paraId="129DFAAC" w14:textId="77777777" w:rsidR="009F310F" w:rsidRPr="00A16F03" w:rsidRDefault="009F310F" w:rsidP="00436FDA">
      <w:pPr>
        <w:pStyle w:val="FootnoteText"/>
        <w:spacing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While the projects do offer per diem for district and provincial officials to accompany the project monitoring teams, this approach is not sustainable.</w:t>
      </w:r>
    </w:p>
  </w:footnote>
  <w:footnote w:id="103">
    <w:p w14:paraId="51A65E04" w14:textId="77777777" w:rsidR="009F310F" w:rsidRPr="00A16F03" w:rsidRDefault="009F310F" w:rsidP="00164170">
      <w:pPr>
        <w:pStyle w:val="FootnoteText"/>
        <w:spacing w:after="0" w:line="240"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The past tense is used as the expectation that FODE graduates will transition to enrol in the C</w:t>
      </w:r>
      <w:r>
        <w:rPr>
          <w:rFonts w:asciiTheme="majorHAnsi" w:hAnsiTheme="majorHAnsi" w:cstheme="majorHAnsi"/>
        </w:rPr>
        <w:t>ertificate of Elementary Education</w:t>
      </w:r>
      <w:r w:rsidRPr="00A16F03">
        <w:rPr>
          <w:rFonts w:asciiTheme="majorHAnsi" w:hAnsiTheme="majorHAnsi" w:cstheme="majorHAnsi"/>
        </w:rPr>
        <w:t xml:space="preserve"> has been dropped from the original targets.</w:t>
      </w:r>
    </w:p>
  </w:footnote>
  <w:footnote w:id="104">
    <w:p w14:paraId="7671AEDE" w14:textId="77777777" w:rsidR="009F310F" w:rsidRPr="00A16F03" w:rsidRDefault="009F310F" w:rsidP="00164170">
      <w:pPr>
        <w:pStyle w:val="FootnoteText"/>
        <w:spacing w:after="0" w:line="240"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Unfortunately, the review team was not able to interview officials from the P</w:t>
      </w:r>
      <w:r>
        <w:rPr>
          <w:rFonts w:asciiTheme="majorHAnsi" w:hAnsiTheme="majorHAnsi" w:cstheme="majorHAnsi"/>
        </w:rPr>
        <w:t>apua New Guinea Education Institute</w:t>
      </w:r>
      <w:r w:rsidRPr="00A16F03">
        <w:rPr>
          <w:rFonts w:asciiTheme="majorHAnsi" w:hAnsiTheme="majorHAnsi" w:cstheme="majorHAnsi"/>
        </w:rPr>
        <w:t xml:space="preserve">, the </w:t>
      </w:r>
      <w:r>
        <w:rPr>
          <w:rFonts w:asciiTheme="majorHAnsi" w:hAnsiTheme="majorHAnsi" w:cstheme="majorHAnsi"/>
        </w:rPr>
        <w:t xml:space="preserve">government </w:t>
      </w:r>
      <w:r w:rsidRPr="00A16F03">
        <w:rPr>
          <w:rFonts w:asciiTheme="majorHAnsi" w:hAnsiTheme="majorHAnsi" w:cstheme="majorHAnsi"/>
        </w:rPr>
        <w:t>institution responsible for the in-service training of teachers.</w:t>
      </w:r>
    </w:p>
  </w:footnote>
  <w:footnote w:id="105">
    <w:p w14:paraId="024E7EAD" w14:textId="77777777" w:rsidR="009F310F" w:rsidRPr="00132F91" w:rsidRDefault="009F310F" w:rsidP="00164170">
      <w:pPr>
        <w:pStyle w:val="FootnoteText"/>
        <w:spacing w:after="0" w:line="240"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The review team was informed that there is a pending transfer of all teacher training, including in-service teacher training, to the Department of Higher Education, Science, Research and Technology – a move that may introduce additional complexity as well as potentially improve </w:t>
      </w:r>
      <w:r w:rsidRPr="00132F91">
        <w:rPr>
          <w:rFonts w:asciiTheme="majorHAnsi" w:hAnsiTheme="majorHAnsi" w:cstheme="majorHAnsi"/>
        </w:rPr>
        <w:t>coordination between pre-service and in-service programming.</w:t>
      </w:r>
    </w:p>
  </w:footnote>
  <w:footnote w:id="106">
    <w:p w14:paraId="185E686D" w14:textId="77777777" w:rsidR="009F310F" w:rsidRPr="00A16F03" w:rsidRDefault="009F310F" w:rsidP="00F234DA">
      <w:pPr>
        <w:pStyle w:val="FootnoteText"/>
        <w:spacing w:after="0" w:line="240" w:lineRule="auto"/>
        <w:rPr>
          <w:rFonts w:asciiTheme="majorHAnsi" w:hAnsiTheme="majorHAnsi" w:cstheme="majorHAnsi"/>
        </w:rPr>
      </w:pPr>
      <w:r w:rsidRPr="00132F91">
        <w:rPr>
          <w:rStyle w:val="FootnoteReference"/>
          <w:rFonts w:asciiTheme="majorHAnsi" w:hAnsiTheme="majorHAnsi" w:cstheme="majorHAnsi"/>
        </w:rPr>
        <w:footnoteRef/>
      </w:r>
      <w:r w:rsidRPr="00132F91">
        <w:rPr>
          <w:rFonts w:asciiTheme="majorHAnsi" w:hAnsiTheme="majorHAnsi" w:cstheme="majorHAnsi"/>
        </w:rPr>
        <w:t xml:space="preserve"> The modified TEACH tool has a number of teaching standards that</w:t>
      </w:r>
      <w:r w:rsidRPr="00A16F03">
        <w:rPr>
          <w:rFonts w:asciiTheme="majorHAnsi" w:hAnsiTheme="majorHAnsi" w:cstheme="majorHAnsi"/>
        </w:rPr>
        <w:t xml:space="preserve"> are measured to assess teaching practice.  </w:t>
      </w:r>
      <w:r>
        <w:rPr>
          <w:rFonts w:asciiTheme="majorHAnsi" w:hAnsiTheme="majorHAnsi" w:cstheme="majorHAnsi"/>
        </w:rPr>
        <w:t>In other countries, particularly in the Philippines,</w:t>
      </w:r>
      <w:r w:rsidRPr="00A16F03">
        <w:rPr>
          <w:rFonts w:asciiTheme="majorHAnsi" w:hAnsiTheme="majorHAnsi" w:cstheme="majorHAnsi"/>
        </w:rPr>
        <w:t xml:space="preserve"> when the TEACH tool </w:t>
      </w:r>
      <w:r>
        <w:rPr>
          <w:rFonts w:asciiTheme="majorHAnsi" w:hAnsiTheme="majorHAnsi" w:cstheme="majorHAnsi"/>
        </w:rPr>
        <w:t>was</w:t>
      </w:r>
      <w:r w:rsidRPr="00A16F03">
        <w:rPr>
          <w:rFonts w:asciiTheme="majorHAnsi" w:hAnsiTheme="majorHAnsi" w:cstheme="majorHAnsi"/>
        </w:rPr>
        <w:t xml:space="preserve"> administered there </w:t>
      </w:r>
      <w:r>
        <w:rPr>
          <w:rFonts w:asciiTheme="majorHAnsi" w:hAnsiTheme="majorHAnsi" w:cstheme="majorHAnsi"/>
        </w:rPr>
        <w:t>was</w:t>
      </w:r>
      <w:r w:rsidRPr="00A16F03">
        <w:rPr>
          <w:rFonts w:asciiTheme="majorHAnsi" w:hAnsiTheme="majorHAnsi" w:cstheme="majorHAnsi"/>
        </w:rPr>
        <w:t xml:space="preserve"> a marked short-fall in the </w:t>
      </w:r>
      <w:r>
        <w:rPr>
          <w:rFonts w:asciiTheme="majorHAnsi" w:hAnsiTheme="majorHAnsi" w:cstheme="majorHAnsi"/>
        </w:rPr>
        <w:t xml:space="preserve">teachers’ </w:t>
      </w:r>
      <w:r w:rsidRPr="00A16F03">
        <w:rPr>
          <w:rFonts w:asciiTheme="majorHAnsi" w:hAnsiTheme="majorHAnsi" w:cstheme="majorHAnsi"/>
        </w:rPr>
        <w:t>ability to support socio-emotional skills development, a factor that contributes to learning and would be expected to be addressed in an E</w:t>
      </w:r>
      <w:r>
        <w:rPr>
          <w:rFonts w:asciiTheme="majorHAnsi" w:hAnsiTheme="majorHAnsi" w:cstheme="majorHAnsi"/>
        </w:rPr>
        <w:t>arly Childhood Education</w:t>
      </w:r>
      <w:r w:rsidRPr="00A16F03">
        <w:rPr>
          <w:rFonts w:asciiTheme="majorHAnsi" w:hAnsiTheme="majorHAnsi" w:cstheme="majorHAnsi"/>
        </w:rPr>
        <w:t xml:space="preserve"> </w:t>
      </w:r>
      <w:r>
        <w:rPr>
          <w:rFonts w:asciiTheme="majorHAnsi" w:hAnsiTheme="majorHAnsi" w:cstheme="majorHAnsi"/>
        </w:rPr>
        <w:t xml:space="preserve">Diploma </w:t>
      </w:r>
      <w:r w:rsidRPr="00A16F03">
        <w:rPr>
          <w:rFonts w:asciiTheme="majorHAnsi" w:hAnsiTheme="majorHAnsi" w:cstheme="majorHAnsi"/>
        </w:rPr>
        <w:t>program.</w:t>
      </w:r>
    </w:p>
  </w:footnote>
  <w:footnote w:id="107">
    <w:p w14:paraId="78D8CC34" w14:textId="77777777" w:rsidR="009F310F" w:rsidRPr="00A16F03" w:rsidRDefault="009F310F" w:rsidP="00F234DA">
      <w:pPr>
        <w:pStyle w:val="FootnoteText"/>
        <w:spacing w:after="0" w:line="240"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An analysis of primary education teacher college’s statistics showed that gender imbalances in school enrolments were highly correlated to gender imbalances of teachers, where</w:t>
      </w:r>
      <w:r w:rsidRPr="00A16F03">
        <w:rPr>
          <w:rFonts w:asciiTheme="majorHAnsi" w:hAnsiTheme="majorHAnsi" w:cstheme="majorHAnsi"/>
          <w:sz w:val="22"/>
          <w:szCs w:val="22"/>
        </w:rPr>
        <w:t xml:space="preserve"> </w:t>
      </w:r>
      <w:r w:rsidRPr="00A16F03">
        <w:rPr>
          <w:rFonts w:asciiTheme="majorHAnsi" w:hAnsiTheme="majorHAnsi" w:cstheme="majorHAnsi"/>
        </w:rPr>
        <w:t>provinces with a greater share of female teachers have a more gender balanced students’ population, in Letichevsky, P., Primary Education Teachers College Statistics, prepared for the E</w:t>
      </w:r>
      <w:r>
        <w:rPr>
          <w:rFonts w:asciiTheme="majorHAnsi" w:hAnsiTheme="majorHAnsi" w:cstheme="majorHAnsi"/>
        </w:rPr>
        <w:t>arly Childhood Education and Development</w:t>
      </w:r>
      <w:r w:rsidRPr="00A16F03">
        <w:rPr>
          <w:rFonts w:asciiTheme="majorHAnsi" w:hAnsiTheme="majorHAnsi" w:cstheme="majorHAnsi"/>
        </w:rPr>
        <w:t xml:space="preserve"> program, 2014 (unpublished),  </w:t>
      </w:r>
    </w:p>
  </w:footnote>
  <w:footnote w:id="108">
    <w:p w14:paraId="301ED6FC" w14:textId="7EBBD6BC" w:rsidR="009F310F" w:rsidRPr="00A16F03" w:rsidRDefault="009F310F" w:rsidP="00F234DA">
      <w:pPr>
        <w:pStyle w:val="FootnoteText"/>
        <w:spacing w:after="0" w:line="240"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The review team was not able to examine the effectiveness of these in detail</w:t>
      </w:r>
      <w:r>
        <w:rPr>
          <w:rFonts w:asciiTheme="majorHAnsi" w:hAnsiTheme="majorHAnsi" w:cstheme="majorHAnsi"/>
        </w:rPr>
        <w:t>.</w:t>
      </w:r>
    </w:p>
  </w:footnote>
  <w:footnote w:id="109">
    <w:p w14:paraId="2A2A5133" w14:textId="77777777" w:rsidR="009F310F" w:rsidRPr="00A16F03" w:rsidRDefault="009F310F" w:rsidP="00F234DA">
      <w:pPr>
        <w:pStyle w:val="FootnoteText"/>
        <w:spacing w:after="0" w:line="240"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During the interview with WV, it was indicated that ‘Literacy Unlocked’ was a modification of ‘Literacy Boost’.</w:t>
      </w:r>
    </w:p>
  </w:footnote>
  <w:footnote w:id="110">
    <w:p w14:paraId="3479C83A" w14:textId="77777777" w:rsidR="009F310F" w:rsidRPr="00A16F03" w:rsidRDefault="009F310F" w:rsidP="003E1E3E">
      <w:pPr>
        <w:pStyle w:val="FootnoteText"/>
        <w:spacing w:after="0" w:line="240"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The development of the sign language aspect of the Bloom Reader was apparently the result of a challenge by Callan Services when they were oriented to the audio version of the Bloom Reader.  The challenge was that “this would be even better if it could help hearing impaired children to read”.</w:t>
      </w:r>
    </w:p>
  </w:footnote>
  <w:footnote w:id="111">
    <w:p w14:paraId="3F032379" w14:textId="77777777" w:rsidR="009F310F" w:rsidRPr="00A16F03" w:rsidRDefault="009F310F" w:rsidP="003E1E3E">
      <w:pPr>
        <w:pStyle w:val="FootnoteText"/>
        <w:spacing w:after="0" w:line="240"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As the PKS project supplied copies of the SBC teacher guides as part of the in-service training program, some teachers had two copies of the teacher guides.</w:t>
      </w:r>
    </w:p>
  </w:footnote>
  <w:footnote w:id="112">
    <w:p w14:paraId="7674C0F4" w14:textId="77777777" w:rsidR="009F310F" w:rsidRPr="00A16F03" w:rsidRDefault="009F310F" w:rsidP="0049719E">
      <w:pPr>
        <w:pStyle w:val="FootnoteText"/>
        <w:spacing w:after="0" w:line="240"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One offer to distribute the SBC teacher guides resulted in the district advising that they would distribute them, but that the project would have to pay the District to do so.  Other anecdotal information indicated that quantities of teacher guides were still in shipping containers and located in various ports.</w:t>
      </w:r>
    </w:p>
  </w:footnote>
  <w:footnote w:id="113">
    <w:p w14:paraId="781B5556" w14:textId="77777777" w:rsidR="009F310F" w:rsidRPr="00A16F03" w:rsidRDefault="009F310F" w:rsidP="0049719E">
      <w:pPr>
        <w:pStyle w:val="FootnoteText"/>
        <w:spacing w:after="0" w:line="240"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These issues also affected the use of the Bloom Reader by the C</w:t>
      </w:r>
      <w:r>
        <w:rPr>
          <w:rFonts w:asciiTheme="majorHAnsi" w:hAnsiTheme="majorHAnsi" w:cstheme="majorHAnsi"/>
        </w:rPr>
        <w:t>LV</w:t>
      </w:r>
      <w:r w:rsidRPr="00A16F03">
        <w:rPr>
          <w:rFonts w:asciiTheme="majorHAnsi" w:hAnsiTheme="majorHAnsi" w:cstheme="majorHAnsi"/>
        </w:rPr>
        <w:t>s.</w:t>
      </w:r>
    </w:p>
  </w:footnote>
  <w:footnote w:id="114">
    <w:p w14:paraId="4BA5B875" w14:textId="77777777" w:rsidR="009F310F" w:rsidRPr="00A16F03" w:rsidRDefault="009F310F" w:rsidP="0049719E">
      <w:pPr>
        <w:pStyle w:val="FootnoteText"/>
        <w:spacing w:after="0" w:line="240"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One example shared with the review team was replacement of a bulb for the Education for Life projector – the </w:t>
      </w:r>
      <w:r>
        <w:rPr>
          <w:rFonts w:asciiTheme="majorHAnsi" w:hAnsiTheme="majorHAnsi" w:cstheme="majorHAnsi"/>
        </w:rPr>
        <w:t>TiC</w:t>
      </w:r>
      <w:r w:rsidRPr="00A16F03">
        <w:rPr>
          <w:rFonts w:asciiTheme="majorHAnsi" w:hAnsiTheme="majorHAnsi" w:cstheme="majorHAnsi"/>
        </w:rPr>
        <w:t>, at considerable transportation cost, had to travel to the nearest town some 2 hours away to acquire a new bulb. Other anecdotal information suggests that failures in the technology are often not dealt with as users are unaware of what to do to fix the problem when it is encountered.</w:t>
      </w:r>
    </w:p>
  </w:footnote>
  <w:footnote w:id="115">
    <w:p w14:paraId="2FA22FDB" w14:textId="77777777" w:rsidR="009F310F" w:rsidRPr="00A16F03" w:rsidRDefault="009F310F" w:rsidP="001E3185">
      <w:pPr>
        <w:pStyle w:val="FootnoteText"/>
        <w:spacing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Johnston, C. and Namit, K., RISE Learning Assessment Midline Report, July 2019.</w:t>
      </w:r>
    </w:p>
  </w:footnote>
  <w:footnote w:id="116">
    <w:p w14:paraId="7C12A5BE" w14:textId="77777777" w:rsidR="009F310F" w:rsidRPr="00A16F03" w:rsidRDefault="009F310F" w:rsidP="001E3185">
      <w:pPr>
        <w:pStyle w:val="FootnoteText"/>
        <w:spacing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Provided in personal correspondence to the review team by LfA on 19 November, 2019</w:t>
      </w:r>
    </w:p>
  </w:footnote>
  <w:footnote w:id="117">
    <w:p w14:paraId="726D6B46" w14:textId="77777777" w:rsidR="009F310F" w:rsidRPr="00A16F03" w:rsidRDefault="009F310F" w:rsidP="001E3185">
      <w:pPr>
        <w:pStyle w:val="FootnoteText"/>
        <w:spacing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Simonichi, K., Namit, K. and Smith, H. Together for Education Midline Report, August 2019</w:t>
      </w:r>
    </w:p>
  </w:footnote>
  <w:footnote w:id="118">
    <w:p w14:paraId="6AB94301" w14:textId="77777777" w:rsidR="009F310F" w:rsidRPr="00A16F03" w:rsidRDefault="009F310F" w:rsidP="00F746B0">
      <w:pPr>
        <w:pStyle w:val="FootnoteText"/>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School Planning initiatives were introduced in many developing countries in in the late 1990’s and early 2000’s.  More recently, school planning initiatives have evolved to adopt a more holistic approach known as Whole School Development, which places learning at the core of school planning.  The NDOE version of the school planning process was officially endorsed in 2007 with significant efforts (supported by Australia) to implement the SLIP process.  Since 2014, some have observed that the ‘SLIP’ has gone to ‘</w:t>
      </w:r>
      <w:r>
        <w:rPr>
          <w:rFonts w:asciiTheme="majorHAnsi" w:hAnsiTheme="majorHAnsi" w:cstheme="majorHAnsi"/>
        </w:rPr>
        <w:t>sleep</w:t>
      </w:r>
      <w:r w:rsidRPr="00A16F03">
        <w:rPr>
          <w:rFonts w:asciiTheme="majorHAnsi" w:hAnsiTheme="majorHAnsi" w:cstheme="majorHAnsi"/>
        </w:rPr>
        <w:t>” acknowledging both the withdrawal of Australia support and the limitations of government funding to continue to support the school planning process and to provide funds for implementation of the school plans.</w:t>
      </w:r>
    </w:p>
  </w:footnote>
  <w:footnote w:id="119">
    <w:p w14:paraId="604C70D3" w14:textId="77777777" w:rsidR="009F310F" w:rsidRPr="00A16F03" w:rsidRDefault="009F310F" w:rsidP="00E83D77">
      <w:pPr>
        <w:pStyle w:val="FootnoteText"/>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These ‘Provincial partners’ were from the same pool as the trainers who participated in PKS’s SBC training for teachers </w:t>
      </w:r>
    </w:p>
  </w:footnote>
  <w:footnote w:id="120">
    <w:p w14:paraId="6F914B55" w14:textId="77777777" w:rsidR="009F310F" w:rsidRPr="00A16F03" w:rsidRDefault="009F310F" w:rsidP="00E83D77">
      <w:pPr>
        <w:pStyle w:val="FootnoteText"/>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This was the same module used in the SBC teacher training</w:t>
      </w:r>
    </w:p>
  </w:footnote>
  <w:footnote w:id="121">
    <w:p w14:paraId="3403DF4F" w14:textId="77777777" w:rsidR="009F310F" w:rsidRPr="00A16F03" w:rsidRDefault="009F310F" w:rsidP="00E83D77">
      <w:pPr>
        <w:pStyle w:val="FootnoteText"/>
        <w:spacing w:line="216" w:lineRule="auto"/>
        <w:rPr>
          <w:rFonts w:asciiTheme="majorHAnsi" w:hAnsiTheme="majorHAnsi" w:cstheme="majorHAnsi"/>
        </w:rPr>
      </w:pPr>
      <w:r w:rsidRPr="00A16F03">
        <w:rPr>
          <w:rStyle w:val="FootnoteReference"/>
          <w:rFonts w:asciiTheme="majorHAnsi" w:hAnsiTheme="majorHAnsi" w:cstheme="majorHAnsi"/>
        </w:rPr>
        <w:footnoteRef/>
      </w:r>
      <w:r w:rsidRPr="00A16F03">
        <w:rPr>
          <w:rFonts w:asciiTheme="majorHAnsi" w:hAnsiTheme="majorHAnsi" w:cstheme="majorHAnsi"/>
        </w:rPr>
        <w:t xml:space="preserve"> The draft </w:t>
      </w:r>
      <w:r>
        <w:rPr>
          <w:rFonts w:asciiTheme="majorHAnsi" w:hAnsiTheme="majorHAnsi" w:cstheme="majorHAnsi"/>
        </w:rPr>
        <w:t xml:space="preserve">of the new </w:t>
      </w:r>
      <w:r w:rsidRPr="00A16F03">
        <w:rPr>
          <w:rFonts w:asciiTheme="majorHAnsi" w:hAnsiTheme="majorHAnsi" w:cstheme="majorHAnsi"/>
        </w:rPr>
        <w:t xml:space="preserve">NEP 2020-2029, in the message from the Minister, it is stated </w:t>
      </w:r>
      <w:r w:rsidRPr="00A16F03">
        <w:rPr>
          <w:rFonts w:asciiTheme="majorHAnsi" w:hAnsiTheme="majorHAnsi" w:cstheme="majorHAnsi"/>
          <w:i/>
          <w:iCs/>
        </w:rPr>
        <w:t xml:space="preserve">“Let me emphasise that the School Learning Improvement Plan must drive this Plan in all sectors.” </w:t>
      </w:r>
      <w:r w:rsidRPr="00A16F03">
        <w:rPr>
          <w:rFonts w:asciiTheme="majorHAnsi" w:hAnsiTheme="majorHAnsi" w:cstheme="majorHAnsi"/>
        </w:rPr>
        <w:t xml:space="preserve"> Further, the draft NEP on page 71 states </w:t>
      </w:r>
      <w:r w:rsidRPr="00A16F03">
        <w:rPr>
          <w:rFonts w:asciiTheme="majorHAnsi" w:hAnsiTheme="majorHAnsi" w:cstheme="majorHAnsi"/>
          <w:szCs w:val="18"/>
        </w:rPr>
        <w:t>that “…</w:t>
      </w:r>
      <w:r w:rsidRPr="00A16F03">
        <w:rPr>
          <w:rFonts w:asciiTheme="majorHAnsi" w:hAnsiTheme="majorHAnsi" w:cstheme="majorHAnsi"/>
          <w:i/>
          <w:iCs/>
          <w:szCs w:val="18"/>
        </w:rPr>
        <w:t xml:space="preserve">they (School Heads) will be required to understand how the School Learning Improvement Plans (SLIPs) are developed, reviewed and then implemented.” </w:t>
      </w:r>
      <w:r w:rsidRPr="00A16F03">
        <w:rPr>
          <w:rFonts w:asciiTheme="majorHAnsi" w:hAnsiTheme="majorHAnsi" w:cstheme="majorHAnsi"/>
          <w:szCs w:val="18"/>
        </w:rPr>
        <w:t>The draft NEP highlights the importance of the SLIP throughout the document, with over 50 references to the importance of the SLIP and how is it to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08E3A" w14:textId="46106418" w:rsidR="009F310F" w:rsidRDefault="009F310F" w:rsidP="000C66A7">
    <w:pPr>
      <w:pStyle w:val="Header"/>
      <w:tabs>
        <w:tab w:val="clear" w:pos="4513"/>
        <w:tab w:val="clear" w:pos="9026"/>
        <w:tab w:val="left" w:pos="43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43D9B" w14:textId="221A2B08" w:rsidR="009F310F" w:rsidRDefault="009F3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01A"/>
    <w:multiLevelType w:val="hybridMultilevel"/>
    <w:tmpl w:val="03704824"/>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B4D8F"/>
    <w:multiLevelType w:val="hybridMultilevel"/>
    <w:tmpl w:val="6A5809D2"/>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53598"/>
    <w:multiLevelType w:val="hybridMultilevel"/>
    <w:tmpl w:val="ABB02546"/>
    <w:lvl w:ilvl="0" w:tplc="BFC0A076">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7557958"/>
    <w:multiLevelType w:val="hybridMultilevel"/>
    <w:tmpl w:val="03AC57E8"/>
    <w:lvl w:ilvl="0" w:tplc="3926B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B4F8E"/>
    <w:multiLevelType w:val="hybridMultilevel"/>
    <w:tmpl w:val="77A2E0DC"/>
    <w:lvl w:ilvl="0" w:tplc="BFC0A076">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08E5751F"/>
    <w:multiLevelType w:val="hybridMultilevel"/>
    <w:tmpl w:val="0B4E1BF2"/>
    <w:lvl w:ilvl="0" w:tplc="5784CD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A0797"/>
    <w:multiLevelType w:val="hybridMultilevel"/>
    <w:tmpl w:val="9AF4EEA6"/>
    <w:lvl w:ilvl="0" w:tplc="07C09016">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3B28ED"/>
    <w:multiLevelType w:val="hybridMultilevel"/>
    <w:tmpl w:val="8EC80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F92804"/>
    <w:multiLevelType w:val="hybridMultilevel"/>
    <w:tmpl w:val="990E3CCC"/>
    <w:lvl w:ilvl="0" w:tplc="BFC0A07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07C1626"/>
    <w:multiLevelType w:val="hybridMultilevel"/>
    <w:tmpl w:val="D69E04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E60D5D"/>
    <w:multiLevelType w:val="hybridMultilevel"/>
    <w:tmpl w:val="C626584C"/>
    <w:lvl w:ilvl="0" w:tplc="07C09016">
      <w:numFmt w:val="bullet"/>
      <w:lvlText w:val="-"/>
      <w:lvlJc w:val="left"/>
      <w:pPr>
        <w:ind w:left="720" w:hanging="360"/>
      </w:pPr>
      <w:rPr>
        <w:rFonts w:ascii="Arial Narrow" w:eastAsiaTheme="minorHAnsi" w:hAnsi="Arial Narrow"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F64F70"/>
    <w:multiLevelType w:val="hybridMultilevel"/>
    <w:tmpl w:val="A7BE99DA"/>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2417FA"/>
    <w:multiLevelType w:val="hybridMultilevel"/>
    <w:tmpl w:val="22044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650A19"/>
    <w:multiLevelType w:val="multilevel"/>
    <w:tmpl w:val="DBD28D84"/>
    <w:lvl w:ilvl="0">
      <w:start w:val="1"/>
      <w:numFmt w:val="decimal"/>
      <w:lvlText w:val="%1."/>
      <w:lvlJc w:val="left"/>
      <w:pPr>
        <w:ind w:left="360" w:hanging="360"/>
      </w:pPr>
    </w:lvl>
    <w:lvl w:ilvl="1">
      <w:start w:val="1"/>
      <w:numFmt w:val="decimal"/>
      <w:pStyle w:val="Heading1"/>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6F7887"/>
    <w:multiLevelType w:val="hybridMultilevel"/>
    <w:tmpl w:val="464C4F9C"/>
    <w:lvl w:ilvl="0" w:tplc="BFC0A07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81D4F46"/>
    <w:multiLevelType w:val="hybridMultilevel"/>
    <w:tmpl w:val="59C2F18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286781"/>
    <w:multiLevelType w:val="hybridMultilevel"/>
    <w:tmpl w:val="01E04A2C"/>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470080"/>
    <w:multiLevelType w:val="hybridMultilevel"/>
    <w:tmpl w:val="A950FAB6"/>
    <w:lvl w:ilvl="0" w:tplc="07C09016">
      <w:numFmt w:val="bullet"/>
      <w:lvlText w:val="-"/>
      <w:lvlJc w:val="left"/>
      <w:pPr>
        <w:ind w:left="806" w:hanging="360"/>
      </w:pPr>
      <w:rPr>
        <w:rFonts w:ascii="Arial Narrow" w:eastAsiaTheme="minorHAnsi" w:hAnsi="Arial Narrow" w:cstheme="minorBidi" w:hint="default"/>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18" w15:restartNumberingAfterBreak="0">
    <w:nsid w:val="1CDF56C4"/>
    <w:multiLevelType w:val="hybridMultilevel"/>
    <w:tmpl w:val="06EAB9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90580A"/>
    <w:multiLevelType w:val="hybridMultilevel"/>
    <w:tmpl w:val="674E8D8A"/>
    <w:lvl w:ilvl="0" w:tplc="BFC0A076">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1EB672DC"/>
    <w:multiLevelType w:val="hybridMultilevel"/>
    <w:tmpl w:val="73A63322"/>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4C5DE6"/>
    <w:multiLevelType w:val="hybridMultilevel"/>
    <w:tmpl w:val="0406D674"/>
    <w:lvl w:ilvl="0" w:tplc="BFC0A076">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20DC430E"/>
    <w:multiLevelType w:val="hybridMultilevel"/>
    <w:tmpl w:val="859C25F4"/>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0D1649"/>
    <w:multiLevelType w:val="hybridMultilevel"/>
    <w:tmpl w:val="5C325386"/>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2938F9"/>
    <w:multiLevelType w:val="hybridMultilevel"/>
    <w:tmpl w:val="F4646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203E11"/>
    <w:multiLevelType w:val="hybridMultilevel"/>
    <w:tmpl w:val="90A0C86A"/>
    <w:lvl w:ilvl="0" w:tplc="D2489C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5E7510"/>
    <w:multiLevelType w:val="hybridMultilevel"/>
    <w:tmpl w:val="59E87390"/>
    <w:lvl w:ilvl="0" w:tplc="0409000F">
      <w:start w:val="1"/>
      <w:numFmt w:val="decimal"/>
      <w:lvlText w:val="%1."/>
      <w:lvlJc w:val="left"/>
      <w:pPr>
        <w:ind w:left="720" w:hanging="360"/>
      </w:pPr>
    </w:lvl>
    <w:lvl w:ilvl="1" w:tplc="BFC0A07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8557E3"/>
    <w:multiLevelType w:val="hybridMultilevel"/>
    <w:tmpl w:val="AA5C0076"/>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4EE674D"/>
    <w:multiLevelType w:val="hybridMultilevel"/>
    <w:tmpl w:val="8C62FE18"/>
    <w:lvl w:ilvl="0" w:tplc="5BF081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F26A80"/>
    <w:multiLevelType w:val="hybridMultilevel"/>
    <w:tmpl w:val="EED280B4"/>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6F41818"/>
    <w:multiLevelType w:val="hybridMultilevel"/>
    <w:tmpl w:val="05F4E626"/>
    <w:lvl w:ilvl="0" w:tplc="BFC0A07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296F47BD"/>
    <w:multiLevelType w:val="hybridMultilevel"/>
    <w:tmpl w:val="C0FC1D98"/>
    <w:lvl w:ilvl="0" w:tplc="04090017">
      <w:start w:val="1"/>
      <w:numFmt w:val="lowerLetter"/>
      <w:lvlText w:val="%1)"/>
      <w:lvlJc w:val="left"/>
      <w:pPr>
        <w:tabs>
          <w:tab w:val="num" w:pos="720"/>
        </w:tabs>
        <w:ind w:left="720" w:hanging="360"/>
      </w:pPr>
      <w:rPr>
        <w:rFonts w:hint="default"/>
      </w:rPr>
    </w:lvl>
    <w:lvl w:ilvl="1" w:tplc="AD0AF490" w:tentative="1">
      <w:start w:val="1"/>
      <w:numFmt w:val="bullet"/>
      <w:lvlText w:val=""/>
      <w:lvlJc w:val="left"/>
      <w:pPr>
        <w:tabs>
          <w:tab w:val="num" w:pos="1440"/>
        </w:tabs>
        <w:ind w:left="1440" w:hanging="360"/>
      </w:pPr>
      <w:rPr>
        <w:rFonts w:ascii="Wingdings" w:hAnsi="Wingdings" w:hint="default"/>
      </w:rPr>
    </w:lvl>
    <w:lvl w:ilvl="2" w:tplc="DA081CF6" w:tentative="1">
      <w:start w:val="1"/>
      <w:numFmt w:val="bullet"/>
      <w:lvlText w:val=""/>
      <w:lvlJc w:val="left"/>
      <w:pPr>
        <w:tabs>
          <w:tab w:val="num" w:pos="2160"/>
        </w:tabs>
        <w:ind w:left="2160" w:hanging="360"/>
      </w:pPr>
      <w:rPr>
        <w:rFonts w:ascii="Wingdings" w:hAnsi="Wingdings" w:hint="default"/>
      </w:rPr>
    </w:lvl>
    <w:lvl w:ilvl="3" w:tplc="5AA6F242" w:tentative="1">
      <w:start w:val="1"/>
      <w:numFmt w:val="bullet"/>
      <w:lvlText w:val=""/>
      <w:lvlJc w:val="left"/>
      <w:pPr>
        <w:tabs>
          <w:tab w:val="num" w:pos="2880"/>
        </w:tabs>
        <w:ind w:left="2880" w:hanging="360"/>
      </w:pPr>
      <w:rPr>
        <w:rFonts w:ascii="Wingdings" w:hAnsi="Wingdings" w:hint="default"/>
      </w:rPr>
    </w:lvl>
    <w:lvl w:ilvl="4" w:tplc="5EE05050" w:tentative="1">
      <w:start w:val="1"/>
      <w:numFmt w:val="bullet"/>
      <w:lvlText w:val=""/>
      <w:lvlJc w:val="left"/>
      <w:pPr>
        <w:tabs>
          <w:tab w:val="num" w:pos="3600"/>
        </w:tabs>
        <w:ind w:left="3600" w:hanging="360"/>
      </w:pPr>
      <w:rPr>
        <w:rFonts w:ascii="Wingdings" w:hAnsi="Wingdings" w:hint="default"/>
      </w:rPr>
    </w:lvl>
    <w:lvl w:ilvl="5" w:tplc="8612E67E" w:tentative="1">
      <w:start w:val="1"/>
      <w:numFmt w:val="bullet"/>
      <w:lvlText w:val=""/>
      <w:lvlJc w:val="left"/>
      <w:pPr>
        <w:tabs>
          <w:tab w:val="num" w:pos="4320"/>
        </w:tabs>
        <w:ind w:left="4320" w:hanging="360"/>
      </w:pPr>
      <w:rPr>
        <w:rFonts w:ascii="Wingdings" w:hAnsi="Wingdings" w:hint="default"/>
      </w:rPr>
    </w:lvl>
    <w:lvl w:ilvl="6" w:tplc="1A4C4C96" w:tentative="1">
      <w:start w:val="1"/>
      <w:numFmt w:val="bullet"/>
      <w:lvlText w:val=""/>
      <w:lvlJc w:val="left"/>
      <w:pPr>
        <w:tabs>
          <w:tab w:val="num" w:pos="5040"/>
        </w:tabs>
        <w:ind w:left="5040" w:hanging="360"/>
      </w:pPr>
      <w:rPr>
        <w:rFonts w:ascii="Wingdings" w:hAnsi="Wingdings" w:hint="default"/>
      </w:rPr>
    </w:lvl>
    <w:lvl w:ilvl="7" w:tplc="AC326D6A" w:tentative="1">
      <w:start w:val="1"/>
      <w:numFmt w:val="bullet"/>
      <w:lvlText w:val=""/>
      <w:lvlJc w:val="left"/>
      <w:pPr>
        <w:tabs>
          <w:tab w:val="num" w:pos="5760"/>
        </w:tabs>
        <w:ind w:left="5760" w:hanging="360"/>
      </w:pPr>
      <w:rPr>
        <w:rFonts w:ascii="Wingdings" w:hAnsi="Wingdings" w:hint="default"/>
      </w:rPr>
    </w:lvl>
    <w:lvl w:ilvl="8" w:tplc="F364ED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256316"/>
    <w:multiLevelType w:val="hybridMultilevel"/>
    <w:tmpl w:val="17B8304C"/>
    <w:lvl w:ilvl="0" w:tplc="BFC0A07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2DAA2036"/>
    <w:multiLevelType w:val="hybridMultilevel"/>
    <w:tmpl w:val="13CA928E"/>
    <w:lvl w:ilvl="0" w:tplc="BFC0A0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992AB7"/>
    <w:multiLevelType w:val="hybridMultilevel"/>
    <w:tmpl w:val="DE6A0964"/>
    <w:lvl w:ilvl="0" w:tplc="BFC0A0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1B7070D"/>
    <w:multiLevelType w:val="hybridMultilevel"/>
    <w:tmpl w:val="4C5CF884"/>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21A41F2"/>
    <w:multiLevelType w:val="hybridMultilevel"/>
    <w:tmpl w:val="360E3EEC"/>
    <w:lvl w:ilvl="0" w:tplc="1286F082">
      <w:start w:val="1"/>
      <w:numFmt w:val="lowerRoman"/>
      <w:lvlText w:val="%1."/>
      <w:lvlJc w:val="right"/>
      <w:pPr>
        <w:ind w:left="10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76249D"/>
    <w:multiLevelType w:val="hybridMultilevel"/>
    <w:tmpl w:val="A5FC3B8E"/>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00316F"/>
    <w:multiLevelType w:val="hybridMultilevel"/>
    <w:tmpl w:val="3F669C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4056678"/>
    <w:multiLevelType w:val="hybridMultilevel"/>
    <w:tmpl w:val="9C6EB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651736"/>
    <w:multiLevelType w:val="multilevel"/>
    <w:tmpl w:val="850CBD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35941A18"/>
    <w:multiLevelType w:val="hybridMultilevel"/>
    <w:tmpl w:val="93AA5B5A"/>
    <w:lvl w:ilvl="0" w:tplc="2DEAB1E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69D55A7"/>
    <w:multiLevelType w:val="hybridMultilevel"/>
    <w:tmpl w:val="6B1EE8CA"/>
    <w:lvl w:ilvl="0" w:tplc="BFC0A07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72658A3"/>
    <w:multiLevelType w:val="hybridMultilevel"/>
    <w:tmpl w:val="389E4CC8"/>
    <w:lvl w:ilvl="0" w:tplc="8C12EF4A">
      <w:start w:val="1"/>
      <w:numFmt w:val="lowerRoman"/>
      <w:lvlText w:val="%1."/>
      <w:lvlJc w:val="right"/>
      <w:pPr>
        <w:ind w:left="10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C41B56"/>
    <w:multiLevelType w:val="hybridMultilevel"/>
    <w:tmpl w:val="BF780262"/>
    <w:lvl w:ilvl="0" w:tplc="BFC0A0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C42664"/>
    <w:multiLevelType w:val="hybridMultilevel"/>
    <w:tmpl w:val="FDAE82A6"/>
    <w:lvl w:ilvl="0" w:tplc="35567A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4C69D4"/>
    <w:multiLevelType w:val="hybridMultilevel"/>
    <w:tmpl w:val="70E20E6A"/>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85E20F9"/>
    <w:multiLevelType w:val="multilevel"/>
    <w:tmpl w:val="6F3E2E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9B810B9"/>
    <w:multiLevelType w:val="hybridMultilevel"/>
    <w:tmpl w:val="8760E302"/>
    <w:lvl w:ilvl="0" w:tplc="BFC0A07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3A0811E2"/>
    <w:multiLevelType w:val="hybridMultilevel"/>
    <w:tmpl w:val="5FC8FCD2"/>
    <w:lvl w:ilvl="0" w:tplc="BFC0A07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3AA1667D"/>
    <w:multiLevelType w:val="hybridMultilevel"/>
    <w:tmpl w:val="B57CE936"/>
    <w:lvl w:ilvl="0" w:tplc="EAC676D2">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BB95643"/>
    <w:multiLevelType w:val="hybridMultilevel"/>
    <w:tmpl w:val="A4F6F4B8"/>
    <w:lvl w:ilvl="0" w:tplc="C088AB30">
      <w:start w:val="1"/>
      <w:numFmt w:val="bullet"/>
      <w:pStyle w:val="Bullets"/>
      <w:lvlText w:val=""/>
      <w:lvlJc w:val="left"/>
      <w:pPr>
        <w:ind w:left="720" w:hanging="360"/>
      </w:pPr>
      <w:rPr>
        <w:rFonts w:ascii="Symbol" w:hAnsi="Symbol" w:hint="default"/>
        <w:color w:val="C0000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C0E23FC"/>
    <w:multiLevelType w:val="hybridMultilevel"/>
    <w:tmpl w:val="5170BBD6"/>
    <w:lvl w:ilvl="0" w:tplc="BFC0A07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3C4E2E36"/>
    <w:multiLevelType w:val="hybridMultilevel"/>
    <w:tmpl w:val="291C9222"/>
    <w:lvl w:ilvl="0" w:tplc="BFC0A0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6E7784"/>
    <w:multiLevelType w:val="hybridMultilevel"/>
    <w:tmpl w:val="BA3C13DC"/>
    <w:lvl w:ilvl="0" w:tplc="49C2F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15C33C5"/>
    <w:multiLevelType w:val="hybridMultilevel"/>
    <w:tmpl w:val="A21A6EF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6" w15:restartNumberingAfterBreak="0">
    <w:nsid w:val="4291750C"/>
    <w:multiLevelType w:val="hybridMultilevel"/>
    <w:tmpl w:val="4BA8B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6B138F7"/>
    <w:multiLevelType w:val="hybridMultilevel"/>
    <w:tmpl w:val="57A000D6"/>
    <w:lvl w:ilvl="0" w:tplc="BFC0A07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47683460"/>
    <w:multiLevelType w:val="hybridMultilevel"/>
    <w:tmpl w:val="0E5E9FC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7926F4F"/>
    <w:multiLevelType w:val="hybridMultilevel"/>
    <w:tmpl w:val="D8BA0904"/>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9337F5D"/>
    <w:multiLevelType w:val="hybridMultilevel"/>
    <w:tmpl w:val="DFD2255A"/>
    <w:lvl w:ilvl="0" w:tplc="BFC0A0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6319D7"/>
    <w:multiLevelType w:val="hybridMultilevel"/>
    <w:tmpl w:val="1F322FAC"/>
    <w:lvl w:ilvl="0" w:tplc="BFC0A076">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2" w15:restartNumberingAfterBreak="0">
    <w:nsid w:val="4B0D743E"/>
    <w:multiLevelType w:val="hybridMultilevel"/>
    <w:tmpl w:val="5922F670"/>
    <w:lvl w:ilvl="0" w:tplc="BFC0A07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4B8F7D00"/>
    <w:multiLevelType w:val="hybridMultilevel"/>
    <w:tmpl w:val="90E88C0A"/>
    <w:lvl w:ilvl="0" w:tplc="BFC0A076">
      <w:start w:val="1"/>
      <w:numFmt w:val="bullet"/>
      <w:lvlText w:val=""/>
      <w:lvlJc w:val="left"/>
      <w:pPr>
        <w:ind w:left="900" w:hanging="360"/>
      </w:pPr>
      <w:rPr>
        <w:rFonts w:ascii="Symbol" w:hAnsi="Symbol"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64" w15:restartNumberingAfterBreak="0">
    <w:nsid w:val="4C76231D"/>
    <w:multiLevelType w:val="multilevel"/>
    <w:tmpl w:val="821E2190"/>
    <w:lvl w:ilvl="0">
      <w:start w:val="5"/>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4CD96C70"/>
    <w:multiLevelType w:val="hybridMultilevel"/>
    <w:tmpl w:val="8084A68E"/>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D836CF5"/>
    <w:multiLevelType w:val="hybridMultilevel"/>
    <w:tmpl w:val="8C4CE0AE"/>
    <w:lvl w:ilvl="0" w:tplc="BFC0A07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4DE46727"/>
    <w:multiLevelType w:val="hybridMultilevel"/>
    <w:tmpl w:val="129A06E6"/>
    <w:lvl w:ilvl="0" w:tplc="BFC0A0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ECA5EB9"/>
    <w:multiLevelType w:val="hybridMultilevel"/>
    <w:tmpl w:val="3EB4D46C"/>
    <w:lvl w:ilvl="0" w:tplc="BFC0A07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15:restartNumberingAfterBreak="0">
    <w:nsid w:val="4F3E5087"/>
    <w:multiLevelType w:val="multilevel"/>
    <w:tmpl w:val="60B45BD0"/>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50B041B0"/>
    <w:multiLevelType w:val="hybridMultilevel"/>
    <w:tmpl w:val="898681C6"/>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0C018F3"/>
    <w:multiLevelType w:val="hybridMultilevel"/>
    <w:tmpl w:val="EAAC873C"/>
    <w:lvl w:ilvl="0" w:tplc="B04CE414">
      <w:start w:val="1"/>
      <w:numFmt w:val="decimal"/>
      <w:lvlText w:val="%1."/>
      <w:lvlJc w:val="left"/>
      <w:pPr>
        <w:ind w:left="720" w:hanging="72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1AB6357"/>
    <w:multiLevelType w:val="hybridMultilevel"/>
    <w:tmpl w:val="9F2CE76A"/>
    <w:lvl w:ilvl="0" w:tplc="2D5EC7A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2B23EC0"/>
    <w:multiLevelType w:val="hybridMultilevel"/>
    <w:tmpl w:val="17D82E4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530B0D8C"/>
    <w:multiLevelType w:val="hybridMultilevel"/>
    <w:tmpl w:val="D73EE9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4F86CFD"/>
    <w:multiLevelType w:val="hybridMultilevel"/>
    <w:tmpl w:val="CBC00530"/>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6" w15:restartNumberingAfterBreak="0">
    <w:nsid w:val="5B620485"/>
    <w:multiLevelType w:val="hybridMultilevel"/>
    <w:tmpl w:val="427AA02E"/>
    <w:lvl w:ilvl="0" w:tplc="0409001B">
      <w:start w:val="1"/>
      <w:numFmt w:val="lowerRoman"/>
      <w:lvlText w:val="%1."/>
      <w:lvlJc w:val="right"/>
      <w:pPr>
        <w:ind w:left="1001" w:hanging="360"/>
      </w:pPr>
    </w:lvl>
    <w:lvl w:ilvl="1" w:tplc="0C090019" w:tentative="1">
      <w:start w:val="1"/>
      <w:numFmt w:val="lowerLetter"/>
      <w:lvlText w:val="%2."/>
      <w:lvlJc w:val="left"/>
      <w:pPr>
        <w:ind w:left="1721" w:hanging="360"/>
      </w:pPr>
    </w:lvl>
    <w:lvl w:ilvl="2" w:tplc="0C09001B" w:tentative="1">
      <w:start w:val="1"/>
      <w:numFmt w:val="lowerRoman"/>
      <w:lvlText w:val="%3."/>
      <w:lvlJc w:val="right"/>
      <w:pPr>
        <w:ind w:left="2441" w:hanging="180"/>
      </w:pPr>
    </w:lvl>
    <w:lvl w:ilvl="3" w:tplc="0C09000F" w:tentative="1">
      <w:start w:val="1"/>
      <w:numFmt w:val="decimal"/>
      <w:lvlText w:val="%4."/>
      <w:lvlJc w:val="left"/>
      <w:pPr>
        <w:ind w:left="3161" w:hanging="360"/>
      </w:pPr>
    </w:lvl>
    <w:lvl w:ilvl="4" w:tplc="0C090019" w:tentative="1">
      <w:start w:val="1"/>
      <w:numFmt w:val="lowerLetter"/>
      <w:lvlText w:val="%5."/>
      <w:lvlJc w:val="left"/>
      <w:pPr>
        <w:ind w:left="3881" w:hanging="360"/>
      </w:pPr>
    </w:lvl>
    <w:lvl w:ilvl="5" w:tplc="0C09001B" w:tentative="1">
      <w:start w:val="1"/>
      <w:numFmt w:val="lowerRoman"/>
      <w:lvlText w:val="%6."/>
      <w:lvlJc w:val="right"/>
      <w:pPr>
        <w:ind w:left="4601" w:hanging="180"/>
      </w:pPr>
    </w:lvl>
    <w:lvl w:ilvl="6" w:tplc="0C09000F" w:tentative="1">
      <w:start w:val="1"/>
      <w:numFmt w:val="decimal"/>
      <w:lvlText w:val="%7."/>
      <w:lvlJc w:val="left"/>
      <w:pPr>
        <w:ind w:left="5321" w:hanging="360"/>
      </w:pPr>
    </w:lvl>
    <w:lvl w:ilvl="7" w:tplc="0C090019" w:tentative="1">
      <w:start w:val="1"/>
      <w:numFmt w:val="lowerLetter"/>
      <w:lvlText w:val="%8."/>
      <w:lvlJc w:val="left"/>
      <w:pPr>
        <w:ind w:left="6041" w:hanging="360"/>
      </w:pPr>
    </w:lvl>
    <w:lvl w:ilvl="8" w:tplc="0C09001B" w:tentative="1">
      <w:start w:val="1"/>
      <w:numFmt w:val="lowerRoman"/>
      <w:lvlText w:val="%9."/>
      <w:lvlJc w:val="right"/>
      <w:pPr>
        <w:ind w:left="6761" w:hanging="180"/>
      </w:pPr>
    </w:lvl>
  </w:abstractNum>
  <w:abstractNum w:abstractNumId="77" w15:restartNumberingAfterBreak="0">
    <w:nsid w:val="5F5512DD"/>
    <w:multiLevelType w:val="multilevel"/>
    <w:tmpl w:val="572A49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8" w15:restartNumberingAfterBreak="0">
    <w:nsid w:val="61234E7B"/>
    <w:multiLevelType w:val="hybridMultilevel"/>
    <w:tmpl w:val="21E48FFE"/>
    <w:lvl w:ilvl="0" w:tplc="2DEAB1EC">
      <w:numFmt w:val="bullet"/>
      <w:lvlText w:val="-"/>
      <w:lvlJc w:val="left"/>
      <w:pPr>
        <w:tabs>
          <w:tab w:val="num" w:pos="720"/>
        </w:tabs>
        <w:ind w:left="720" w:hanging="360"/>
      </w:pPr>
      <w:rPr>
        <w:rFonts w:ascii="Calibri" w:eastAsiaTheme="minorEastAsia" w:hAnsi="Calibri" w:cstheme="minorBidi" w:hint="default"/>
      </w:rPr>
    </w:lvl>
    <w:lvl w:ilvl="1" w:tplc="870E8304" w:tentative="1">
      <w:start w:val="1"/>
      <w:numFmt w:val="bullet"/>
      <w:lvlText w:val="•"/>
      <w:lvlJc w:val="left"/>
      <w:pPr>
        <w:tabs>
          <w:tab w:val="num" w:pos="1440"/>
        </w:tabs>
        <w:ind w:left="1440" w:hanging="360"/>
      </w:pPr>
      <w:rPr>
        <w:rFonts w:ascii="Arial" w:hAnsi="Arial" w:hint="default"/>
      </w:rPr>
    </w:lvl>
    <w:lvl w:ilvl="2" w:tplc="CD908FAC" w:tentative="1">
      <w:start w:val="1"/>
      <w:numFmt w:val="bullet"/>
      <w:lvlText w:val="•"/>
      <w:lvlJc w:val="left"/>
      <w:pPr>
        <w:tabs>
          <w:tab w:val="num" w:pos="2160"/>
        </w:tabs>
        <w:ind w:left="2160" w:hanging="360"/>
      </w:pPr>
      <w:rPr>
        <w:rFonts w:ascii="Arial" w:hAnsi="Arial" w:hint="default"/>
      </w:rPr>
    </w:lvl>
    <w:lvl w:ilvl="3" w:tplc="3E26B358" w:tentative="1">
      <w:start w:val="1"/>
      <w:numFmt w:val="bullet"/>
      <w:lvlText w:val="•"/>
      <w:lvlJc w:val="left"/>
      <w:pPr>
        <w:tabs>
          <w:tab w:val="num" w:pos="2880"/>
        </w:tabs>
        <w:ind w:left="2880" w:hanging="360"/>
      </w:pPr>
      <w:rPr>
        <w:rFonts w:ascii="Arial" w:hAnsi="Arial" w:hint="default"/>
      </w:rPr>
    </w:lvl>
    <w:lvl w:ilvl="4" w:tplc="E5440BD8" w:tentative="1">
      <w:start w:val="1"/>
      <w:numFmt w:val="bullet"/>
      <w:lvlText w:val="•"/>
      <w:lvlJc w:val="left"/>
      <w:pPr>
        <w:tabs>
          <w:tab w:val="num" w:pos="3600"/>
        </w:tabs>
        <w:ind w:left="3600" w:hanging="360"/>
      </w:pPr>
      <w:rPr>
        <w:rFonts w:ascii="Arial" w:hAnsi="Arial" w:hint="default"/>
      </w:rPr>
    </w:lvl>
    <w:lvl w:ilvl="5" w:tplc="B5483F8E" w:tentative="1">
      <w:start w:val="1"/>
      <w:numFmt w:val="bullet"/>
      <w:lvlText w:val="•"/>
      <w:lvlJc w:val="left"/>
      <w:pPr>
        <w:tabs>
          <w:tab w:val="num" w:pos="4320"/>
        </w:tabs>
        <w:ind w:left="4320" w:hanging="360"/>
      </w:pPr>
      <w:rPr>
        <w:rFonts w:ascii="Arial" w:hAnsi="Arial" w:hint="default"/>
      </w:rPr>
    </w:lvl>
    <w:lvl w:ilvl="6" w:tplc="8EDC2498" w:tentative="1">
      <w:start w:val="1"/>
      <w:numFmt w:val="bullet"/>
      <w:lvlText w:val="•"/>
      <w:lvlJc w:val="left"/>
      <w:pPr>
        <w:tabs>
          <w:tab w:val="num" w:pos="5040"/>
        </w:tabs>
        <w:ind w:left="5040" w:hanging="360"/>
      </w:pPr>
      <w:rPr>
        <w:rFonts w:ascii="Arial" w:hAnsi="Arial" w:hint="default"/>
      </w:rPr>
    </w:lvl>
    <w:lvl w:ilvl="7" w:tplc="627EE27C" w:tentative="1">
      <w:start w:val="1"/>
      <w:numFmt w:val="bullet"/>
      <w:lvlText w:val="•"/>
      <w:lvlJc w:val="left"/>
      <w:pPr>
        <w:tabs>
          <w:tab w:val="num" w:pos="5760"/>
        </w:tabs>
        <w:ind w:left="5760" w:hanging="360"/>
      </w:pPr>
      <w:rPr>
        <w:rFonts w:ascii="Arial" w:hAnsi="Arial" w:hint="default"/>
      </w:rPr>
    </w:lvl>
    <w:lvl w:ilvl="8" w:tplc="52B2DD24"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620D515F"/>
    <w:multiLevelType w:val="hybridMultilevel"/>
    <w:tmpl w:val="CD829996"/>
    <w:lvl w:ilvl="0" w:tplc="BFC0A076">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0" w15:restartNumberingAfterBreak="0">
    <w:nsid w:val="6354581D"/>
    <w:multiLevelType w:val="multilevel"/>
    <w:tmpl w:val="263E89A0"/>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645D1BC7"/>
    <w:multiLevelType w:val="hybridMultilevel"/>
    <w:tmpl w:val="CBB2EDE8"/>
    <w:lvl w:ilvl="0" w:tplc="BFC0A076">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2" w15:restartNumberingAfterBreak="0">
    <w:nsid w:val="669A7DB2"/>
    <w:multiLevelType w:val="hybridMultilevel"/>
    <w:tmpl w:val="59C2F18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7E335E8"/>
    <w:multiLevelType w:val="multilevel"/>
    <w:tmpl w:val="12F6EFD0"/>
    <w:lvl w:ilvl="0">
      <w:start w:val="3"/>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682B1A36"/>
    <w:multiLevelType w:val="hybridMultilevel"/>
    <w:tmpl w:val="8312D782"/>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A796C3E"/>
    <w:multiLevelType w:val="hybridMultilevel"/>
    <w:tmpl w:val="960CAE46"/>
    <w:lvl w:ilvl="0" w:tplc="947E0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9647A8"/>
    <w:multiLevelType w:val="hybridMultilevel"/>
    <w:tmpl w:val="649E5DC0"/>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C2C1561"/>
    <w:multiLevelType w:val="hybridMultilevel"/>
    <w:tmpl w:val="87DC662E"/>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CBA6CF8"/>
    <w:multiLevelType w:val="multilevel"/>
    <w:tmpl w:val="53D8F884"/>
    <w:lvl w:ilvl="0">
      <w:start w:val="1"/>
      <w:numFmt w:val="decimal"/>
      <w:lvlText w:val="%1."/>
      <w:lvlJc w:val="left"/>
      <w:pPr>
        <w:ind w:left="547" w:hanging="360"/>
      </w:pPr>
    </w:lvl>
    <w:lvl w:ilvl="1">
      <w:start w:val="6"/>
      <w:numFmt w:val="decimal"/>
      <w:isLgl/>
      <w:lvlText w:val="%1.%2"/>
      <w:lvlJc w:val="left"/>
      <w:pPr>
        <w:ind w:left="637" w:hanging="450"/>
      </w:pPr>
      <w:rPr>
        <w:rFonts w:hint="default"/>
      </w:rPr>
    </w:lvl>
    <w:lvl w:ilvl="2">
      <w:start w:val="1"/>
      <w:numFmt w:val="decimal"/>
      <w:isLgl/>
      <w:lvlText w:val="%1.%2.%3"/>
      <w:lvlJc w:val="left"/>
      <w:pPr>
        <w:ind w:left="907" w:hanging="720"/>
      </w:pPr>
      <w:rPr>
        <w:rFonts w:hint="default"/>
      </w:rPr>
    </w:lvl>
    <w:lvl w:ilvl="3">
      <w:start w:val="1"/>
      <w:numFmt w:val="decimal"/>
      <w:isLgl/>
      <w:lvlText w:val="%1.%2.%3.%4"/>
      <w:lvlJc w:val="left"/>
      <w:pPr>
        <w:ind w:left="907" w:hanging="720"/>
      </w:pPr>
      <w:rPr>
        <w:rFonts w:hint="default"/>
      </w:rPr>
    </w:lvl>
    <w:lvl w:ilvl="4">
      <w:start w:val="1"/>
      <w:numFmt w:val="decimal"/>
      <w:isLgl/>
      <w:lvlText w:val="%1.%2.%3.%4.%5"/>
      <w:lvlJc w:val="left"/>
      <w:pPr>
        <w:ind w:left="907" w:hanging="720"/>
      </w:pPr>
      <w:rPr>
        <w:rFonts w:hint="default"/>
      </w:rPr>
    </w:lvl>
    <w:lvl w:ilvl="5">
      <w:start w:val="1"/>
      <w:numFmt w:val="decimal"/>
      <w:isLgl/>
      <w:lvlText w:val="%1.%2.%3.%4.%5.%6"/>
      <w:lvlJc w:val="left"/>
      <w:pPr>
        <w:ind w:left="1267" w:hanging="1080"/>
      </w:pPr>
      <w:rPr>
        <w:rFonts w:hint="default"/>
      </w:rPr>
    </w:lvl>
    <w:lvl w:ilvl="6">
      <w:start w:val="1"/>
      <w:numFmt w:val="decimal"/>
      <w:isLgl/>
      <w:lvlText w:val="%1.%2.%3.%4.%5.%6.%7"/>
      <w:lvlJc w:val="left"/>
      <w:pPr>
        <w:ind w:left="1267" w:hanging="1080"/>
      </w:pPr>
      <w:rPr>
        <w:rFonts w:hint="default"/>
      </w:rPr>
    </w:lvl>
    <w:lvl w:ilvl="7">
      <w:start w:val="1"/>
      <w:numFmt w:val="decimal"/>
      <w:isLgl/>
      <w:lvlText w:val="%1.%2.%3.%4.%5.%6.%7.%8"/>
      <w:lvlJc w:val="left"/>
      <w:pPr>
        <w:ind w:left="1627" w:hanging="1440"/>
      </w:pPr>
      <w:rPr>
        <w:rFonts w:hint="default"/>
      </w:rPr>
    </w:lvl>
    <w:lvl w:ilvl="8">
      <w:start w:val="1"/>
      <w:numFmt w:val="decimal"/>
      <w:isLgl/>
      <w:lvlText w:val="%1.%2.%3.%4.%5.%6.%7.%8.%9"/>
      <w:lvlJc w:val="left"/>
      <w:pPr>
        <w:ind w:left="1627" w:hanging="1440"/>
      </w:pPr>
      <w:rPr>
        <w:rFonts w:hint="default"/>
      </w:rPr>
    </w:lvl>
  </w:abstractNum>
  <w:abstractNum w:abstractNumId="89" w15:restartNumberingAfterBreak="0">
    <w:nsid w:val="6DA22F2C"/>
    <w:multiLevelType w:val="hybridMultilevel"/>
    <w:tmpl w:val="F496A878"/>
    <w:lvl w:ilvl="0" w:tplc="EAC676D2">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ED52C0B"/>
    <w:multiLevelType w:val="hybridMultilevel"/>
    <w:tmpl w:val="B0CAD320"/>
    <w:lvl w:ilvl="0" w:tplc="BFC0A076">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1" w15:restartNumberingAfterBreak="0">
    <w:nsid w:val="71F52599"/>
    <w:multiLevelType w:val="hybridMultilevel"/>
    <w:tmpl w:val="49687B2A"/>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3D20EDD"/>
    <w:multiLevelType w:val="hybridMultilevel"/>
    <w:tmpl w:val="BC2EC41E"/>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54A6953"/>
    <w:multiLevelType w:val="hybridMultilevel"/>
    <w:tmpl w:val="A89CD6C6"/>
    <w:lvl w:ilvl="0" w:tplc="BFC0A07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4" w15:restartNumberingAfterBreak="0">
    <w:nsid w:val="79BA2B63"/>
    <w:multiLevelType w:val="hybridMultilevel"/>
    <w:tmpl w:val="839C559E"/>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9BF62D1"/>
    <w:multiLevelType w:val="hybridMultilevel"/>
    <w:tmpl w:val="427AA02E"/>
    <w:lvl w:ilvl="0" w:tplc="0409001B">
      <w:start w:val="1"/>
      <w:numFmt w:val="lowerRoman"/>
      <w:lvlText w:val="%1."/>
      <w:lvlJc w:val="right"/>
      <w:pPr>
        <w:ind w:left="1001" w:hanging="360"/>
      </w:pPr>
    </w:lvl>
    <w:lvl w:ilvl="1" w:tplc="0C090019" w:tentative="1">
      <w:start w:val="1"/>
      <w:numFmt w:val="lowerLetter"/>
      <w:lvlText w:val="%2."/>
      <w:lvlJc w:val="left"/>
      <w:pPr>
        <w:ind w:left="1721" w:hanging="360"/>
      </w:pPr>
    </w:lvl>
    <w:lvl w:ilvl="2" w:tplc="0C09001B" w:tentative="1">
      <w:start w:val="1"/>
      <w:numFmt w:val="lowerRoman"/>
      <w:lvlText w:val="%3."/>
      <w:lvlJc w:val="right"/>
      <w:pPr>
        <w:ind w:left="2441" w:hanging="180"/>
      </w:pPr>
    </w:lvl>
    <w:lvl w:ilvl="3" w:tplc="0C09000F" w:tentative="1">
      <w:start w:val="1"/>
      <w:numFmt w:val="decimal"/>
      <w:lvlText w:val="%4."/>
      <w:lvlJc w:val="left"/>
      <w:pPr>
        <w:ind w:left="3161" w:hanging="360"/>
      </w:pPr>
    </w:lvl>
    <w:lvl w:ilvl="4" w:tplc="0C090019" w:tentative="1">
      <w:start w:val="1"/>
      <w:numFmt w:val="lowerLetter"/>
      <w:lvlText w:val="%5."/>
      <w:lvlJc w:val="left"/>
      <w:pPr>
        <w:ind w:left="3881" w:hanging="360"/>
      </w:pPr>
    </w:lvl>
    <w:lvl w:ilvl="5" w:tplc="0C09001B" w:tentative="1">
      <w:start w:val="1"/>
      <w:numFmt w:val="lowerRoman"/>
      <w:lvlText w:val="%6."/>
      <w:lvlJc w:val="right"/>
      <w:pPr>
        <w:ind w:left="4601" w:hanging="180"/>
      </w:pPr>
    </w:lvl>
    <w:lvl w:ilvl="6" w:tplc="0C09000F" w:tentative="1">
      <w:start w:val="1"/>
      <w:numFmt w:val="decimal"/>
      <w:lvlText w:val="%7."/>
      <w:lvlJc w:val="left"/>
      <w:pPr>
        <w:ind w:left="5321" w:hanging="360"/>
      </w:pPr>
    </w:lvl>
    <w:lvl w:ilvl="7" w:tplc="0C090019" w:tentative="1">
      <w:start w:val="1"/>
      <w:numFmt w:val="lowerLetter"/>
      <w:lvlText w:val="%8."/>
      <w:lvlJc w:val="left"/>
      <w:pPr>
        <w:ind w:left="6041" w:hanging="360"/>
      </w:pPr>
    </w:lvl>
    <w:lvl w:ilvl="8" w:tplc="0C09001B" w:tentative="1">
      <w:start w:val="1"/>
      <w:numFmt w:val="lowerRoman"/>
      <w:lvlText w:val="%9."/>
      <w:lvlJc w:val="right"/>
      <w:pPr>
        <w:ind w:left="6761" w:hanging="180"/>
      </w:pPr>
    </w:lvl>
  </w:abstractNum>
  <w:abstractNum w:abstractNumId="96" w15:restartNumberingAfterBreak="0">
    <w:nsid w:val="7A026F3B"/>
    <w:multiLevelType w:val="hybridMultilevel"/>
    <w:tmpl w:val="BB683724"/>
    <w:lvl w:ilvl="0" w:tplc="C9488C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B93131D"/>
    <w:multiLevelType w:val="hybridMultilevel"/>
    <w:tmpl w:val="F28EE75C"/>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BB21C23"/>
    <w:multiLevelType w:val="hybridMultilevel"/>
    <w:tmpl w:val="67964960"/>
    <w:lvl w:ilvl="0" w:tplc="885E0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D200797"/>
    <w:multiLevelType w:val="hybridMultilevel"/>
    <w:tmpl w:val="D744E696"/>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DC77D4A"/>
    <w:multiLevelType w:val="hybridMultilevel"/>
    <w:tmpl w:val="85FED1E0"/>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EBA7040"/>
    <w:multiLevelType w:val="hybridMultilevel"/>
    <w:tmpl w:val="3B4C2FA4"/>
    <w:lvl w:ilvl="0" w:tplc="BFC0A07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2" w15:restartNumberingAfterBreak="0">
    <w:nsid w:val="7EFC4B67"/>
    <w:multiLevelType w:val="hybridMultilevel"/>
    <w:tmpl w:val="CE7016F4"/>
    <w:lvl w:ilvl="0" w:tplc="BFC0A0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FAF3E0B"/>
    <w:multiLevelType w:val="hybridMultilevel"/>
    <w:tmpl w:val="C0BA4F04"/>
    <w:lvl w:ilvl="0" w:tplc="BFC0A076">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51"/>
  </w:num>
  <w:num w:numId="2">
    <w:abstractNumId w:val="77"/>
  </w:num>
  <w:num w:numId="3">
    <w:abstractNumId w:val="47"/>
  </w:num>
  <w:num w:numId="4">
    <w:abstractNumId w:val="88"/>
  </w:num>
  <w:num w:numId="5">
    <w:abstractNumId w:val="59"/>
  </w:num>
  <w:num w:numId="6">
    <w:abstractNumId w:val="23"/>
  </w:num>
  <w:num w:numId="7">
    <w:abstractNumId w:val="63"/>
  </w:num>
  <w:num w:numId="8">
    <w:abstractNumId w:val="32"/>
  </w:num>
  <w:num w:numId="9">
    <w:abstractNumId w:val="40"/>
  </w:num>
  <w:num w:numId="10">
    <w:abstractNumId w:val="96"/>
  </w:num>
  <w:num w:numId="11">
    <w:abstractNumId w:val="3"/>
  </w:num>
  <w:num w:numId="12">
    <w:abstractNumId w:val="39"/>
  </w:num>
  <w:num w:numId="13">
    <w:abstractNumId w:val="95"/>
  </w:num>
  <w:num w:numId="14">
    <w:abstractNumId w:val="54"/>
  </w:num>
  <w:num w:numId="15">
    <w:abstractNumId w:val="25"/>
  </w:num>
  <w:num w:numId="16">
    <w:abstractNumId w:val="85"/>
  </w:num>
  <w:num w:numId="17">
    <w:abstractNumId w:val="28"/>
  </w:num>
  <w:num w:numId="18">
    <w:abstractNumId w:val="98"/>
  </w:num>
  <w:num w:numId="19">
    <w:abstractNumId w:val="45"/>
  </w:num>
  <w:num w:numId="20">
    <w:abstractNumId w:val="43"/>
  </w:num>
  <w:num w:numId="21">
    <w:abstractNumId w:val="76"/>
  </w:num>
  <w:num w:numId="22">
    <w:abstractNumId w:val="78"/>
  </w:num>
  <w:num w:numId="23">
    <w:abstractNumId w:val="41"/>
  </w:num>
  <w:num w:numId="24">
    <w:abstractNumId w:val="6"/>
  </w:num>
  <w:num w:numId="25">
    <w:abstractNumId w:val="12"/>
  </w:num>
  <w:num w:numId="26">
    <w:abstractNumId w:val="44"/>
  </w:num>
  <w:num w:numId="27">
    <w:abstractNumId w:val="53"/>
  </w:num>
  <w:num w:numId="28">
    <w:abstractNumId w:val="101"/>
  </w:num>
  <w:num w:numId="29">
    <w:abstractNumId w:val="42"/>
  </w:num>
  <w:num w:numId="30">
    <w:abstractNumId w:val="81"/>
  </w:num>
  <w:num w:numId="31">
    <w:abstractNumId w:val="8"/>
  </w:num>
  <w:num w:numId="32">
    <w:abstractNumId w:val="30"/>
  </w:num>
  <w:num w:numId="33">
    <w:abstractNumId w:val="102"/>
  </w:num>
  <w:num w:numId="34">
    <w:abstractNumId w:val="87"/>
  </w:num>
  <w:num w:numId="35">
    <w:abstractNumId w:val="68"/>
  </w:num>
  <w:num w:numId="36">
    <w:abstractNumId w:val="66"/>
  </w:num>
  <w:num w:numId="37">
    <w:abstractNumId w:val="14"/>
  </w:num>
  <w:num w:numId="38">
    <w:abstractNumId w:val="48"/>
  </w:num>
  <w:num w:numId="39">
    <w:abstractNumId w:val="49"/>
  </w:num>
  <w:num w:numId="40">
    <w:abstractNumId w:val="93"/>
  </w:num>
  <w:num w:numId="41">
    <w:abstractNumId w:val="91"/>
  </w:num>
  <w:num w:numId="42">
    <w:abstractNumId w:val="22"/>
  </w:num>
  <w:num w:numId="43">
    <w:abstractNumId w:val="84"/>
  </w:num>
  <w:num w:numId="44">
    <w:abstractNumId w:val="65"/>
  </w:num>
  <w:num w:numId="45">
    <w:abstractNumId w:val="100"/>
  </w:num>
  <w:num w:numId="46">
    <w:abstractNumId w:val="27"/>
  </w:num>
  <w:num w:numId="47">
    <w:abstractNumId w:val="1"/>
  </w:num>
  <w:num w:numId="48">
    <w:abstractNumId w:val="0"/>
  </w:num>
  <w:num w:numId="49">
    <w:abstractNumId w:val="29"/>
  </w:num>
  <w:num w:numId="50">
    <w:abstractNumId w:val="35"/>
  </w:num>
  <w:num w:numId="51">
    <w:abstractNumId w:val="94"/>
  </w:num>
  <w:num w:numId="52">
    <w:abstractNumId w:val="99"/>
  </w:num>
  <w:num w:numId="53">
    <w:abstractNumId w:val="70"/>
  </w:num>
  <w:num w:numId="54">
    <w:abstractNumId w:val="11"/>
  </w:num>
  <w:num w:numId="55">
    <w:abstractNumId w:val="92"/>
  </w:num>
  <w:num w:numId="56">
    <w:abstractNumId w:val="16"/>
  </w:num>
  <w:num w:numId="57">
    <w:abstractNumId w:val="97"/>
  </w:num>
  <w:num w:numId="58">
    <w:abstractNumId w:val="37"/>
  </w:num>
  <w:num w:numId="59">
    <w:abstractNumId w:val="20"/>
  </w:num>
  <w:num w:numId="60">
    <w:abstractNumId w:val="83"/>
  </w:num>
  <w:num w:numId="61">
    <w:abstractNumId w:val="80"/>
  </w:num>
  <w:num w:numId="62">
    <w:abstractNumId w:val="64"/>
  </w:num>
  <w:num w:numId="63">
    <w:abstractNumId w:val="13"/>
  </w:num>
  <w:num w:numId="64">
    <w:abstractNumId w:val="9"/>
  </w:num>
  <w:num w:numId="65">
    <w:abstractNumId w:val="86"/>
  </w:num>
  <w:num w:numId="66">
    <w:abstractNumId w:val="69"/>
  </w:num>
  <w:num w:numId="67">
    <w:abstractNumId w:val="89"/>
  </w:num>
  <w:num w:numId="68">
    <w:abstractNumId w:val="50"/>
  </w:num>
  <w:num w:numId="69">
    <w:abstractNumId w:val="24"/>
  </w:num>
  <w:num w:numId="70">
    <w:abstractNumId w:val="38"/>
  </w:num>
  <w:num w:numId="71">
    <w:abstractNumId w:val="15"/>
  </w:num>
  <w:num w:numId="72">
    <w:abstractNumId w:val="74"/>
  </w:num>
  <w:num w:numId="73">
    <w:abstractNumId w:val="31"/>
  </w:num>
  <w:num w:numId="74">
    <w:abstractNumId w:val="5"/>
  </w:num>
  <w:num w:numId="75">
    <w:abstractNumId w:val="82"/>
  </w:num>
  <w:num w:numId="76">
    <w:abstractNumId w:val="73"/>
  </w:num>
  <w:num w:numId="77">
    <w:abstractNumId w:val="75"/>
  </w:num>
  <w:num w:numId="78">
    <w:abstractNumId w:val="55"/>
  </w:num>
  <w:num w:numId="79">
    <w:abstractNumId w:val="71"/>
  </w:num>
  <w:num w:numId="80">
    <w:abstractNumId w:val="18"/>
  </w:num>
  <w:num w:numId="81">
    <w:abstractNumId w:val="56"/>
  </w:num>
  <w:num w:numId="82">
    <w:abstractNumId w:val="7"/>
  </w:num>
  <w:num w:numId="83">
    <w:abstractNumId w:val="58"/>
  </w:num>
  <w:num w:numId="84">
    <w:abstractNumId w:val="72"/>
  </w:num>
  <w:num w:numId="85">
    <w:abstractNumId w:val="36"/>
  </w:num>
  <w:num w:numId="86">
    <w:abstractNumId w:val="33"/>
  </w:num>
  <w:num w:numId="87">
    <w:abstractNumId w:val="10"/>
  </w:num>
  <w:num w:numId="88">
    <w:abstractNumId w:val="17"/>
  </w:num>
  <w:num w:numId="89">
    <w:abstractNumId w:val="60"/>
  </w:num>
  <w:num w:numId="90">
    <w:abstractNumId w:val="34"/>
  </w:num>
  <w:num w:numId="91">
    <w:abstractNumId w:val="52"/>
  </w:num>
  <w:num w:numId="92">
    <w:abstractNumId w:val="46"/>
  </w:num>
  <w:num w:numId="93">
    <w:abstractNumId w:val="26"/>
  </w:num>
  <w:num w:numId="94">
    <w:abstractNumId w:val="67"/>
  </w:num>
  <w:num w:numId="95">
    <w:abstractNumId w:val="103"/>
  </w:num>
  <w:num w:numId="96">
    <w:abstractNumId w:val="2"/>
  </w:num>
  <w:num w:numId="97">
    <w:abstractNumId w:val="90"/>
  </w:num>
  <w:num w:numId="98">
    <w:abstractNumId w:val="4"/>
  </w:num>
  <w:num w:numId="99">
    <w:abstractNumId w:val="21"/>
  </w:num>
  <w:num w:numId="100">
    <w:abstractNumId w:val="19"/>
  </w:num>
  <w:num w:numId="101">
    <w:abstractNumId w:val="79"/>
  </w:num>
  <w:num w:numId="102">
    <w:abstractNumId w:val="61"/>
  </w:num>
  <w:num w:numId="103">
    <w:abstractNumId w:val="57"/>
  </w:num>
  <w:num w:numId="104">
    <w:abstractNumId w:val="6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s-419" w:vendorID="64" w:dllVersion="6" w:nlCheck="1" w:checkStyle="0"/>
  <w:activeWritingStyle w:appName="MSWord" w:lang="en-AU" w:vendorID="64" w:dllVersion="6" w:nlCheck="1" w:checkStyle="1"/>
  <w:activeWritingStyle w:appName="MSWord" w:lang="en-AU" w:vendorID="64" w:dllVersion="4096" w:nlCheck="1" w:checkStyle="0"/>
  <w:activeWritingStyle w:appName="MSWord" w:lang="es-419" w:vendorID="64" w:dllVersion="4096" w:nlCheck="1" w:checkStyle="0"/>
  <w:activeWritingStyle w:appName="MSWord" w:lang="en-AU" w:vendorID="64" w:dllVersion="0" w:nlCheck="1" w:checkStyle="0"/>
  <w:activeWritingStyle w:appName="MSWord" w:lang="es-419" w:vendorID="64" w:dllVersion="0" w:nlCheck="1" w:checkStyle="0"/>
  <w:activeWritingStyle w:appName="MSWord" w:lang="en-US" w:vendorID="64" w:dllVersion="0" w:nlCheck="1" w:checkStyle="0"/>
  <w:activeWritingStyle w:appName="MSWord" w:lang="en-US" w:vendorID="64" w:dllVersion="6" w:nlCheck="1" w:checkStyle="1"/>
  <w:proofState w:spelling="clean" w:grammar="clean"/>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EA"/>
    <w:rsid w:val="00005F83"/>
    <w:rsid w:val="00007291"/>
    <w:rsid w:val="00010D65"/>
    <w:rsid w:val="000118A2"/>
    <w:rsid w:val="000129F2"/>
    <w:rsid w:val="0001410A"/>
    <w:rsid w:val="000143AA"/>
    <w:rsid w:val="00015925"/>
    <w:rsid w:val="00015AB4"/>
    <w:rsid w:val="00017B94"/>
    <w:rsid w:val="0002165D"/>
    <w:rsid w:val="00023AE3"/>
    <w:rsid w:val="00023B67"/>
    <w:rsid w:val="00025FC2"/>
    <w:rsid w:val="00030A9B"/>
    <w:rsid w:val="000335E3"/>
    <w:rsid w:val="00041D5A"/>
    <w:rsid w:val="0004233A"/>
    <w:rsid w:val="00042C08"/>
    <w:rsid w:val="00042FF0"/>
    <w:rsid w:val="00044F03"/>
    <w:rsid w:val="00046165"/>
    <w:rsid w:val="00051730"/>
    <w:rsid w:val="000517F5"/>
    <w:rsid w:val="0005252B"/>
    <w:rsid w:val="00054BF4"/>
    <w:rsid w:val="0005604C"/>
    <w:rsid w:val="00056068"/>
    <w:rsid w:val="00056E34"/>
    <w:rsid w:val="00061FBD"/>
    <w:rsid w:val="00061FD0"/>
    <w:rsid w:val="0006211A"/>
    <w:rsid w:val="00062E3B"/>
    <w:rsid w:val="00063373"/>
    <w:rsid w:val="000633EE"/>
    <w:rsid w:val="00063F94"/>
    <w:rsid w:val="00065EC5"/>
    <w:rsid w:val="000660C8"/>
    <w:rsid w:val="0007023C"/>
    <w:rsid w:val="000705D8"/>
    <w:rsid w:val="0007122A"/>
    <w:rsid w:val="0007208B"/>
    <w:rsid w:val="00074DA0"/>
    <w:rsid w:val="000754D4"/>
    <w:rsid w:val="00075A6D"/>
    <w:rsid w:val="0007619C"/>
    <w:rsid w:val="00076B2F"/>
    <w:rsid w:val="00077095"/>
    <w:rsid w:val="00077231"/>
    <w:rsid w:val="0008047C"/>
    <w:rsid w:val="00081C68"/>
    <w:rsid w:val="00082D70"/>
    <w:rsid w:val="00085138"/>
    <w:rsid w:val="00087333"/>
    <w:rsid w:val="00087E7D"/>
    <w:rsid w:val="00091B8C"/>
    <w:rsid w:val="00092237"/>
    <w:rsid w:val="00093F91"/>
    <w:rsid w:val="00094326"/>
    <w:rsid w:val="00094DB2"/>
    <w:rsid w:val="00096CD0"/>
    <w:rsid w:val="00096F48"/>
    <w:rsid w:val="000A0A7E"/>
    <w:rsid w:val="000A0E80"/>
    <w:rsid w:val="000A1859"/>
    <w:rsid w:val="000A3F65"/>
    <w:rsid w:val="000A5AE0"/>
    <w:rsid w:val="000B0717"/>
    <w:rsid w:val="000B1D4A"/>
    <w:rsid w:val="000B24D9"/>
    <w:rsid w:val="000B70C7"/>
    <w:rsid w:val="000B7972"/>
    <w:rsid w:val="000B7D20"/>
    <w:rsid w:val="000C1E22"/>
    <w:rsid w:val="000C2811"/>
    <w:rsid w:val="000C3B71"/>
    <w:rsid w:val="000C66A7"/>
    <w:rsid w:val="000D611C"/>
    <w:rsid w:val="000E48F0"/>
    <w:rsid w:val="000E6482"/>
    <w:rsid w:val="000F28DB"/>
    <w:rsid w:val="000F311A"/>
    <w:rsid w:val="000F3A74"/>
    <w:rsid w:val="000F4928"/>
    <w:rsid w:val="000F4F1D"/>
    <w:rsid w:val="000F6202"/>
    <w:rsid w:val="000F73CF"/>
    <w:rsid w:val="001000C9"/>
    <w:rsid w:val="00101A8D"/>
    <w:rsid w:val="00101FB4"/>
    <w:rsid w:val="00106C67"/>
    <w:rsid w:val="001078F9"/>
    <w:rsid w:val="0011031C"/>
    <w:rsid w:val="0011298F"/>
    <w:rsid w:val="00114018"/>
    <w:rsid w:val="001144BB"/>
    <w:rsid w:val="00116F97"/>
    <w:rsid w:val="001207D0"/>
    <w:rsid w:val="001212FD"/>
    <w:rsid w:val="001226D0"/>
    <w:rsid w:val="001257BF"/>
    <w:rsid w:val="0012661B"/>
    <w:rsid w:val="001326DB"/>
    <w:rsid w:val="00132F91"/>
    <w:rsid w:val="0013407D"/>
    <w:rsid w:val="001340BE"/>
    <w:rsid w:val="0013666E"/>
    <w:rsid w:val="00136C65"/>
    <w:rsid w:val="00137A8F"/>
    <w:rsid w:val="00142E82"/>
    <w:rsid w:val="00143B26"/>
    <w:rsid w:val="001444CE"/>
    <w:rsid w:val="00146965"/>
    <w:rsid w:val="001479C5"/>
    <w:rsid w:val="001523A6"/>
    <w:rsid w:val="001531E6"/>
    <w:rsid w:val="00154D45"/>
    <w:rsid w:val="00155FAA"/>
    <w:rsid w:val="00156525"/>
    <w:rsid w:val="00156A60"/>
    <w:rsid w:val="001571BA"/>
    <w:rsid w:val="00164170"/>
    <w:rsid w:val="001643BB"/>
    <w:rsid w:val="00172B7E"/>
    <w:rsid w:val="0017307A"/>
    <w:rsid w:val="00174C98"/>
    <w:rsid w:val="00181D2E"/>
    <w:rsid w:val="001845DC"/>
    <w:rsid w:val="00184E69"/>
    <w:rsid w:val="00185F53"/>
    <w:rsid w:val="001913DC"/>
    <w:rsid w:val="0019226D"/>
    <w:rsid w:val="001924F5"/>
    <w:rsid w:val="0019300E"/>
    <w:rsid w:val="0019480F"/>
    <w:rsid w:val="00195B42"/>
    <w:rsid w:val="00196B3F"/>
    <w:rsid w:val="00197924"/>
    <w:rsid w:val="00197E7B"/>
    <w:rsid w:val="001A2602"/>
    <w:rsid w:val="001A2C0E"/>
    <w:rsid w:val="001A37A1"/>
    <w:rsid w:val="001A3AC0"/>
    <w:rsid w:val="001A3F23"/>
    <w:rsid w:val="001A5296"/>
    <w:rsid w:val="001A59C8"/>
    <w:rsid w:val="001A68AB"/>
    <w:rsid w:val="001A7581"/>
    <w:rsid w:val="001B146D"/>
    <w:rsid w:val="001B1BDF"/>
    <w:rsid w:val="001B3312"/>
    <w:rsid w:val="001B3677"/>
    <w:rsid w:val="001B6158"/>
    <w:rsid w:val="001B6F5E"/>
    <w:rsid w:val="001C1876"/>
    <w:rsid w:val="001C1C21"/>
    <w:rsid w:val="001C3869"/>
    <w:rsid w:val="001D0044"/>
    <w:rsid w:val="001D27A1"/>
    <w:rsid w:val="001D50EA"/>
    <w:rsid w:val="001D5D74"/>
    <w:rsid w:val="001D72A5"/>
    <w:rsid w:val="001D736D"/>
    <w:rsid w:val="001E00AE"/>
    <w:rsid w:val="001E27B2"/>
    <w:rsid w:val="001E3185"/>
    <w:rsid w:val="001E3E9A"/>
    <w:rsid w:val="001E494A"/>
    <w:rsid w:val="001E4E70"/>
    <w:rsid w:val="001E6C23"/>
    <w:rsid w:val="001E77EB"/>
    <w:rsid w:val="001E7B5F"/>
    <w:rsid w:val="001F4669"/>
    <w:rsid w:val="001F4CBA"/>
    <w:rsid w:val="00201DB9"/>
    <w:rsid w:val="00204D93"/>
    <w:rsid w:val="002050C5"/>
    <w:rsid w:val="00205624"/>
    <w:rsid w:val="00207CEA"/>
    <w:rsid w:val="002133F5"/>
    <w:rsid w:val="00213DDE"/>
    <w:rsid w:val="002154C2"/>
    <w:rsid w:val="0022084E"/>
    <w:rsid w:val="002240C7"/>
    <w:rsid w:val="00226474"/>
    <w:rsid w:val="002325E4"/>
    <w:rsid w:val="00232E3B"/>
    <w:rsid w:val="00233EE3"/>
    <w:rsid w:val="00234014"/>
    <w:rsid w:val="0023498F"/>
    <w:rsid w:val="0023516B"/>
    <w:rsid w:val="00237118"/>
    <w:rsid w:val="00240812"/>
    <w:rsid w:val="00242F7C"/>
    <w:rsid w:val="00243A8E"/>
    <w:rsid w:val="00255746"/>
    <w:rsid w:val="00255800"/>
    <w:rsid w:val="00256804"/>
    <w:rsid w:val="002626C7"/>
    <w:rsid w:val="002627A7"/>
    <w:rsid w:val="00263D20"/>
    <w:rsid w:val="00265887"/>
    <w:rsid w:val="00270AC1"/>
    <w:rsid w:val="0027492A"/>
    <w:rsid w:val="002767D9"/>
    <w:rsid w:val="00277C91"/>
    <w:rsid w:val="002832C1"/>
    <w:rsid w:val="002832DA"/>
    <w:rsid w:val="002838E9"/>
    <w:rsid w:val="002844A9"/>
    <w:rsid w:val="00285142"/>
    <w:rsid w:val="00290096"/>
    <w:rsid w:val="00293058"/>
    <w:rsid w:val="00296CC4"/>
    <w:rsid w:val="00296DA1"/>
    <w:rsid w:val="0029796B"/>
    <w:rsid w:val="002A5FE6"/>
    <w:rsid w:val="002B002A"/>
    <w:rsid w:val="002B04B2"/>
    <w:rsid w:val="002B2E9A"/>
    <w:rsid w:val="002B3DBE"/>
    <w:rsid w:val="002B4ECB"/>
    <w:rsid w:val="002B7095"/>
    <w:rsid w:val="002C36C3"/>
    <w:rsid w:val="002C51EE"/>
    <w:rsid w:val="002C612A"/>
    <w:rsid w:val="002D0A5B"/>
    <w:rsid w:val="002D175C"/>
    <w:rsid w:val="002D2F59"/>
    <w:rsid w:val="002D58EC"/>
    <w:rsid w:val="002D64DB"/>
    <w:rsid w:val="002E1D89"/>
    <w:rsid w:val="002E29FB"/>
    <w:rsid w:val="0030439A"/>
    <w:rsid w:val="0030456D"/>
    <w:rsid w:val="0030510B"/>
    <w:rsid w:val="003073CA"/>
    <w:rsid w:val="00310DF8"/>
    <w:rsid w:val="00316757"/>
    <w:rsid w:val="00316802"/>
    <w:rsid w:val="00317DCB"/>
    <w:rsid w:val="00320085"/>
    <w:rsid w:val="00320F96"/>
    <w:rsid w:val="00322919"/>
    <w:rsid w:val="00323D62"/>
    <w:rsid w:val="003248FB"/>
    <w:rsid w:val="003301EB"/>
    <w:rsid w:val="00330E40"/>
    <w:rsid w:val="00332FAF"/>
    <w:rsid w:val="003349F6"/>
    <w:rsid w:val="003353AF"/>
    <w:rsid w:val="00340801"/>
    <w:rsid w:val="00340B69"/>
    <w:rsid w:val="00341736"/>
    <w:rsid w:val="003419C6"/>
    <w:rsid w:val="00342246"/>
    <w:rsid w:val="003423A1"/>
    <w:rsid w:val="0034292D"/>
    <w:rsid w:val="00342BFF"/>
    <w:rsid w:val="00343B2D"/>
    <w:rsid w:val="00343EDB"/>
    <w:rsid w:val="003524F9"/>
    <w:rsid w:val="0035539A"/>
    <w:rsid w:val="003570A2"/>
    <w:rsid w:val="0036083E"/>
    <w:rsid w:val="00363223"/>
    <w:rsid w:val="0036437F"/>
    <w:rsid w:val="003664DF"/>
    <w:rsid w:val="0036693A"/>
    <w:rsid w:val="003701A8"/>
    <w:rsid w:val="00371277"/>
    <w:rsid w:val="00376C63"/>
    <w:rsid w:val="00380D34"/>
    <w:rsid w:val="00381075"/>
    <w:rsid w:val="003810A4"/>
    <w:rsid w:val="0038425D"/>
    <w:rsid w:val="0038554A"/>
    <w:rsid w:val="003860DA"/>
    <w:rsid w:val="003861B1"/>
    <w:rsid w:val="0038692A"/>
    <w:rsid w:val="00386F3E"/>
    <w:rsid w:val="00390870"/>
    <w:rsid w:val="00391471"/>
    <w:rsid w:val="003929D6"/>
    <w:rsid w:val="00395765"/>
    <w:rsid w:val="0039753D"/>
    <w:rsid w:val="00397FF6"/>
    <w:rsid w:val="003A0FF1"/>
    <w:rsid w:val="003B1012"/>
    <w:rsid w:val="003B2009"/>
    <w:rsid w:val="003B20E9"/>
    <w:rsid w:val="003B2316"/>
    <w:rsid w:val="003B7F77"/>
    <w:rsid w:val="003C1678"/>
    <w:rsid w:val="003C2F2A"/>
    <w:rsid w:val="003C3AF7"/>
    <w:rsid w:val="003C4257"/>
    <w:rsid w:val="003C438B"/>
    <w:rsid w:val="003C5C7F"/>
    <w:rsid w:val="003D313A"/>
    <w:rsid w:val="003D3FA5"/>
    <w:rsid w:val="003D4713"/>
    <w:rsid w:val="003D6A09"/>
    <w:rsid w:val="003E146B"/>
    <w:rsid w:val="003E1E3E"/>
    <w:rsid w:val="003E267A"/>
    <w:rsid w:val="003E397B"/>
    <w:rsid w:val="003F06C2"/>
    <w:rsid w:val="003F0C79"/>
    <w:rsid w:val="003F4459"/>
    <w:rsid w:val="003F516B"/>
    <w:rsid w:val="003F5ABF"/>
    <w:rsid w:val="003F5FE6"/>
    <w:rsid w:val="0040219D"/>
    <w:rsid w:val="0040476C"/>
    <w:rsid w:val="00405F24"/>
    <w:rsid w:val="00406B90"/>
    <w:rsid w:val="004075D1"/>
    <w:rsid w:val="00407BF9"/>
    <w:rsid w:val="004155A2"/>
    <w:rsid w:val="00416B63"/>
    <w:rsid w:val="00420BE2"/>
    <w:rsid w:val="0042274A"/>
    <w:rsid w:val="00423E88"/>
    <w:rsid w:val="00424627"/>
    <w:rsid w:val="0042748D"/>
    <w:rsid w:val="00430FD9"/>
    <w:rsid w:val="00433B55"/>
    <w:rsid w:val="004344DC"/>
    <w:rsid w:val="004346FA"/>
    <w:rsid w:val="00436470"/>
    <w:rsid w:val="00436FDA"/>
    <w:rsid w:val="00437090"/>
    <w:rsid w:val="00437797"/>
    <w:rsid w:val="004378EB"/>
    <w:rsid w:val="0044066A"/>
    <w:rsid w:val="004410C9"/>
    <w:rsid w:val="0044268D"/>
    <w:rsid w:val="00445714"/>
    <w:rsid w:val="00446BBD"/>
    <w:rsid w:val="00452160"/>
    <w:rsid w:val="00453E4B"/>
    <w:rsid w:val="00454011"/>
    <w:rsid w:val="0045601C"/>
    <w:rsid w:val="0045654B"/>
    <w:rsid w:val="004566F0"/>
    <w:rsid w:val="00457E86"/>
    <w:rsid w:val="00463548"/>
    <w:rsid w:val="004640E4"/>
    <w:rsid w:val="0046419E"/>
    <w:rsid w:val="00466656"/>
    <w:rsid w:val="00466F79"/>
    <w:rsid w:val="00470A32"/>
    <w:rsid w:val="004711DD"/>
    <w:rsid w:val="004727D6"/>
    <w:rsid w:val="0047648E"/>
    <w:rsid w:val="0048158D"/>
    <w:rsid w:val="00484545"/>
    <w:rsid w:val="0049719E"/>
    <w:rsid w:val="004A0B4F"/>
    <w:rsid w:val="004A16BB"/>
    <w:rsid w:val="004A375B"/>
    <w:rsid w:val="004A3935"/>
    <w:rsid w:val="004A4407"/>
    <w:rsid w:val="004A708E"/>
    <w:rsid w:val="004A7BF2"/>
    <w:rsid w:val="004B4C52"/>
    <w:rsid w:val="004B710C"/>
    <w:rsid w:val="004C52C3"/>
    <w:rsid w:val="004D2BB9"/>
    <w:rsid w:val="004D5CC1"/>
    <w:rsid w:val="004D66D4"/>
    <w:rsid w:val="004D6F58"/>
    <w:rsid w:val="004D70C5"/>
    <w:rsid w:val="004E18DC"/>
    <w:rsid w:val="004E2D89"/>
    <w:rsid w:val="004E3037"/>
    <w:rsid w:val="004E32E8"/>
    <w:rsid w:val="004E6A07"/>
    <w:rsid w:val="004F02DB"/>
    <w:rsid w:val="004F0A1C"/>
    <w:rsid w:val="004F0B91"/>
    <w:rsid w:val="004F1767"/>
    <w:rsid w:val="004F25A9"/>
    <w:rsid w:val="004F57A2"/>
    <w:rsid w:val="004F71DA"/>
    <w:rsid w:val="004F7AE0"/>
    <w:rsid w:val="00503F44"/>
    <w:rsid w:val="00505CDB"/>
    <w:rsid w:val="00510981"/>
    <w:rsid w:val="00511B0B"/>
    <w:rsid w:val="00513F54"/>
    <w:rsid w:val="00516BCB"/>
    <w:rsid w:val="005204C7"/>
    <w:rsid w:val="00521831"/>
    <w:rsid w:val="00522891"/>
    <w:rsid w:val="0052291D"/>
    <w:rsid w:val="00523A75"/>
    <w:rsid w:val="0052455B"/>
    <w:rsid w:val="00530973"/>
    <w:rsid w:val="00533953"/>
    <w:rsid w:val="005340AB"/>
    <w:rsid w:val="005347E4"/>
    <w:rsid w:val="00534976"/>
    <w:rsid w:val="00535303"/>
    <w:rsid w:val="005376E7"/>
    <w:rsid w:val="00537B12"/>
    <w:rsid w:val="005401C9"/>
    <w:rsid w:val="0054071F"/>
    <w:rsid w:val="005419B6"/>
    <w:rsid w:val="0054524C"/>
    <w:rsid w:val="00547780"/>
    <w:rsid w:val="005527A2"/>
    <w:rsid w:val="00554092"/>
    <w:rsid w:val="00554EA4"/>
    <w:rsid w:val="0056168B"/>
    <w:rsid w:val="005624DF"/>
    <w:rsid w:val="005711C5"/>
    <w:rsid w:val="00572193"/>
    <w:rsid w:val="005757C2"/>
    <w:rsid w:val="00575FA9"/>
    <w:rsid w:val="00577BEF"/>
    <w:rsid w:val="005821EE"/>
    <w:rsid w:val="00582643"/>
    <w:rsid w:val="00584151"/>
    <w:rsid w:val="0058562A"/>
    <w:rsid w:val="005857AF"/>
    <w:rsid w:val="00595A11"/>
    <w:rsid w:val="00595EAA"/>
    <w:rsid w:val="005A1303"/>
    <w:rsid w:val="005A1DC6"/>
    <w:rsid w:val="005A3BE6"/>
    <w:rsid w:val="005A7D9E"/>
    <w:rsid w:val="005B0C7F"/>
    <w:rsid w:val="005B0E6B"/>
    <w:rsid w:val="005B0F71"/>
    <w:rsid w:val="005C700B"/>
    <w:rsid w:val="005D0515"/>
    <w:rsid w:val="005D11E9"/>
    <w:rsid w:val="005D22B8"/>
    <w:rsid w:val="005D24C3"/>
    <w:rsid w:val="005D5115"/>
    <w:rsid w:val="005D7985"/>
    <w:rsid w:val="005D79E0"/>
    <w:rsid w:val="005E1221"/>
    <w:rsid w:val="005E168E"/>
    <w:rsid w:val="005E2619"/>
    <w:rsid w:val="005E6C2A"/>
    <w:rsid w:val="005F4617"/>
    <w:rsid w:val="005F4726"/>
    <w:rsid w:val="005F76BE"/>
    <w:rsid w:val="005F7DC6"/>
    <w:rsid w:val="00601737"/>
    <w:rsid w:val="006024CE"/>
    <w:rsid w:val="00602E8D"/>
    <w:rsid w:val="006033E1"/>
    <w:rsid w:val="006040CE"/>
    <w:rsid w:val="006042C5"/>
    <w:rsid w:val="00604F98"/>
    <w:rsid w:val="00606C2A"/>
    <w:rsid w:val="00613BD2"/>
    <w:rsid w:val="00614C93"/>
    <w:rsid w:val="00615C66"/>
    <w:rsid w:val="006166CC"/>
    <w:rsid w:val="00616A73"/>
    <w:rsid w:val="00617CAE"/>
    <w:rsid w:val="00617DBB"/>
    <w:rsid w:val="00621E63"/>
    <w:rsid w:val="00624216"/>
    <w:rsid w:val="006246D1"/>
    <w:rsid w:val="00632308"/>
    <w:rsid w:val="00633298"/>
    <w:rsid w:val="00643720"/>
    <w:rsid w:val="00643B5D"/>
    <w:rsid w:val="00643EB3"/>
    <w:rsid w:val="0064493A"/>
    <w:rsid w:val="00645A9B"/>
    <w:rsid w:val="006464C1"/>
    <w:rsid w:val="00646B91"/>
    <w:rsid w:val="00651EC7"/>
    <w:rsid w:val="00652FCF"/>
    <w:rsid w:val="00656E6F"/>
    <w:rsid w:val="00660737"/>
    <w:rsid w:val="00661AB0"/>
    <w:rsid w:val="00661E3E"/>
    <w:rsid w:val="006620C4"/>
    <w:rsid w:val="00664E16"/>
    <w:rsid w:val="006674C5"/>
    <w:rsid w:val="00675968"/>
    <w:rsid w:val="00675C48"/>
    <w:rsid w:val="00676D5F"/>
    <w:rsid w:val="0067774C"/>
    <w:rsid w:val="00680338"/>
    <w:rsid w:val="00682CA8"/>
    <w:rsid w:val="00686098"/>
    <w:rsid w:val="00687929"/>
    <w:rsid w:val="0069113E"/>
    <w:rsid w:val="006918FB"/>
    <w:rsid w:val="00693792"/>
    <w:rsid w:val="00693E81"/>
    <w:rsid w:val="00696087"/>
    <w:rsid w:val="006A0010"/>
    <w:rsid w:val="006A06A0"/>
    <w:rsid w:val="006A197C"/>
    <w:rsid w:val="006A4429"/>
    <w:rsid w:val="006B0B89"/>
    <w:rsid w:val="006B2ED3"/>
    <w:rsid w:val="006B5A33"/>
    <w:rsid w:val="006C0CEC"/>
    <w:rsid w:val="006C1850"/>
    <w:rsid w:val="006C1E6D"/>
    <w:rsid w:val="006C1EB7"/>
    <w:rsid w:val="006C76AE"/>
    <w:rsid w:val="006E0831"/>
    <w:rsid w:val="006E12E6"/>
    <w:rsid w:val="006E1D53"/>
    <w:rsid w:val="006E2C99"/>
    <w:rsid w:val="006E3FB2"/>
    <w:rsid w:val="006E593C"/>
    <w:rsid w:val="006F1429"/>
    <w:rsid w:val="006F19BC"/>
    <w:rsid w:val="00701B27"/>
    <w:rsid w:val="00703A5F"/>
    <w:rsid w:val="007046C4"/>
    <w:rsid w:val="00704923"/>
    <w:rsid w:val="007058BE"/>
    <w:rsid w:val="007076BD"/>
    <w:rsid w:val="00710D6B"/>
    <w:rsid w:val="00712280"/>
    <w:rsid w:val="00715F47"/>
    <w:rsid w:val="007173A1"/>
    <w:rsid w:val="007213E4"/>
    <w:rsid w:val="007236E6"/>
    <w:rsid w:val="00725D9F"/>
    <w:rsid w:val="00726C1C"/>
    <w:rsid w:val="00730987"/>
    <w:rsid w:val="00734B5F"/>
    <w:rsid w:val="0073516D"/>
    <w:rsid w:val="007359FA"/>
    <w:rsid w:val="00735B54"/>
    <w:rsid w:val="007365DE"/>
    <w:rsid w:val="00737AFE"/>
    <w:rsid w:val="007416B9"/>
    <w:rsid w:val="0074257D"/>
    <w:rsid w:val="00744BE1"/>
    <w:rsid w:val="00746416"/>
    <w:rsid w:val="0074646C"/>
    <w:rsid w:val="00747FC6"/>
    <w:rsid w:val="00750B09"/>
    <w:rsid w:val="007514A3"/>
    <w:rsid w:val="00752CC9"/>
    <w:rsid w:val="00753168"/>
    <w:rsid w:val="00754144"/>
    <w:rsid w:val="0075568E"/>
    <w:rsid w:val="00756084"/>
    <w:rsid w:val="0075643B"/>
    <w:rsid w:val="00757932"/>
    <w:rsid w:val="00761920"/>
    <w:rsid w:val="00763200"/>
    <w:rsid w:val="00764E88"/>
    <w:rsid w:val="007659B0"/>
    <w:rsid w:val="0077168A"/>
    <w:rsid w:val="00771B26"/>
    <w:rsid w:val="00772278"/>
    <w:rsid w:val="007724D9"/>
    <w:rsid w:val="00772548"/>
    <w:rsid w:val="00772C8E"/>
    <w:rsid w:val="00774BB5"/>
    <w:rsid w:val="00775490"/>
    <w:rsid w:val="007757A3"/>
    <w:rsid w:val="0078221F"/>
    <w:rsid w:val="0079052E"/>
    <w:rsid w:val="00793098"/>
    <w:rsid w:val="00793C59"/>
    <w:rsid w:val="007963ED"/>
    <w:rsid w:val="0079766D"/>
    <w:rsid w:val="007A0260"/>
    <w:rsid w:val="007A16B4"/>
    <w:rsid w:val="007A1972"/>
    <w:rsid w:val="007A6F73"/>
    <w:rsid w:val="007B1946"/>
    <w:rsid w:val="007B248D"/>
    <w:rsid w:val="007B3100"/>
    <w:rsid w:val="007B3E2A"/>
    <w:rsid w:val="007B60ED"/>
    <w:rsid w:val="007B6DEA"/>
    <w:rsid w:val="007B7A03"/>
    <w:rsid w:val="007C0C51"/>
    <w:rsid w:val="007C5A9F"/>
    <w:rsid w:val="007D3CE2"/>
    <w:rsid w:val="007D47A9"/>
    <w:rsid w:val="007D4890"/>
    <w:rsid w:val="007D5DD4"/>
    <w:rsid w:val="007D6214"/>
    <w:rsid w:val="007D7393"/>
    <w:rsid w:val="007E1175"/>
    <w:rsid w:val="007E4393"/>
    <w:rsid w:val="007E5EDA"/>
    <w:rsid w:val="007F04AA"/>
    <w:rsid w:val="007F3B03"/>
    <w:rsid w:val="00800072"/>
    <w:rsid w:val="00802B69"/>
    <w:rsid w:val="008030D8"/>
    <w:rsid w:val="00805B14"/>
    <w:rsid w:val="00807F7B"/>
    <w:rsid w:val="00814A35"/>
    <w:rsid w:val="00821332"/>
    <w:rsid w:val="00822683"/>
    <w:rsid w:val="0082543E"/>
    <w:rsid w:val="00825A5B"/>
    <w:rsid w:val="00825C05"/>
    <w:rsid w:val="00826A52"/>
    <w:rsid w:val="00826E4F"/>
    <w:rsid w:val="00831F50"/>
    <w:rsid w:val="008331C9"/>
    <w:rsid w:val="00835942"/>
    <w:rsid w:val="0083679A"/>
    <w:rsid w:val="0084126B"/>
    <w:rsid w:val="00841279"/>
    <w:rsid w:val="0084197E"/>
    <w:rsid w:val="00842142"/>
    <w:rsid w:val="00842795"/>
    <w:rsid w:val="00842F53"/>
    <w:rsid w:val="00843ADB"/>
    <w:rsid w:val="00844551"/>
    <w:rsid w:val="008467FB"/>
    <w:rsid w:val="008468F8"/>
    <w:rsid w:val="008531C5"/>
    <w:rsid w:val="008532F0"/>
    <w:rsid w:val="00854204"/>
    <w:rsid w:val="00854404"/>
    <w:rsid w:val="00855A87"/>
    <w:rsid w:val="00860DFD"/>
    <w:rsid w:val="008629E8"/>
    <w:rsid w:val="00862A63"/>
    <w:rsid w:val="008647A6"/>
    <w:rsid w:val="00865638"/>
    <w:rsid w:val="00867E93"/>
    <w:rsid w:val="00872337"/>
    <w:rsid w:val="008730E1"/>
    <w:rsid w:val="00873F1E"/>
    <w:rsid w:val="008761EC"/>
    <w:rsid w:val="00876470"/>
    <w:rsid w:val="00881A2E"/>
    <w:rsid w:val="008828D8"/>
    <w:rsid w:val="0088412A"/>
    <w:rsid w:val="0088614B"/>
    <w:rsid w:val="00886D22"/>
    <w:rsid w:val="0088752D"/>
    <w:rsid w:val="0089426A"/>
    <w:rsid w:val="00896A19"/>
    <w:rsid w:val="008978C8"/>
    <w:rsid w:val="008A0DFD"/>
    <w:rsid w:val="008A1491"/>
    <w:rsid w:val="008A1936"/>
    <w:rsid w:val="008A1EF9"/>
    <w:rsid w:val="008A4B47"/>
    <w:rsid w:val="008A5483"/>
    <w:rsid w:val="008B019D"/>
    <w:rsid w:val="008B3E13"/>
    <w:rsid w:val="008B4ED3"/>
    <w:rsid w:val="008B6D36"/>
    <w:rsid w:val="008C2C8F"/>
    <w:rsid w:val="008C345B"/>
    <w:rsid w:val="008C65D9"/>
    <w:rsid w:val="008C75DB"/>
    <w:rsid w:val="008D0BCC"/>
    <w:rsid w:val="008D0DA3"/>
    <w:rsid w:val="008D2D4A"/>
    <w:rsid w:val="008D4D23"/>
    <w:rsid w:val="008D5AD5"/>
    <w:rsid w:val="008D6077"/>
    <w:rsid w:val="008D6ABD"/>
    <w:rsid w:val="008D6C44"/>
    <w:rsid w:val="008E0D9D"/>
    <w:rsid w:val="008E22EB"/>
    <w:rsid w:val="008E2685"/>
    <w:rsid w:val="008E2E1C"/>
    <w:rsid w:val="008E376C"/>
    <w:rsid w:val="008E7563"/>
    <w:rsid w:val="008F0F25"/>
    <w:rsid w:val="008F370F"/>
    <w:rsid w:val="008F450F"/>
    <w:rsid w:val="008F7A92"/>
    <w:rsid w:val="00900AEA"/>
    <w:rsid w:val="0090165B"/>
    <w:rsid w:val="0090236D"/>
    <w:rsid w:val="0090297E"/>
    <w:rsid w:val="00902BFB"/>
    <w:rsid w:val="00906B04"/>
    <w:rsid w:val="0090711E"/>
    <w:rsid w:val="00907C7B"/>
    <w:rsid w:val="00913928"/>
    <w:rsid w:val="009155D4"/>
    <w:rsid w:val="00917C54"/>
    <w:rsid w:val="00921E65"/>
    <w:rsid w:val="00924B48"/>
    <w:rsid w:val="00924EAD"/>
    <w:rsid w:val="009330D7"/>
    <w:rsid w:val="0093340C"/>
    <w:rsid w:val="00933470"/>
    <w:rsid w:val="009338E4"/>
    <w:rsid w:val="00935971"/>
    <w:rsid w:val="00942592"/>
    <w:rsid w:val="00945B24"/>
    <w:rsid w:val="009475C9"/>
    <w:rsid w:val="00952228"/>
    <w:rsid w:val="00953B20"/>
    <w:rsid w:val="00957447"/>
    <w:rsid w:val="00957EAD"/>
    <w:rsid w:val="009616BA"/>
    <w:rsid w:val="009632FD"/>
    <w:rsid w:val="00963D74"/>
    <w:rsid w:val="009665C4"/>
    <w:rsid w:val="0097239E"/>
    <w:rsid w:val="009723E0"/>
    <w:rsid w:val="00972761"/>
    <w:rsid w:val="00973DA1"/>
    <w:rsid w:val="009776A2"/>
    <w:rsid w:val="009817F5"/>
    <w:rsid w:val="00982BA8"/>
    <w:rsid w:val="009837C5"/>
    <w:rsid w:val="00987B18"/>
    <w:rsid w:val="00987BDA"/>
    <w:rsid w:val="00991B84"/>
    <w:rsid w:val="00993B0A"/>
    <w:rsid w:val="009A0706"/>
    <w:rsid w:val="009A0C52"/>
    <w:rsid w:val="009A19F6"/>
    <w:rsid w:val="009A1D41"/>
    <w:rsid w:val="009A51D8"/>
    <w:rsid w:val="009A52E5"/>
    <w:rsid w:val="009A7D08"/>
    <w:rsid w:val="009B077B"/>
    <w:rsid w:val="009B32E8"/>
    <w:rsid w:val="009B497A"/>
    <w:rsid w:val="009B6902"/>
    <w:rsid w:val="009C2AB2"/>
    <w:rsid w:val="009C4A4C"/>
    <w:rsid w:val="009C509C"/>
    <w:rsid w:val="009C5505"/>
    <w:rsid w:val="009C5E16"/>
    <w:rsid w:val="009C6B1F"/>
    <w:rsid w:val="009C78C8"/>
    <w:rsid w:val="009C78F0"/>
    <w:rsid w:val="009D028A"/>
    <w:rsid w:val="009D22D8"/>
    <w:rsid w:val="009D4AF9"/>
    <w:rsid w:val="009E247C"/>
    <w:rsid w:val="009E2F4F"/>
    <w:rsid w:val="009E3BAC"/>
    <w:rsid w:val="009E6472"/>
    <w:rsid w:val="009F310F"/>
    <w:rsid w:val="009F3EB8"/>
    <w:rsid w:val="009F57D5"/>
    <w:rsid w:val="009F64C0"/>
    <w:rsid w:val="00A0018A"/>
    <w:rsid w:val="00A00560"/>
    <w:rsid w:val="00A01737"/>
    <w:rsid w:val="00A01B47"/>
    <w:rsid w:val="00A024E9"/>
    <w:rsid w:val="00A0689C"/>
    <w:rsid w:val="00A07B4A"/>
    <w:rsid w:val="00A07ED0"/>
    <w:rsid w:val="00A105CF"/>
    <w:rsid w:val="00A10813"/>
    <w:rsid w:val="00A11FF6"/>
    <w:rsid w:val="00A16C7A"/>
    <w:rsid w:val="00A16F03"/>
    <w:rsid w:val="00A204C2"/>
    <w:rsid w:val="00A21D3A"/>
    <w:rsid w:val="00A22822"/>
    <w:rsid w:val="00A23D29"/>
    <w:rsid w:val="00A259F6"/>
    <w:rsid w:val="00A32CA7"/>
    <w:rsid w:val="00A330C8"/>
    <w:rsid w:val="00A34196"/>
    <w:rsid w:val="00A34CB9"/>
    <w:rsid w:val="00A36BBC"/>
    <w:rsid w:val="00A434EF"/>
    <w:rsid w:val="00A440BE"/>
    <w:rsid w:val="00A47DF4"/>
    <w:rsid w:val="00A512DF"/>
    <w:rsid w:val="00A53DD7"/>
    <w:rsid w:val="00A60A26"/>
    <w:rsid w:val="00A610EC"/>
    <w:rsid w:val="00A62A92"/>
    <w:rsid w:val="00A7005B"/>
    <w:rsid w:val="00A7210E"/>
    <w:rsid w:val="00A72362"/>
    <w:rsid w:val="00A727D2"/>
    <w:rsid w:val="00A7492A"/>
    <w:rsid w:val="00A749D1"/>
    <w:rsid w:val="00A75E7A"/>
    <w:rsid w:val="00A80E42"/>
    <w:rsid w:val="00A8154B"/>
    <w:rsid w:val="00A82402"/>
    <w:rsid w:val="00A87240"/>
    <w:rsid w:val="00A876EF"/>
    <w:rsid w:val="00A87988"/>
    <w:rsid w:val="00A915FC"/>
    <w:rsid w:val="00A91E14"/>
    <w:rsid w:val="00A9704C"/>
    <w:rsid w:val="00A97D3C"/>
    <w:rsid w:val="00AA22B1"/>
    <w:rsid w:val="00AA27D8"/>
    <w:rsid w:val="00AA2CC7"/>
    <w:rsid w:val="00AA31E0"/>
    <w:rsid w:val="00AB27DB"/>
    <w:rsid w:val="00AB2F99"/>
    <w:rsid w:val="00AB3E2A"/>
    <w:rsid w:val="00AB4F4E"/>
    <w:rsid w:val="00AC0E51"/>
    <w:rsid w:val="00AC1013"/>
    <w:rsid w:val="00AC1F83"/>
    <w:rsid w:val="00AC247A"/>
    <w:rsid w:val="00AC300D"/>
    <w:rsid w:val="00AC6E48"/>
    <w:rsid w:val="00AD1741"/>
    <w:rsid w:val="00AD32A3"/>
    <w:rsid w:val="00AD575C"/>
    <w:rsid w:val="00AD64DF"/>
    <w:rsid w:val="00AD6C5A"/>
    <w:rsid w:val="00AD7E93"/>
    <w:rsid w:val="00AD7F6E"/>
    <w:rsid w:val="00AE127D"/>
    <w:rsid w:val="00AE259C"/>
    <w:rsid w:val="00AE4255"/>
    <w:rsid w:val="00AE4C40"/>
    <w:rsid w:val="00AE56E5"/>
    <w:rsid w:val="00AE75DC"/>
    <w:rsid w:val="00AE7BBF"/>
    <w:rsid w:val="00AF016A"/>
    <w:rsid w:val="00AF28FE"/>
    <w:rsid w:val="00AF3A6B"/>
    <w:rsid w:val="00AF4C39"/>
    <w:rsid w:val="00AF4CB4"/>
    <w:rsid w:val="00AF6520"/>
    <w:rsid w:val="00AF78EF"/>
    <w:rsid w:val="00B0155F"/>
    <w:rsid w:val="00B032D2"/>
    <w:rsid w:val="00B045A9"/>
    <w:rsid w:val="00B04C25"/>
    <w:rsid w:val="00B07321"/>
    <w:rsid w:val="00B077C6"/>
    <w:rsid w:val="00B07E0E"/>
    <w:rsid w:val="00B121A7"/>
    <w:rsid w:val="00B124C7"/>
    <w:rsid w:val="00B12671"/>
    <w:rsid w:val="00B139BC"/>
    <w:rsid w:val="00B13AED"/>
    <w:rsid w:val="00B13D42"/>
    <w:rsid w:val="00B15723"/>
    <w:rsid w:val="00B17E15"/>
    <w:rsid w:val="00B206F9"/>
    <w:rsid w:val="00B264D3"/>
    <w:rsid w:val="00B31658"/>
    <w:rsid w:val="00B336DB"/>
    <w:rsid w:val="00B4336D"/>
    <w:rsid w:val="00B43617"/>
    <w:rsid w:val="00B45D42"/>
    <w:rsid w:val="00B47574"/>
    <w:rsid w:val="00B47960"/>
    <w:rsid w:val="00B64315"/>
    <w:rsid w:val="00B6461C"/>
    <w:rsid w:val="00B676DC"/>
    <w:rsid w:val="00B70D58"/>
    <w:rsid w:val="00B80F4F"/>
    <w:rsid w:val="00B82F75"/>
    <w:rsid w:val="00B8473F"/>
    <w:rsid w:val="00B90837"/>
    <w:rsid w:val="00B93EC1"/>
    <w:rsid w:val="00B969A1"/>
    <w:rsid w:val="00B96B0C"/>
    <w:rsid w:val="00B97B9A"/>
    <w:rsid w:val="00BA2716"/>
    <w:rsid w:val="00BA2728"/>
    <w:rsid w:val="00BA2B9F"/>
    <w:rsid w:val="00BA7494"/>
    <w:rsid w:val="00BA7FE2"/>
    <w:rsid w:val="00BB060F"/>
    <w:rsid w:val="00BB39EB"/>
    <w:rsid w:val="00BB6A37"/>
    <w:rsid w:val="00BC14E8"/>
    <w:rsid w:val="00BC3E53"/>
    <w:rsid w:val="00BC66BB"/>
    <w:rsid w:val="00BD0B1E"/>
    <w:rsid w:val="00BD0E3B"/>
    <w:rsid w:val="00BD18A7"/>
    <w:rsid w:val="00BD23AA"/>
    <w:rsid w:val="00BD24C1"/>
    <w:rsid w:val="00BD3CFD"/>
    <w:rsid w:val="00BD3D38"/>
    <w:rsid w:val="00BD4561"/>
    <w:rsid w:val="00BD491A"/>
    <w:rsid w:val="00BD4A5F"/>
    <w:rsid w:val="00BD6048"/>
    <w:rsid w:val="00BD6D9B"/>
    <w:rsid w:val="00BE0223"/>
    <w:rsid w:val="00BE1AEF"/>
    <w:rsid w:val="00BE3A72"/>
    <w:rsid w:val="00BE596D"/>
    <w:rsid w:val="00BE5F52"/>
    <w:rsid w:val="00BF2CC7"/>
    <w:rsid w:val="00BF30BC"/>
    <w:rsid w:val="00C0317F"/>
    <w:rsid w:val="00C03BF4"/>
    <w:rsid w:val="00C05729"/>
    <w:rsid w:val="00C05B63"/>
    <w:rsid w:val="00C06101"/>
    <w:rsid w:val="00C064CB"/>
    <w:rsid w:val="00C074A4"/>
    <w:rsid w:val="00C07A4E"/>
    <w:rsid w:val="00C07B34"/>
    <w:rsid w:val="00C11226"/>
    <w:rsid w:val="00C12692"/>
    <w:rsid w:val="00C12E87"/>
    <w:rsid w:val="00C149D2"/>
    <w:rsid w:val="00C16221"/>
    <w:rsid w:val="00C169AC"/>
    <w:rsid w:val="00C206DE"/>
    <w:rsid w:val="00C22013"/>
    <w:rsid w:val="00C227C8"/>
    <w:rsid w:val="00C23345"/>
    <w:rsid w:val="00C263BC"/>
    <w:rsid w:val="00C27626"/>
    <w:rsid w:val="00C329D7"/>
    <w:rsid w:val="00C32BD1"/>
    <w:rsid w:val="00C32D36"/>
    <w:rsid w:val="00C35D04"/>
    <w:rsid w:val="00C40358"/>
    <w:rsid w:val="00C41394"/>
    <w:rsid w:val="00C4379F"/>
    <w:rsid w:val="00C44925"/>
    <w:rsid w:val="00C51175"/>
    <w:rsid w:val="00C5179F"/>
    <w:rsid w:val="00C52CD9"/>
    <w:rsid w:val="00C53B7C"/>
    <w:rsid w:val="00C56E61"/>
    <w:rsid w:val="00C6039D"/>
    <w:rsid w:val="00C61783"/>
    <w:rsid w:val="00C61B2F"/>
    <w:rsid w:val="00C623C2"/>
    <w:rsid w:val="00C628BA"/>
    <w:rsid w:val="00C62E77"/>
    <w:rsid w:val="00C65531"/>
    <w:rsid w:val="00C66A17"/>
    <w:rsid w:val="00C67E36"/>
    <w:rsid w:val="00C70A5C"/>
    <w:rsid w:val="00C7205A"/>
    <w:rsid w:val="00C72286"/>
    <w:rsid w:val="00C7345F"/>
    <w:rsid w:val="00C736FE"/>
    <w:rsid w:val="00C8064F"/>
    <w:rsid w:val="00C84803"/>
    <w:rsid w:val="00C850A5"/>
    <w:rsid w:val="00C851DB"/>
    <w:rsid w:val="00C91DCB"/>
    <w:rsid w:val="00CA1CCF"/>
    <w:rsid w:val="00CA23AD"/>
    <w:rsid w:val="00CA5E48"/>
    <w:rsid w:val="00CB23E8"/>
    <w:rsid w:val="00CB2B3F"/>
    <w:rsid w:val="00CB2FE4"/>
    <w:rsid w:val="00CB5002"/>
    <w:rsid w:val="00CB58F5"/>
    <w:rsid w:val="00CB78E8"/>
    <w:rsid w:val="00CC0078"/>
    <w:rsid w:val="00CC26E1"/>
    <w:rsid w:val="00CC45C3"/>
    <w:rsid w:val="00CC511A"/>
    <w:rsid w:val="00CC7CCE"/>
    <w:rsid w:val="00CD128D"/>
    <w:rsid w:val="00CD3633"/>
    <w:rsid w:val="00CE0165"/>
    <w:rsid w:val="00CF06C8"/>
    <w:rsid w:val="00CF187F"/>
    <w:rsid w:val="00CF1E27"/>
    <w:rsid w:val="00CF2879"/>
    <w:rsid w:val="00CF5B80"/>
    <w:rsid w:val="00CF789C"/>
    <w:rsid w:val="00CF7A86"/>
    <w:rsid w:val="00D0036D"/>
    <w:rsid w:val="00D0270C"/>
    <w:rsid w:val="00D02B3A"/>
    <w:rsid w:val="00D03684"/>
    <w:rsid w:val="00D04045"/>
    <w:rsid w:val="00D05B41"/>
    <w:rsid w:val="00D11615"/>
    <w:rsid w:val="00D12825"/>
    <w:rsid w:val="00D12893"/>
    <w:rsid w:val="00D12910"/>
    <w:rsid w:val="00D12A26"/>
    <w:rsid w:val="00D13BF2"/>
    <w:rsid w:val="00D14C5F"/>
    <w:rsid w:val="00D20C00"/>
    <w:rsid w:val="00D227B1"/>
    <w:rsid w:val="00D25D64"/>
    <w:rsid w:val="00D25E33"/>
    <w:rsid w:val="00D27C07"/>
    <w:rsid w:val="00D3443E"/>
    <w:rsid w:val="00D361A9"/>
    <w:rsid w:val="00D36B39"/>
    <w:rsid w:val="00D36F92"/>
    <w:rsid w:val="00D40D5B"/>
    <w:rsid w:val="00D44449"/>
    <w:rsid w:val="00D52BB0"/>
    <w:rsid w:val="00D54281"/>
    <w:rsid w:val="00D6195C"/>
    <w:rsid w:val="00D61A09"/>
    <w:rsid w:val="00D644A2"/>
    <w:rsid w:val="00D64CAB"/>
    <w:rsid w:val="00D6554F"/>
    <w:rsid w:val="00D6581D"/>
    <w:rsid w:val="00D6701C"/>
    <w:rsid w:val="00D74EA2"/>
    <w:rsid w:val="00D76307"/>
    <w:rsid w:val="00D768F7"/>
    <w:rsid w:val="00D77F05"/>
    <w:rsid w:val="00D813A6"/>
    <w:rsid w:val="00D81ABF"/>
    <w:rsid w:val="00D8244E"/>
    <w:rsid w:val="00D84B41"/>
    <w:rsid w:val="00D84B4A"/>
    <w:rsid w:val="00D856CB"/>
    <w:rsid w:val="00D872FE"/>
    <w:rsid w:val="00D90596"/>
    <w:rsid w:val="00D9271A"/>
    <w:rsid w:val="00D9322D"/>
    <w:rsid w:val="00D97D83"/>
    <w:rsid w:val="00DA07AC"/>
    <w:rsid w:val="00DA5591"/>
    <w:rsid w:val="00DA59B1"/>
    <w:rsid w:val="00DA7776"/>
    <w:rsid w:val="00DA7A87"/>
    <w:rsid w:val="00DB1795"/>
    <w:rsid w:val="00DB6097"/>
    <w:rsid w:val="00DB6600"/>
    <w:rsid w:val="00DB6C00"/>
    <w:rsid w:val="00DC6743"/>
    <w:rsid w:val="00DD4431"/>
    <w:rsid w:val="00DD7835"/>
    <w:rsid w:val="00DE251F"/>
    <w:rsid w:val="00DE2B47"/>
    <w:rsid w:val="00DE37B4"/>
    <w:rsid w:val="00DE38C7"/>
    <w:rsid w:val="00DF04E2"/>
    <w:rsid w:val="00E03233"/>
    <w:rsid w:val="00E041B6"/>
    <w:rsid w:val="00E05A59"/>
    <w:rsid w:val="00E06FB0"/>
    <w:rsid w:val="00E11324"/>
    <w:rsid w:val="00E12E1E"/>
    <w:rsid w:val="00E12ED9"/>
    <w:rsid w:val="00E140F0"/>
    <w:rsid w:val="00E17C61"/>
    <w:rsid w:val="00E22599"/>
    <w:rsid w:val="00E22A73"/>
    <w:rsid w:val="00E22BA8"/>
    <w:rsid w:val="00E255FA"/>
    <w:rsid w:val="00E30120"/>
    <w:rsid w:val="00E30141"/>
    <w:rsid w:val="00E3052E"/>
    <w:rsid w:val="00E31715"/>
    <w:rsid w:val="00E31B60"/>
    <w:rsid w:val="00E32895"/>
    <w:rsid w:val="00E32966"/>
    <w:rsid w:val="00E32C6B"/>
    <w:rsid w:val="00E34CA1"/>
    <w:rsid w:val="00E35534"/>
    <w:rsid w:val="00E378C0"/>
    <w:rsid w:val="00E400C1"/>
    <w:rsid w:val="00E408AE"/>
    <w:rsid w:val="00E413BD"/>
    <w:rsid w:val="00E43965"/>
    <w:rsid w:val="00E46A57"/>
    <w:rsid w:val="00E479AB"/>
    <w:rsid w:val="00E50689"/>
    <w:rsid w:val="00E53651"/>
    <w:rsid w:val="00E569DD"/>
    <w:rsid w:val="00E60B9F"/>
    <w:rsid w:val="00E60E09"/>
    <w:rsid w:val="00E61244"/>
    <w:rsid w:val="00E630D8"/>
    <w:rsid w:val="00E6355E"/>
    <w:rsid w:val="00E63DF8"/>
    <w:rsid w:val="00E66419"/>
    <w:rsid w:val="00E670B0"/>
    <w:rsid w:val="00E70A14"/>
    <w:rsid w:val="00E71104"/>
    <w:rsid w:val="00E723C4"/>
    <w:rsid w:val="00E7288C"/>
    <w:rsid w:val="00E73341"/>
    <w:rsid w:val="00E7377F"/>
    <w:rsid w:val="00E81206"/>
    <w:rsid w:val="00E8149F"/>
    <w:rsid w:val="00E81CC2"/>
    <w:rsid w:val="00E83D77"/>
    <w:rsid w:val="00E83F8D"/>
    <w:rsid w:val="00E846CF"/>
    <w:rsid w:val="00E85045"/>
    <w:rsid w:val="00E86679"/>
    <w:rsid w:val="00E873A4"/>
    <w:rsid w:val="00E90BF2"/>
    <w:rsid w:val="00E90EC2"/>
    <w:rsid w:val="00E91C24"/>
    <w:rsid w:val="00E923B6"/>
    <w:rsid w:val="00EA0637"/>
    <w:rsid w:val="00EA0709"/>
    <w:rsid w:val="00EA14BA"/>
    <w:rsid w:val="00EA321E"/>
    <w:rsid w:val="00EA3CBE"/>
    <w:rsid w:val="00EA3F2D"/>
    <w:rsid w:val="00EA6D4F"/>
    <w:rsid w:val="00EB03A2"/>
    <w:rsid w:val="00EB6678"/>
    <w:rsid w:val="00EB7AC1"/>
    <w:rsid w:val="00EC23AC"/>
    <w:rsid w:val="00EC3518"/>
    <w:rsid w:val="00EC5E79"/>
    <w:rsid w:val="00EC6E16"/>
    <w:rsid w:val="00EC7D89"/>
    <w:rsid w:val="00ED0725"/>
    <w:rsid w:val="00ED1494"/>
    <w:rsid w:val="00ED43D5"/>
    <w:rsid w:val="00ED45DF"/>
    <w:rsid w:val="00EE371D"/>
    <w:rsid w:val="00EE383F"/>
    <w:rsid w:val="00EE71C7"/>
    <w:rsid w:val="00EF45E5"/>
    <w:rsid w:val="00EF5BC0"/>
    <w:rsid w:val="00EF7A64"/>
    <w:rsid w:val="00F0143A"/>
    <w:rsid w:val="00F0224C"/>
    <w:rsid w:val="00F02803"/>
    <w:rsid w:val="00F05CD3"/>
    <w:rsid w:val="00F07F46"/>
    <w:rsid w:val="00F128E8"/>
    <w:rsid w:val="00F12F87"/>
    <w:rsid w:val="00F17270"/>
    <w:rsid w:val="00F21270"/>
    <w:rsid w:val="00F2213E"/>
    <w:rsid w:val="00F234DA"/>
    <w:rsid w:val="00F23E3A"/>
    <w:rsid w:val="00F262A8"/>
    <w:rsid w:val="00F34C8F"/>
    <w:rsid w:val="00F42E5A"/>
    <w:rsid w:val="00F51C5C"/>
    <w:rsid w:val="00F53C48"/>
    <w:rsid w:val="00F578C5"/>
    <w:rsid w:val="00F60918"/>
    <w:rsid w:val="00F67121"/>
    <w:rsid w:val="00F70A4A"/>
    <w:rsid w:val="00F71476"/>
    <w:rsid w:val="00F746B0"/>
    <w:rsid w:val="00F83214"/>
    <w:rsid w:val="00F8338A"/>
    <w:rsid w:val="00F8412B"/>
    <w:rsid w:val="00F84232"/>
    <w:rsid w:val="00F84592"/>
    <w:rsid w:val="00F84EFB"/>
    <w:rsid w:val="00F906A1"/>
    <w:rsid w:val="00F954F3"/>
    <w:rsid w:val="00F970A1"/>
    <w:rsid w:val="00F97E95"/>
    <w:rsid w:val="00FA140F"/>
    <w:rsid w:val="00FA22B6"/>
    <w:rsid w:val="00FA288E"/>
    <w:rsid w:val="00FA5397"/>
    <w:rsid w:val="00FB0B31"/>
    <w:rsid w:val="00FB24F0"/>
    <w:rsid w:val="00FB5629"/>
    <w:rsid w:val="00FB59F1"/>
    <w:rsid w:val="00FC1F76"/>
    <w:rsid w:val="00FC28C2"/>
    <w:rsid w:val="00FC36A3"/>
    <w:rsid w:val="00FD183C"/>
    <w:rsid w:val="00FD1AC2"/>
    <w:rsid w:val="00FD26F9"/>
    <w:rsid w:val="00FD2DE4"/>
    <w:rsid w:val="00FD2EFC"/>
    <w:rsid w:val="00FD5FE7"/>
    <w:rsid w:val="00FD75BD"/>
    <w:rsid w:val="00FE1401"/>
    <w:rsid w:val="00FE1C94"/>
    <w:rsid w:val="00FE5D67"/>
    <w:rsid w:val="00FE75AA"/>
    <w:rsid w:val="00FE7CF8"/>
    <w:rsid w:val="00FF5201"/>
    <w:rsid w:val="00FF5361"/>
    <w:rsid w:val="00FF62CC"/>
    <w:rsid w:val="00FF7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7E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0EA"/>
    <w:rPr>
      <w:rFonts w:ascii="Calibri" w:eastAsia="Times New Roman" w:hAnsi="Calibri" w:cs="Times New Roman"/>
      <w:sz w:val="21"/>
      <w:szCs w:val="24"/>
    </w:rPr>
  </w:style>
  <w:style w:type="paragraph" w:styleId="Heading1">
    <w:name w:val="heading 1"/>
    <w:basedOn w:val="Normal"/>
    <w:next w:val="Normal"/>
    <w:link w:val="Heading1Char"/>
    <w:qFormat/>
    <w:rsid w:val="003419C6"/>
    <w:pPr>
      <w:keepNext/>
      <w:keepLines/>
      <w:numPr>
        <w:ilvl w:val="1"/>
        <w:numId w:val="63"/>
      </w:numPr>
      <w:spacing w:before="360" w:after="240" w:line="216" w:lineRule="auto"/>
      <w:ind w:left="972"/>
      <w:outlineLvl w:val="0"/>
    </w:pPr>
    <w:rPr>
      <w:rFonts w:eastAsiaTheme="majorEastAsia" w:cstheme="majorBidi"/>
      <w:color w:val="000000" w:themeColor="text1"/>
      <w:sz w:val="28"/>
      <w:szCs w:val="30"/>
    </w:rPr>
  </w:style>
  <w:style w:type="paragraph" w:styleId="Heading2">
    <w:name w:val="heading 2"/>
    <w:basedOn w:val="Normal"/>
    <w:next w:val="Normal"/>
    <w:link w:val="Heading2Char"/>
    <w:uiPriority w:val="9"/>
    <w:unhideWhenUsed/>
    <w:qFormat/>
    <w:rsid w:val="00320085"/>
    <w:pPr>
      <w:keepNext/>
      <w:keepLines/>
      <w:spacing w:before="240" w:after="120"/>
      <w:outlineLvl w:val="1"/>
    </w:pPr>
    <w:rPr>
      <w:rFonts w:asciiTheme="minorHAnsi" w:eastAsiaTheme="majorEastAsia" w:hAnsiTheme="minorHAnsi" w:cstheme="minorHAnsi"/>
      <w:b/>
      <w:bCs/>
      <w:sz w:val="36"/>
      <w:szCs w:val="26"/>
    </w:rPr>
  </w:style>
  <w:style w:type="paragraph" w:styleId="Heading3">
    <w:name w:val="heading 3"/>
    <w:basedOn w:val="Normal"/>
    <w:next w:val="Normal"/>
    <w:link w:val="Heading3Char"/>
    <w:uiPriority w:val="9"/>
    <w:unhideWhenUsed/>
    <w:rsid w:val="00156A60"/>
    <w:pPr>
      <w:keepNext/>
      <w:keepLines/>
      <w:numPr>
        <w:ilvl w:val="2"/>
        <w:numId w:val="2"/>
      </w:numPr>
      <w:spacing w:before="240" w:after="120"/>
      <w:outlineLvl w:val="2"/>
    </w:pPr>
    <w:rPr>
      <w:rFonts w:ascii="Calibri Light" w:eastAsiaTheme="majorEastAsia" w:hAnsi="Calibri Light" w:cstheme="majorBidi"/>
      <w:color w:val="BC1D43"/>
      <w:szCs w:val="22"/>
      <w:lang w:val="en-GB"/>
    </w:rPr>
  </w:style>
  <w:style w:type="paragraph" w:styleId="Heading4">
    <w:name w:val="heading 4"/>
    <w:basedOn w:val="Normal"/>
    <w:next w:val="Normal"/>
    <w:link w:val="Heading4Char"/>
    <w:uiPriority w:val="9"/>
    <w:unhideWhenUsed/>
    <w:rsid w:val="00156A60"/>
    <w:pPr>
      <w:keepNext/>
      <w:keepLines/>
      <w:numPr>
        <w:ilvl w:val="3"/>
        <w:numId w:val="2"/>
      </w:numPr>
      <w:spacing w:before="200" w:line="276" w:lineRule="auto"/>
      <w:outlineLvl w:val="3"/>
    </w:pPr>
    <w:rPr>
      <w:rFonts w:ascii="Arial" w:eastAsiaTheme="majorEastAsia" w:hAnsi="Arial" w:cstheme="majorBidi"/>
      <w:b/>
      <w:bCs/>
      <w:iCs/>
      <w:color w:val="002060"/>
      <w:sz w:val="22"/>
      <w:szCs w:val="22"/>
      <w:lang w:eastAsia="en-AU"/>
    </w:rPr>
  </w:style>
  <w:style w:type="paragraph" w:styleId="Heading5">
    <w:name w:val="heading 5"/>
    <w:aliases w:val="h5"/>
    <w:basedOn w:val="Normal"/>
    <w:next w:val="Normal"/>
    <w:link w:val="Heading5Char"/>
    <w:uiPriority w:val="9"/>
    <w:unhideWhenUsed/>
    <w:rsid w:val="00156A60"/>
    <w:pPr>
      <w:keepNext/>
      <w:keepLines/>
      <w:numPr>
        <w:ilvl w:val="4"/>
        <w:numId w:val="2"/>
      </w:numPr>
      <w:spacing w:before="200" w:line="276" w:lineRule="auto"/>
      <w:outlineLvl w:val="4"/>
    </w:pPr>
    <w:rPr>
      <w:rFonts w:asciiTheme="majorHAnsi" w:eastAsiaTheme="majorEastAsia" w:hAnsiTheme="majorHAnsi" w:cstheme="majorBidi"/>
      <w:color w:val="1F3763" w:themeColor="accent1" w:themeShade="7F"/>
      <w:sz w:val="22"/>
      <w:szCs w:val="22"/>
      <w:lang w:eastAsia="en-AU"/>
    </w:rPr>
  </w:style>
  <w:style w:type="paragraph" w:styleId="Heading6">
    <w:name w:val="heading 6"/>
    <w:basedOn w:val="Normal"/>
    <w:next w:val="Normal"/>
    <w:link w:val="Heading6Char"/>
    <w:uiPriority w:val="9"/>
    <w:unhideWhenUsed/>
    <w:rsid w:val="00156A60"/>
    <w:pPr>
      <w:keepNext/>
      <w:keepLines/>
      <w:numPr>
        <w:ilvl w:val="5"/>
        <w:numId w:val="2"/>
      </w:numPr>
      <w:spacing w:before="200" w:line="276" w:lineRule="auto"/>
      <w:outlineLvl w:val="5"/>
    </w:pPr>
    <w:rPr>
      <w:rFonts w:asciiTheme="majorHAnsi" w:eastAsiaTheme="majorEastAsia" w:hAnsiTheme="majorHAnsi" w:cstheme="majorBidi"/>
      <w:i/>
      <w:iCs/>
      <w:color w:val="1F3763" w:themeColor="accent1" w:themeShade="7F"/>
      <w:sz w:val="22"/>
      <w:szCs w:val="22"/>
      <w:lang w:eastAsia="en-AU"/>
    </w:rPr>
  </w:style>
  <w:style w:type="paragraph" w:styleId="Heading7">
    <w:name w:val="heading 7"/>
    <w:basedOn w:val="Normal"/>
    <w:next w:val="Normal"/>
    <w:link w:val="Heading7Char"/>
    <w:uiPriority w:val="9"/>
    <w:unhideWhenUsed/>
    <w:rsid w:val="00156A60"/>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sz w:val="22"/>
      <w:szCs w:val="22"/>
      <w:lang w:eastAsia="en-AU"/>
    </w:rPr>
  </w:style>
  <w:style w:type="paragraph" w:styleId="Heading8">
    <w:name w:val="heading 8"/>
    <w:basedOn w:val="Normal"/>
    <w:next w:val="Normal"/>
    <w:link w:val="Heading8Char"/>
    <w:uiPriority w:val="9"/>
    <w:unhideWhenUsed/>
    <w:rsid w:val="00156A60"/>
    <w:pPr>
      <w:keepNext/>
      <w:keepLines/>
      <w:numPr>
        <w:ilvl w:val="7"/>
        <w:numId w:val="2"/>
      </w:numPr>
      <w:spacing w:before="200" w:line="276" w:lineRule="auto"/>
      <w:outlineLvl w:val="7"/>
    </w:pPr>
    <w:rPr>
      <w:rFonts w:asciiTheme="majorHAnsi" w:eastAsiaTheme="majorEastAsia" w:hAnsiTheme="majorHAnsi" w:cstheme="majorBidi"/>
      <w:color w:val="4472C4" w:themeColor="accent1"/>
      <w:sz w:val="20"/>
      <w:szCs w:val="20"/>
      <w:lang w:eastAsia="en-AU"/>
    </w:rPr>
  </w:style>
  <w:style w:type="paragraph" w:styleId="Heading9">
    <w:name w:val="heading 9"/>
    <w:basedOn w:val="Normal"/>
    <w:next w:val="Normal"/>
    <w:link w:val="Heading9Char"/>
    <w:uiPriority w:val="9"/>
    <w:unhideWhenUsed/>
    <w:rsid w:val="00156A60"/>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9C6"/>
    <w:rPr>
      <w:rFonts w:ascii="Calibri" w:eastAsiaTheme="majorEastAsia" w:hAnsi="Calibri" w:cstheme="majorBidi"/>
      <w:color w:val="000000" w:themeColor="text1"/>
      <w:sz w:val="28"/>
      <w:szCs w:val="30"/>
    </w:rPr>
  </w:style>
  <w:style w:type="character" w:customStyle="1" w:styleId="Heading2Char">
    <w:name w:val="Heading 2 Char"/>
    <w:basedOn w:val="DefaultParagraphFont"/>
    <w:link w:val="Heading2"/>
    <w:uiPriority w:val="9"/>
    <w:rsid w:val="00320085"/>
    <w:rPr>
      <w:rFonts w:eastAsiaTheme="majorEastAsia" w:cstheme="minorHAnsi"/>
      <w:b/>
      <w:bCs/>
      <w:sz w:val="36"/>
      <w:szCs w:val="26"/>
    </w:rPr>
  </w:style>
  <w:style w:type="character" w:customStyle="1" w:styleId="Heading3Char">
    <w:name w:val="Heading 3 Char"/>
    <w:basedOn w:val="DefaultParagraphFont"/>
    <w:link w:val="Heading3"/>
    <w:uiPriority w:val="9"/>
    <w:rsid w:val="00156A60"/>
    <w:rPr>
      <w:rFonts w:ascii="Calibri Light" w:eastAsiaTheme="majorEastAsia" w:hAnsi="Calibri Light" w:cstheme="majorBidi"/>
      <w:color w:val="BC1D43"/>
      <w:sz w:val="21"/>
      <w:lang w:val="en-GB"/>
    </w:rPr>
  </w:style>
  <w:style w:type="character" w:customStyle="1" w:styleId="Heading4Char">
    <w:name w:val="Heading 4 Char"/>
    <w:basedOn w:val="DefaultParagraphFont"/>
    <w:link w:val="Heading4"/>
    <w:uiPriority w:val="9"/>
    <w:rsid w:val="00156A60"/>
    <w:rPr>
      <w:rFonts w:ascii="Arial" w:eastAsiaTheme="majorEastAsia" w:hAnsi="Arial" w:cstheme="majorBidi"/>
      <w:b/>
      <w:bCs/>
      <w:iCs/>
      <w:color w:val="002060"/>
      <w:lang w:eastAsia="en-AU"/>
    </w:rPr>
  </w:style>
  <w:style w:type="character" w:customStyle="1" w:styleId="Heading5Char">
    <w:name w:val="Heading 5 Char"/>
    <w:aliases w:val="h5 Char"/>
    <w:basedOn w:val="DefaultParagraphFont"/>
    <w:link w:val="Heading5"/>
    <w:uiPriority w:val="9"/>
    <w:rsid w:val="00156A60"/>
    <w:rPr>
      <w:rFonts w:asciiTheme="majorHAnsi" w:eastAsiaTheme="majorEastAsia" w:hAnsiTheme="majorHAnsi" w:cstheme="majorBidi"/>
      <w:color w:val="1F3763" w:themeColor="accent1" w:themeShade="7F"/>
      <w:lang w:eastAsia="en-AU"/>
    </w:rPr>
  </w:style>
  <w:style w:type="character" w:customStyle="1" w:styleId="Heading6Char">
    <w:name w:val="Heading 6 Char"/>
    <w:basedOn w:val="DefaultParagraphFont"/>
    <w:link w:val="Heading6"/>
    <w:uiPriority w:val="9"/>
    <w:rsid w:val="00156A60"/>
    <w:rPr>
      <w:rFonts w:asciiTheme="majorHAnsi" w:eastAsiaTheme="majorEastAsia" w:hAnsiTheme="majorHAnsi" w:cstheme="majorBidi"/>
      <w:i/>
      <w:iCs/>
      <w:color w:val="1F3763" w:themeColor="accent1" w:themeShade="7F"/>
      <w:lang w:eastAsia="en-AU"/>
    </w:rPr>
  </w:style>
  <w:style w:type="character" w:customStyle="1" w:styleId="Heading7Char">
    <w:name w:val="Heading 7 Char"/>
    <w:basedOn w:val="DefaultParagraphFont"/>
    <w:link w:val="Heading7"/>
    <w:uiPriority w:val="9"/>
    <w:rsid w:val="00156A60"/>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rsid w:val="00156A60"/>
    <w:rPr>
      <w:rFonts w:asciiTheme="majorHAnsi" w:eastAsiaTheme="majorEastAsia" w:hAnsiTheme="majorHAnsi" w:cstheme="majorBidi"/>
      <w:color w:val="4472C4" w:themeColor="accent1"/>
      <w:sz w:val="20"/>
      <w:szCs w:val="20"/>
      <w:lang w:eastAsia="en-AU"/>
    </w:rPr>
  </w:style>
  <w:style w:type="character" w:customStyle="1" w:styleId="Heading9Char">
    <w:name w:val="Heading 9 Char"/>
    <w:basedOn w:val="DefaultParagraphFont"/>
    <w:link w:val="Heading9"/>
    <w:uiPriority w:val="9"/>
    <w:rsid w:val="00156A60"/>
    <w:rPr>
      <w:rFonts w:asciiTheme="majorHAnsi" w:eastAsiaTheme="majorEastAsia" w:hAnsiTheme="majorHAnsi" w:cstheme="majorBidi"/>
      <w:i/>
      <w:iCs/>
      <w:color w:val="404040" w:themeColor="text1" w:themeTint="BF"/>
      <w:sz w:val="20"/>
      <w:szCs w:val="20"/>
      <w:lang w:eastAsia="en-AU"/>
    </w:rPr>
  </w:style>
  <w:style w:type="paragraph" w:styleId="Title">
    <w:name w:val="Title"/>
    <w:basedOn w:val="Normal"/>
    <w:next w:val="Normal"/>
    <w:link w:val="TitleChar"/>
    <w:uiPriority w:val="10"/>
    <w:qFormat/>
    <w:rsid w:val="001D50EA"/>
    <w:pPr>
      <w:spacing w:after="240"/>
      <w:contextualSpacing/>
    </w:pPr>
    <w:rPr>
      <w:rFonts w:asciiTheme="majorHAnsi" w:eastAsiaTheme="majorEastAsia" w:hAnsiTheme="majorHAnsi" w:cstheme="majorBidi"/>
      <w:b/>
      <w:caps/>
      <w:color w:val="000000" w:themeColor="text1"/>
      <w:kern w:val="28"/>
      <w:sz w:val="52"/>
      <w:szCs w:val="56"/>
    </w:rPr>
  </w:style>
  <w:style w:type="character" w:customStyle="1" w:styleId="TitleChar">
    <w:name w:val="Title Char"/>
    <w:basedOn w:val="DefaultParagraphFont"/>
    <w:link w:val="Title"/>
    <w:uiPriority w:val="10"/>
    <w:rsid w:val="001D50EA"/>
    <w:rPr>
      <w:rFonts w:asciiTheme="majorHAnsi" w:eastAsiaTheme="majorEastAsia" w:hAnsiTheme="majorHAnsi" w:cstheme="majorBidi"/>
      <w:b/>
      <w:caps/>
      <w:color w:val="000000" w:themeColor="text1"/>
      <w:kern w:val="28"/>
      <w:sz w:val="52"/>
      <w:szCs w:val="56"/>
    </w:rPr>
  </w:style>
  <w:style w:type="paragraph" w:styleId="Subtitle">
    <w:name w:val="Subtitle"/>
    <w:basedOn w:val="Normal"/>
    <w:next w:val="Normal"/>
    <w:link w:val="SubtitleChar"/>
    <w:uiPriority w:val="11"/>
    <w:qFormat/>
    <w:rsid w:val="001D50EA"/>
    <w:pPr>
      <w:spacing w:line="276" w:lineRule="auto"/>
    </w:pPr>
    <w:rPr>
      <w:rFonts w:asciiTheme="majorHAnsi" w:eastAsiaTheme="minorEastAsia" w:hAnsiTheme="majorHAnsi"/>
      <w:b/>
      <w:color w:val="000000" w:themeColor="text1"/>
      <w:sz w:val="36"/>
      <w:szCs w:val="21"/>
    </w:rPr>
  </w:style>
  <w:style w:type="character" w:customStyle="1" w:styleId="SubtitleChar">
    <w:name w:val="Subtitle Char"/>
    <w:basedOn w:val="DefaultParagraphFont"/>
    <w:link w:val="Subtitle"/>
    <w:uiPriority w:val="11"/>
    <w:rsid w:val="001D50EA"/>
    <w:rPr>
      <w:rFonts w:asciiTheme="majorHAnsi" w:eastAsiaTheme="minorEastAsia" w:hAnsiTheme="majorHAnsi" w:cs="Times New Roman"/>
      <w:b/>
      <w:color w:val="000000" w:themeColor="text1"/>
      <w:sz w:val="36"/>
      <w:szCs w:val="21"/>
    </w:rPr>
  </w:style>
  <w:style w:type="paragraph" w:styleId="Date">
    <w:name w:val="Date"/>
    <w:basedOn w:val="Normal"/>
    <w:next w:val="Normal"/>
    <w:link w:val="DateChar"/>
    <w:uiPriority w:val="99"/>
    <w:rsid w:val="001D50EA"/>
    <w:pPr>
      <w:spacing w:after="210" w:line="276" w:lineRule="auto"/>
    </w:pPr>
    <w:rPr>
      <w:color w:val="000000" w:themeColor="text1"/>
      <w:sz w:val="28"/>
      <w:szCs w:val="21"/>
    </w:rPr>
  </w:style>
  <w:style w:type="character" w:customStyle="1" w:styleId="DateChar">
    <w:name w:val="Date Char"/>
    <w:basedOn w:val="DefaultParagraphFont"/>
    <w:link w:val="Date"/>
    <w:uiPriority w:val="99"/>
    <w:rsid w:val="001D50EA"/>
    <w:rPr>
      <w:rFonts w:ascii="Calibri" w:eastAsia="Times New Roman" w:hAnsi="Calibri" w:cs="Times New Roman"/>
      <w:color w:val="000000" w:themeColor="text1"/>
      <w:sz w:val="28"/>
      <w:szCs w:val="21"/>
    </w:rPr>
  </w:style>
  <w:style w:type="table" w:customStyle="1" w:styleId="CHTable2">
    <w:name w:val="CH Table 2"/>
    <w:basedOn w:val="TableNormal"/>
    <w:uiPriority w:val="99"/>
    <w:rsid w:val="001D50EA"/>
    <w:pPr>
      <w:spacing w:before="100" w:after="100" w:line="240" w:lineRule="auto"/>
    </w:pPr>
    <w:rPr>
      <w:rFonts w:cs="Times New Roman"/>
      <w:color w:val="222222"/>
      <w:sz w:val="20"/>
      <w:szCs w:val="21"/>
    </w:rPr>
    <w:tblPr>
      <w:tblStyleRowBandSize w:val="1"/>
      <w:tblStyleColBandSize w:val="1"/>
      <w:tblBorders>
        <w:insideH w:val="single" w:sz="4" w:space="0" w:color="CBC3BB"/>
        <w:insideV w:val="single" w:sz="4" w:space="0" w:color="CBC3BB"/>
      </w:tblBorders>
    </w:tblPr>
    <w:trPr>
      <w:cantSplit/>
    </w:trPr>
    <w:tblStylePr w:type="firstRow">
      <w:rPr>
        <w:b/>
        <w:color w:val="FFFFFF"/>
        <w:sz w:val="24"/>
      </w:rPr>
      <w:tblPr/>
      <w:trPr>
        <w:tblHeader/>
      </w:trPr>
      <w:tcPr>
        <w:shd w:val="clear" w:color="auto" w:fill="E26E00"/>
      </w:tcPr>
    </w:tblStylePr>
    <w:tblStylePr w:type="firstCol">
      <w:pPr>
        <w:wordWrap/>
        <w:jc w:val="left"/>
      </w:pPr>
      <w:rPr>
        <w:color w:val="FFFFFF"/>
        <w:sz w:val="24"/>
      </w:rPr>
      <w:tblPr/>
      <w:tcPr>
        <w:tcBorders>
          <w:top w:val="nil"/>
          <w:left w:val="nil"/>
          <w:bottom w:val="nil"/>
          <w:right w:val="nil"/>
          <w:insideH w:val="nil"/>
          <w:insideV w:val="nil"/>
          <w:tl2br w:val="nil"/>
          <w:tr2bl w:val="nil"/>
        </w:tcBorders>
        <w:shd w:val="clear" w:color="auto" w:fill="E26E00"/>
      </w:tcPr>
    </w:tblStylePr>
  </w:style>
  <w:style w:type="character" w:styleId="Hyperlink">
    <w:name w:val="Hyperlink"/>
    <w:basedOn w:val="DefaultParagraphFont"/>
    <w:uiPriority w:val="99"/>
    <w:unhideWhenUsed/>
    <w:rsid w:val="001D50EA"/>
    <w:rPr>
      <w:color w:val="0563C1" w:themeColor="hyperlink"/>
      <w:u w:val="single"/>
    </w:rPr>
  </w:style>
  <w:style w:type="paragraph" w:customStyle="1" w:styleId="SectionHeading">
    <w:name w:val="Section Heading"/>
    <w:basedOn w:val="Normal"/>
    <w:link w:val="SectionHeadingChar"/>
    <w:qFormat/>
    <w:rsid w:val="001D50EA"/>
    <w:pPr>
      <w:keepNext/>
      <w:keepLines/>
      <w:spacing w:after="360"/>
    </w:pPr>
    <w:rPr>
      <w:rFonts w:ascii="Franklin Gothic Book" w:eastAsia="Franklin Gothic Medium" w:hAnsi="Franklin Gothic Book"/>
      <w:color w:val="3B3838" w:themeColor="background2" w:themeShade="40"/>
      <w:sz w:val="36"/>
      <w:szCs w:val="32"/>
    </w:rPr>
  </w:style>
  <w:style w:type="character" w:customStyle="1" w:styleId="SectionHeadingChar">
    <w:name w:val="Section Heading Char"/>
    <w:basedOn w:val="DefaultParagraphFont"/>
    <w:link w:val="SectionHeading"/>
    <w:rsid w:val="001D50EA"/>
    <w:rPr>
      <w:rFonts w:ascii="Franklin Gothic Book" w:eastAsia="Franklin Gothic Medium" w:hAnsi="Franklin Gothic Book" w:cs="Times New Roman"/>
      <w:color w:val="3B3838" w:themeColor="background2" w:themeShade="40"/>
      <w:sz w:val="36"/>
      <w:szCs w:val="32"/>
    </w:rPr>
  </w:style>
  <w:style w:type="table" w:customStyle="1" w:styleId="TableGridLight1">
    <w:name w:val="Table Grid Light1"/>
    <w:basedOn w:val="TableNormal"/>
    <w:uiPriority w:val="40"/>
    <w:rsid w:val="001D50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aliases w:val="DPS Table Grid"/>
    <w:basedOn w:val="TableNormal"/>
    <w:uiPriority w:val="39"/>
    <w:rsid w:val="00A34196"/>
    <w:pPr>
      <w:spacing w:after="0" w:line="240" w:lineRule="auto"/>
      <w:jc w:val="both"/>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L,Recommendation,CV text,Table text,Colorful List - Accent 11,COOP,Primary Bullet List,F5 List Paragraph,Dot pt,List Paragraph111,Medium Grid 1 - Accent 21,Numbered Paragraph,List Paragraph2,Bulleted Para"/>
    <w:basedOn w:val="Normal"/>
    <w:link w:val="ListParagraphChar"/>
    <w:uiPriority w:val="34"/>
    <w:qFormat/>
    <w:rsid w:val="00693E81"/>
    <w:pPr>
      <w:ind w:left="720" w:firstLine="360"/>
      <w:contextualSpacing/>
    </w:pPr>
    <w:rPr>
      <w:rFonts w:asciiTheme="minorHAnsi" w:eastAsiaTheme="minorEastAsia" w:hAnsiTheme="minorHAnsi" w:cstheme="minorBidi"/>
      <w:sz w:val="22"/>
      <w:szCs w:val="22"/>
      <w:lang w:val="en-US" w:eastAsia="ja-JP"/>
    </w:rPr>
  </w:style>
  <w:style w:type="character" w:customStyle="1" w:styleId="ListParagraphChar">
    <w:name w:val="List Paragraph Char"/>
    <w:aliases w:val="List Paragraph1 Char,List Paragraph11 Char,L Char,Recommendation Char,CV text Char,Table text Char,Colorful List - Accent 11 Char,COOP Char,Primary Bullet List Char,F5 List Paragraph Char,Dot pt Char,List Paragraph111 Char"/>
    <w:link w:val="ListParagraph"/>
    <w:uiPriority w:val="34"/>
    <w:qFormat/>
    <w:locked/>
    <w:rsid w:val="00693E81"/>
    <w:rPr>
      <w:rFonts w:eastAsiaTheme="minorEastAsia"/>
      <w:lang w:val="en-US" w:eastAsia="ja-JP"/>
    </w:rPr>
  </w:style>
  <w:style w:type="paragraph" w:styleId="FootnoteText">
    <w:name w:val="footnote text"/>
    <w:aliases w:val="Footnote,FOOTNOTES,fn,single space,Footnote Text 1,Footnote Text Char1,Footnote Text Char Char,Footnote Text Char Char Char,Char,ALTS FOOTNOTE,Fußnotentext arial,Footnote Text1 Char,Footnote Text2,ft,ADB,Footnote Text Char1 Char1,Geneva 9"/>
    <w:basedOn w:val="Normal"/>
    <w:link w:val="FootnoteTextChar"/>
    <w:uiPriority w:val="99"/>
    <w:unhideWhenUsed/>
    <w:qFormat/>
    <w:rsid w:val="00693E81"/>
    <w:pPr>
      <w:jc w:val="both"/>
    </w:pPr>
    <w:rPr>
      <w:rFonts w:asciiTheme="minorHAnsi" w:eastAsiaTheme="minorHAnsi" w:hAnsiTheme="minorHAnsi" w:cstheme="minorBidi"/>
      <w:sz w:val="18"/>
    </w:rPr>
  </w:style>
  <w:style w:type="character" w:customStyle="1" w:styleId="FootnoteTextChar">
    <w:name w:val="Footnote Text Char"/>
    <w:aliases w:val="Footnote Char,FOOTNOTES Char,fn Char,single space Char,Footnote Text 1 Char,Footnote Text Char1 Char,Footnote Text Char Char Char1,Footnote Text Char Char Char Char,Char Char,ALTS FOOTNOTE Char,Fußnotentext arial Char,ft Char,ADB Char"/>
    <w:basedOn w:val="DefaultParagraphFont"/>
    <w:link w:val="FootnoteText"/>
    <w:uiPriority w:val="99"/>
    <w:rsid w:val="00693E81"/>
    <w:rPr>
      <w:sz w:val="18"/>
      <w:szCs w:val="24"/>
    </w:rPr>
  </w:style>
  <w:style w:type="character" w:styleId="FootnoteReference">
    <w:name w:val="footnote reference"/>
    <w:aliases w:val="16 Point,Superscript 6 Point,Ref,de nota al pie,ftref, Car Car Char Car Char Car Car Char Car Char Char, Car Car Car Car Car Car Car Car Char Car Car Char Car Car Car Char Car Char Char Char,SUPERS,Footnote Reference Number, BVI fnr"/>
    <w:basedOn w:val="DefaultParagraphFont"/>
    <w:uiPriority w:val="99"/>
    <w:unhideWhenUsed/>
    <w:rsid w:val="00693E81"/>
    <w:rPr>
      <w:vertAlign w:val="superscript"/>
    </w:rPr>
  </w:style>
  <w:style w:type="paragraph" w:styleId="BodyText">
    <w:name w:val="Body Text"/>
    <w:basedOn w:val="Normal"/>
    <w:link w:val="BodyTextChar"/>
    <w:uiPriority w:val="99"/>
    <w:unhideWhenUsed/>
    <w:qFormat/>
    <w:rsid w:val="00693E81"/>
    <w:pPr>
      <w:spacing w:after="200"/>
      <w:jc w:val="both"/>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693E81"/>
  </w:style>
  <w:style w:type="paragraph" w:customStyle="1" w:styleId="Bullets">
    <w:name w:val="Bullets"/>
    <w:basedOn w:val="Normal"/>
    <w:next w:val="Normal"/>
    <w:link w:val="BulletsChar"/>
    <w:qFormat/>
    <w:rsid w:val="00693E81"/>
    <w:pPr>
      <w:numPr>
        <w:numId w:val="1"/>
      </w:numPr>
      <w:spacing w:after="120"/>
    </w:pPr>
    <w:rPr>
      <w:rFonts w:asciiTheme="minorHAnsi" w:eastAsiaTheme="minorHAnsi" w:hAnsiTheme="minorHAnsi" w:cstheme="minorBidi"/>
      <w:sz w:val="20"/>
      <w:szCs w:val="22"/>
    </w:rPr>
  </w:style>
  <w:style w:type="character" w:customStyle="1" w:styleId="BulletsChar">
    <w:name w:val="Bullets Char"/>
    <w:basedOn w:val="DefaultParagraphFont"/>
    <w:link w:val="Bullets"/>
    <w:locked/>
    <w:rsid w:val="00693E81"/>
    <w:rPr>
      <w:sz w:val="20"/>
    </w:rPr>
  </w:style>
  <w:style w:type="paragraph" w:styleId="CommentText">
    <w:name w:val="annotation text"/>
    <w:basedOn w:val="Normal"/>
    <w:link w:val="CommentTextChar"/>
    <w:uiPriority w:val="99"/>
    <w:unhideWhenUsed/>
    <w:rsid w:val="00693E81"/>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93E81"/>
    <w:rPr>
      <w:sz w:val="20"/>
      <w:szCs w:val="20"/>
    </w:rPr>
  </w:style>
  <w:style w:type="paragraph" w:styleId="TOCHeading">
    <w:name w:val="TOC Heading"/>
    <w:basedOn w:val="Heading1"/>
    <w:next w:val="Normal"/>
    <w:uiPriority w:val="39"/>
    <w:unhideWhenUsed/>
    <w:qFormat/>
    <w:rsid w:val="00075A6D"/>
    <w:pPr>
      <w:numPr>
        <w:numId w:val="0"/>
      </w:numPr>
      <w:spacing w:before="240" w:after="0" w:line="259" w:lineRule="auto"/>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rsid w:val="00E22BA8"/>
    <w:pPr>
      <w:tabs>
        <w:tab w:val="right" w:pos="9736"/>
      </w:tabs>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F67121"/>
    <w:pPr>
      <w:tabs>
        <w:tab w:val="left" w:pos="630"/>
        <w:tab w:val="right" w:pos="9736"/>
      </w:tabs>
      <w:spacing w:after="120" w:line="240" w:lineRule="auto"/>
    </w:pPr>
    <w:rPr>
      <w:rFonts w:eastAsiaTheme="majorEastAsia" w:cs="Calibri"/>
      <w:b/>
      <w:bCs/>
      <w:noProof/>
      <w:sz w:val="20"/>
      <w:szCs w:val="20"/>
    </w:rPr>
  </w:style>
  <w:style w:type="paragraph" w:styleId="NoSpacing">
    <w:name w:val="No Spacing"/>
    <w:link w:val="NoSpacingChar"/>
    <w:uiPriority w:val="1"/>
    <w:qFormat/>
    <w:rsid w:val="00614C9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14C93"/>
    <w:rPr>
      <w:rFonts w:eastAsiaTheme="minorEastAsia"/>
      <w:lang w:val="en-US"/>
    </w:rPr>
  </w:style>
  <w:style w:type="paragraph" w:styleId="Footer">
    <w:name w:val="footer"/>
    <w:basedOn w:val="Normal"/>
    <w:link w:val="FooterChar"/>
    <w:uiPriority w:val="99"/>
    <w:unhideWhenUsed/>
    <w:rsid w:val="00614C9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14C93"/>
  </w:style>
  <w:style w:type="paragraph" w:styleId="Header">
    <w:name w:val="header"/>
    <w:basedOn w:val="Normal"/>
    <w:link w:val="HeaderChar"/>
    <w:uiPriority w:val="99"/>
    <w:unhideWhenUsed/>
    <w:rsid w:val="00614C93"/>
    <w:pPr>
      <w:tabs>
        <w:tab w:val="center" w:pos="4513"/>
        <w:tab w:val="right" w:pos="9026"/>
      </w:tabs>
      <w:jc w:val="both"/>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14C93"/>
  </w:style>
  <w:style w:type="paragraph" w:styleId="BalloonText">
    <w:name w:val="Balloon Text"/>
    <w:basedOn w:val="Normal"/>
    <w:link w:val="BalloonTextChar"/>
    <w:uiPriority w:val="99"/>
    <w:semiHidden/>
    <w:unhideWhenUsed/>
    <w:rsid w:val="00614C93"/>
    <w:pPr>
      <w:jc w:val="both"/>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14C93"/>
    <w:rPr>
      <w:rFonts w:ascii="Segoe UI" w:hAnsi="Segoe UI" w:cs="Segoe UI"/>
      <w:sz w:val="18"/>
      <w:szCs w:val="18"/>
    </w:rPr>
  </w:style>
  <w:style w:type="paragraph" w:customStyle="1" w:styleId="tablebullet">
    <w:name w:val="table bullet"/>
    <w:basedOn w:val="ListParagraph"/>
    <w:rsid w:val="00614C93"/>
    <w:pPr>
      <w:numPr>
        <w:numId w:val="10"/>
      </w:numPr>
      <w:ind w:left="227" w:hanging="227"/>
      <w:contextualSpacing w:val="0"/>
    </w:pPr>
    <w:rPr>
      <w:rFonts w:ascii="Arial" w:eastAsiaTheme="minorHAnsi" w:hAnsi="Arial" w:cs="Helvetica"/>
      <w:sz w:val="16"/>
      <w:szCs w:val="20"/>
      <w:lang w:val="en-AU" w:eastAsia="en-US"/>
    </w:rPr>
  </w:style>
  <w:style w:type="paragraph" w:styleId="Revision">
    <w:name w:val="Revision"/>
    <w:hidden/>
    <w:uiPriority w:val="99"/>
    <w:semiHidden/>
    <w:rsid w:val="00614C93"/>
    <w:pPr>
      <w:spacing w:after="0" w:line="240" w:lineRule="auto"/>
    </w:pPr>
  </w:style>
  <w:style w:type="paragraph" w:styleId="CommentSubject">
    <w:name w:val="annotation subject"/>
    <w:basedOn w:val="CommentText"/>
    <w:next w:val="CommentText"/>
    <w:link w:val="CommentSubjectChar"/>
    <w:uiPriority w:val="99"/>
    <w:semiHidden/>
    <w:unhideWhenUsed/>
    <w:rsid w:val="00614C93"/>
    <w:pPr>
      <w:spacing w:after="200"/>
      <w:jc w:val="both"/>
    </w:pPr>
    <w:rPr>
      <w:b/>
      <w:bCs/>
    </w:rPr>
  </w:style>
  <w:style w:type="character" w:customStyle="1" w:styleId="CommentSubjectChar">
    <w:name w:val="Comment Subject Char"/>
    <w:basedOn w:val="CommentTextChar"/>
    <w:link w:val="CommentSubject"/>
    <w:uiPriority w:val="99"/>
    <w:semiHidden/>
    <w:rsid w:val="00614C93"/>
    <w:rPr>
      <w:b/>
      <w:bCs/>
      <w:sz w:val="20"/>
      <w:szCs w:val="20"/>
    </w:rPr>
  </w:style>
  <w:style w:type="paragraph" w:styleId="NormalWeb">
    <w:name w:val="Normal (Web)"/>
    <w:basedOn w:val="Normal"/>
    <w:uiPriority w:val="99"/>
    <w:unhideWhenUsed/>
    <w:rsid w:val="00614C93"/>
    <w:pPr>
      <w:spacing w:before="100" w:beforeAutospacing="1" w:after="100" w:afterAutospacing="1"/>
    </w:pPr>
    <w:rPr>
      <w:rFonts w:ascii="Times New Roman" w:hAnsi="Times New Roman"/>
      <w:sz w:val="24"/>
      <w:lang w:val="en-US"/>
    </w:rPr>
  </w:style>
  <w:style w:type="paragraph" w:styleId="Caption">
    <w:name w:val="caption"/>
    <w:aliases w:val="Caption table"/>
    <w:basedOn w:val="Normal"/>
    <w:next w:val="Normal"/>
    <w:uiPriority w:val="35"/>
    <w:unhideWhenUsed/>
    <w:qFormat/>
    <w:rsid w:val="00614C93"/>
    <w:pPr>
      <w:keepNext/>
      <w:spacing w:before="360"/>
      <w:ind w:left="1134" w:hanging="1134"/>
    </w:pPr>
    <w:rPr>
      <w:rFonts w:eastAsiaTheme="minorEastAsia" w:cstheme="minorBidi"/>
      <w:b/>
      <w:color w:val="BC1D43"/>
      <w:sz w:val="18"/>
      <w:szCs w:val="18"/>
      <w:lang w:val="en-US"/>
    </w:rPr>
  </w:style>
  <w:style w:type="paragraph" w:styleId="TOC4">
    <w:name w:val="toc 4"/>
    <w:basedOn w:val="Normal"/>
    <w:next w:val="Normal"/>
    <w:autoRedefine/>
    <w:uiPriority w:val="39"/>
    <w:unhideWhenUsed/>
    <w:rsid w:val="00614C93"/>
    <w:pPr>
      <w:spacing w:after="0"/>
      <w:ind w:left="630"/>
    </w:pPr>
    <w:rPr>
      <w:rFonts w:asciiTheme="minorHAnsi" w:hAnsiTheme="minorHAnsi" w:cstheme="minorHAnsi"/>
      <w:sz w:val="20"/>
      <w:szCs w:val="20"/>
    </w:rPr>
  </w:style>
  <w:style w:type="character" w:styleId="CommentReference">
    <w:name w:val="annotation reference"/>
    <w:basedOn w:val="DefaultParagraphFont"/>
    <w:uiPriority w:val="99"/>
    <w:unhideWhenUsed/>
    <w:rsid w:val="001D736D"/>
    <w:rPr>
      <w:sz w:val="16"/>
      <w:szCs w:val="16"/>
    </w:rPr>
  </w:style>
  <w:style w:type="character" w:customStyle="1" w:styleId="UnresolvedMention1">
    <w:name w:val="Unresolved Mention1"/>
    <w:basedOn w:val="DefaultParagraphFont"/>
    <w:uiPriority w:val="99"/>
    <w:semiHidden/>
    <w:unhideWhenUsed/>
    <w:rsid w:val="00FE7CF8"/>
    <w:rPr>
      <w:color w:val="605E5C"/>
      <w:shd w:val="clear" w:color="auto" w:fill="E1DFDD"/>
    </w:rPr>
  </w:style>
  <w:style w:type="character" w:styleId="FollowedHyperlink">
    <w:name w:val="FollowedHyperlink"/>
    <w:basedOn w:val="DefaultParagraphFont"/>
    <w:uiPriority w:val="99"/>
    <w:semiHidden/>
    <w:unhideWhenUsed/>
    <w:rsid w:val="007359FA"/>
    <w:rPr>
      <w:color w:val="954F72" w:themeColor="followedHyperlink"/>
      <w:u w:val="single"/>
    </w:rPr>
  </w:style>
  <w:style w:type="paragraph" w:styleId="TOC3">
    <w:name w:val="toc 3"/>
    <w:basedOn w:val="Normal"/>
    <w:next w:val="Normal"/>
    <w:autoRedefine/>
    <w:uiPriority w:val="39"/>
    <w:unhideWhenUsed/>
    <w:rsid w:val="004F25A9"/>
    <w:pPr>
      <w:spacing w:after="0"/>
      <w:ind w:left="420"/>
    </w:pPr>
    <w:rPr>
      <w:rFonts w:asciiTheme="minorHAnsi" w:hAnsiTheme="minorHAnsi" w:cstheme="minorHAnsi"/>
      <w:sz w:val="20"/>
      <w:szCs w:val="20"/>
    </w:rPr>
  </w:style>
  <w:style w:type="paragraph" w:styleId="TOC5">
    <w:name w:val="toc 5"/>
    <w:basedOn w:val="Normal"/>
    <w:next w:val="Normal"/>
    <w:autoRedefine/>
    <w:uiPriority w:val="39"/>
    <w:unhideWhenUsed/>
    <w:rsid w:val="00DB6C00"/>
    <w:pPr>
      <w:spacing w:after="0"/>
      <w:ind w:left="840"/>
    </w:pPr>
    <w:rPr>
      <w:rFonts w:asciiTheme="minorHAnsi" w:hAnsiTheme="minorHAnsi" w:cstheme="minorHAnsi"/>
      <w:sz w:val="20"/>
      <w:szCs w:val="20"/>
    </w:rPr>
  </w:style>
  <w:style w:type="paragraph" w:styleId="TOC6">
    <w:name w:val="toc 6"/>
    <w:basedOn w:val="Normal"/>
    <w:next w:val="Normal"/>
    <w:autoRedefine/>
    <w:uiPriority w:val="39"/>
    <w:unhideWhenUsed/>
    <w:rsid w:val="00DB6C00"/>
    <w:pPr>
      <w:spacing w:after="0"/>
      <w:ind w:left="1050"/>
    </w:pPr>
    <w:rPr>
      <w:rFonts w:asciiTheme="minorHAnsi" w:hAnsiTheme="minorHAnsi" w:cstheme="minorHAnsi"/>
      <w:sz w:val="20"/>
      <w:szCs w:val="20"/>
    </w:rPr>
  </w:style>
  <w:style w:type="paragraph" w:styleId="TOC7">
    <w:name w:val="toc 7"/>
    <w:basedOn w:val="Normal"/>
    <w:next w:val="Normal"/>
    <w:autoRedefine/>
    <w:uiPriority w:val="39"/>
    <w:unhideWhenUsed/>
    <w:rsid w:val="00DB6C00"/>
    <w:pPr>
      <w:spacing w:after="0"/>
      <w:ind w:left="1260"/>
    </w:pPr>
    <w:rPr>
      <w:rFonts w:asciiTheme="minorHAnsi" w:hAnsiTheme="minorHAnsi" w:cstheme="minorHAnsi"/>
      <w:sz w:val="20"/>
      <w:szCs w:val="20"/>
    </w:rPr>
  </w:style>
  <w:style w:type="paragraph" w:styleId="TOC8">
    <w:name w:val="toc 8"/>
    <w:basedOn w:val="Normal"/>
    <w:next w:val="Normal"/>
    <w:autoRedefine/>
    <w:uiPriority w:val="39"/>
    <w:unhideWhenUsed/>
    <w:rsid w:val="00DB6C00"/>
    <w:pPr>
      <w:spacing w:after="0"/>
      <w:ind w:left="1470"/>
    </w:pPr>
    <w:rPr>
      <w:rFonts w:asciiTheme="minorHAnsi" w:hAnsiTheme="minorHAnsi" w:cstheme="minorHAnsi"/>
      <w:sz w:val="20"/>
      <w:szCs w:val="20"/>
    </w:rPr>
  </w:style>
  <w:style w:type="paragraph" w:styleId="TOC9">
    <w:name w:val="toc 9"/>
    <w:basedOn w:val="Normal"/>
    <w:next w:val="Normal"/>
    <w:autoRedefine/>
    <w:uiPriority w:val="39"/>
    <w:unhideWhenUsed/>
    <w:rsid w:val="00DB6C00"/>
    <w:pPr>
      <w:spacing w:after="0"/>
      <w:ind w:left="1680"/>
    </w:pPr>
    <w:rPr>
      <w:rFonts w:asciiTheme="minorHAnsi" w:hAnsiTheme="minorHAnsi" w:cstheme="minorHAnsi"/>
      <w:sz w:val="20"/>
      <w:szCs w:val="20"/>
    </w:rPr>
  </w:style>
  <w:style w:type="character" w:styleId="Emphasis">
    <w:name w:val="Emphasis"/>
    <w:basedOn w:val="DefaultParagraphFont"/>
    <w:uiPriority w:val="20"/>
    <w:qFormat/>
    <w:rsid w:val="00535303"/>
    <w:rPr>
      <w:i/>
      <w:iCs/>
    </w:rPr>
  </w:style>
  <w:style w:type="character" w:customStyle="1" w:styleId="UnresolvedMention2">
    <w:name w:val="Unresolved Mention2"/>
    <w:basedOn w:val="DefaultParagraphFont"/>
    <w:uiPriority w:val="99"/>
    <w:semiHidden/>
    <w:unhideWhenUsed/>
    <w:rsid w:val="00FF5361"/>
    <w:rPr>
      <w:color w:val="605E5C"/>
      <w:shd w:val="clear" w:color="auto" w:fill="E1DFDD"/>
    </w:rPr>
  </w:style>
  <w:style w:type="table" w:customStyle="1" w:styleId="TableGridLight2">
    <w:name w:val="Table Grid Light2"/>
    <w:basedOn w:val="TableNormal"/>
    <w:uiPriority w:val="40"/>
    <w:rsid w:val="000C66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EF5B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5BC0"/>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EF5BC0"/>
    <w:rPr>
      <w:vertAlign w:val="superscript"/>
    </w:rPr>
  </w:style>
  <w:style w:type="character" w:customStyle="1" w:styleId="UnresolvedMention3">
    <w:name w:val="Unresolved Mention3"/>
    <w:basedOn w:val="DefaultParagraphFont"/>
    <w:uiPriority w:val="99"/>
    <w:semiHidden/>
    <w:unhideWhenUsed/>
    <w:rsid w:val="008467FB"/>
    <w:rPr>
      <w:color w:val="605E5C"/>
      <w:shd w:val="clear" w:color="auto" w:fill="E1DFDD"/>
    </w:rPr>
  </w:style>
  <w:style w:type="character" w:customStyle="1" w:styleId="normaltextrun">
    <w:name w:val="normaltextrun"/>
    <w:basedOn w:val="DefaultParagraphFont"/>
    <w:rsid w:val="00802B69"/>
  </w:style>
  <w:style w:type="character" w:customStyle="1" w:styleId="eop">
    <w:name w:val="eop"/>
    <w:basedOn w:val="DefaultParagraphFont"/>
    <w:rsid w:val="00802B69"/>
  </w:style>
  <w:style w:type="table" w:styleId="PlainTable5">
    <w:name w:val="Plain Table 5"/>
    <w:basedOn w:val="TableNormal"/>
    <w:uiPriority w:val="45"/>
    <w:rsid w:val="001D72A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1D72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8703">
      <w:bodyDiv w:val="1"/>
      <w:marLeft w:val="0"/>
      <w:marRight w:val="0"/>
      <w:marTop w:val="0"/>
      <w:marBottom w:val="0"/>
      <w:divBdr>
        <w:top w:val="none" w:sz="0" w:space="0" w:color="auto"/>
        <w:left w:val="none" w:sz="0" w:space="0" w:color="auto"/>
        <w:bottom w:val="none" w:sz="0" w:space="0" w:color="auto"/>
        <w:right w:val="none" w:sz="0" w:space="0" w:color="auto"/>
      </w:divBdr>
    </w:div>
    <w:div w:id="31225163">
      <w:bodyDiv w:val="1"/>
      <w:marLeft w:val="0"/>
      <w:marRight w:val="0"/>
      <w:marTop w:val="0"/>
      <w:marBottom w:val="0"/>
      <w:divBdr>
        <w:top w:val="none" w:sz="0" w:space="0" w:color="auto"/>
        <w:left w:val="none" w:sz="0" w:space="0" w:color="auto"/>
        <w:bottom w:val="none" w:sz="0" w:space="0" w:color="auto"/>
        <w:right w:val="none" w:sz="0" w:space="0" w:color="auto"/>
      </w:divBdr>
    </w:div>
    <w:div w:id="41953288">
      <w:bodyDiv w:val="1"/>
      <w:marLeft w:val="0"/>
      <w:marRight w:val="0"/>
      <w:marTop w:val="0"/>
      <w:marBottom w:val="0"/>
      <w:divBdr>
        <w:top w:val="none" w:sz="0" w:space="0" w:color="auto"/>
        <w:left w:val="none" w:sz="0" w:space="0" w:color="auto"/>
        <w:bottom w:val="none" w:sz="0" w:space="0" w:color="auto"/>
        <w:right w:val="none" w:sz="0" w:space="0" w:color="auto"/>
      </w:divBdr>
    </w:div>
    <w:div w:id="316812913">
      <w:bodyDiv w:val="1"/>
      <w:marLeft w:val="0"/>
      <w:marRight w:val="0"/>
      <w:marTop w:val="0"/>
      <w:marBottom w:val="0"/>
      <w:divBdr>
        <w:top w:val="none" w:sz="0" w:space="0" w:color="auto"/>
        <w:left w:val="none" w:sz="0" w:space="0" w:color="auto"/>
        <w:bottom w:val="none" w:sz="0" w:space="0" w:color="auto"/>
        <w:right w:val="none" w:sz="0" w:space="0" w:color="auto"/>
      </w:divBdr>
      <w:divsChild>
        <w:div w:id="53431362">
          <w:marLeft w:val="0"/>
          <w:marRight w:val="0"/>
          <w:marTop w:val="0"/>
          <w:marBottom w:val="0"/>
          <w:divBdr>
            <w:top w:val="none" w:sz="0" w:space="0" w:color="auto"/>
            <w:left w:val="none" w:sz="0" w:space="0" w:color="auto"/>
            <w:bottom w:val="none" w:sz="0" w:space="0" w:color="auto"/>
            <w:right w:val="none" w:sz="0" w:space="0" w:color="auto"/>
          </w:divBdr>
          <w:divsChild>
            <w:div w:id="459803912">
              <w:marLeft w:val="0"/>
              <w:marRight w:val="0"/>
              <w:marTop w:val="0"/>
              <w:marBottom w:val="0"/>
              <w:divBdr>
                <w:top w:val="none" w:sz="0" w:space="0" w:color="auto"/>
                <w:left w:val="none" w:sz="0" w:space="0" w:color="auto"/>
                <w:bottom w:val="none" w:sz="0" w:space="0" w:color="auto"/>
                <w:right w:val="none" w:sz="0" w:space="0" w:color="auto"/>
              </w:divBdr>
            </w:div>
          </w:divsChild>
        </w:div>
        <w:div w:id="768351862">
          <w:marLeft w:val="0"/>
          <w:marRight w:val="0"/>
          <w:marTop w:val="0"/>
          <w:marBottom w:val="0"/>
          <w:divBdr>
            <w:top w:val="none" w:sz="0" w:space="0" w:color="auto"/>
            <w:left w:val="none" w:sz="0" w:space="0" w:color="auto"/>
            <w:bottom w:val="none" w:sz="0" w:space="0" w:color="auto"/>
            <w:right w:val="none" w:sz="0" w:space="0" w:color="auto"/>
          </w:divBdr>
          <w:divsChild>
            <w:div w:id="207954924">
              <w:marLeft w:val="0"/>
              <w:marRight w:val="0"/>
              <w:marTop w:val="0"/>
              <w:marBottom w:val="0"/>
              <w:divBdr>
                <w:top w:val="none" w:sz="0" w:space="0" w:color="auto"/>
                <w:left w:val="none" w:sz="0" w:space="0" w:color="auto"/>
                <w:bottom w:val="none" w:sz="0" w:space="0" w:color="auto"/>
                <w:right w:val="none" w:sz="0" w:space="0" w:color="auto"/>
              </w:divBdr>
            </w:div>
          </w:divsChild>
        </w:div>
        <w:div w:id="1948194666">
          <w:marLeft w:val="0"/>
          <w:marRight w:val="0"/>
          <w:marTop w:val="0"/>
          <w:marBottom w:val="0"/>
          <w:divBdr>
            <w:top w:val="none" w:sz="0" w:space="0" w:color="auto"/>
            <w:left w:val="none" w:sz="0" w:space="0" w:color="auto"/>
            <w:bottom w:val="none" w:sz="0" w:space="0" w:color="auto"/>
            <w:right w:val="none" w:sz="0" w:space="0" w:color="auto"/>
          </w:divBdr>
          <w:divsChild>
            <w:div w:id="836844518">
              <w:marLeft w:val="0"/>
              <w:marRight w:val="0"/>
              <w:marTop w:val="0"/>
              <w:marBottom w:val="0"/>
              <w:divBdr>
                <w:top w:val="none" w:sz="0" w:space="0" w:color="auto"/>
                <w:left w:val="none" w:sz="0" w:space="0" w:color="auto"/>
                <w:bottom w:val="none" w:sz="0" w:space="0" w:color="auto"/>
                <w:right w:val="none" w:sz="0" w:space="0" w:color="auto"/>
              </w:divBdr>
            </w:div>
          </w:divsChild>
        </w:div>
        <w:div w:id="30813859">
          <w:marLeft w:val="0"/>
          <w:marRight w:val="0"/>
          <w:marTop w:val="0"/>
          <w:marBottom w:val="0"/>
          <w:divBdr>
            <w:top w:val="none" w:sz="0" w:space="0" w:color="auto"/>
            <w:left w:val="none" w:sz="0" w:space="0" w:color="auto"/>
            <w:bottom w:val="none" w:sz="0" w:space="0" w:color="auto"/>
            <w:right w:val="none" w:sz="0" w:space="0" w:color="auto"/>
          </w:divBdr>
          <w:divsChild>
            <w:div w:id="1453285576">
              <w:marLeft w:val="0"/>
              <w:marRight w:val="0"/>
              <w:marTop w:val="0"/>
              <w:marBottom w:val="0"/>
              <w:divBdr>
                <w:top w:val="none" w:sz="0" w:space="0" w:color="auto"/>
                <w:left w:val="none" w:sz="0" w:space="0" w:color="auto"/>
                <w:bottom w:val="none" w:sz="0" w:space="0" w:color="auto"/>
                <w:right w:val="none" w:sz="0" w:space="0" w:color="auto"/>
              </w:divBdr>
            </w:div>
          </w:divsChild>
        </w:div>
        <w:div w:id="1834756100">
          <w:marLeft w:val="0"/>
          <w:marRight w:val="0"/>
          <w:marTop w:val="0"/>
          <w:marBottom w:val="0"/>
          <w:divBdr>
            <w:top w:val="none" w:sz="0" w:space="0" w:color="auto"/>
            <w:left w:val="none" w:sz="0" w:space="0" w:color="auto"/>
            <w:bottom w:val="none" w:sz="0" w:space="0" w:color="auto"/>
            <w:right w:val="none" w:sz="0" w:space="0" w:color="auto"/>
          </w:divBdr>
          <w:divsChild>
            <w:div w:id="903177556">
              <w:marLeft w:val="0"/>
              <w:marRight w:val="0"/>
              <w:marTop w:val="0"/>
              <w:marBottom w:val="0"/>
              <w:divBdr>
                <w:top w:val="none" w:sz="0" w:space="0" w:color="auto"/>
                <w:left w:val="none" w:sz="0" w:space="0" w:color="auto"/>
                <w:bottom w:val="none" w:sz="0" w:space="0" w:color="auto"/>
                <w:right w:val="none" w:sz="0" w:space="0" w:color="auto"/>
              </w:divBdr>
            </w:div>
          </w:divsChild>
        </w:div>
        <w:div w:id="800925416">
          <w:marLeft w:val="0"/>
          <w:marRight w:val="0"/>
          <w:marTop w:val="0"/>
          <w:marBottom w:val="0"/>
          <w:divBdr>
            <w:top w:val="none" w:sz="0" w:space="0" w:color="auto"/>
            <w:left w:val="none" w:sz="0" w:space="0" w:color="auto"/>
            <w:bottom w:val="none" w:sz="0" w:space="0" w:color="auto"/>
            <w:right w:val="none" w:sz="0" w:space="0" w:color="auto"/>
          </w:divBdr>
          <w:divsChild>
            <w:div w:id="1110781506">
              <w:marLeft w:val="0"/>
              <w:marRight w:val="0"/>
              <w:marTop w:val="0"/>
              <w:marBottom w:val="0"/>
              <w:divBdr>
                <w:top w:val="none" w:sz="0" w:space="0" w:color="auto"/>
                <w:left w:val="none" w:sz="0" w:space="0" w:color="auto"/>
                <w:bottom w:val="none" w:sz="0" w:space="0" w:color="auto"/>
                <w:right w:val="none" w:sz="0" w:space="0" w:color="auto"/>
              </w:divBdr>
            </w:div>
          </w:divsChild>
        </w:div>
        <w:div w:id="193009850">
          <w:marLeft w:val="0"/>
          <w:marRight w:val="0"/>
          <w:marTop w:val="0"/>
          <w:marBottom w:val="0"/>
          <w:divBdr>
            <w:top w:val="none" w:sz="0" w:space="0" w:color="auto"/>
            <w:left w:val="none" w:sz="0" w:space="0" w:color="auto"/>
            <w:bottom w:val="none" w:sz="0" w:space="0" w:color="auto"/>
            <w:right w:val="none" w:sz="0" w:space="0" w:color="auto"/>
          </w:divBdr>
          <w:divsChild>
            <w:div w:id="530190741">
              <w:marLeft w:val="0"/>
              <w:marRight w:val="0"/>
              <w:marTop w:val="0"/>
              <w:marBottom w:val="0"/>
              <w:divBdr>
                <w:top w:val="none" w:sz="0" w:space="0" w:color="auto"/>
                <w:left w:val="none" w:sz="0" w:space="0" w:color="auto"/>
                <w:bottom w:val="none" w:sz="0" w:space="0" w:color="auto"/>
                <w:right w:val="none" w:sz="0" w:space="0" w:color="auto"/>
              </w:divBdr>
            </w:div>
          </w:divsChild>
        </w:div>
        <w:div w:id="1369989721">
          <w:marLeft w:val="0"/>
          <w:marRight w:val="0"/>
          <w:marTop w:val="0"/>
          <w:marBottom w:val="0"/>
          <w:divBdr>
            <w:top w:val="none" w:sz="0" w:space="0" w:color="auto"/>
            <w:left w:val="none" w:sz="0" w:space="0" w:color="auto"/>
            <w:bottom w:val="none" w:sz="0" w:space="0" w:color="auto"/>
            <w:right w:val="none" w:sz="0" w:space="0" w:color="auto"/>
          </w:divBdr>
          <w:divsChild>
            <w:div w:id="370304806">
              <w:marLeft w:val="0"/>
              <w:marRight w:val="0"/>
              <w:marTop w:val="0"/>
              <w:marBottom w:val="0"/>
              <w:divBdr>
                <w:top w:val="none" w:sz="0" w:space="0" w:color="auto"/>
                <w:left w:val="none" w:sz="0" w:space="0" w:color="auto"/>
                <w:bottom w:val="none" w:sz="0" w:space="0" w:color="auto"/>
                <w:right w:val="none" w:sz="0" w:space="0" w:color="auto"/>
              </w:divBdr>
            </w:div>
          </w:divsChild>
        </w:div>
        <w:div w:id="1883782189">
          <w:marLeft w:val="0"/>
          <w:marRight w:val="0"/>
          <w:marTop w:val="0"/>
          <w:marBottom w:val="0"/>
          <w:divBdr>
            <w:top w:val="none" w:sz="0" w:space="0" w:color="auto"/>
            <w:left w:val="none" w:sz="0" w:space="0" w:color="auto"/>
            <w:bottom w:val="none" w:sz="0" w:space="0" w:color="auto"/>
            <w:right w:val="none" w:sz="0" w:space="0" w:color="auto"/>
          </w:divBdr>
          <w:divsChild>
            <w:div w:id="272832830">
              <w:marLeft w:val="0"/>
              <w:marRight w:val="0"/>
              <w:marTop w:val="0"/>
              <w:marBottom w:val="0"/>
              <w:divBdr>
                <w:top w:val="none" w:sz="0" w:space="0" w:color="auto"/>
                <w:left w:val="none" w:sz="0" w:space="0" w:color="auto"/>
                <w:bottom w:val="none" w:sz="0" w:space="0" w:color="auto"/>
                <w:right w:val="none" w:sz="0" w:space="0" w:color="auto"/>
              </w:divBdr>
            </w:div>
          </w:divsChild>
        </w:div>
        <w:div w:id="1939898175">
          <w:marLeft w:val="0"/>
          <w:marRight w:val="0"/>
          <w:marTop w:val="0"/>
          <w:marBottom w:val="0"/>
          <w:divBdr>
            <w:top w:val="none" w:sz="0" w:space="0" w:color="auto"/>
            <w:left w:val="none" w:sz="0" w:space="0" w:color="auto"/>
            <w:bottom w:val="none" w:sz="0" w:space="0" w:color="auto"/>
            <w:right w:val="none" w:sz="0" w:space="0" w:color="auto"/>
          </w:divBdr>
          <w:divsChild>
            <w:div w:id="696467280">
              <w:marLeft w:val="0"/>
              <w:marRight w:val="0"/>
              <w:marTop w:val="0"/>
              <w:marBottom w:val="0"/>
              <w:divBdr>
                <w:top w:val="none" w:sz="0" w:space="0" w:color="auto"/>
                <w:left w:val="none" w:sz="0" w:space="0" w:color="auto"/>
                <w:bottom w:val="none" w:sz="0" w:space="0" w:color="auto"/>
                <w:right w:val="none" w:sz="0" w:space="0" w:color="auto"/>
              </w:divBdr>
            </w:div>
          </w:divsChild>
        </w:div>
        <w:div w:id="1967466928">
          <w:marLeft w:val="0"/>
          <w:marRight w:val="0"/>
          <w:marTop w:val="0"/>
          <w:marBottom w:val="0"/>
          <w:divBdr>
            <w:top w:val="none" w:sz="0" w:space="0" w:color="auto"/>
            <w:left w:val="none" w:sz="0" w:space="0" w:color="auto"/>
            <w:bottom w:val="none" w:sz="0" w:space="0" w:color="auto"/>
            <w:right w:val="none" w:sz="0" w:space="0" w:color="auto"/>
          </w:divBdr>
          <w:divsChild>
            <w:div w:id="1120804452">
              <w:marLeft w:val="0"/>
              <w:marRight w:val="0"/>
              <w:marTop w:val="0"/>
              <w:marBottom w:val="0"/>
              <w:divBdr>
                <w:top w:val="none" w:sz="0" w:space="0" w:color="auto"/>
                <w:left w:val="none" w:sz="0" w:space="0" w:color="auto"/>
                <w:bottom w:val="none" w:sz="0" w:space="0" w:color="auto"/>
                <w:right w:val="none" w:sz="0" w:space="0" w:color="auto"/>
              </w:divBdr>
            </w:div>
          </w:divsChild>
        </w:div>
        <w:div w:id="606542781">
          <w:marLeft w:val="0"/>
          <w:marRight w:val="0"/>
          <w:marTop w:val="0"/>
          <w:marBottom w:val="0"/>
          <w:divBdr>
            <w:top w:val="none" w:sz="0" w:space="0" w:color="auto"/>
            <w:left w:val="none" w:sz="0" w:space="0" w:color="auto"/>
            <w:bottom w:val="none" w:sz="0" w:space="0" w:color="auto"/>
            <w:right w:val="none" w:sz="0" w:space="0" w:color="auto"/>
          </w:divBdr>
          <w:divsChild>
            <w:div w:id="1577549654">
              <w:marLeft w:val="0"/>
              <w:marRight w:val="0"/>
              <w:marTop w:val="0"/>
              <w:marBottom w:val="0"/>
              <w:divBdr>
                <w:top w:val="none" w:sz="0" w:space="0" w:color="auto"/>
                <w:left w:val="none" w:sz="0" w:space="0" w:color="auto"/>
                <w:bottom w:val="none" w:sz="0" w:space="0" w:color="auto"/>
                <w:right w:val="none" w:sz="0" w:space="0" w:color="auto"/>
              </w:divBdr>
            </w:div>
          </w:divsChild>
        </w:div>
        <w:div w:id="993799383">
          <w:marLeft w:val="0"/>
          <w:marRight w:val="0"/>
          <w:marTop w:val="0"/>
          <w:marBottom w:val="0"/>
          <w:divBdr>
            <w:top w:val="none" w:sz="0" w:space="0" w:color="auto"/>
            <w:left w:val="none" w:sz="0" w:space="0" w:color="auto"/>
            <w:bottom w:val="none" w:sz="0" w:space="0" w:color="auto"/>
            <w:right w:val="none" w:sz="0" w:space="0" w:color="auto"/>
          </w:divBdr>
          <w:divsChild>
            <w:div w:id="543252595">
              <w:marLeft w:val="0"/>
              <w:marRight w:val="0"/>
              <w:marTop w:val="0"/>
              <w:marBottom w:val="0"/>
              <w:divBdr>
                <w:top w:val="none" w:sz="0" w:space="0" w:color="auto"/>
                <w:left w:val="none" w:sz="0" w:space="0" w:color="auto"/>
                <w:bottom w:val="none" w:sz="0" w:space="0" w:color="auto"/>
                <w:right w:val="none" w:sz="0" w:space="0" w:color="auto"/>
              </w:divBdr>
            </w:div>
          </w:divsChild>
        </w:div>
        <w:div w:id="1115172069">
          <w:marLeft w:val="0"/>
          <w:marRight w:val="0"/>
          <w:marTop w:val="0"/>
          <w:marBottom w:val="0"/>
          <w:divBdr>
            <w:top w:val="none" w:sz="0" w:space="0" w:color="auto"/>
            <w:left w:val="none" w:sz="0" w:space="0" w:color="auto"/>
            <w:bottom w:val="none" w:sz="0" w:space="0" w:color="auto"/>
            <w:right w:val="none" w:sz="0" w:space="0" w:color="auto"/>
          </w:divBdr>
          <w:divsChild>
            <w:div w:id="1264217621">
              <w:marLeft w:val="0"/>
              <w:marRight w:val="0"/>
              <w:marTop w:val="0"/>
              <w:marBottom w:val="0"/>
              <w:divBdr>
                <w:top w:val="none" w:sz="0" w:space="0" w:color="auto"/>
                <w:left w:val="none" w:sz="0" w:space="0" w:color="auto"/>
                <w:bottom w:val="none" w:sz="0" w:space="0" w:color="auto"/>
                <w:right w:val="none" w:sz="0" w:space="0" w:color="auto"/>
              </w:divBdr>
            </w:div>
          </w:divsChild>
        </w:div>
        <w:div w:id="1611663180">
          <w:marLeft w:val="0"/>
          <w:marRight w:val="0"/>
          <w:marTop w:val="0"/>
          <w:marBottom w:val="0"/>
          <w:divBdr>
            <w:top w:val="none" w:sz="0" w:space="0" w:color="auto"/>
            <w:left w:val="none" w:sz="0" w:space="0" w:color="auto"/>
            <w:bottom w:val="none" w:sz="0" w:space="0" w:color="auto"/>
            <w:right w:val="none" w:sz="0" w:space="0" w:color="auto"/>
          </w:divBdr>
          <w:divsChild>
            <w:div w:id="1531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elle.denton@dfat.gov.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clearhorizon.com.au" TargetMode="External"/><Relationship Id="rId5" Type="http://schemas.openxmlformats.org/officeDocument/2006/relationships/webSettings" Target="webSettings.xml"/><Relationship Id="rId15" Type="http://schemas.openxmlformats.org/officeDocument/2006/relationships/hyperlink" Target="https://en.wikipedia.org/wiki/Variable_(mathematics)" TargetMode="External"/><Relationship Id="rId10" Type="http://schemas.openxmlformats.org/officeDocument/2006/relationships/hyperlink" Target="mailto:nick.martinez@adamsmithinternationa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3qlm9hpgjc8os.cloudfront.net/wp-content/uploads/2018/07/03095158/DFAT-Innovation-Strategy-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E389E-F19B-4392-890A-9D948856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52947</Words>
  <Characters>301800</Characters>
  <Application>Microsoft Office Word</Application>
  <DocSecurity>0</DocSecurity>
  <Lines>2515</Lines>
  <Paragraphs>708</Paragraphs>
  <ScaleCrop>false</ScaleCrop>
  <Company/>
  <LinksUpToDate>false</LinksUpToDate>
  <CharactersWithSpaces>354039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Papua New Guinea Partnership Fund Education Grants Mid-Term Review</dc:title>
  <dc:creator/>
  <cp:lastModifiedBy/>
  <cp:revision>1</cp:revision>
  <dcterms:created xsi:type="dcterms:W3CDTF">2020-12-18T05:31:00Z</dcterms:created>
  <dcterms:modified xsi:type="dcterms:W3CDTF">2020-12-18T05:31:00Z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5d277cd0-1122-4950-b679-af6817b777ee</vt:lpwstr>
  </property>
  <property fmtid="{D5CDD505-2E9C-101B-9397-08002B2CF9AE}" pid="3" name="SEC">
    <vt:lpwstr>OFFICIAL</vt:lpwstr>
  </property>
</Properties>
</file>