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2865" w14:textId="77777777" w:rsidR="00A51B14" w:rsidRPr="002A6780" w:rsidRDefault="00E6621B" w:rsidP="00A51B14">
      <w:pPr>
        <w:pStyle w:val="Heading1"/>
        <w:rPr>
          <w:b/>
          <w:color w:val="000000" w:themeColor="text1"/>
        </w:rPr>
      </w:pPr>
      <w:r w:rsidRPr="002A6780">
        <w:rPr>
          <w:b/>
          <w:color w:val="000000" w:themeColor="text1"/>
        </w:rPr>
        <w:t>P</w:t>
      </w:r>
      <w:r w:rsidR="00077ECB" w:rsidRPr="002A6780">
        <w:rPr>
          <w:b/>
          <w:color w:val="000000" w:themeColor="text1"/>
        </w:rPr>
        <w:t xml:space="preserve">apua </w:t>
      </w:r>
      <w:r w:rsidRPr="002A6780">
        <w:rPr>
          <w:b/>
          <w:color w:val="000000" w:themeColor="text1"/>
        </w:rPr>
        <w:t>N</w:t>
      </w:r>
      <w:r w:rsidR="00077ECB" w:rsidRPr="002A6780">
        <w:rPr>
          <w:b/>
          <w:color w:val="000000" w:themeColor="text1"/>
        </w:rPr>
        <w:t xml:space="preserve">ew </w:t>
      </w:r>
      <w:r w:rsidRPr="002A6780">
        <w:rPr>
          <w:b/>
          <w:color w:val="000000" w:themeColor="text1"/>
        </w:rPr>
        <w:t>G</w:t>
      </w:r>
      <w:r w:rsidR="00077ECB" w:rsidRPr="002A6780">
        <w:rPr>
          <w:b/>
          <w:color w:val="000000" w:themeColor="text1"/>
        </w:rPr>
        <w:t>uinea</w:t>
      </w:r>
      <w:r w:rsidRPr="002A6780">
        <w:rPr>
          <w:b/>
          <w:color w:val="000000" w:themeColor="text1"/>
        </w:rPr>
        <w:t xml:space="preserve"> Partnership Fund Education Grants - Independent Mid</w:t>
      </w:r>
      <w:r w:rsidR="000A4477" w:rsidRPr="002A6780">
        <w:rPr>
          <w:b/>
          <w:color w:val="000000" w:themeColor="text1"/>
        </w:rPr>
        <w:t>-t</w:t>
      </w:r>
      <w:r w:rsidRPr="002A6780">
        <w:rPr>
          <w:b/>
          <w:color w:val="000000" w:themeColor="text1"/>
        </w:rPr>
        <w:t>erm Review</w:t>
      </w:r>
    </w:p>
    <w:p w14:paraId="096C6AFC" w14:textId="77777777" w:rsidR="00A51B14" w:rsidRPr="002A6780" w:rsidRDefault="00A51B14" w:rsidP="00A51B14">
      <w:pPr>
        <w:pStyle w:val="Heading2"/>
        <w:rPr>
          <w:color w:val="000000" w:themeColor="text1"/>
        </w:rPr>
      </w:pPr>
      <w:bookmarkStart w:id="0" w:name="_GoBack"/>
      <w:bookmarkEnd w:id="0"/>
    </w:p>
    <w:p w14:paraId="1F50F32E" w14:textId="77777777" w:rsidR="00D571F2" w:rsidRPr="002A6780" w:rsidRDefault="00A51B14" w:rsidP="00A51B14">
      <w:pPr>
        <w:pStyle w:val="Heading2"/>
        <w:rPr>
          <w:color w:val="000000" w:themeColor="text1"/>
        </w:rPr>
      </w:pPr>
      <w:r w:rsidRPr="002A6780">
        <w:rPr>
          <w:color w:val="000000" w:themeColor="text1"/>
        </w:rPr>
        <w:t>Summary of</w:t>
      </w:r>
      <w:r w:rsidR="00B46470" w:rsidRPr="002A6780">
        <w:rPr>
          <w:color w:val="000000" w:themeColor="text1"/>
        </w:rPr>
        <w:t xml:space="preserve"> Management Response</w:t>
      </w:r>
    </w:p>
    <w:p w14:paraId="7F8DF6EF" w14:textId="77777777" w:rsidR="00E6621B" w:rsidRPr="002A6780" w:rsidRDefault="00E6621B" w:rsidP="00E6621B"/>
    <w:p w14:paraId="04473D1E" w14:textId="77777777" w:rsidR="00B606C2" w:rsidRPr="002A6780" w:rsidRDefault="00077ECB" w:rsidP="00621E59">
      <w:pPr>
        <w:rPr>
          <w:rStyle w:val="Strong"/>
          <w:b w:val="0"/>
          <w:color w:val="000000" w:themeColor="text1"/>
        </w:rPr>
      </w:pPr>
      <w:r w:rsidRPr="002A6780">
        <w:rPr>
          <w:rStyle w:val="Strong"/>
          <w:b w:val="0"/>
          <w:color w:val="000000" w:themeColor="text1"/>
        </w:rPr>
        <w:t>Since 2017, t</w:t>
      </w:r>
      <w:r w:rsidR="00B606C2" w:rsidRPr="002A6780">
        <w:rPr>
          <w:rStyle w:val="Strong"/>
          <w:b w:val="0"/>
          <w:color w:val="000000" w:themeColor="text1"/>
        </w:rPr>
        <w:t xml:space="preserve">he PNG Partnership Fund has supported three education grants </w:t>
      </w:r>
      <w:r w:rsidRPr="002A6780">
        <w:rPr>
          <w:rStyle w:val="Strong"/>
          <w:b w:val="0"/>
          <w:color w:val="000000" w:themeColor="text1"/>
        </w:rPr>
        <w:t>which aim to improve literacy and numeracy in the early grades</w:t>
      </w:r>
      <w:r w:rsidR="00EC26C3" w:rsidRPr="002A6780">
        <w:rPr>
          <w:rStyle w:val="Strong"/>
          <w:b w:val="0"/>
          <w:color w:val="000000" w:themeColor="text1"/>
        </w:rPr>
        <w:t xml:space="preserve"> of school</w:t>
      </w:r>
      <w:r w:rsidR="00B606C2" w:rsidRPr="002A6780">
        <w:rPr>
          <w:rStyle w:val="Strong"/>
          <w:b w:val="0"/>
          <w:color w:val="000000" w:themeColor="text1"/>
        </w:rPr>
        <w:t>. The purpose of the Mid Term Review was to:</w:t>
      </w:r>
    </w:p>
    <w:p w14:paraId="3C0058FA" w14:textId="77777777" w:rsidR="006214AE" w:rsidRPr="002A6780" w:rsidRDefault="006214AE" w:rsidP="006214AE">
      <w:pPr>
        <w:pStyle w:val="ListParagraph"/>
        <w:numPr>
          <w:ilvl w:val="0"/>
          <w:numId w:val="4"/>
        </w:numPr>
        <w:rPr>
          <w:rStyle w:val="Strong"/>
          <w:b w:val="0"/>
          <w:color w:val="000000" w:themeColor="text1"/>
        </w:rPr>
      </w:pPr>
      <w:r w:rsidRPr="002A6780">
        <w:t>identify actions/recommendations to improve the grants through an extension phase from June 2020 to February 2022 and</w:t>
      </w:r>
    </w:p>
    <w:p w14:paraId="746247AF" w14:textId="77777777" w:rsidR="006214AE" w:rsidRPr="002A6780" w:rsidRDefault="006214AE" w:rsidP="006214AE">
      <w:pPr>
        <w:pStyle w:val="ListParagraph"/>
        <w:numPr>
          <w:ilvl w:val="0"/>
          <w:numId w:val="4"/>
        </w:numPr>
        <w:rPr>
          <w:rStyle w:val="Strong"/>
          <w:b w:val="0"/>
          <w:color w:val="000000" w:themeColor="text1"/>
        </w:rPr>
      </w:pPr>
      <w:r w:rsidRPr="002A6780">
        <w:t>inform the design of a future investment in foundational education in PNG, including recommendations on approaches to improving basic literacy and numeracy and their most effective delivery modalities</w:t>
      </w:r>
      <w:r w:rsidR="00077ECB" w:rsidRPr="002A6780">
        <w:t>.</w:t>
      </w:r>
    </w:p>
    <w:p w14:paraId="7964EEBF" w14:textId="77777777" w:rsidR="00106033" w:rsidRPr="002A6780" w:rsidRDefault="00077ECB" w:rsidP="006214AE">
      <w:pPr>
        <w:rPr>
          <w:rStyle w:val="Strong"/>
          <w:b w:val="0"/>
          <w:color w:val="000000" w:themeColor="text1"/>
        </w:rPr>
      </w:pPr>
      <w:r w:rsidRPr="002A6780">
        <w:rPr>
          <w:rStyle w:val="Strong"/>
          <w:b w:val="0"/>
          <w:color w:val="000000" w:themeColor="text1"/>
        </w:rPr>
        <w:t>DFAT</w:t>
      </w:r>
      <w:r w:rsidR="006214AE" w:rsidRPr="002A6780">
        <w:rPr>
          <w:rStyle w:val="Strong"/>
          <w:b w:val="0"/>
          <w:color w:val="000000" w:themeColor="text1"/>
        </w:rPr>
        <w:t xml:space="preserve"> </w:t>
      </w:r>
      <w:r w:rsidRPr="002A6780">
        <w:rPr>
          <w:rStyle w:val="Strong"/>
          <w:b w:val="0"/>
          <w:color w:val="000000" w:themeColor="text1"/>
        </w:rPr>
        <w:t>accepts the findings and recommendations</w:t>
      </w:r>
      <w:r w:rsidR="006214AE" w:rsidRPr="002A6780">
        <w:rPr>
          <w:rStyle w:val="Strong"/>
          <w:b w:val="0"/>
          <w:color w:val="000000" w:themeColor="text1"/>
        </w:rPr>
        <w:t xml:space="preserve"> </w:t>
      </w:r>
      <w:r w:rsidR="00990687" w:rsidRPr="002A6780">
        <w:rPr>
          <w:rStyle w:val="Strong"/>
          <w:b w:val="0"/>
          <w:color w:val="000000" w:themeColor="text1"/>
        </w:rPr>
        <w:t>to improve</w:t>
      </w:r>
      <w:r w:rsidR="00106033" w:rsidRPr="002A6780">
        <w:rPr>
          <w:rStyle w:val="Strong"/>
          <w:b w:val="0"/>
          <w:color w:val="000000" w:themeColor="text1"/>
        </w:rPr>
        <w:t xml:space="preserve"> </w:t>
      </w:r>
      <w:r w:rsidR="008A45DF" w:rsidRPr="002A6780">
        <w:rPr>
          <w:rStyle w:val="Strong"/>
          <w:b w:val="0"/>
          <w:color w:val="000000" w:themeColor="text1"/>
        </w:rPr>
        <w:t xml:space="preserve">program </w:t>
      </w:r>
      <w:r w:rsidR="00106033" w:rsidRPr="002A6780">
        <w:rPr>
          <w:rStyle w:val="Strong"/>
          <w:b w:val="0"/>
          <w:color w:val="000000" w:themeColor="text1"/>
        </w:rPr>
        <w:t>effectiveness</w:t>
      </w:r>
      <w:r w:rsidR="006214AE" w:rsidRPr="002A6780">
        <w:rPr>
          <w:rStyle w:val="Strong"/>
          <w:b w:val="0"/>
          <w:color w:val="000000" w:themeColor="text1"/>
        </w:rPr>
        <w:t xml:space="preserve"> and efficiency in the extension phase as well as</w:t>
      </w:r>
      <w:r w:rsidR="00547C05" w:rsidRPr="002A6780">
        <w:rPr>
          <w:rStyle w:val="Strong"/>
          <w:b w:val="0"/>
          <w:color w:val="000000" w:themeColor="text1"/>
        </w:rPr>
        <w:t xml:space="preserve"> planning and designing</w:t>
      </w:r>
      <w:r w:rsidR="009310DC" w:rsidRPr="002A6780">
        <w:rPr>
          <w:rStyle w:val="Strong"/>
          <w:b w:val="0"/>
          <w:color w:val="000000" w:themeColor="text1"/>
        </w:rPr>
        <w:t xml:space="preserve"> of</w:t>
      </w:r>
      <w:r w:rsidR="00547C05" w:rsidRPr="002A6780">
        <w:rPr>
          <w:rStyle w:val="Strong"/>
          <w:b w:val="0"/>
          <w:color w:val="000000" w:themeColor="text1"/>
        </w:rPr>
        <w:t xml:space="preserve"> future education support</w:t>
      </w:r>
      <w:r w:rsidR="00106033" w:rsidRPr="002A6780">
        <w:rPr>
          <w:rStyle w:val="Strong"/>
          <w:b w:val="0"/>
          <w:color w:val="000000" w:themeColor="text1"/>
        </w:rPr>
        <w:t xml:space="preserve">.  </w:t>
      </w:r>
    </w:p>
    <w:p w14:paraId="3027FE10" w14:textId="77777777" w:rsidR="00547C05" w:rsidRPr="002A6780" w:rsidRDefault="00FA35C3" w:rsidP="00621E59">
      <w:pPr>
        <w:rPr>
          <w:rStyle w:val="Strong"/>
          <w:b w:val="0"/>
          <w:color w:val="000000" w:themeColor="text1"/>
        </w:rPr>
      </w:pPr>
      <w:r w:rsidRPr="002A6780">
        <w:rPr>
          <w:rStyle w:val="Strong"/>
          <w:b w:val="0"/>
          <w:color w:val="000000" w:themeColor="text1"/>
        </w:rPr>
        <w:t>We note</w:t>
      </w:r>
      <w:r w:rsidR="00D929EB" w:rsidRPr="002A6780">
        <w:rPr>
          <w:rStyle w:val="Strong"/>
          <w:b w:val="0"/>
          <w:color w:val="000000" w:themeColor="text1"/>
        </w:rPr>
        <w:t xml:space="preserve"> </w:t>
      </w:r>
      <w:r w:rsidR="00D929EB" w:rsidRPr="002A6780">
        <w:rPr>
          <w:rFonts w:ascii="Calibri" w:hAnsi="Calibri" w:cs="Calibri"/>
        </w:rPr>
        <w:t xml:space="preserve">the review was constrained in the development of findings </w:t>
      </w:r>
      <w:r w:rsidR="00B606C2" w:rsidRPr="002A6780">
        <w:rPr>
          <w:rFonts w:ascii="Calibri" w:hAnsi="Calibri" w:cs="Calibri"/>
        </w:rPr>
        <w:t>of</w:t>
      </w:r>
      <w:r w:rsidR="00D929EB" w:rsidRPr="002A6780">
        <w:rPr>
          <w:rFonts w:ascii="Calibri" w:hAnsi="Calibri" w:cs="Calibri"/>
        </w:rPr>
        <w:t xml:space="preserve"> ‘what works’, as it occurred less than two years into implementation for two of the grantees. </w:t>
      </w:r>
      <w:r w:rsidR="00335BAA" w:rsidRPr="002A6780">
        <w:rPr>
          <w:rFonts w:ascii="Calibri" w:hAnsi="Calibri" w:cs="Calibri"/>
        </w:rPr>
        <w:t xml:space="preserve">Nonetheless, </w:t>
      </w:r>
      <w:r w:rsidR="00077ECB" w:rsidRPr="002A6780">
        <w:rPr>
          <w:rFonts w:ascii="Calibri" w:hAnsi="Calibri" w:cs="Calibri"/>
        </w:rPr>
        <w:t xml:space="preserve">undertaking </w:t>
      </w:r>
      <w:r w:rsidR="00335BAA" w:rsidRPr="002A6780">
        <w:rPr>
          <w:rFonts w:ascii="Calibri" w:hAnsi="Calibri" w:cs="Calibri"/>
        </w:rPr>
        <w:t xml:space="preserve">the review </w:t>
      </w:r>
      <w:r w:rsidR="00B52C04" w:rsidRPr="002A6780">
        <w:rPr>
          <w:rFonts w:ascii="Calibri" w:hAnsi="Calibri" w:cs="Calibri"/>
        </w:rPr>
        <w:t xml:space="preserve">was timely </w:t>
      </w:r>
      <w:r w:rsidR="00077ECB" w:rsidRPr="002A6780">
        <w:rPr>
          <w:rFonts w:ascii="Calibri" w:hAnsi="Calibri" w:cs="Calibri"/>
        </w:rPr>
        <w:t>in</w:t>
      </w:r>
      <w:r w:rsidR="00335BAA" w:rsidRPr="002A6780">
        <w:rPr>
          <w:rFonts w:ascii="Calibri" w:hAnsi="Calibri" w:cs="Calibri"/>
        </w:rPr>
        <w:t xml:space="preserve"> inform</w:t>
      </w:r>
      <w:r w:rsidR="00B52C04" w:rsidRPr="002A6780">
        <w:rPr>
          <w:rFonts w:ascii="Calibri" w:hAnsi="Calibri" w:cs="Calibri"/>
        </w:rPr>
        <w:t>ing</w:t>
      </w:r>
      <w:r w:rsidR="00335BAA" w:rsidRPr="002A6780">
        <w:rPr>
          <w:rFonts w:ascii="Calibri" w:hAnsi="Calibri" w:cs="Calibri"/>
        </w:rPr>
        <w:t xml:space="preserve"> decisions on future phases of support to education in PNG</w:t>
      </w:r>
      <w:r w:rsidR="00B52C04" w:rsidRPr="002A6780">
        <w:rPr>
          <w:rFonts w:ascii="Calibri" w:hAnsi="Calibri" w:cs="Calibri"/>
        </w:rPr>
        <w:t>.</w:t>
      </w:r>
    </w:p>
    <w:p w14:paraId="094A7C37" w14:textId="77777777" w:rsidR="00110DB2" w:rsidRPr="002A6780" w:rsidRDefault="003F47A8" w:rsidP="00110DB2">
      <w:pPr>
        <w:rPr>
          <w:rStyle w:val="Strong"/>
          <w:b w:val="0"/>
          <w:color w:val="000000" w:themeColor="text1"/>
        </w:rPr>
      </w:pPr>
      <w:r w:rsidRPr="002A6780">
        <w:rPr>
          <w:rStyle w:val="Strong"/>
          <w:b w:val="0"/>
          <w:color w:val="000000" w:themeColor="text1"/>
        </w:rPr>
        <w:t xml:space="preserve">We agree to strengthen the </w:t>
      </w:r>
      <w:r w:rsidR="00335BAA" w:rsidRPr="002A6780">
        <w:rPr>
          <w:rStyle w:val="Strong"/>
          <w:b w:val="0"/>
          <w:color w:val="000000" w:themeColor="text1"/>
        </w:rPr>
        <w:t>grants</w:t>
      </w:r>
      <w:r w:rsidRPr="002A6780">
        <w:rPr>
          <w:rStyle w:val="Strong"/>
          <w:b w:val="0"/>
          <w:color w:val="000000" w:themeColor="text1"/>
        </w:rPr>
        <w:t xml:space="preserve"> through </w:t>
      </w:r>
      <w:r w:rsidR="00B52C04" w:rsidRPr="002A6780">
        <w:rPr>
          <w:rStyle w:val="Strong"/>
          <w:b w:val="0"/>
          <w:color w:val="000000" w:themeColor="text1"/>
        </w:rPr>
        <w:t>deeper and sustained</w:t>
      </w:r>
      <w:r w:rsidRPr="002A6780">
        <w:rPr>
          <w:rStyle w:val="Strong"/>
          <w:b w:val="0"/>
          <w:color w:val="000000" w:themeColor="text1"/>
        </w:rPr>
        <w:t xml:space="preserve"> engagement with stakeholders</w:t>
      </w:r>
      <w:r w:rsidR="005B0DCF" w:rsidRPr="002A6780">
        <w:rPr>
          <w:rStyle w:val="Strong"/>
          <w:b w:val="0"/>
          <w:color w:val="000000" w:themeColor="text1"/>
        </w:rPr>
        <w:t>,</w:t>
      </w:r>
      <w:r w:rsidRPr="002A6780">
        <w:rPr>
          <w:rStyle w:val="Strong"/>
          <w:b w:val="0"/>
          <w:color w:val="000000" w:themeColor="text1"/>
        </w:rPr>
        <w:t xml:space="preserve"> </w:t>
      </w:r>
      <w:r w:rsidR="00B52C04" w:rsidRPr="002A6780">
        <w:rPr>
          <w:rStyle w:val="Strong"/>
          <w:b w:val="0"/>
          <w:color w:val="000000" w:themeColor="text1"/>
        </w:rPr>
        <w:t xml:space="preserve">particularly PNG </w:t>
      </w:r>
      <w:r w:rsidRPr="002A6780">
        <w:rPr>
          <w:rStyle w:val="Strong"/>
          <w:b w:val="0"/>
          <w:color w:val="000000" w:themeColor="text1"/>
        </w:rPr>
        <w:t xml:space="preserve">Government agencies. </w:t>
      </w:r>
      <w:r w:rsidR="00EC26C3" w:rsidRPr="002A6780">
        <w:rPr>
          <w:rStyle w:val="Strong"/>
          <w:b w:val="0"/>
          <w:color w:val="000000" w:themeColor="text1"/>
        </w:rPr>
        <w:t xml:space="preserve">An </w:t>
      </w:r>
      <w:r w:rsidRPr="002A6780">
        <w:rPr>
          <w:rStyle w:val="Strong"/>
          <w:b w:val="0"/>
          <w:color w:val="000000" w:themeColor="text1"/>
        </w:rPr>
        <w:t>overarching Theory of Change</w:t>
      </w:r>
      <w:r w:rsidR="00EC26C3" w:rsidRPr="002A6780">
        <w:rPr>
          <w:rStyle w:val="Strong"/>
          <w:b w:val="0"/>
          <w:color w:val="000000" w:themeColor="text1"/>
        </w:rPr>
        <w:t xml:space="preserve"> for the whole Fund</w:t>
      </w:r>
      <w:r w:rsidRPr="002A6780">
        <w:rPr>
          <w:rStyle w:val="Strong"/>
          <w:b w:val="0"/>
          <w:color w:val="000000" w:themeColor="text1"/>
        </w:rPr>
        <w:t xml:space="preserve"> </w:t>
      </w:r>
      <w:r w:rsidR="00EC26C3" w:rsidRPr="002A6780">
        <w:rPr>
          <w:rStyle w:val="Strong"/>
          <w:b w:val="0"/>
          <w:color w:val="000000" w:themeColor="text1"/>
        </w:rPr>
        <w:t xml:space="preserve">will </w:t>
      </w:r>
      <w:r w:rsidRPr="002A6780">
        <w:rPr>
          <w:rStyle w:val="Strong"/>
          <w:b w:val="0"/>
          <w:color w:val="000000" w:themeColor="text1"/>
        </w:rPr>
        <w:t>articulate the pathway</w:t>
      </w:r>
      <w:r w:rsidR="00B52C04" w:rsidRPr="002A6780">
        <w:rPr>
          <w:rStyle w:val="Strong"/>
          <w:b w:val="0"/>
          <w:color w:val="000000" w:themeColor="text1"/>
        </w:rPr>
        <w:t>s</w:t>
      </w:r>
      <w:r w:rsidRPr="002A6780">
        <w:rPr>
          <w:rStyle w:val="Strong"/>
          <w:b w:val="0"/>
          <w:color w:val="000000" w:themeColor="text1"/>
        </w:rPr>
        <w:t xml:space="preserve"> to achieving change.</w:t>
      </w:r>
    </w:p>
    <w:p w14:paraId="098BF9A3" w14:textId="77777777" w:rsidR="008F2F6E" w:rsidRPr="002A6780" w:rsidRDefault="005B0DCF" w:rsidP="00110DB2">
      <w:pPr>
        <w:rPr>
          <w:rStyle w:val="Strong"/>
          <w:b w:val="0"/>
          <w:color w:val="000000" w:themeColor="text1"/>
        </w:rPr>
      </w:pPr>
      <w:r w:rsidRPr="002A6780">
        <w:rPr>
          <w:rStyle w:val="Strong"/>
          <w:b w:val="0"/>
          <w:color w:val="000000" w:themeColor="text1"/>
        </w:rPr>
        <w:t xml:space="preserve">We note that the Mid Term Review was conducted prior to the COVID-19 pandemic. </w:t>
      </w:r>
      <w:r w:rsidR="008F2F6E" w:rsidRPr="002A6780">
        <w:rPr>
          <w:rStyle w:val="Strong"/>
          <w:b w:val="0"/>
          <w:color w:val="000000" w:themeColor="text1"/>
        </w:rPr>
        <w:t xml:space="preserve">Australia’s </w:t>
      </w:r>
      <w:r w:rsidR="00114615" w:rsidRPr="002A6780">
        <w:rPr>
          <w:rStyle w:val="Strong"/>
          <w:b w:val="0"/>
          <w:color w:val="000000" w:themeColor="text1"/>
        </w:rPr>
        <w:t xml:space="preserve">support to PNG’s COVID-19 response involves contributions in the education sector, including through the PNG Partnership Fund. This </w:t>
      </w:r>
      <w:r w:rsidR="008F2F6E" w:rsidRPr="002A6780">
        <w:rPr>
          <w:rStyle w:val="Strong"/>
          <w:b w:val="0"/>
          <w:color w:val="000000" w:themeColor="text1"/>
        </w:rPr>
        <w:t xml:space="preserve">flexibility has ensured continuous </w:t>
      </w:r>
      <w:r w:rsidR="003804D7" w:rsidRPr="002A6780">
        <w:rPr>
          <w:rStyle w:val="Strong"/>
          <w:b w:val="0"/>
          <w:color w:val="000000" w:themeColor="text1"/>
        </w:rPr>
        <w:t>assistance</w:t>
      </w:r>
      <w:r w:rsidR="008F2F6E" w:rsidRPr="002A6780">
        <w:rPr>
          <w:rStyle w:val="Strong"/>
          <w:b w:val="0"/>
          <w:color w:val="000000" w:themeColor="text1"/>
        </w:rPr>
        <w:t xml:space="preserve"> is being provided </w:t>
      </w:r>
      <w:r w:rsidR="00114615" w:rsidRPr="002A6780">
        <w:rPr>
          <w:rStyle w:val="Strong"/>
          <w:b w:val="0"/>
          <w:color w:val="000000" w:themeColor="text1"/>
        </w:rPr>
        <w:t xml:space="preserve">in line with Australia’s PNG COVID-19 Development Response Plan and </w:t>
      </w:r>
      <w:r w:rsidR="008F2F6E" w:rsidRPr="002A6780">
        <w:rPr>
          <w:rStyle w:val="Strong"/>
          <w:b w:val="0"/>
          <w:color w:val="000000" w:themeColor="text1"/>
        </w:rPr>
        <w:t>deliver</w:t>
      </w:r>
      <w:r w:rsidR="00114615" w:rsidRPr="002A6780">
        <w:rPr>
          <w:rStyle w:val="Strong"/>
          <w:b w:val="0"/>
          <w:color w:val="000000" w:themeColor="text1"/>
        </w:rPr>
        <w:t>ing on outcomes in</w:t>
      </w:r>
      <w:r w:rsidR="003804D7" w:rsidRPr="002A6780">
        <w:rPr>
          <w:rStyle w:val="Strong"/>
          <w:b w:val="0"/>
          <w:color w:val="000000" w:themeColor="text1"/>
        </w:rPr>
        <w:t xml:space="preserve"> PNG’s</w:t>
      </w:r>
      <w:r w:rsidR="008F2F6E" w:rsidRPr="002A6780">
        <w:rPr>
          <w:rStyle w:val="Strong"/>
          <w:b w:val="0"/>
          <w:color w:val="000000" w:themeColor="text1"/>
        </w:rPr>
        <w:t xml:space="preserve"> Education in Emerg</w:t>
      </w:r>
      <w:r w:rsidR="00114615" w:rsidRPr="002A6780">
        <w:rPr>
          <w:rStyle w:val="Strong"/>
          <w:b w:val="0"/>
          <w:color w:val="000000" w:themeColor="text1"/>
        </w:rPr>
        <w:t xml:space="preserve">ency Response and Recovery Plan. </w:t>
      </w:r>
    </w:p>
    <w:p w14:paraId="59F4A9C5" w14:textId="77777777" w:rsidR="008F2F6E" w:rsidRPr="002A6780" w:rsidRDefault="008F2F6E" w:rsidP="00110DB2">
      <w:pPr>
        <w:rPr>
          <w:rStyle w:val="Strong"/>
          <w:b w:val="0"/>
          <w:color w:val="000000" w:themeColor="text1"/>
        </w:rPr>
      </w:pPr>
    </w:p>
    <w:p w14:paraId="1A21D651" w14:textId="77777777" w:rsidR="00FC4ADF" w:rsidRPr="002A6780" w:rsidRDefault="00FC4ADF" w:rsidP="00621E59">
      <w:pPr>
        <w:rPr>
          <w:color w:val="000000" w:themeColor="text1"/>
        </w:rPr>
      </w:pPr>
    </w:p>
    <w:p w14:paraId="1F279C8C" w14:textId="77777777" w:rsidR="00621E59" w:rsidRPr="002A6780" w:rsidRDefault="00621E59" w:rsidP="00621E59">
      <w:pPr>
        <w:rPr>
          <w:color w:val="000000" w:themeColor="text1"/>
        </w:rPr>
        <w:sectPr w:rsidR="00621E59" w:rsidRPr="002A6780" w:rsidSect="00FA35C3">
          <w:footerReference w:type="default" r:id="rId8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315" w:type="dxa"/>
        <w:tblInd w:w="-71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1276"/>
        <w:gridCol w:w="4465"/>
        <w:gridCol w:w="4465"/>
        <w:gridCol w:w="1560"/>
      </w:tblGrid>
      <w:tr w:rsidR="00F751A4" w:rsidRPr="002A6780" w14:paraId="59F3D28F" w14:textId="77777777" w:rsidTr="00114615">
        <w:trPr>
          <w:trHeight w:val="558"/>
          <w:tblHeader/>
        </w:trPr>
        <w:tc>
          <w:tcPr>
            <w:tcW w:w="3549" w:type="dxa"/>
            <w:tcBorders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14:paraId="4DAD6666" w14:textId="77777777" w:rsidR="00620640" w:rsidRPr="002A6780" w:rsidRDefault="00620640" w:rsidP="00F428D2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2A6780">
              <w:rPr>
                <w:rFonts w:cstheme="minorHAnsi"/>
                <w:b/>
                <w:caps/>
                <w:color w:val="FFFFFF" w:themeColor="background1"/>
              </w:rPr>
              <w:lastRenderedPageBreak/>
              <w:t>Recommendation</w:t>
            </w:r>
          </w:p>
        </w:tc>
        <w:tc>
          <w:tcPr>
            <w:tcW w:w="1276" w:type="dxa"/>
            <w:tcBorders>
              <w:left w:val="single" w:sz="4" w:space="0" w:color="3B3838" w:themeColor="background2" w:themeShade="40"/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14:paraId="103E3219" w14:textId="77777777" w:rsidR="00620640" w:rsidRPr="002A6780" w:rsidRDefault="00620640" w:rsidP="00F428D2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2A6780">
              <w:rPr>
                <w:rFonts w:cstheme="minorHAnsi"/>
                <w:b/>
                <w:caps/>
                <w:color w:val="FFFFFF" w:themeColor="background1"/>
              </w:rPr>
              <w:t>Response</w:t>
            </w:r>
          </w:p>
        </w:tc>
        <w:tc>
          <w:tcPr>
            <w:tcW w:w="4465" w:type="dxa"/>
            <w:tcBorders>
              <w:left w:val="single" w:sz="4" w:space="0" w:color="3B3838" w:themeColor="background2" w:themeShade="40"/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14:paraId="3D1490CB" w14:textId="77777777" w:rsidR="00620640" w:rsidRPr="002A6780" w:rsidRDefault="00620640" w:rsidP="00F428D2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2A6780">
              <w:rPr>
                <w:rFonts w:cstheme="minorHAnsi"/>
                <w:b/>
                <w:caps/>
                <w:color w:val="FFFFFF" w:themeColor="background1"/>
              </w:rPr>
              <w:t>Explanation</w:t>
            </w:r>
          </w:p>
        </w:tc>
        <w:tc>
          <w:tcPr>
            <w:tcW w:w="4465" w:type="dxa"/>
            <w:tcBorders>
              <w:left w:val="single" w:sz="4" w:space="0" w:color="3B3838" w:themeColor="background2" w:themeShade="40"/>
              <w:bottom w:val="single" w:sz="4" w:space="0" w:color="auto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14:paraId="59039FED" w14:textId="77777777" w:rsidR="00620640" w:rsidRPr="002A6780" w:rsidRDefault="00620640" w:rsidP="00F428D2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2A6780">
              <w:rPr>
                <w:rFonts w:cstheme="minorHAnsi"/>
                <w:b/>
                <w:caps/>
                <w:color w:val="FFFFFF" w:themeColor="background1"/>
              </w:rPr>
              <w:t>Action Plan</w:t>
            </w:r>
          </w:p>
        </w:tc>
        <w:tc>
          <w:tcPr>
            <w:tcW w:w="1560" w:type="dxa"/>
            <w:tcBorders>
              <w:left w:val="single" w:sz="4" w:space="0" w:color="3B3838" w:themeColor="background2" w:themeShade="40"/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B1B1B50" w14:textId="77777777" w:rsidR="00620640" w:rsidRPr="002A6780" w:rsidRDefault="00620640" w:rsidP="00F428D2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2A6780">
              <w:rPr>
                <w:rFonts w:cstheme="minorHAnsi"/>
                <w:b/>
                <w:caps/>
                <w:color w:val="FFFFFF" w:themeColor="background1"/>
              </w:rPr>
              <w:t>Timeframe</w:t>
            </w:r>
          </w:p>
        </w:tc>
      </w:tr>
      <w:tr w:rsidR="00F751A4" w:rsidRPr="002A6780" w14:paraId="04A71D8B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395" w14:textId="77777777" w:rsidR="00620640" w:rsidRPr="002A6780" w:rsidRDefault="00620640" w:rsidP="002823ED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1</w:t>
            </w:r>
          </w:p>
          <w:p w14:paraId="5DE7C0F3" w14:textId="77777777" w:rsidR="00D929EB" w:rsidRPr="002A6780" w:rsidRDefault="00D929EB" w:rsidP="00D929EB">
            <w:pPr>
              <w:rPr>
                <w:rFonts w:cstheme="minorHAnsi"/>
              </w:rPr>
            </w:pP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The Australian Government should engage the </w:t>
            </w:r>
            <w:r w:rsidR="00567389" w:rsidRPr="002A6780">
              <w:rPr>
                <w:rFonts w:eastAsia="Times New Roman" w:cstheme="minorHAnsi"/>
                <w:color w:val="222222"/>
                <w:lang w:eastAsia="en-AU"/>
              </w:rPr>
              <w:t>PNG Partnership Fund (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>PPF</w:t>
            </w:r>
            <w:r w:rsidR="00567389" w:rsidRPr="002A6780">
              <w:rPr>
                <w:rFonts w:eastAsia="Times New Roman" w:cstheme="minorHAnsi"/>
                <w:color w:val="222222"/>
                <w:lang w:eastAsia="en-AU"/>
              </w:rPr>
              <w:t>)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 Secretariat to design and facilitate a collaborative process to engage key stakeholders in a review of project progress, including but not limited to, the mid-term review findings.</w:t>
            </w:r>
          </w:p>
          <w:p w14:paraId="1EE21401" w14:textId="77777777" w:rsidR="006E4D5B" w:rsidRPr="002A6780" w:rsidRDefault="006E4D5B" w:rsidP="003A14B7">
            <w:pPr>
              <w:pStyle w:val="Heading5"/>
              <w:ind w:left="-11" w:firstLine="11"/>
              <w:outlineLvl w:val="4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927" w14:textId="77777777" w:rsidR="00620640" w:rsidRPr="002A6780" w:rsidRDefault="00A74606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C31CA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F3F" w14:textId="77777777" w:rsidR="00620640" w:rsidRPr="002A6780" w:rsidRDefault="004C31CA">
            <w:pPr>
              <w:spacing w:before="120" w:after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 </w:t>
            </w:r>
            <w:r w:rsidR="00B9059C" w:rsidRPr="002A6780">
              <w:rPr>
                <w:rFonts w:cstheme="minorHAnsi"/>
                <w:color w:val="000000" w:themeColor="text1"/>
              </w:rPr>
              <w:t>acknowledges the need to</w:t>
            </w:r>
            <w:r w:rsidR="00B92B8A" w:rsidRPr="002A6780">
              <w:rPr>
                <w:rFonts w:cstheme="minorHAnsi"/>
                <w:color w:val="000000" w:themeColor="text1"/>
              </w:rPr>
              <w:t xml:space="preserve"> 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deepen engagement and sharing </w:t>
            </w:r>
            <w:r w:rsidR="0029213A">
              <w:rPr>
                <w:rFonts w:cstheme="minorHAnsi"/>
                <w:color w:val="000000" w:themeColor="text1"/>
              </w:rPr>
              <w:t xml:space="preserve">of information 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with key stakeholders and has </w:t>
            </w:r>
            <w:r w:rsidR="00D76D64" w:rsidRPr="002A6780">
              <w:rPr>
                <w:rFonts w:cstheme="minorHAnsi"/>
                <w:color w:val="000000" w:themeColor="text1"/>
              </w:rPr>
              <w:t>taken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 steps in this direction</w:t>
            </w:r>
            <w:r w:rsidR="00B92B8A" w:rsidRPr="002A6780">
              <w:rPr>
                <w:rFonts w:cstheme="minorHAnsi"/>
                <w:color w:val="000000" w:themeColor="text1"/>
              </w:rPr>
              <w:t xml:space="preserve">. Ongoing collaboration and sharing of information </w:t>
            </w:r>
            <w:r w:rsidR="00B9059C" w:rsidRPr="002A6780">
              <w:rPr>
                <w:rFonts w:cstheme="minorHAnsi"/>
                <w:color w:val="000000" w:themeColor="text1"/>
              </w:rPr>
              <w:t>with key partners</w:t>
            </w:r>
            <w:r w:rsidR="00B92B8A" w:rsidRPr="002A6780">
              <w:rPr>
                <w:rFonts w:cstheme="minorHAnsi"/>
                <w:color w:val="000000" w:themeColor="text1"/>
              </w:rPr>
              <w:t xml:space="preserve"> is vital in ensuring</w:t>
            </w:r>
            <w:r w:rsidR="000739DF" w:rsidRPr="002A6780">
              <w:rPr>
                <w:rFonts w:cstheme="minorHAnsi"/>
                <w:color w:val="000000" w:themeColor="text1"/>
              </w:rPr>
              <w:t xml:space="preserve"> project outcomes are achieved in line with key government plans and goals.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B2D" w14:textId="4D9E4D4E" w:rsidR="003A14B7" w:rsidRPr="002A6780" w:rsidRDefault="006E0587" w:rsidP="000A4477">
            <w:pPr>
              <w:shd w:val="clear" w:color="auto" w:fill="FFFFFF"/>
              <w:spacing w:before="12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Throughout</w:t>
            </w:r>
            <w:r w:rsidR="0029213A">
              <w:rPr>
                <w:rFonts w:cstheme="minorHAnsi"/>
                <w:color w:val="000000" w:themeColor="text1"/>
              </w:rPr>
              <w:t xml:space="preserve"> 2019, </w:t>
            </w:r>
            <w:r w:rsidR="004C31CA" w:rsidRPr="002A6780">
              <w:rPr>
                <w:rFonts w:cstheme="minorHAnsi"/>
                <w:color w:val="000000" w:themeColor="text1"/>
              </w:rPr>
              <w:t xml:space="preserve">DFAT brokered an MOU 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between </w:t>
            </w:r>
            <w:r w:rsidR="006D485F">
              <w:rPr>
                <w:rFonts w:cstheme="minorHAnsi"/>
                <w:color w:val="000000" w:themeColor="text1"/>
              </w:rPr>
              <w:t xml:space="preserve">the </w:t>
            </w:r>
            <w:r w:rsidR="00335BAA" w:rsidRPr="002A6780">
              <w:rPr>
                <w:rFonts w:cstheme="minorHAnsi"/>
                <w:color w:val="000000" w:themeColor="text1"/>
              </w:rPr>
              <w:t>N</w:t>
            </w:r>
            <w:r w:rsidR="00F414FD" w:rsidRPr="002A6780">
              <w:rPr>
                <w:rFonts w:cstheme="minorHAnsi"/>
                <w:color w:val="000000" w:themeColor="text1"/>
              </w:rPr>
              <w:t xml:space="preserve">ational </w:t>
            </w:r>
            <w:r w:rsidR="00335BAA" w:rsidRPr="002A6780">
              <w:rPr>
                <w:rFonts w:cstheme="minorHAnsi"/>
                <w:color w:val="000000" w:themeColor="text1"/>
              </w:rPr>
              <w:t>D</w:t>
            </w:r>
            <w:r w:rsidR="00F414FD" w:rsidRPr="002A6780">
              <w:rPr>
                <w:rFonts w:cstheme="minorHAnsi"/>
                <w:color w:val="000000" w:themeColor="text1"/>
              </w:rPr>
              <w:t xml:space="preserve">epartment </w:t>
            </w:r>
            <w:r w:rsidR="00335BAA" w:rsidRPr="002A6780">
              <w:rPr>
                <w:rFonts w:cstheme="minorHAnsi"/>
                <w:color w:val="000000" w:themeColor="text1"/>
              </w:rPr>
              <w:t>o</w:t>
            </w:r>
            <w:r w:rsidR="00F414FD" w:rsidRPr="002A6780">
              <w:rPr>
                <w:rFonts w:cstheme="minorHAnsi"/>
                <w:color w:val="000000" w:themeColor="text1"/>
              </w:rPr>
              <w:t xml:space="preserve">f </w:t>
            </w:r>
            <w:r w:rsidR="00335BAA" w:rsidRPr="002A6780">
              <w:rPr>
                <w:rFonts w:cstheme="minorHAnsi"/>
                <w:color w:val="000000" w:themeColor="text1"/>
              </w:rPr>
              <w:t>E</w:t>
            </w:r>
            <w:r w:rsidR="00F414FD" w:rsidRPr="002A6780">
              <w:rPr>
                <w:rFonts w:cstheme="minorHAnsi"/>
                <w:color w:val="000000" w:themeColor="text1"/>
              </w:rPr>
              <w:t>ducation</w:t>
            </w:r>
            <w:r w:rsidR="006D485F">
              <w:rPr>
                <w:rFonts w:cstheme="minorHAnsi"/>
                <w:color w:val="000000" w:themeColor="text1"/>
              </w:rPr>
              <w:t xml:space="preserve"> (NDOE)</w:t>
            </w:r>
            <w:r w:rsidR="00581503" w:rsidRPr="002A6780">
              <w:rPr>
                <w:rFonts w:cstheme="minorHAnsi"/>
                <w:color w:val="000000" w:themeColor="text1"/>
              </w:rPr>
              <w:t xml:space="preserve">, 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the </w:t>
            </w:r>
            <w:r w:rsidR="00581503" w:rsidRPr="002A6780">
              <w:rPr>
                <w:rFonts w:cstheme="minorHAnsi"/>
                <w:color w:val="000000" w:themeColor="text1"/>
              </w:rPr>
              <w:t xml:space="preserve">three NGO consortia and the PPF Secretariat </w:t>
            </w:r>
            <w:r w:rsidR="0029213A">
              <w:rPr>
                <w:rFonts w:cstheme="minorHAnsi"/>
                <w:color w:val="000000" w:themeColor="text1"/>
              </w:rPr>
              <w:t xml:space="preserve">and established </w:t>
            </w:r>
            <w:r w:rsidR="00335BAA" w:rsidRPr="002A6780">
              <w:rPr>
                <w:rFonts w:cstheme="minorHAnsi"/>
                <w:color w:val="000000" w:themeColor="text1"/>
              </w:rPr>
              <w:t>the P</w:t>
            </w:r>
            <w:r w:rsidR="000739DF" w:rsidRPr="002A6780">
              <w:rPr>
                <w:rFonts w:cstheme="minorHAnsi"/>
                <w:color w:val="000000" w:themeColor="text1"/>
              </w:rPr>
              <w:t>PF</w:t>
            </w:r>
            <w:r w:rsidR="00B9059C" w:rsidRPr="002A6780">
              <w:rPr>
                <w:rFonts w:cstheme="minorHAnsi"/>
                <w:color w:val="000000" w:themeColor="text1"/>
              </w:rPr>
              <w:t xml:space="preserve"> National Oversight Committee (NoC)</w:t>
            </w:r>
            <w:r w:rsidR="0029213A">
              <w:rPr>
                <w:rFonts w:cstheme="minorHAnsi"/>
                <w:color w:val="000000" w:themeColor="text1"/>
              </w:rPr>
              <w:t xml:space="preserve"> to improve</w:t>
            </w:r>
            <w:r w:rsidR="006D485F">
              <w:rPr>
                <w:rFonts w:cstheme="minorHAnsi"/>
                <w:color w:val="000000" w:themeColor="text1"/>
              </w:rPr>
              <w:t xml:space="preserve"> oversight,</w:t>
            </w:r>
            <w:r w:rsidR="0029213A">
              <w:rPr>
                <w:rFonts w:cstheme="minorHAnsi"/>
                <w:color w:val="000000" w:themeColor="text1"/>
              </w:rPr>
              <w:t xml:space="preserve"> engagement and collaboration among key stakeholders. Since the inaugural NOC meeting </w:t>
            </w:r>
            <w:r w:rsidR="00444E16" w:rsidRPr="002A6780">
              <w:rPr>
                <w:rFonts w:cstheme="minorHAnsi"/>
                <w:color w:val="000000" w:themeColor="text1"/>
              </w:rPr>
              <w:t>in</w:t>
            </w:r>
            <w:r w:rsidR="00335BAA" w:rsidRPr="002A6780">
              <w:rPr>
                <w:rFonts w:cstheme="minorHAnsi"/>
                <w:color w:val="000000" w:themeColor="text1"/>
              </w:rPr>
              <w:t xml:space="preserve"> December</w:t>
            </w:r>
            <w:r w:rsidR="00444E16" w:rsidRPr="002A6780">
              <w:rPr>
                <w:rFonts w:cstheme="minorHAnsi"/>
                <w:color w:val="000000" w:themeColor="text1"/>
              </w:rPr>
              <w:t xml:space="preserve"> 2019</w:t>
            </w:r>
            <w:r w:rsidR="0029213A">
              <w:rPr>
                <w:rFonts w:cstheme="minorHAnsi"/>
                <w:color w:val="000000" w:themeColor="text1"/>
              </w:rPr>
              <w:t xml:space="preserve">, </w:t>
            </w:r>
            <w:r w:rsidR="00444E16" w:rsidRPr="002A6780">
              <w:rPr>
                <w:rFonts w:cstheme="minorHAnsi"/>
                <w:color w:val="000000" w:themeColor="text1"/>
              </w:rPr>
              <w:t>s</w:t>
            </w:r>
            <w:r w:rsidR="00B9059C" w:rsidRPr="002A6780">
              <w:rPr>
                <w:rFonts w:cstheme="minorHAnsi"/>
                <w:color w:val="000000" w:themeColor="text1"/>
              </w:rPr>
              <w:t xml:space="preserve">everal collaboration processes </w:t>
            </w:r>
            <w:r w:rsidR="00D76D64" w:rsidRPr="002A6780">
              <w:rPr>
                <w:rFonts w:cstheme="minorHAnsi"/>
                <w:color w:val="000000" w:themeColor="text1"/>
              </w:rPr>
              <w:t xml:space="preserve">have </w:t>
            </w:r>
            <w:r w:rsidR="0029213A">
              <w:rPr>
                <w:rFonts w:cstheme="minorHAnsi"/>
                <w:color w:val="000000" w:themeColor="text1"/>
              </w:rPr>
              <w:t>taken place</w:t>
            </w:r>
            <w:r w:rsidR="0029213A" w:rsidRPr="002A6780">
              <w:rPr>
                <w:rFonts w:cstheme="minorHAnsi"/>
                <w:color w:val="000000" w:themeColor="text1"/>
              </w:rPr>
              <w:t xml:space="preserve"> </w:t>
            </w:r>
            <w:r w:rsidR="00294C39" w:rsidRPr="002A6780">
              <w:rPr>
                <w:rFonts w:cstheme="minorHAnsi"/>
                <w:color w:val="000000" w:themeColor="text1"/>
              </w:rPr>
              <w:t>including</w:t>
            </w:r>
            <w:r w:rsidR="0029213A">
              <w:rPr>
                <w:rFonts w:cstheme="minorHAnsi"/>
                <w:color w:val="000000" w:themeColor="text1"/>
              </w:rPr>
              <w:t xml:space="preserve"> </w:t>
            </w:r>
            <w:r w:rsidR="006D485F">
              <w:rPr>
                <w:rFonts w:cstheme="minorHAnsi"/>
                <w:color w:val="000000" w:themeColor="text1"/>
              </w:rPr>
              <w:t>on</w:t>
            </w:r>
            <w:r w:rsidR="0029213A">
              <w:rPr>
                <w:rFonts w:cstheme="minorHAnsi"/>
                <w:color w:val="000000" w:themeColor="text1"/>
              </w:rPr>
              <w:t xml:space="preserve"> project progress and the mid-term review findings,</w:t>
            </w:r>
            <w:r w:rsidR="00294C39" w:rsidRPr="002A6780">
              <w:rPr>
                <w:rFonts w:cstheme="minorHAnsi"/>
                <w:color w:val="000000" w:themeColor="text1"/>
              </w:rPr>
              <w:t xml:space="preserve"> </w:t>
            </w:r>
            <w:r w:rsidR="00B9059C" w:rsidRPr="002A6780">
              <w:rPr>
                <w:rFonts w:cstheme="minorHAnsi"/>
                <w:color w:val="000000" w:themeColor="text1"/>
              </w:rPr>
              <w:t>planning</w:t>
            </w:r>
            <w:r w:rsidR="00294C39" w:rsidRPr="002A6780">
              <w:rPr>
                <w:rFonts w:cstheme="minorHAnsi"/>
                <w:color w:val="000000" w:themeColor="text1"/>
              </w:rPr>
              <w:t xml:space="preserve"> and information sharing</w:t>
            </w:r>
            <w:r w:rsidR="00B9059C" w:rsidRPr="002A6780">
              <w:rPr>
                <w:rFonts w:cstheme="minorHAnsi"/>
                <w:color w:val="000000" w:themeColor="text1"/>
              </w:rPr>
              <w:t xml:space="preserve"> workshops, technical working groups</w:t>
            </w:r>
            <w:r w:rsidR="0023172B" w:rsidRPr="002A6780">
              <w:rPr>
                <w:rFonts w:cstheme="minorHAnsi"/>
                <w:color w:val="000000" w:themeColor="text1"/>
              </w:rPr>
              <w:t xml:space="preserve">, </w:t>
            </w:r>
            <w:r w:rsidR="00B9059C" w:rsidRPr="002A6780">
              <w:rPr>
                <w:rFonts w:cstheme="minorHAnsi"/>
                <w:color w:val="000000" w:themeColor="text1"/>
              </w:rPr>
              <w:t>and monitoring and evaluation visits</w:t>
            </w:r>
            <w:r w:rsidR="0023172B" w:rsidRPr="002A6780">
              <w:rPr>
                <w:rFonts w:cstheme="minorHAnsi"/>
                <w:color w:val="000000" w:themeColor="text1"/>
              </w:rPr>
              <w:t>.</w:t>
            </w:r>
            <w:r w:rsidR="0023172B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76B" w14:textId="77777777" w:rsidR="00C354EF" w:rsidRPr="002A6780" w:rsidRDefault="00335BAA" w:rsidP="002823ED">
            <w:pPr>
              <w:spacing w:before="120"/>
              <w:outlineLvl w:val="2"/>
              <w:rPr>
                <w:rFonts w:cstheme="minorHAnsi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Complete</w:t>
            </w:r>
          </w:p>
          <w:p w14:paraId="4EB334F1" w14:textId="77777777" w:rsidR="00C354EF" w:rsidRPr="002A6780" w:rsidRDefault="00C354EF" w:rsidP="00C354EF">
            <w:pPr>
              <w:rPr>
                <w:rFonts w:cstheme="minorHAnsi"/>
              </w:rPr>
            </w:pPr>
          </w:p>
          <w:p w14:paraId="4C02EFEB" w14:textId="77777777" w:rsidR="0023172B" w:rsidRPr="002A6780" w:rsidRDefault="0023172B" w:rsidP="00C354EF">
            <w:pPr>
              <w:rPr>
                <w:rFonts w:cstheme="minorHAnsi"/>
              </w:rPr>
            </w:pPr>
          </w:p>
          <w:p w14:paraId="27BAF991" w14:textId="77777777" w:rsidR="00B83FB9" w:rsidRPr="002A6780" w:rsidRDefault="00B83FB9" w:rsidP="0023172B">
            <w:pPr>
              <w:rPr>
                <w:rFonts w:cstheme="minorHAnsi"/>
              </w:rPr>
            </w:pPr>
          </w:p>
          <w:p w14:paraId="4B04F86E" w14:textId="77777777" w:rsidR="00B83FB9" w:rsidRPr="002A6780" w:rsidRDefault="00B83FB9" w:rsidP="00B83FB9">
            <w:pPr>
              <w:rPr>
                <w:rFonts w:cstheme="minorHAnsi"/>
              </w:rPr>
            </w:pPr>
          </w:p>
          <w:p w14:paraId="18BB7C1D" w14:textId="77777777" w:rsidR="00B83FB9" w:rsidRPr="002A6780" w:rsidRDefault="00B83FB9" w:rsidP="00B83FB9">
            <w:pPr>
              <w:rPr>
                <w:rFonts w:cstheme="minorHAnsi"/>
              </w:rPr>
            </w:pPr>
          </w:p>
          <w:p w14:paraId="6B952A71" w14:textId="77777777" w:rsidR="00B83FB9" w:rsidRPr="002A6780" w:rsidRDefault="00B83FB9" w:rsidP="00B83FB9">
            <w:pPr>
              <w:rPr>
                <w:rFonts w:cstheme="minorHAnsi"/>
              </w:rPr>
            </w:pPr>
          </w:p>
          <w:p w14:paraId="548A1CF2" w14:textId="77777777" w:rsidR="00B83FB9" w:rsidRPr="002A6780" w:rsidRDefault="00B83FB9" w:rsidP="00B83FB9">
            <w:pPr>
              <w:rPr>
                <w:rFonts w:cstheme="minorHAnsi"/>
              </w:rPr>
            </w:pPr>
          </w:p>
          <w:p w14:paraId="51855F55" w14:textId="77777777" w:rsidR="00620640" w:rsidRPr="002A6780" w:rsidRDefault="00620640">
            <w:pPr>
              <w:rPr>
                <w:rFonts w:cstheme="minorHAnsi"/>
              </w:rPr>
            </w:pPr>
          </w:p>
        </w:tc>
      </w:tr>
      <w:tr w:rsidR="00F751A4" w:rsidRPr="002A6780" w14:paraId="3D6106E0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2EC" w14:textId="77777777" w:rsidR="00620640" w:rsidRPr="002A6780" w:rsidRDefault="00620640" w:rsidP="0013396F">
            <w:pPr>
              <w:pStyle w:val="Heading5"/>
              <w:keepNext w:val="0"/>
              <w:keepLines w:val="0"/>
              <w:spacing w:before="120"/>
              <w:ind w:left="1843" w:hanging="1843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2</w:t>
            </w:r>
          </w:p>
          <w:p w14:paraId="1B53AEC5" w14:textId="77777777" w:rsidR="00D929EB" w:rsidRPr="002A6780" w:rsidRDefault="00D929EB" w:rsidP="00D929EB">
            <w:pPr>
              <w:rPr>
                <w:rFonts w:cstheme="minorHAnsi"/>
              </w:rPr>
            </w:pPr>
            <w:r w:rsidRPr="002A6780">
              <w:rPr>
                <w:rFonts w:eastAsia="Times New Roman" w:cstheme="minorHAnsi"/>
                <w:color w:val="222222"/>
                <w:lang w:eastAsia="en-AU"/>
              </w:rPr>
              <w:t>The Australian Government should engage the PPF Secretariat to design and facilitate</w:t>
            </w:r>
            <w:r w:rsidR="00444E16" w:rsidRPr="002A6780">
              <w:rPr>
                <w:rFonts w:eastAsia="Times New Roman" w:cstheme="minorHAnsi"/>
                <w:color w:val="222222"/>
                <w:lang w:eastAsia="en-AU"/>
              </w:rPr>
              <w:t xml:space="preserve"> the conduct of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 a PPF Education Grants Theory of Change </w:t>
            </w:r>
            <w:r w:rsidR="00567389" w:rsidRPr="002A6780">
              <w:rPr>
                <w:rFonts w:eastAsia="Times New Roman" w:cstheme="minorHAnsi"/>
                <w:color w:val="222222"/>
                <w:lang w:eastAsia="en-AU"/>
              </w:rPr>
              <w:t xml:space="preserve">(ToC) 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workshop to develop a more integrated program logic and associated </w:t>
            </w:r>
            <w:r w:rsidRPr="006D485F">
              <w:rPr>
                <w:rFonts w:eastAsia="Times New Roman" w:cstheme="minorHAnsi"/>
                <w:color w:val="222222"/>
                <w:lang w:eastAsia="en-AU"/>
              </w:rPr>
              <w:t>results framework to guide all projects during the extension phase to February 2022.</w:t>
            </w:r>
          </w:p>
          <w:p w14:paraId="74647688" w14:textId="77777777" w:rsidR="006E4D5B" w:rsidRPr="002A6780" w:rsidRDefault="006E4D5B" w:rsidP="003A14B7">
            <w:pPr>
              <w:pStyle w:val="Heading5"/>
              <w:outlineLvl w:val="4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DBC" w14:textId="77777777" w:rsidR="00620640" w:rsidRPr="002A6780" w:rsidRDefault="00A74606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8BB" w14:textId="77777777" w:rsidR="003C2EC8" w:rsidRPr="002A6780" w:rsidRDefault="004C31CA" w:rsidP="005B0DCF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DFAT</w:t>
            </w:r>
            <w:r w:rsidR="00D03B26" w:rsidRPr="002A6780">
              <w:rPr>
                <w:rFonts w:cstheme="minorHAnsi"/>
                <w:color w:val="000000" w:themeColor="text1"/>
              </w:rPr>
              <w:t xml:space="preserve"> agrees </w:t>
            </w:r>
            <w:r w:rsidR="006D485F">
              <w:rPr>
                <w:rFonts w:cstheme="minorHAnsi"/>
                <w:color w:val="000000" w:themeColor="text1"/>
              </w:rPr>
              <w:t xml:space="preserve">that </w:t>
            </w:r>
            <w:r w:rsidR="00D03B26" w:rsidRPr="002A6780">
              <w:rPr>
                <w:rFonts w:cstheme="minorHAnsi"/>
                <w:color w:val="000000" w:themeColor="text1"/>
              </w:rPr>
              <w:t xml:space="preserve">a need </w:t>
            </w:r>
            <w:r w:rsidR="00335BAA" w:rsidRPr="002A6780">
              <w:rPr>
                <w:rFonts w:cstheme="minorHAnsi"/>
                <w:color w:val="000000" w:themeColor="text1"/>
              </w:rPr>
              <w:t>for</w:t>
            </w:r>
            <w:r w:rsidR="00D03B26" w:rsidRPr="002A6780">
              <w:rPr>
                <w:rFonts w:cstheme="minorHAnsi"/>
                <w:color w:val="000000" w:themeColor="text1"/>
              </w:rPr>
              <w:t xml:space="preserve"> an overarching PPF Education grants </w:t>
            </w:r>
            <w:r w:rsidR="00567389" w:rsidRPr="002A6780">
              <w:rPr>
                <w:rFonts w:cstheme="minorHAnsi"/>
                <w:color w:val="000000" w:themeColor="text1"/>
              </w:rPr>
              <w:t>ToC</w:t>
            </w:r>
            <w:r w:rsidR="005B0DCF" w:rsidRPr="002A6780">
              <w:rPr>
                <w:rFonts w:cstheme="minorHAnsi"/>
                <w:color w:val="000000" w:themeColor="text1"/>
              </w:rPr>
              <w:t xml:space="preserve"> emerged in the initial phase of PPF implementation</w:t>
            </w:r>
            <w:r w:rsidR="00D03B26" w:rsidRPr="002A6780">
              <w:rPr>
                <w:rFonts w:cstheme="minorHAnsi"/>
                <w:color w:val="000000" w:themeColor="text1"/>
              </w:rPr>
              <w:t>.</w:t>
            </w:r>
            <w:r w:rsidR="00A74606" w:rsidRPr="002A6780">
              <w:rPr>
                <w:rFonts w:cstheme="minorHAnsi"/>
                <w:color w:val="000000" w:themeColor="text1"/>
              </w:rPr>
              <w:t xml:space="preserve"> </w:t>
            </w:r>
            <w:r w:rsidR="00D03B26" w:rsidRPr="002A6780">
              <w:rPr>
                <w:lang w:val="en-US"/>
              </w:rPr>
              <w:t xml:space="preserve">PPF and its partners </w:t>
            </w:r>
            <w:r w:rsidR="00335BAA" w:rsidRPr="002A6780">
              <w:rPr>
                <w:lang w:val="en-US"/>
              </w:rPr>
              <w:t xml:space="preserve">can </w:t>
            </w:r>
            <w:r w:rsidR="00D03B26" w:rsidRPr="002A6780">
              <w:rPr>
                <w:lang w:val="en-US"/>
              </w:rPr>
              <w:t>use the ToC as a tool to guide</w:t>
            </w:r>
            <w:r w:rsidR="006D485F">
              <w:rPr>
                <w:lang w:val="en-US"/>
              </w:rPr>
              <w:t xml:space="preserve"> projects during the extension phase, including</w:t>
            </w:r>
            <w:r w:rsidR="00D03B26" w:rsidRPr="002A6780">
              <w:rPr>
                <w:lang w:val="en-US"/>
              </w:rPr>
              <w:t xml:space="preserve"> strategies for effectiveness in teaching and learnin</w:t>
            </w:r>
            <w:r w:rsidR="00335BAA" w:rsidRPr="002A6780">
              <w:rPr>
                <w:lang w:val="en-US"/>
              </w:rPr>
              <w:t>g.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85C" w14:textId="1D63C0CE" w:rsidR="003C2EC8" w:rsidRPr="002A6780" w:rsidRDefault="004F6913" w:rsidP="006D485F">
            <w:pPr>
              <w:shd w:val="clear" w:color="auto" w:fill="FFFFFF"/>
              <w:spacing w:before="120"/>
              <w:rPr>
                <w:rFonts w:cstheme="minorHAnsi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In February 2020,</w:t>
            </w:r>
            <w:r w:rsidR="00335BAA" w:rsidRPr="002A6780">
              <w:rPr>
                <w:rFonts w:ascii="Calibri" w:eastAsia="Times New Roman" w:hAnsi="Calibri" w:cs="Calibri"/>
                <w:lang w:eastAsia="en-AU"/>
              </w:rPr>
              <w:t xml:space="preserve"> based on this recommendation,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the PPF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 Secretariat facilitated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a </w:t>
            </w:r>
            <w:r w:rsidR="00567389" w:rsidRPr="002A6780">
              <w:rPr>
                <w:rFonts w:ascii="Calibri" w:eastAsia="Times New Roman" w:hAnsi="Calibri" w:cs="Calibri"/>
                <w:lang w:eastAsia="en-AU"/>
              </w:rPr>
              <w:t>ToC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Workshop</w:t>
            </w:r>
            <w:r w:rsidR="00761636" w:rsidRPr="002A6780">
              <w:rPr>
                <w:rFonts w:ascii="Calibri" w:eastAsia="Times New Roman" w:hAnsi="Calibri" w:cs="Calibri"/>
                <w:lang w:eastAsia="en-AU"/>
              </w:rPr>
              <w:t>. This included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consultations at </w:t>
            </w:r>
            <w:r w:rsidR="00444E16" w:rsidRPr="002A6780">
              <w:rPr>
                <w:rFonts w:ascii="Calibri" w:eastAsia="Times New Roman" w:hAnsi="Calibri" w:cs="Calibri"/>
                <w:lang w:eastAsia="en-AU"/>
              </w:rPr>
              <w:t xml:space="preserve">the 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national and provincial </w:t>
            </w:r>
            <w:r w:rsidR="00335BAA" w:rsidRPr="002A6780">
              <w:rPr>
                <w:rFonts w:ascii="Calibri" w:eastAsia="Times New Roman" w:hAnsi="Calibri" w:cs="Calibri"/>
                <w:lang w:eastAsia="en-AU"/>
              </w:rPr>
              <w:t>l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>evel</w:t>
            </w:r>
            <w:r w:rsidR="00444E16" w:rsidRPr="002A6780">
              <w:rPr>
                <w:rFonts w:ascii="Calibri" w:eastAsia="Times New Roman" w:hAnsi="Calibri" w:cs="Calibri"/>
                <w:lang w:eastAsia="en-AU"/>
              </w:rPr>
              <w:t>s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to develop a coordinated and well-integrated program logic.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Workshop participants comprised representatives from </w:t>
            </w:r>
            <w:r w:rsidR="00444E16" w:rsidRPr="002A6780">
              <w:rPr>
                <w:rFonts w:ascii="Calibri" w:eastAsia="Times New Roman" w:hAnsi="Calibri" w:cs="Calibri"/>
                <w:lang w:eastAsia="en-AU"/>
              </w:rPr>
              <w:t xml:space="preserve">the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three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D03B26" w:rsidRPr="002A6780">
              <w:rPr>
                <w:rFonts w:cstheme="minorHAnsi"/>
                <w:color w:val="000000" w:themeColor="text1"/>
              </w:rPr>
              <w:t>consortia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, </w:t>
            </w:r>
            <w:r w:rsidR="004C31CA"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, </w:t>
            </w:r>
            <w:r w:rsidR="007508AA" w:rsidRPr="002A6780">
              <w:rPr>
                <w:rFonts w:ascii="Calibri" w:eastAsia="Times New Roman" w:hAnsi="Calibri" w:cs="Calibri"/>
                <w:lang w:eastAsia="en-AU"/>
              </w:rPr>
              <w:t>National Department of Education (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>NDoE</w:t>
            </w:r>
            <w:r w:rsidR="007508AA" w:rsidRPr="002A6780">
              <w:rPr>
                <w:rFonts w:ascii="Calibri" w:eastAsia="Times New Roman" w:hAnsi="Calibri" w:cs="Calibri"/>
                <w:lang w:eastAsia="en-AU"/>
              </w:rPr>
              <w:t>)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, provincial Departments of Education and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N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ational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P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lanning and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M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>onitoring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.  </w:t>
            </w:r>
            <w:r w:rsidR="006D485F">
              <w:rPr>
                <w:rFonts w:ascii="Calibri" w:eastAsia="Times New Roman" w:hAnsi="Calibri" w:cs="Calibri"/>
                <w:lang w:eastAsia="en-AU"/>
              </w:rPr>
              <w:t xml:space="preserve">The ToC has been used to inform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a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Monitoring, Evaluation, Accountability and Learning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 framework</w:t>
            </w:r>
            <w:r w:rsidR="006D485F">
              <w:rPr>
                <w:rFonts w:ascii="Calibri" w:eastAsia="Times New Roman" w:hAnsi="Calibri" w:cs="Calibri"/>
                <w:lang w:eastAsia="en-AU"/>
              </w:rPr>
              <w:t xml:space="preserve"> (finalised March 2020), c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ommon 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t xml:space="preserve">evaluation and learning questions and key performance </w:t>
            </w:r>
            <w:r w:rsidR="00D03B26" w:rsidRPr="002A6780">
              <w:rPr>
                <w:rFonts w:ascii="Calibri" w:eastAsia="Times New Roman" w:hAnsi="Calibri" w:cs="Calibri"/>
                <w:lang w:eastAsia="en-AU"/>
              </w:rPr>
              <w:lastRenderedPageBreak/>
              <w:t>indicators</w:t>
            </w:r>
            <w:r w:rsidR="00126293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6D485F">
              <w:rPr>
                <w:rFonts w:ascii="Calibri" w:eastAsia="Times New Roman" w:hAnsi="Calibri" w:cs="Calibri"/>
                <w:lang w:eastAsia="en-AU"/>
              </w:rPr>
              <w:t xml:space="preserve">to guide the extension phase to February 2022.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03D" w14:textId="77777777" w:rsidR="00620640" w:rsidRPr="002A6780" w:rsidRDefault="00F414FD" w:rsidP="0013396F">
            <w:pPr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lastRenderedPageBreak/>
              <w:t xml:space="preserve">Complete </w:t>
            </w:r>
          </w:p>
        </w:tc>
      </w:tr>
      <w:tr w:rsidR="00F751A4" w:rsidRPr="002A6780" w14:paraId="1FBEB608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CCF" w14:textId="77777777" w:rsidR="006E4D5B" w:rsidRPr="002A6780" w:rsidRDefault="006E4D5B" w:rsidP="006E4D5B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3</w:t>
            </w:r>
          </w:p>
          <w:p w14:paraId="2BF99E72" w14:textId="77777777" w:rsidR="003C2EC8" w:rsidRPr="002A6780" w:rsidRDefault="00D929EB" w:rsidP="00D929EB">
            <w:pPr>
              <w:rPr>
                <w:rFonts w:cstheme="minorHAnsi"/>
              </w:rPr>
            </w:pPr>
            <w:r w:rsidRPr="002A6780">
              <w:rPr>
                <w:rFonts w:eastAsia="Times New Roman" w:cstheme="minorHAnsi"/>
                <w:color w:val="222222"/>
                <w:lang w:eastAsia="en-AU"/>
              </w:rPr>
              <w:t>The Australian Government should request for a special meeting of the PPF National Oversight Committee to endorse the agreements and direction resulting from the PPF Education</w:t>
            </w:r>
            <w:r w:rsidRPr="002A6780">
              <w:rPr>
                <w:rFonts w:eastAsia="Times New Roman" w:cstheme="minorHAnsi"/>
                <w:color w:val="222222"/>
                <w:sz w:val="24"/>
                <w:szCs w:val="24"/>
                <w:lang w:eastAsia="en-AU"/>
              </w:rPr>
              <w:t xml:space="preserve"> 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Grants </w:t>
            </w:r>
            <w:r w:rsidR="00567389" w:rsidRPr="002A6780">
              <w:rPr>
                <w:rFonts w:eastAsia="Times New Roman" w:cstheme="minorHAnsi"/>
                <w:color w:val="222222"/>
                <w:lang w:eastAsia="en-AU"/>
              </w:rPr>
              <w:t xml:space="preserve">ToC 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>workshop.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ED0" w14:textId="77777777" w:rsidR="006E4D5B" w:rsidRPr="002A6780" w:rsidRDefault="005659D2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B69" w14:textId="77777777" w:rsidR="003C2EC8" w:rsidRPr="002A6780" w:rsidRDefault="004C31CA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="009310DC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agrees on the need </w:t>
            </w:r>
            <w:r w:rsidR="00444E16" w:rsidRPr="002A6780">
              <w:rPr>
                <w:rFonts w:ascii="Calibri" w:eastAsia="Times New Roman" w:hAnsi="Calibri" w:cs="Calibri"/>
                <w:lang w:eastAsia="en-AU"/>
              </w:rPr>
              <w:t>for the Committee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 to </w:t>
            </w:r>
            <w:r w:rsidR="00444E16" w:rsidRPr="002A6780">
              <w:rPr>
                <w:rFonts w:ascii="Calibri" w:eastAsia="Times New Roman" w:hAnsi="Calibri" w:cs="Calibri"/>
                <w:lang w:eastAsia="en-AU"/>
              </w:rPr>
              <w:t xml:space="preserve">endorse 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the new </w:t>
            </w:r>
            <w:r w:rsidR="00567389" w:rsidRPr="002A6780">
              <w:rPr>
                <w:rFonts w:ascii="Calibri" w:eastAsia="Times New Roman" w:hAnsi="Calibri" w:cs="Calibri"/>
                <w:lang w:eastAsia="en-AU"/>
              </w:rPr>
              <w:t>ToC</w:t>
            </w:r>
            <w:r w:rsidR="00F414FD" w:rsidRPr="002A6780">
              <w:rPr>
                <w:rFonts w:ascii="Calibri" w:eastAsia="Times New Roman" w:hAnsi="Calibri" w:cs="Calibri"/>
                <w:lang w:eastAsia="en-AU"/>
              </w:rPr>
              <w:t xml:space="preserve">.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751" w14:textId="77777777" w:rsidR="003C2EC8" w:rsidRPr="002A6780" w:rsidRDefault="00F414FD" w:rsidP="00761636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A meeting of the NOC was planned for April 2020 to endorse the direction of the program</w:t>
            </w:r>
            <w:r w:rsidR="00761636" w:rsidRPr="002A6780">
              <w:rPr>
                <w:rFonts w:ascii="Calibri" w:eastAsia="Times New Roman" w:hAnsi="Calibri" w:cs="Calibri"/>
                <w:lang w:eastAsia="en-AU"/>
              </w:rPr>
              <w:t>,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including the mechanism for NDoE engagement on research, learning and teacher education priorities. </w:t>
            </w:r>
            <w:r w:rsidR="006C54C9" w:rsidRPr="002A6780">
              <w:rPr>
                <w:rFonts w:cstheme="minorHAnsi"/>
                <w:color w:val="000000" w:themeColor="text1"/>
              </w:rPr>
              <w:t xml:space="preserve">Due to the impact of </w:t>
            </w:r>
            <w:r w:rsidR="00761636" w:rsidRPr="002A6780">
              <w:rPr>
                <w:rFonts w:cstheme="minorHAnsi"/>
                <w:color w:val="000000" w:themeColor="text1"/>
              </w:rPr>
              <w:t xml:space="preserve">the </w:t>
            </w:r>
            <w:r w:rsidR="006C54C9" w:rsidRPr="002A6780">
              <w:rPr>
                <w:rFonts w:cstheme="minorHAnsi"/>
                <w:color w:val="000000" w:themeColor="text1"/>
              </w:rPr>
              <w:t xml:space="preserve">COVID </w:t>
            </w:r>
            <w:r w:rsidR="00502EBD" w:rsidRPr="002A6780">
              <w:rPr>
                <w:rFonts w:cstheme="minorHAnsi"/>
                <w:color w:val="000000" w:themeColor="text1"/>
              </w:rPr>
              <w:t xml:space="preserve">19 </w:t>
            </w:r>
            <w:r w:rsidR="006F0614" w:rsidRPr="002A6780">
              <w:rPr>
                <w:rFonts w:cstheme="minorHAnsi"/>
                <w:color w:val="000000" w:themeColor="text1"/>
              </w:rPr>
              <w:t>pandemic</w:t>
            </w:r>
            <w:r w:rsidRPr="002A6780">
              <w:rPr>
                <w:rFonts w:cstheme="minorHAnsi"/>
                <w:color w:val="000000" w:themeColor="text1"/>
              </w:rPr>
              <w:t>,</w:t>
            </w:r>
            <w:r w:rsidR="006F0614" w:rsidRPr="002A6780">
              <w:rPr>
                <w:rFonts w:cstheme="minorHAnsi"/>
                <w:color w:val="000000" w:themeColor="text1"/>
              </w:rPr>
              <w:t xml:space="preserve"> </w:t>
            </w:r>
            <w:r w:rsidR="00EC26C3" w:rsidRPr="002A6780">
              <w:rPr>
                <w:rFonts w:cstheme="minorHAnsi"/>
                <w:color w:val="000000" w:themeColor="text1"/>
              </w:rPr>
              <w:t xml:space="preserve">including lockdowns in Port </w:t>
            </w:r>
            <w:r w:rsidR="00761636" w:rsidRPr="002A6780">
              <w:rPr>
                <w:rFonts w:cstheme="minorHAnsi"/>
                <w:color w:val="000000" w:themeColor="text1"/>
              </w:rPr>
              <w:t>Moresby</w:t>
            </w:r>
            <w:r w:rsidR="00EC26C3" w:rsidRPr="002A6780">
              <w:rPr>
                <w:rFonts w:cstheme="minorHAnsi"/>
                <w:color w:val="000000" w:themeColor="text1"/>
              </w:rPr>
              <w:t xml:space="preserve">, the </w:t>
            </w:r>
            <w:r w:rsidR="00502EBD" w:rsidRPr="002A6780">
              <w:rPr>
                <w:rFonts w:cstheme="minorHAnsi"/>
                <w:color w:val="000000" w:themeColor="text1"/>
              </w:rPr>
              <w:t>NoC</w:t>
            </w:r>
            <w:r w:rsidR="006F0614" w:rsidRPr="002A6780">
              <w:rPr>
                <w:rFonts w:cstheme="minorHAnsi"/>
                <w:color w:val="000000" w:themeColor="text1"/>
              </w:rPr>
              <w:t xml:space="preserve"> meeting </w:t>
            </w:r>
            <w:r w:rsidR="00EC26C3" w:rsidRPr="002A6780">
              <w:rPr>
                <w:rFonts w:cstheme="minorHAnsi"/>
                <w:color w:val="000000" w:themeColor="text1"/>
              </w:rPr>
              <w:t xml:space="preserve">could not be held face to face. However, papers were sent out via email and recommendations endorsed by email response in August </w:t>
            </w:r>
            <w:r w:rsidR="006F0614" w:rsidRPr="002A6780">
              <w:rPr>
                <w:rFonts w:cstheme="minorHAnsi"/>
                <w:color w:val="000000" w:themeColor="text1"/>
              </w:rPr>
              <w:t>2020</w:t>
            </w:r>
            <w:r w:rsidRPr="002A6780">
              <w:rPr>
                <w:rFonts w:cstheme="minorHAnsi"/>
                <w:color w:val="000000" w:themeColor="text1"/>
              </w:rPr>
              <w:t xml:space="preserve">. </w:t>
            </w:r>
            <w:r w:rsidR="006F0614" w:rsidRPr="002A6780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C6E" w14:textId="77777777" w:rsidR="006E4D5B" w:rsidRPr="002A6780" w:rsidRDefault="00EC26C3" w:rsidP="000A2A99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Complete</w:t>
            </w:r>
          </w:p>
        </w:tc>
      </w:tr>
      <w:tr w:rsidR="00F751A4" w:rsidRPr="002A6780" w14:paraId="35626CBF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44C" w14:textId="77777777" w:rsidR="00620640" w:rsidRPr="002A6780" w:rsidRDefault="00620640" w:rsidP="002823ED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 xml:space="preserve">Recommendation </w:t>
            </w:r>
            <w:r w:rsidR="006E4D5B" w:rsidRPr="002A678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14:paraId="072F7E2F" w14:textId="77777777" w:rsidR="00620640" w:rsidRPr="002A6780" w:rsidRDefault="00D929EB" w:rsidP="000A4477"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The Australian Government should </w:t>
            </w:r>
            <w:r w:rsidR="00AC004B" w:rsidRPr="002A6780">
              <w:rPr>
                <w:rFonts w:eastAsia="Times New Roman" w:cstheme="minorHAnsi"/>
                <w:color w:val="222222"/>
                <w:lang w:eastAsia="en-AU"/>
              </w:rPr>
              <w:t xml:space="preserve">task </w:t>
            </w:r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the PPF Secretariat to develop clear institutional engagement and communication protocols for the PPF Education Grants that meet Australian Government needs and </w:t>
            </w:r>
            <w:r w:rsidRPr="00DE69F8">
              <w:rPr>
                <w:rFonts w:eastAsia="Times New Roman" w:cstheme="minorHAnsi"/>
                <w:color w:val="222222"/>
                <w:lang w:eastAsia="en-AU"/>
              </w:rPr>
              <w:t>provide for appropriate and timely engagement and communication between the PPF Secretariat and grantees with GoPNG at different levels</w:t>
            </w:r>
            <w:r w:rsidRPr="00DE69F8">
              <w:rPr>
                <w:rFonts w:eastAsia="Times New Roman" w:cstheme="minorHAnsi"/>
                <w:color w:val="222222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D3E" w14:textId="77777777" w:rsidR="00620640" w:rsidRPr="002A6780" w:rsidRDefault="00C44CF8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7E5" w14:textId="73A70CBC" w:rsidR="003C2EC8" w:rsidRPr="002A6780" w:rsidRDefault="004C31CA" w:rsidP="00114615">
            <w:pPr>
              <w:spacing w:before="120"/>
              <w:outlineLvl w:val="2"/>
              <w:rPr>
                <w:rFonts w:ascii="Calibri" w:eastAsia="Times New Roman" w:hAnsi="Calibri" w:cs="Calibri"/>
                <w:bCs/>
                <w:lang w:eastAsia="en-AU"/>
              </w:rPr>
            </w:pPr>
            <w:r w:rsidRPr="002A6780">
              <w:rPr>
                <w:rFonts w:ascii="Calibri" w:eastAsia="Times New Roman" w:hAnsi="Calibri" w:cs="Calibri"/>
                <w:bCs/>
                <w:lang w:eastAsia="en-AU"/>
              </w:rPr>
              <w:t>DFAT</w:t>
            </w:r>
            <w:r w:rsidR="003E30B7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agrees there is value in </w:t>
            </w:r>
            <w:r w:rsidR="00242884" w:rsidRPr="002A6780">
              <w:rPr>
                <w:rFonts w:ascii="Calibri" w:eastAsia="Times New Roman" w:hAnsi="Calibri" w:cs="Calibri"/>
                <w:bCs/>
                <w:lang w:eastAsia="en-AU"/>
              </w:rPr>
              <w:t>clarifying</w:t>
            </w:r>
            <w:r w:rsidR="003E30B7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3E30B7" w:rsidRPr="002A6780">
              <w:rPr>
                <w:rFonts w:ascii="Calibri" w:eastAsia="Times New Roman" w:hAnsi="Calibri" w:cs="Calibri"/>
                <w:lang w:eastAsia="en-AU"/>
              </w:rPr>
              <w:t>communication</w:t>
            </w:r>
            <w:r w:rsidR="003E30B7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protocols amongst stakeholders</w:t>
            </w:r>
            <w:r w:rsidR="00581503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. </w:t>
            </w:r>
            <w:r w:rsidR="003E30B7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1E0" w14:textId="198B5391" w:rsidR="00E17800" w:rsidRDefault="00DE69F8" w:rsidP="000A4477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Clear institutional </w:t>
            </w:r>
            <w:r w:rsidR="00AC004B" w:rsidRPr="002A6780">
              <w:rPr>
                <w:rFonts w:ascii="Calibri" w:eastAsia="Times New Roman" w:hAnsi="Calibri" w:cs="Calibri"/>
                <w:bCs/>
                <w:lang w:eastAsia="en-AU"/>
              </w:rPr>
              <w:t>engagement and communication protocol</w:t>
            </w:r>
            <w:r w:rsidR="00D76D64" w:rsidRPr="002A6780">
              <w:rPr>
                <w:rFonts w:ascii="Calibri" w:eastAsia="Times New Roman" w:hAnsi="Calibri" w:cs="Calibri"/>
                <w:bCs/>
                <w:lang w:eastAsia="en-AU"/>
              </w:rPr>
              <w:t>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have been established through the </w:t>
            </w:r>
            <w:r w:rsidRPr="002A6780">
              <w:rPr>
                <w:rFonts w:ascii="Calibri" w:eastAsia="Times New Roman" w:hAnsi="Calibri" w:cs="Calibri"/>
                <w:bCs/>
                <w:lang w:eastAsia="en-AU"/>
              </w:rPr>
              <w:t>MOU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(signed between the NDOE, </w:t>
            </w:r>
            <w:r w:rsidRPr="002A6780">
              <w:rPr>
                <w:rFonts w:cstheme="minorHAnsi"/>
                <w:color w:val="000000" w:themeColor="text1"/>
              </w:rPr>
              <w:t>the three NGO consortia and the PPF Secretariat</w:t>
            </w:r>
            <w:r>
              <w:rPr>
                <w:rFonts w:cstheme="minorHAnsi"/>
                <w:color w:val="000000" w:themeColor="text1"/>
              </w:rPr>
              <w:t xml:space="preserve"> in December 2019) and the </w:t>
            </w:r>
            <w:r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>establishment of the</w:t>
            </w:r>
            <w:r w:rsidR="006D485F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581503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National Oversight 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>Committee</w:t>
            </w:r>
            <w:r w:rsidR="00581503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In response to the planning and ToC </w:t>
            </w:r>
            <w:r w:rsidR="00581503" w:rsidRPr="002A6780">
              <w:rPr>
                <w:rFonts w:ascii="Calibri" w:eastAsia="Times New Roman" w:hAnsi="Calibri" w:cs="Calibri"/>
                <w:bCs/>
                <w:lang w:eastAsia="en-AU"/>
              </w:rPr>
              <w:t>workshop in February</w:t>
            </w:r>
            <w:r w:rsidR="00AC004B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2020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, </w:t>
            </w:r>
            <w:r w:rsidR="00EC26C3" w:rsidRPr="002A6780">
              <w:rPr>
                <w:rFonts w:ascii="Calibri" w:eastAsia="Times New Roman" w:hAnsi="Calibri" w:cs="Calibri"/>
                <w:bCs/>
                <w:lang w:eastAsia="en-AU"/>
              </w:rPr>
              <w:t>NoC members endorsed</w:t>
            </w:r>
            <w:r w:rsidR="0032727F" w:rsidRPr="002A6780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the </w:t>
            </w:r>
            <w:r w:rsidR="005548F5" w:rsidRPr="002A6780">
              <w:rPr>
                <w:rFonts w:ascii="Calibri" w:eastAsia="Times New Roman" w:hAnsi="Calibri" w:cs="Calibri"/>
                <w:lang w:eastAsia="en-AU"/>
              </w:rPr>
              <w:t>establish</w:t>
            </w:r>
            <w:r>
              <w:rPr>
                <w:rFonts w:ascii="Calibri" w:eastAsia="Times New Roman" w:hAnsi="Calibri" w:cs="Calibri"/>
                <w:lang w:eastAsia="en-AU"/>
              </w:rPr>
              <w:t>ment of</w:t>
            </w:r>
            <w:r w:rsidR="005548F5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 xml:space="preserve">two </w:t>
            </w:r>
            <w:r w:rsidR="005548F5" w:rsidRPr="002A6780">
              <w:rPr>
                <w:rFonts w:ascii="Calibri" w:eastAsia="Times New Roman" w:hAnsi="Calibri" w:cs="Calibri"/>
                <w:lang w:eastAsia="en-AU"/>
              </w:rPr>
              <w:t>Technical Working Group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 xml:space="preserve">s to </w:t>
            </w:r>
            <w:r w:rsidR="001F253B" w:rsidRPr="002A6780">
              <w:rPr>
                <w:rFonts w:ascii="Calibri" w:eastAsia="Times New Roman" w:hAnsi="Calibri" w:cs="Calibri"/>
                <w:lang w:eastAsia="en-AU"/>
              </w:rPr>
              <w:t xml:space="preserve">oversee 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>r</w:t>
            </w:r>
            <w:r w:rsidR="001F253B" w:rsidRPr="002A6780">
              <w:rPr>
                <w:rFonts w:ascii="Calibri" w:eastAsia="Times New Roman" w:hAnsi="Calibri" w:cs="Calibri"/>
                <w:lang w:eastAsia="en-AU"/>
              </w:rPr>
              <w:t>esearch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 xml:space="preserve"> and progress teaching and </w:t>
            </w:r>
            <w:r w:rsidR="001F253B" w:rsidRPr="002A6780">
              <w:rPr>
                <w:rFonts w:ascii="Calibri" w:eastAsia="Times New Roman" w:hAnsi="Calibri" w:cs="Calibri"/>
                <w:lang w:eastAsia="en-AU"/>
              </w:rPr>
              <w:t>learning</w:t>
            </w:r>
            <w:r w:rsidR="00E17800">
              <w:rPr>
                <w:rFonts w:ascii="Calibri" w:eastAsia="Times New Roman" w:hAnsi="Calibri" w:cs="Calibri"/>
                <w:lang w:eastAsia="en-AU"/>
              </w:rPr>
              <w:t xml:space="preserve">, </w:t>
            </w:r>
            <w:r>
              <w:rPr>
                <w:rFonts w:ascii="Calibri" w:eastAsia="Times New Roman" w:hAnsi="Calibri" w:cs="Calibri"/>
                <w:lang w:eastAsia="en-AU"/>
              </w:rPr>
              <w:t>strengthening engagement and communication between key stakeholders at different levels</w:t>
            </w:r>
            <w:r w:rsidR="00581503" w:rsidRPr="002A6780">
              <w:rPr>
                <w:rFonts w:ascii="Calibri" w:eastAsia="Times New Roman" w:hAnsi="Calibri" w:cs="Calibri"/>
                <w:lang w:eastAsia="en-AU"/>
              </w:rPr>
              <w:t>.</w:t>
            </w:r>
          </w:p>
          <w:p w14:paraId="3B029BEF" w14:textId="0ADC7837" w:rsidR="00F428D2" w:rsidRPr="002A6780" w:rsidRDefault="00E17800" w:rsidP="005B26E8">
            <w:pPr>
              <w:shd w:val="clear" w:color="auto" w:fill="FFFFFF"/>
              <w:spacing w:before="12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In addition, PPF is providing technical advisory support to the PNG Government in response to COVID-19, including helping shape the Education in Emergency Response and Recovery Plan. </w:t>
            </w:r>
            <w:r w:rsidRPr="002A6780">
              <w:rPr>
                <w:rFonts w:cstheme="minorHAnsi"/>
              </w:rPr>
              <w:t xml:space="preserve">These interactions have </w:t>
            </w:r>
            <w:r w:rsidRPr="002A6780">
              <w:rPr>
                <w:rFonts w:cstheme="minorHAnsi"/>
              </w:rPr>
              <w:lastRenderedPageBreak/>
              <w:t xml:space="preserve">facilitated more regular and open lines of communication between the PPF Secretariat and </w:t>
            </w:r>
            <w:proofErr w:type="spellStart"/>
            <w:r w:rsidRPr="002A6780">
              <w:rPr>
                <w:rFonts w:cstheme="minorHAnsi"/>
              </w:rPr>
              <w:t>GoPNG</w:t>
            </w:r>
            <w:proofErr w:type="spellEnd"/>
            <w:r w:rsidRPr="002A6780">
              <w:rPr>
                <w:rFonts w:cstheme="minorHAns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B0D" w14:textId="77777777" w:rsidR="00620640" w:rsidRPr="002A6780" w:rsidRDefault="00EC26C3" w:rsidP="002823ED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lastRenderedPageBreak/>
              <w:t>Complete</w:t>
            </w:r>
          </w:p>
          <w:p w14:paraId="195A39A7" w14:textId="77777777" w:rsidR="00EC26C3" w:rsidRPr="002A6780" w:rsidRDefault="00EC26C3" w:rsidP="002823ED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</w:p>
        </w:tc>
      </w:tr>
      <w:tr w:rsidR="00F751A4" w:rsidRPr="002A6780" w14:paraId="7E89DCD0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441" w14:textId="77777777" w:rsidR="00620640" w:rsidRPr="002A6780" w:rsidRDefault="00620640" w:rsidP="002823ED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 xml:space="preserve">Recommendation </w:t>
            </w:r>
            <w:r w:rsidR="006E4D5B" w:rsidRPr="002A678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  <w:p w14:paraId="48F9E56C" w14:textId="77777777" w:rsidR="003C2EC8" w:rsidRPr="002A6780" w:rsidRDefault="00D929EB" w:rsidP="0014244F">
            <w:pPr>
              <w:pStyle w:val="Heading5"/>
              <w:keepNext w:val="0"/>
              <w:keepLines w:val="0"/>
              <w:spacing w:after="120"/>
              <w:outlineLvl w:val="4"/>
              <w:rPr>
                <w:rFonts w:asciiTheme="minorHAnsi" w:hAnsiTheme="minorHAnsi" w:cstheme="minorHAnsi"/>
              </w:rPr>
            </w:pPr>
            <w:r w:rsidRPr="002A6780">
              <w:rPr>
                <w:rFonts w:asciiTheme="minorHAnsi" w:eastAsia="Times New Roman" w:hAnsiTheme="minorHAnsi" w:cstheme="minorHAnsi"/>
                <w:color w:val="222222"/>
                <w:lang w:eastAsia="en-AU"/>
              </w:rPr>
              <w:t>The Australian Government should engage the PPF Secretariat to develop appropriate and cost-effective strategies and processes to strengthen data analysis and knowledge acquisition and sharing, particularly for the end line evaluation study.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8D6" w14:textId="77777777" w:rsidR="00620640" w:rsidRPr="002A6780" w:rsidRDefault="005910A1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318" w14:textId="77777777" w:rsidR="005910A1" w:rsidRPr="002A6780" w:rsidRDefault="004C31CA" w:rsidP="000A4477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lang w:eastAsia="en-AU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="005910A1" w:rsidRPr="002A6780">
              <w:rPr>
                <w:rFonts w:ascii="Calibri" w:eastAsia="Times New Roman" w:hAnsi="Calibri" w:cs="Calibri"/>
                <w:lang w:eastAsia="en-AU"/>
              </w:rPr>
              <w:t xml:space="preserve"> agrees that efficiencies 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 xml:space="preserve">in monitoring and evaluation </w:t>
            </w:r>
            <w:r w:rsidR="005910A1" w:rsidRPr="002A6780">
              <w:rPr>
                <w:rFonts w:ascii="Calibri" w:eastAsia="Times New Roman" w:hAnsi="Calibri" w:cs="Calibri"/>
                <w:lang w:eastAsia="en-AU"/>
              </w:rPr>
              <w:t xml:space="preserve">can be </w:t>
            </w:r>
            <w:r w:rsidR="005910A1" w:rsidRPr="002A6780">
              <w:rPr>
                <w:rFonts w:ascii="Calibri" w:eastAsia="Times New Roman" w:hAnsi="Calibri" w:cs="Calibri"/>
                <w:bCs/>
                <w:lang w:eastAsia="en-AU"/>
              </w:rPr>
              <w:t>gained</w:t>
            </w:r>
            <w:r w:rsidR="005910A1" w:rsidRPr="002A6780">
              <w:rPr>
                <w:rFonts w:ascii="Calibri" w:eastAsia="Times New Roman" w:hAnsi="Calibri" w:cs="Calibri"/>
                <w:lang w:eastAsia="en-AU"/>
              </w:rPr>
              <w:t xml:space="preserve"> across the three grants particularly during the end line surveys. </w:t>
            </w:r>
          </w:p>
          <w:p w14:paraId="7679A940" w14:textId="77777777" w:rsidR="0078560E" w:rsidRPr="002A6780" w:rsidRDefault="0078560E" w:rsidP="000A4477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E11" w14:textId="10018022" w:rsidR="003C2EC8" w:rsidRPr="002A6780" w:rsidRDefault="00E17800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Building on the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Monitoring, Evaluation, Accountability and Learning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(MEAL)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framework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developed in March, a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 xml:space="preserve"> program MEAL plan and a final research design will be developed by the Research and Learning Technical Working Group. </w:t>
            </w:r>
            <w:r w:rsidR="00931FB1" w:rsidRPr="002A6780">
              <w:rPr>
                <w:rFonts w:ascii="Calibri" w:eastAsia="Times New Roman" w:hAnsi="Calibri" w:cs="Calibri"/>
                <w:lang w:eastAsia="en-AU"/>
              </w:rPr>
              <w:t xml:space="preserve">The program MEAL </w:t>
            </w:r>
            <w:r>
              <w:rPr>
                <w:rFonts w:ascii="Calibri" w:eastAsia="Times New Roman" w:hAnsi="Calibri" w:cs="Calibri"/>
                <w:lang w:eastAsia="en-AU"/>
              </w:rPr>
              <w:t>plan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931FB1" w:rsidRPr="002A6780">
              <w:rPr>
                <w:rFonts w:ascii="Calibri" w:eastAsia="Times New Roman" w:hAnsi="Calibri" w:cs="Calibri"/>
                <w:lang w:eastAsia="en-AU"/>
              </w:rPr>
              <w:t xml:space="preserve">will include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detailed </w:t>
            </w:r>
            <w:r w:rsidR="00931FB1" w:rsidRPr="002A6780">
              <w:rPr>
                <w:rFonts w:ascii="Calibri" w:eastAsia="Times New Roman" w:hAnsi="Calibri" w:cs="Calibri"/>
                <w:lang w:eastAsia="en-AU"/>
              </w:rPr>
              <w:t>indicators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at the program level</w:t>
            </w:r>
            <w:r w:rsidR="00931FB1" w:rsidRPr="002A6780">
              <w:rPr>
                <w:rFonts w:ascii="Calibri" w:eastAsia="Times New Roman" w:hAnsi="Calibri" w:cs="Calibri"/>
                <w:lang w:eastAsia="en-AU"/>
              </w:rPr>
              <w:t>, which each grantee will report on. This will enable consistency in data collection and analysis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 xml:space="preserve">, </w:t>
            </w:r>
            <w:r>
              <w:rPr>
                <w:rFonts w:ascii="Calibri" w:eastAsia="Times New Roman" w:hAnsi="Calibri" w:cs="Calibri"/>
                <w:lang w:eastAsia="en-AU"/>
              </w:rPr>
              <w:t>that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>can also be better aggregated to tell a whole of program performance story</w:t>
            </w:r>
            <w:r w:rsidR="00931FB1" w:rsidRPr="002A6780">
              <w:rPr>
                <w:rFonts w:ascii="Calibri" w:eastAsia="Times New Roman" w:hAnsi="Calibri" w:cs="Calibri"/>
                <w:lang w:eastAsia="en-A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8B8" w14:textId="77777777" w:rsidR="00620640" w:rsidRPr="002A6780" w:rsidRDefault="0032727F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November</w:t>
            </w:r>
            <w:r w:rsidR="00F11353" w:rsidRPr="002A6780">
              <w:rPr>
                <w:rFonts w:cstheme="minorHAnsi"/>
                <w:color w:val="000000" w:themeColor="text1"/>
              </w:rPr>
              <w:t xml:space="preserve"> </w:t>
            </w:r>
            <w:r w:rsidR="00AB7305" w:rsidRPr="002A6780">
              <w:rPr>
                <w:rFonts w:cstheme="minorHAnsi"/>
                <w:color w:val="000000" w:themeColor="text1"/>
              </w:rPr>
              <w:t>2020</w:t>
            </w:r>
          </w:p>
        </w:tc>
      </w:tr>
      <w:tr w:rsidR="00F751A4" w:rsidRPr="002A6780" w14:paraId="67187184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CD4" w14:textId="77777777" w:rsidR="00620640" w:rsidRPr="002A6780" w:rsidRDefault="00620640" w:rsidP="002823ED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 xml:space="preserve">Recommendation </w:t>
            </w:r>
            <w:r w:rsidR="006E4D5B" w:rsidRPr="002A678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  <w:p w14:paraId="4C9DDED5" w14:textId="77777777" w:rsidR="00D929EB" w:rsidRPr="002A6780" w:rsidRDefault="00D929EB" w:rsidP="00D929EB">
            <w:pPr>
              <w:rPr>
                <w:rFonts w:cstheme="minorHAnsi"/>
              </w:rPr>
            </w:pPr>
            <w:r w:rsidRPr="002A6780">
              <w:rPr>
                <w:rFonts w:eastAsia="Times New Roman" w:cstheme="minorHAnsi"/>
                <w:color w:val="222222"/>
                <w:lang w:eastAsia="en-AU"/>
              </w:rPr>
              <w:t>The Australian Government should review and potentially expand and/or adjust the role, functions and level of effort of the PPF Secretariat.</w:t>
            </w:r>
          </w:p>
          <w:p w14:paraId="5F7A6599" w14:textId="77777777" w:rsidR="00620640" w:rsidRPr="002A6780" w:rsidRDefault="00620640" w:rsidP="00D929EB">
            <w:pPr>
              <w:pStyle w:val="Heading5"/>
              <w:spacing w:after="120"/>
              <w:ind w:left="60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EB6" w14:textId="77777777" w:rsidR="00620640" w:rsidRPr="002A6780" w:rsidRDefault="0025487F" w:rsidP="000E52EC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E0A" w14:textId="77777777" w:rsidR="00620640" w:rsidRPr="002A6780" w:rsidRDefault="004C31CA" w:rsidP="000A4477">
            <w:pPr>
              <w:shd w:val="clear" w:color="auto" w:fill="FFFFFF"/>
              <w:spacing w:before="120"/>
              <w:rPr>
                <w:rFonts w:cstheme="minorHAnsi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="00B0140A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B0140A" w:rsidRPr="002A6780">
              <w:rPr>
                <w:rFonts w:cstheme="minorHAnsi"/>
              </w:rPr>
              <w:t>agrees</w:t>
            </w:r>
            <w:r w:rsidR="0025487F" w:rsidRPr="002A6780">
              <w:rPr>
                <w:rFonts w:cstheme="minorHAnsi"/>
              </w:rPr>
              <w:t xml:space="preserve"> that </w:t>
            </w:r>
            <w:r w:rsidR="00077F5F" w:rsidRPr="002A6780">
              <w:rPr>
                <w:rFonts w:cstheme="minorHAnsi"/>
              </w:rPr>
              <w:t>an expansion to the PPF Secretariat</w:t>
            </w:r>
            <w:r w:rsidR="00F818C8" w:rsidRPr="002A6780">
              <w:rPr>
                <w:rFonts w:cstheme="minorHAnsi"/>
              </w:rPr>
              <w:t xml:space="preserve"> </w:t>
            </w:r>
            <w:r w:rsidR="00077F5F" w:rsidRPr="002A6780">
              <w:rPr>
                <w:rFonts w:cstheme="minorHAnsi"/>
              </w:rPr>
              <w:t>with</w:t>
            </w:r>
            <w:r w:rsidR="00F818C8" w:rsidRPr="002A6780">
              <w:rPr>
                <w:rFonts w:cstheme="minorHAnsi"/>
              </w:rPr>
              <w:t xml:space="preserve"> </w:t>
            </w:r>
            <w:r w:rsidR="0025487F" w:rsidRPr="002A6780">
              <w:rPr>
                <w:rFonts w:cstheme="minorHAnsi"/>
              </w:rPr>
              <w:t>more dedicated resources would improve implementation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>.</w:t>
            </w:r>
            <w:r w:rsidR="001B6AE4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4A2" w14:textId="6DDBA5A1" w:rsidR="0014244F" w:rsidRPr="002A6780" w:rsidRDefault="003A5405" w:rsidP="00634747">
            <w:pPr>
              <w:spacing w:before="12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PPF Secretariat </w:t>
            </w:r>
            <w:r w:rsidR="001B6AE4" w:rsidRPr="002A6780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>increased the resources dedicated to education</w:t>
            </w:r>
            <w:r w:rsidR="006E0587">
              <w:rPr>
                <w:rFonts w:cstheme="minorHAnsi"/>
              </w:rPr>
              <w:t xml:space="preserve"> by 0.5 FTE from a (full time) Program Manager/Education Advisor</w:t>
            </w:r>
            <w:r>
              <w:rPr>
                <w:rFonts w:cstheme="minorHAnsi"/>
              </w:rPr>
              <w:t xml:space="preserve"> to </w:t>
            </w:r>
            <w:r w:rsidR="001B6AE4" w:rsidRPr="002A6780">
              <w:rPr>
                <w:rFonts w:cstheme="minorHAnsi"/>
              </w:rPr>
              <w:t xml:space="preserve">a full time Program Manager </w:t>
            </w:r>
            <w:r>
              <w:rPr>
                <w:rFonts w:cstheme="minorHAnsi"/>
              </w:rPr>
              <w:t xml:space="preserve">and </w:t>
            </w:r>
            <w:r w:rsidR="001B6AE4" w:rsidRPr="002A6780">
              <w:rPr>
                <w:rFonts w:cstheme="minorHAnsi"/>
              </w:rPr>
              <w:t>part time</w:t>
            </w:r>
            <w:r>
              <w:rPr>
                <w:rFonts w:cstheme="minorHAnsi"/>
              </w:rPr>
              <w:t xml:space="preserve"> </w:t>
            </w:r>
            <w:r w:rsidR="001B6AE4" w:rsidRPr="002A6780">
              <w:rPr>
                <w:rFonts w:cstheme="minorHAnsi"/>
              </w:rPr>
              <w:t xml:space="preserve">Education Advisor. </w:t>
            </w:r>
            <w:r w:rsidR="001B6AE4" w:rsidRPr="002A6780">
              <w:rPr>
                <w:rFonts w:ascii="Calibri" w:eastAsia="Times New Roman" w:hAnsi="Calibri" w:cs="Calibri"/>
                <w:lang w:eastAsia="en-AU"/>
              </w:rPr>
              <w:t xml:space="preserve">This has led to strengthened engagement between the Secretariat and both NDoE and </w:t>
            </w:r>
            <w:r w:rsidR="004C31CA"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="001B6AE4" w:rsidRPr="002A6780">
              <w:rPr>
                <w:rFonts w:ascii="Calibri" w:eastAsia="Times New Roman" w:hAnsi="Calibri" w:cs="Calibri"/>
                <w:lang w:eastAsia="en-AU"/>
              </w:rPr>
              <w:t>, as well as enabl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>ed</w:t>
            </w:r>
            <w:r w:rsidR="001B6AE4" w:rsidRPr="002A6780">
              <w:rPr>
                <w:rFonts w:ascii="Calibri" w:eastAsia="Times New Roman" w:hAnsi="Calibri" w:cs="Calibri"/>
                <w:lang w:eastAsia="en-AU"/>
              </w:rPr>
              <w:t xml:space="preserve"> PPF to be nimble in adapting the education grants to the new COVID-19 environment.</w:t>
            </w:r>
            <w:r w:rsidR="00B0140A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5487F" w:rsidRPr="002A6780">
              <w:rPr>
                <w:rFonts w:ascii="Calibri" w:eastAsia="Times New Roman" w:hAnsi="Calibri" w:cs="Calibri"/>
                <w:lang w:eastAsia="en-AU"/>
              </w:rPr>
              <w:t xml:space="preserve">Once </w:t>
            </w:r>
            <w:r w:rsidR="00834994" w:rsidRPr="002A6780">
              <w:rPr>
                <w:rFonts w:ascii="Calibri" w:eastAsia="Times New Roman" w:hAnsi="Calibri" w:cs="Calibri"/>
                <w:lang w:eastAsia="en-AU"/>
              </w:rPr>
              <w:t>travel restrictions</w:t>
            </w:r>
            <w:r w:rsidR="002F2C7D" w:rsidRPr="002A6780">
              <w:rPr>
                <w:rFonts w:ascii="Calibri" w:eastAsia="Times New Roman" w:hAnsi="Calibri" w:cs="Calibri"/>
                <w:lang w:eastAsia="en-AU"/>
              </w:rPr>
              <w:t xml:space="preserve"> are lifted</w:t>
            </w:r>
            <w:r w:rsidR="0025487F" w:rsidRPr="002A6780">
              <w:rPr>
                <w:rFonts w:ascii="Calibri" w:eastAsia="Times New Roman" w:hAnsi="Calibri" w:cs="Calibri"/>
                <w:lang w:eastAsia="en-AU"/>
              </w:rPr>
              <w:t xml:space="preserve">, we anticipate </w:t>
            </w:r>
            <w:r w:rsidR="00553B07" w:rsidRPr="002A6780">
              <w:rPr>
                <w:rFonts w:ascii="Calibri" w:eastAsia="Times New Roman" w:hAnsi="Calibri" w:cs="Calibri"/>
                <w:lang w:eastAsia="en-AU"/>
              </w:rPr>
              <w:t>the increased resources</w:t>
            </w:r>
            <w:r w:rsidR="0025487F" w:rsidRPr="002A6780">
              <w:rPr>
                <w:rFonts w:ascii="Calibri" w:eastAsia="Times New Roman" w:hAnsi="Calibri" w:cs="Calibri"/>
                <w:lang w:eastAsia="en-AU"/>
              </w:rPr>
              <w:t xml:space="preserve"> will also enable more regular monitoring visits to the projects.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68F" w14:textId="77777777" w:rsidR="00620640" w:rsidRPr="002A6780" w:rsidRDefault="001B6AE4" w:rsidP="002823ED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Complete</w:t>
            </w:r>
            <w:r w:rsidR="00E84048" w:rsidRPr="002A6780">
              <w:rPr>
                <w:rFonts w:cstheme="minorHAnsi"/>
                <w:color w:val="000000" w:themeColor="text1"/>
              </w:rPr>
              <w:t>d</w:t>
            </w:r>
          </w:p>
        </w:tc>
      </w:tr>
      <w:tr w:rsidR="00F751A4" w:rsidRPr="002A6780" w14:paraId="63CDAC5C" w14:textId="77777777" w:rsidTr="0011461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F6D" w14:textId="77777777" w:rsidR="00620640" w:rsidRPr="002A6780" w:rsidRDefault="00620640" w:rsidP="002823ED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 xml:space="preserve">Recommendation </w:t>
            </w:r>
            <w:r w:rsidR="006E4D5B" w:rsidRPr="002A678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  <w:p w14:paraId="1D0796B6" w14:textId="77777777" w:rsidR="003A14B7" w:rsidRPr="002A6780" w:rsidRDefault="00D929EB" w:rsidP="000A4477">
            <w:r w:rsidRPr="002A6780">
              <w:rPr>
                <w:rFonts w:eastAsia="Times New Roman" w:cstheme="minorHAnsi"/>
                <w:color w:val="222222"/>
                <w:lang w:eastAsia="en-AU"/>
              </w:rPr>
              <w:lastRenderedPageBreak/>
              <w:t>The Australian Government should direct the PPF Secretariat and the three grantees to work towards consolidation of the interventions rather than expand to include additional targets during the extension phase.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CFD" w14:textId="77777777" w:rsidR="00620640" w:rsidRPr="002A6780" w:rsidRDefault="00345ED8" w:rsidP="00F428D2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lastRenderedPageBreak/>
              <w:t>Agree</w:t>
            </w:r>
            <w:r w:rsidR="00444E16" w:rsidRPr="002A6780">
              <w:rPr>
                <w:rFonts w:cstheme="minorHAnsi"/>
                <w:color w:val="000000" w:themeColor="text1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A94" w14:textId="77777777" w:rsidR="0078560E" w:rsidRPr="002A6780" w:rsidRDefault="004C31CA" w:rsidP="00114615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t>DFAT</w:t>
            </w:r>
            <w:r w:rsidR="00345ED8" w:rsidRPr="002A6780">
              <w:rPr>
                <w:rFonts w:ascii="Calibri" w:eastAsia="Times New Roman" w:hAnsi="Calibri" w:cs="Calibri"/>
                <w:lang w:eastAsia="en-AU"/>
              </w:rPr>
              <w:t xml:space="preserve"> agrees</w:t>
            </w:r>
            <w:r w:rsidR="00DD1475" w:rsidRPr="002A6780">
              <w:rPr>
                <w:rFonts w:ascii="Calibri" w:eastAsia="Times New Roman" w:hAnsi="Calibri" w:cs="Calibri"/>
                <w:lang w:eastAsia="en-AU"/>
              </w:rPr>
              <w:t xml:space="preserve"> on the need for consolidation rather than expansion. </w:t>
            </w:r>
            <w:r w:rsidR="003804D7" w:rsidRPr="002A6780">
              <w:rPr>
                <w:rFonts w:ascii="Calibri" w:eastAsia="Times New Roman" w:hAnsi="Calibri" w:cs="Calibri"/>
                <w:lang w:eastAsia="en-AU"/>
              </w:rPr>
              <w:t xml:space="preserve">The development of a </w:t>
            </w:r>
            <w:r w:rsidR="003804D7" w:rsidRPr="002A6780">
              <w:rPr>
                <w:rFonts w:ascii="Calibri" w:eastAsia="Times New Roman" w:hAnsi="Calibri" w:cs="Calibri"/>
                <w:lang w:eastAsia="en-AU"/>
              </w:rPr>
              <w:lastRenderedPageBreak/>
              <w:t>flexible ToC (Recom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>mendation</w:t>
            </w:r>
            <w:r w:rsidR="003804D7" w:rsidRPr="002A6780">
              <w:rPr>
                <w:rFonts w:ascii="Calibri" w:eastAsia="Times New Roman" w:hAnsi="Calibri" w:cs="Calibri"/>
                <w:lang w:eastAsia="en-AU"/>
              </w:rPr>
              <w:t xml:space="preserve"> 2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>)</w:t>
            </w:r>
            <w:r w:rsidR="00650F93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>has</w:t>
            </w:r>
            <w:r w:rsidR="00650F93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 xml:space="preserve">helped </w:t>
            </w:r>
            <w:r w:rsidR="00650F93" w:rsidRPr="002A6780">
              <w:rPr>
                <w:rFonts w:ascii="Calibri" w:eastAsia="Times New Roman" w:hAnsi="Calibri" w:cs="Calibri"/>
                <w:lang w:eastAsia="en-AU"/>
              </w:rPr>
              <w:t>consolidat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>e</w:t>
            </w:r>
            <w:r w:rsidR="00650F93" w:rsidRPr="002A6780">
              <w:rPr>
                <w:rFonts w:ascii="Calibri" w:eastAsia="Times New Roman" w:hAnsi="Calibri" w:cs="Calibri"/>
                <w:lang w:eastAsia="en-AU"/>
              </w:rPr>
              <w:t xml:space="preserve"> results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>.</w:t>
            </w:r>
            <w:r w:rsidR="00650F93" w:rsidRPr="002A6780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59" w14:textId="1E6DFED0" w:rsidR="00620640" w:rsidRPr="002A6780" w:rsidRDefault="00DD1475" w:rsidP="002A6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A6780">
              <w:rPr>
                <w:rFonts w:ascii="Calibri" w:eastAsia="Times New Roman" w:hAnsi="Calibri" w:cs="Calibri"/>
                <w:lang w:eastAsia="en-AU"/>
              </w:rPr>
              <w:lastRenderedPageBreak/>
              <w:t xml:space="preserve">The focus of the extension phase will be on sustainability and implementing the 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lastRenderedPageBreak/>
              <w:t xml:space="preserve">recommendations of the </w:t>
            </w:r>
            <w:r w:rsidR="00567389" w:rsidRPr="002A6780">
              <w:rPr>
                <w:rFonts w:ascii="Calibri" w:eastAsia="Times New Roman" w:hAnsi="Calibri" w:cs="Calibri"/>
                <w:lang w:eastAsia="en-AU"/>
              </w:rPr>
              <w:t>Mid Term Review (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>MTR</w:t>
            </w:r>
            <w:r w:rsidR="00567389" w:rsidRPr="002A6780">
              <w:rPr>
                <w:rFonts w:ascii="Calibri" w:eastAsia="Times New Roman" w:hAnsi="Calibri" w:cs="Calibri"/>
                <w:lang w:eastAsia="en-AU"/>
              </w:rPr>
              <w:t>)</w:t>
            </w:r>
            <w:r w:rsidRPr="002A6780">
              <w:rPr>
                <w:rFonts w:ascii="Calibri" w:eastAsia="Times New Roman" w:hAnsi="Calibri" w:cs="Calibri"/>
                <w:lang w:eastAsia="en-AU"/>
              </w:rPr>
              <w:t xml:space="preserve">. Outcomes will continue to be measured against the baselines agreed at the outset of the PPF program with a number of common indicators developed to measure results across grants. </w:t>
            </w:r>
            <w:r w:rsidR="00114615" w:rsidRPr="002A6780">
              <w:rPr>
                <w:rFonts w:ascii="Calibri" w:eastAsia="Times New Roman" w:hAnsi="Calibri" w:cs="Calibri"/>
                <w:lang w:eastAsia="en-AU"/>
              </w:rPr>
              <w:t xml:space="preserve">COVID-19 </w:t>
            </w:r>
            <w:r w:rsidR="002A6780" w:rsidRPr="002A6780">
              <w:rPr>
                <w:rFonts w:ascii="Calibri" w:eastAsia="Times New Roman" w:hAnsi="Calibri" w:cs="Calibri"/>
                <w:lang w:eastAsia="en-AU"/>
              </w:rPr>
              <w:t>has necessitated PPF to adapt its activities into handwashing, school hygiene messaging and psychosocial support for teachers in line with Australian and PNG priorities but this has not been a substantive expansion.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02B" w14:textId="77777777" w:rsidR="00620640" w:rsidRPr="002A6780" w:rsidRDefault="00634747" w:rsidP="002823ED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lastRenderedPageBreak/>
              <w:t>Ongoing</w:t>
            </w:r>
          </w:p>
        </w:tc>
      </w:tr>
      <w:tr w:rsidR="00553B07" w:rsidRPr="002A6780" w14:paraId="2FD68DF4" w14:textId="77777777" w:rsidTr="00114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  <w:tcBorders>
              <w:top w:val="single" w:sz="4" w:space="0" w:color="auto"/>
            </w:tcBorders>
          </w:tcPr>
          <w:p w14:paraId="645A2B9F" w14:textId="77777777" w:rsidR="00553B07" w:rsidRPr="002A6780" w:rsidRDefault="00553B07" w:rsidP="008B52B5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8</w:t>
            </w:r>
          </w:p>
          <w:p w14:paraId="724869AC" w14:textId="77777777" w:rsidR="00553B07" w:rsidRPr="002A6780" w:rsidRDefault="00553B07">
            <w:r w:rsidRPr="002A6780">
              <w:rPr>
                <w:rFonts w:eastAsia="Times New Roman" w:cstheme="minorHAnsi"/>
                <w:color w:val="222222"/>
                <w:lang w:eastAsia="en-AU"/>
              </w:rPr>
              <w:t>The Australian Government should continue support to improving the quality of basic education, specifically early grades literacy and numeracy, in PNG for the medium to long-term and communicate this intention to the GoPNG.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0ACF70" w14:textId="77777777" w:rsidR="00553B07" w:rsidRPr="002A6780" w:rsidRDefault="00553B07" w:rsidP="008B52B5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Agreed</w:t>
            </w:r>
            <w:r w:rsidR="00077F5F" w:rsidRPr="002A6780">
              <w:rPr>
                <w:rFonts w:cstheme="minorHAnsi"/>
                <w:color w:val="000000" w:themeColor="text1"/>
              </w:rPr>
              <w:t xml:space="preserve"> in principle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3CC4E184" w14:textId="58B1B423" w:rsidR="00553B07" w:rsidRPr="002A6780" w:rsidRDefault="000D45BC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 agrees </w:t>
            </w:r>
            <w:r w:rsidR="00B13455" w:rsidRPr="002A6780">
              <w:rPr>
                <w:rFonts w:cstheme="minorHAnsi"/>
                <w:color w:val="000000" w:themeColor="text1"/>
              </w:rPr>
              <w:t xml:space="preserve">in the importance of a </w:t>
            </w:r>
            <w:r w:rsidR="00504BE9" w:rsidRPr="002A6780">
              <w:rPr>
                <w:rFonts w:cstheme="minorHAnsi"/>
                <w:color w:val="000000" w:themeColor="text1"/>
              </w:rPr>
              <w:t>long-term</w:t>
            </w:r>
            <w:r w:rsidRPr="002A6780">
              <w:rPr>
                <w:rFonts w:cstheme="minorHAnsi"/>
                <w:color w:val="000000" w:themeColor="text1"/>
              </w:rPr>
              <w:t xml:space="preserve"> commitment to </w:t>
            </w:r>
            <w:r w:rsidR="00B13455" w:rsidRPr="002A6780">
              <w:rPr>
                <w:rFonts w:cstheme="minorHAnsi"/>
                <w:color w:val="000000" w:themeColor="text1"/>
              </w:rPr>
              <w:t>PNG’s basic education.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680C5905" w14:textId="0EBE53A8" w:rsidR="00B13455" w:rsidRPr="002A6780" w:rsidRDefault="00B13455" w:rsidP="000A4477">
            <w:pPr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Australia’s aid program</w:t>
            </w:r>
            <w:r w:rsidR="00077F5F" w:rsidRPr="002A6780">
              <w:rPr>
                <w:rFonts w:cstheme="minorHAnsi"/>
                <w:color w:val="000000" w:themeColor="text1"/>
              </w:rPr>
              <w:t xml:space="preserve"> has</w:t>
            </w:r>
            <w:r w:rsidR="006E0587">
              <w:rPr>
                <w:rFonts w:cstheme="minorHAnsi"/>
                <w:color w:val="000000" w:themeColor="text1"/>
              </w:rPr>
              <w:t xml:space="preserve"> increased support to basic education in PNG as a response to COVID-19, aligned to the Stability pillar of</w:t>
            </w:r>
            <w:r w:rsidRPr="002A6780">
              <w:rPr>
                <w:rFonts w:cstheme="minorHAnsi"/>
                <w:color w:val="000000" w:themeColor="text1"/>
              </w:rPr>
              <w:t xml:space="preserve"> ‘Partnerships for Recovery: Australia’s COVID-19 Development Response’. </w:t>
            </w:r>
          </w:p>
          <w:p w14:paraId="3CC00D60" w14:textId="77777777" w:rsidR="00553B07" w:rsidRPr="002A6780" w:rsidRDefault="004C7B07" w:rsidP="000A4477">
            <w:pPr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 plans to design a long-term basic </w:t>
            </w:r>
            <w:r w:rsidR="000D45BC" w:rsidRPr="002A6780">
              <w:rPr>
                <w:rFonts w:cstheme="minorHAnsi"/>
                <w:color w:val="000000" w:themeColor="text1"/>
              </w:rPr>
              <w:t xml:space="preserve">education program </w:t>
            </w:r>
            <w:r w:rsidR="00567389" w:rsidRPr="002A6780">
              <w:rPr>
                <w:rFonts w:cstheme="minorHAnsi"/>
                <w:color w:val="000000" w:themeColor="text1"/>
              </w:rPr>
              <w:t xml:space="preserve">in partnership with PNG in </w:t>
            </w:r>
            <w:r w:rsidRPr="002A6780">
              <w:rPr>
                <w:rFonts w:cstheme="minorHAnsi"/>
                <w:color w:val="000000" w:themeColor="text1"/>
              </w:rPr>
              <w:t xml:space="preserve">2021 </w:t>
            </w:r>
            <w:r w:rsidR="000D45BC" w:rsidRPr="002A6780">
              <w:rPr>
                <w:rFonts w:cstheme="minorHAnsi"/>
                <w:color w:val="000000" w:themeColor="text1"/>
              </w:rPr>
              <w:t xml:space="preserve">that will </w:t>
            </w:r>
            <w:r w:rsidR="00634747" w:rsidRPr="002A6780">
              <w:rPr>
                <w:rFonts w:cstheme="minorHAnsi"/>
                <w:color w:val="000000" w:themeColor="text1"/>
              </w:rPr>
              <w:t>build on the successes of the PPF in supporting basic education in PNG.</w:t>
            </w:r>
            <w:r w:rsidR="00B13455" w:rsidRPr="002A6780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ECDFFAE" w14:textId="77777777" w:rsidR="00553B07" w:rsidRPr="002A6780" w:rsidRDefault="00564418" w:rsidP="008B52B5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2021</w:t>
            </w:r>
          </w:p>
        </w:tc>
      </w:tr>
      <w:tr w:rsidR="00553B07" w:rsidRPr="002A6780" w14:paraId="62C717A0" w14:textId="77777777" w:rsidTr="0055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</w:tcPr>
          <w:p w14:paraId="55109804" w14:textId="77777777" w:rsidR="00553B07" w:rsidRPr="002A6780" w:rsidRDefault="00553B07" w:rsidP="008B52B5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9</w:t>
            </w:r>
          </w:p>
          <w:p w14:paraId="78A4AB24" w14:textId="77777777" w:rsidR="00553B07" w:rsidRPr="002A6780" w:rsidRDefault="00553B07">
            <w:r w:rsidRPr="002A6780">
              <w:rPr>
                <w:rFonts w:eastAsia="Times New Roman" w:cstheme="minorHAnsi"/>
                <w:color w:val="222222"/>
                <w:lang w:eastAsia="en-AU"/>
              </w:rPr>
              <w:t>The Australian Government should require the design of future investments in education to deliver technical assistance and delivery support through government institutions, which could be facilitated through a managing contractor.</w:t>
            </w:r>
          </w:p>
        </w:tc>
        <w:tc>
          <w:tcPr>
            <w:tcW w:w="1276" w:type="dxa"/>
          </w:tcPr>
          <w:p w14:paraId="60466E2D" w14:textId="77777777" w:rsidR="00553B07" w:rsidRPr="002A6780" w:rsidRDefault="000A4477" w:rsidP="000A4477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Partially a</w:t>
            </w:r>
            <w:r w:rsidR="00553B07" w:rsidRPr="002A6780">
              <w:rPr>
                <w:rFonts w:cstheme="minorHAnsi"/>
                <w:color w:val="000000" w:themeColor="text1"/>
              </w:rPr>
              <w:t>greed</w:t>
            </w:r>
          </w:p>
        </w:tc>
        <w:tc>
          <w:tcPr>
            <w:tcW w:w="4465" w:type="dxa"/>
          </w:tcPr>
          <w:p w14:paraId="08FD95FC" w14:textId="369C1A2A" w:rsidR="00553B07" w:rsidRPr="002A6780" w:rsidRDefault="00EA5D36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 agrees that the </w:t>
            </w:r>
            <w:r w:rsidR="007508AA" w:rsidRPr="002A6780">
              <w:rPr>
                <w:rFonts w:cstheme="minorHAnsi"/>
                <w:color w:val="000000" w:themeColor="text1"/>
              </w:rPr>
              <w:t>NDoE</w:t>
            </w:r>
            <w:r w:rsidRPr="002A6780">
              <w:rPr>
                <w:rFonts w:cstheme="minorHAnsi"/>
                <w:color w:val="000000" w:themeColor="text1"/>
              </w:rPr>
              <w:t xml:space="preserve"> and provincial and district education offices have the responsibility and accountability for delivery of quality basic education</w:t>
            </w:r>
            <w:r w:rsidR="000339F5">
              <w:rPr>
                <w:rFonts w:cstheme="minorHAnsi"/>
                <w:color w:val="000000" w:themeColor="text1"/>
              </w:rPr>
              <w:t xml:space="preserve"> in PNG</w:t>
            </w:r>
            <w:r w:rsidRPr="002A6780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4465" w:type="dxa"/>
          </w:tcPr>
          <w:p w14:paraId="036F8BAA" w14:textId="008682EE" w:rsidR="00553B07" w:rsidRPr="002A6780" w:rsidRDefault="00EA5D36" w:rsidP="000A4477">
            <w:pPr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DFAT’s forthcoming basic education design will </w:t>
            </w:r>
            <w:r w:rsidR="00634747" w:rsidRPr="002A6780">
              <w:rPr>
                <w:rFonts w:cstheme="minorHAnsi"/>
                <w:color w:val="000000" w:themeColor="text1"/>
              </w:rPr>
              <w:t xml:space="preserve">advise </w:t>
            </w:r>
            <w:r w:rsidR="000339F5">
              <w:rPr>
                <w:rFonts w:cstheme="minorHAnsi"/>
                <w:color w:val="000000" w:themeColor="text1"/>
              </w:rPr>
              <w:t xml:space="preserve">on </w:t>
            </w:r>
            <w:r w:rsidR="000A4477" w:rsidRPr="002A6780">
              <w:rPr>
                <w:rFonts w:cstheme="minorHAnsi"/>
                <w:color w:val="000000" w:themeColor="text1"/>
              </w:rPr>
              <w:t>the</w:t>
            </w:r>
            <w:r w:rsidR="000339F5">
              <w:rPr>
                <w:rFonts w:cstheme="minorHAnsi"/>
                <w:color w:val="000000" w:themeColor="text1"/>
              </w:rPr>
              <w:t xml:space="preserve"> most appropriate </w:t>
            </w:r>
            <w:r w:rsidR="000A4477" w:rsidRPr="002A6780">
              <w:rPr>
                <w:rFonts w:cstheme="minorHAnsi"/>
                <w:color w:val="000000" w:themeColor="text1"/>
              </w:rPr>
              <w:t xml:space="preserve">mechanism to support </w:t>
            </w:r>
            <w:r w:rsidRPr="002A6780">
              <w:rPr>
                <w:rFonts w:cstheme="minorHAnsi"/>
                <w:color w:val="000000" w:themeColor="text1"/>
              </w:rPr>
              <w:t xml:space="preserve">the PNG Government implement its 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national education plan. </w:t>
            </w:r>
          </w:p>
        </w:tc>
        <w:tc>
          <w:tcPr>
            <w:tcW w:w="1560" w:type="dxa"/>
          </w:tcPr>
          <w:p w14:paraId="694DA530" w14:textId="77777777" w:rsidR="00553B07" w:rsidRPr="002A6780" w:rsidRDefault="00564418" w:rsidP="008B52B5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2021</w:t>
            </w:r>
          </w:p>
        </w:tc>
      </w:tr>
      <w:tr w:rsidR="00553B07" w:rsidRPr="002A6780" w14:paraId="63F65529" w14:textId="77777777" w:rsidTr="0055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</w:tcPr>
          <w:p w14:paraId="0AE23244" w14:textId="77777777" w:rsidR="00553B07" w:rsidRPr="002A6780" w:rsidRDefault="00553B07" w:rsidP="008B52B5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lastRenderedPageBreak/>
              <w:t>Recommendation 10</w:t>
            </w:r>
          </w:p>
          <w:p w14:paraId="22AF05B7" w14:textId="77777777" w:rsidR="00553B07" w:rsidRPr="002A6780" w:rsidRDefault="00553B07"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The Australian Government should conduct a ‘value-for-money’ assessment of project interventions and use this information to inform future investments in early grades literacy and numeracy focus in four areas: 1) teacher development; ii) teacher supervision, coaching and support; iii) development/provision of low-cost quality supplementary learning resources; and, iv) whole school development. </w:t>
            </w:r>
          </w:p>
        </w:tc>
        <w:tc>
          <w:tcPr>
            <w:tcW w:w="1276" w:type="dxa"/>
          </w:tcPr>
          <w:p w14:paraId="2F7AFAFF" w14:textId="77777777" w:rsidR="00553B07" w:rsidRPr="002A6780" w:rsidRDefault="00553B07" w:rsidP="008B52B5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Agreed</w:t>
            </w:r>
          </w:p>
        </w:tc>
        <w:tc>
          <w:tcPr>
            <w:tcW w:w="4465" w:type="dxa"/>
          </w:tcPr>
          <w:p w14:paraId="1BFBE759" w14:textId="77777777" w:rsidR="00553B07" w:rsidRPr="002A6780" w:rsidRDefault="00564418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DFAT agrees in the utility of a value for money assessment, particularly to inform any scale up of such activities in the forthcoming basic education program.</w:t>
            </w:r>
          </w:p>
        </w:tc>
        <w:tc>
          <w:tcPr>
            <w:tcW w:w="4465" w:type="dxa"/>
          </w:tcPr>
          <w:p w14:paraId="4F03C84F" w14:textId="7F8A93AA" w:rsidR="00553B07" w:rsidRDefault="00E84048" w:rsidP="000A4477">
            <w:pPr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The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</w:t>
            </w:r>
            <w:r w:rsidR="00E642D2">
              <w:rPr>
                <w:rFonts w:cstheme="minorHAnsi"/>
                <w:color w:val="000000" w:themeColor="text1"/>
              </w:rPr>
              <w:t>PPF Secretariat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conduct</w:t>
            </w:r>
            <w:r w:rsidRPr="002A6780">
              <w:rPr>
                <w:rFonts w:cstheme="minorHAnsi"/>
                <w:color w:val="000000" w:themeColor="text1"/>
              </w:rPr>
              <w:t>ed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a value for money assessment </w:t>
            </w:r>
            <w:r w:rsidRPr="002A6780">
              <w:rPr>
                <w:rFonts w:cstheme="minorHAnsi"/>
                <w:color w:val="000000" w:themeColor="text1"/>
              </w:rPr>
              <w:t xml:space="preserve">in preparation for the </w:t>
            </w:r>
            <w:r w:rsidR="00567389" w:rsidRPr="002A6780">
              <w:rPr>
                <w:rFonts w:cstheme="minorHAnsi"/>
                <w:color w:val="000000" w:themeColor="text1"/>
              </w:rPr>
              <w:t>ToC</w:t>
            </w:r>
            <w:r w:rsidRPr="002A6780">
              <w:rPr>
                <w:rFonts w:cstheme="minorHAnsi"/>
                <w:color w:val="000000" w:themeColor="text1"/>
              </w:rPr>
              <w:t xml:space="preserve"> </w:t>
            </w:r>
            <w:r w:rsidR="005651BD">
              <w:rPr>
                <w:rFonts w:cstheme="minorHAnsi"/>
                <w:color w:val="000000" w:themeColor="text1"/>
              </w:rPr>
              <w:t xml:space="preserve">workshop </w:t>
            </w:r>
            <w:r w:rsidRPr="002A6780">
              <w:rPr>
                <w:rFonts w:cstheme="minorHAnsi"/>
                <w:color w:val="000000" w:themeColor="text1"/>
              </w:rPr>
              <w:t>in February 2020</w:t>
            </w:r>
            <w:r w:rsidR="000339F5">
              <w:rPr>
                <w:rFonts w:cstheme="minorHAnsi"/>
                <w:color w:val="000000" w:themeColor="text1"/>
              </w:rPr>
              <w:t xml:space="preserve">. DFAT will ensure the basic education design team consider </w:t>
            </w:r>
            <w:r w:rsidR="00E642D2">
              <w:rPr>
                <w:rFonts w:cstheme="minorHAnsi"/>
                <w:color w:val="000000" w:themeColor="text1"/>
              </w:rPr>
              <w:t xml:space="preserve">PPF’s </w:t>
            </w:r>
            <w:r w:rsidR="000339F5">
              <w:rPr>
                <w:rFonts w:cstheme="minorHAnsi"/>
                <w:color w:val="000000" w:themeColor="text1"/>
              </w:rPr>
              <w:t>value for money in considering future investments in early grades literacy and numeracy</w:t>
            </w:r>
          </w:p>
          <w:p w14:paraId="2B018A7C" w14:textId="77777777" w:rsidR="00E642D2" w:rsidRDefault="00E642D2" w:rsidP="000A4477">
            <w:pPr>
              <w:spacing w:before="120"/>
              <w:rPr>
                <w:rFonts w:cstheme="minorHAnsi"/>
                <w:color w:val="000000" w:themeColor="text1"/>
              </w:rPr>
            </w:pPr>
          </w:p>
          <w:p w14:paraId="29E70B96" w14:textId="4C7D378F" w:rsidR="00E642D2" w:rsidRPr="002A6780" w:rsidRDefault="00E642D2" w:rsidP="000A4477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1FB4538F" w14:textId="77777777" w:rsidR="00553B07" w:rsidRPr="002A6780" w:rsidRDefault="00E84048" w:rsidP="008B52B5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Completed</w:t>
            </w:r>
          </w:p>
        </w:tc>
      </w:tr>
      <w:tr w:rsidR="00553B07" w:rsidRPr="00F751A4" w14:paraId="18076DA6" w14:textId="77777777" w:rsidTr="0055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</w:tcPr>
          <w:p w14:paraId="7C2DF948" w14:textId="77777777" w:rsidR="00553B07" w:rsidRPr="002A6780" w:rsidRDefault="00553B07" w:rsidP="008B52B5">
            <w:pPr>
              <w:pStyle w:val="Heading5"/>
              <w:keepNext w:val="0"/>
              <w:keepLines w:val="0"/>
              <w:spacing w:before="120"/>
              <w:outlineLvl w:val="4"/>
              <w:rPr>
                <w:rFonts w:asciiTheme="minorHAnsi" w:hAnsiTheme="minorHAnsi" w:cstheme="minorHAnsi"/>
                <w:color w:val="000000" w:themeColor="text1"/>
              </w:rPr>
            </w:pPr>
            <w:r w:rsidRPr="002A6780">
              <w:rPr>
                <w:rFonts w:asciiTheme="minorHAnsi" w:hAnsiTheme="minorHAnsi" w:cstheme="minorHAnsi"/>
                <w:color w:val="000000" w:themeColor="text1"/>
              </w:rPr>
              <w:t>Recommendation 11</w:t>
            </w:r>
          </w:p>
          <w:p w14:paraId="0AC134DF" w14:textId="77777777" w:rsidR="00553B07" w:rsidRPr="002A6780" w:rsidRDefault="00553B07">
            <w:r w:rsidRPr="002A6780">
              <w:rPr>
                <w:rFonts w:eastAsia="Times New Roman" w:cstheme="minorHAnsi"/>
                <w:color w:val="222222"/>
                <w:lang w:eastAsia="en-AU"/>
              </w:rPr>
              <w:t xml:space="preserve">The Australian Government should incorporate an ‘NGO education grant consortia’ modality in future investments in early grade literacy and numeracy and consider engaging a single managing contractor. The managing contractor will be expected to facilitate the delivery of technical assistance and delivery support in a joint decision-making capacity with partner government institutions. </w:t>
            </w:r>
          </w:p>
        </w:tc>
        <w:tc>
          <w:tcPr>
            <w:tcW w:w="1276" w:type="dxa"/>
          </w:tcPr>
          <w:p w14:paraId="31161047" w14:textId="77777777" w:rsidR="00553B07" w:rsidRPr="002A6780" w:rsidRDefault="00564418">
            <w:pPr>
              <w:spacing w:before="120"/>
              <w:jc w:val="center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Partially a</w:t>
            </w:r>
            <w:r w:rsidR="00553B07" w:rsidRPr="002A6780">
              <w:rPr>
                <w:rFonts w:cstheme="minorHAnsi"/>
                <w:color w:val="000000" w:themeColor="text1"/>
              </w:rPr>
              <w:t>greed</w:t>
            </w:r>
          </w:p>
        </w:tc>
        <w:tc>
          <w:tcPr>
            <w:tcW w:w="4465" w:type="dxa"/>
          </w:tcPr>
          <w:p w14:paraId="367B2F49" w14:textId="790EB0EA" w:rsidR="00553B07" w:rsidRPr="002A6780" w:rsidRDefault="00564418" w:rsidP="000A4477">
            <w:pPr>
              <w:shd w:val="clear" w:color="auto" w:fill="FFFFFF"/>
              <w:spacing w:before="120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 xml:space="preserve">DFAT </w:t>
            </w:r>
            <w:r w:rsidR="000339F5">
              <w:rPr>
                <w:rFonts w:cstheme="minorHAnsi"/>
                <w:color w:val="000000" w:themeColor="text1"/>
              </w:rPr>
              <w:t>acknowledges</w:t>
            </w:r>
            <w:r w:rsidRPr="002A6780">
              <w:rPr>
                <w:rFonts w:cstheme="minorHAnsi"/>
                <w:color w:val="000000" w:themeColor="text1"/>
              </w:rPr>
              <w:t xml:space="preserve"> the benefits of an NGO grant consortia under a single managing contractor that also delivers technical assistance, jointly </w:t>
            </w:r>
            <w:r w:rsidR="007508AA" w:rsidRPr="002A6780">
              <w:rPr>
                <w:rFonts w:cstheme="minorHAnsi"/>
                <w:color w:val="000000" w:themeColor="text1"/>
              </w:rPr>
              <w:t>presided</w:t>
            </w:r>
            <w:r w:rsidRPr="002A6780">
              <w:rPr>
                <w:rFonts w:cstheme="minorHAnsi"/>
                <w:color w:val="000000" w:themeColor="text1"/>
              </w:rPr>
              <w:t xml:space="preserve"> over by DFAT and NDOE. </w:t>
            </w:r>
          </w:p>
        </w:tc>
        <w:tc>
          <w:tcPr>
            <w:tcW w:w="4465" w:type="dxa"/>
          </w:tcPr>
          <w:p w14:paraId="2ED1E5E7" w14:textId="13511758" w:rsidR="00553B07" w:rsidRPr="002A6780" w:rsidRDefault="000339F5" w:rsidP="000A4477">
            <w:pPr>
              <w:spacing w:before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</w:t>
            </w:r>
            <w:r w:rsidRPr="002A6780">
              <w:rPr>
                <w:rFonts w:cstheme="minorHAnsi"/>
                <w:color w:val="000000" w:themeColor="text1"/>
              </w:rPr>
              <w:t xml:space="preserve"> modalities and partnership models </w:t>
            </w:r>
            <w:r>
              <w:rPr>
                <w:rFonts w:cstheme="minorHAnsi"/>
                <w:color w:val="000000" w:themeColor="text1"/>
              </w:rPr>
              <w:t xml:space="preserve">of any future investment </w:t>
            </w:r>
            <w:r w:rsidRPr="002A6780">
              <w:rPr>
                <w:rFonts w:cstheme="minorHAnsi"/>
                <w:color w:val="000000" w:themeColor="text1"/>
              </w:rPr>
              <w:t>will be determined through the design and tender process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DFAT will </w:t>
            </w:r>
            <w:r>
              <w:rPr>
                <w:rFonts w:cstheme="minorHAnsi"/>
                <w:color w:val="000000" w:themeColor="text1"/>
              </w:rPr>
              <w:t>ensure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the design team to </w:t>
            </w:r>
            <w:r w:rsidR="00567389" w:rsidRPr="002A6780">
              <w:rPr>
                <w:rFonts w:cstheme="minorHAnsi"/>
                <w:color w:val="000000" w:themeColor="text1"/>
              </w:rPr>
              <w:t>take into consideration the recommendations of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th</w:t>
            </w:r>
            <w:r>
              <w:rPr>
                <w:rFonts w:cstheme="minorHAnsi"/>
                <w:color w:val="000000" w:themeColor="text1"/>
              </w:rPr>
              <w:t>is</w:t>
            </w:r>
            <w:r w:rsidR="00564418" w:rsidRPr="002A6780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mid-term review</w:t>
            </w:r>
            <w:r w:rsidR="00365048" w:rsidRPr="002A6780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1560" w:type="dxa"/>
          </w:tcPr>
          <w:p w14:paraId="456D955A" w14:textId="77777777" w:rsidR="00553B07" w:rsidRPr="00F751A4" w:rsidRDefault="00365048" w:rsidP="008B52B5">
            <w:pPr>
              <w:spacing w:before="120"/>
              <w:outlineLvl w:val="2"/>
              <w:rPr>
                <w:rFonts w:cstheme="minorHAnsi"/>
                <w:color w:val="000000" w:themeColor="text1"/>
              </w:rPr>
            </w:pPr>
            <w:r w:rsidRPr="002A6780">
              <w:rPr>
                <w:rFonts w:cstheme="minorHAnsi"/>
                <w:color w:val="000000" w:themeColor="text1"/>
              </w:rPr>
              <w:t>2021</w:t>
            </w:r>
          </w:p>
        </w:tc>
      </w:tr>
    </w:tbl>
    <w:p w14:paraId="70062583" w14:textId="77777777" w:rsidR="00CD455A" w:rsidRPr="00F751A4" w:rsidRDefault="00CD455A" w:rsidP="00CD455A">
      <w:pPr>
        <w:rPr>
          <w:color w:val="000000" w:themeColor="text1"/>
        </w:rPr>
      </w:pPr>
    </w:p>
    <w:sectPr w:rsidR="00CD455A" w:rsidRPr="00F751A4" w:rsidSect="00621E5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F9F1E" w14:textId="77777777" w:rsidR="00E71835" w:rsidRDefault="00E71835" w:rsidP="00620640">
      <w:pPr>
        <w:spacing w:after="0" w:line="240" w:lineRule="auto"/>
      </w:pPr>
      <w:r>
        <w:separator/>
      </w:r>
    </w:p>
  </w:endnote>
  <w:endnote w:type="continuationSeparator" w:id="0">
    <w:p w14:paraId="663E38B5" w14:textId="77777777" w:rsidR="00E71835" w:rsidRDefault="00E71835" w:rsidP="0062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627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621FA5" w14:textId="77777777" w:rsidR="00620640" w:rsidRDefault="006206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1B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65041C" w14:textId="77777777" w:rsidR="00620640" w:rsidRDefault="006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25D1" w14:textId="77777777" w:rsidR="00E71835" w:rsidRDefault="00E71835" w:rsidP="00620640">
      <w:pPr>
        <w:spacing w:after="0" w:line="240" w:lineRule="auto"/>
      </w:pPr>
      <w:r>
        <w:separator/>
      </w:r>
    </w:p>
  </w:footnote>
  <w:footnote w:type="continuationSeparator" w:id="0">
    <w:p w14:paraId="423CBB6A" w14:textId="77777777" w:rsidR="00E71835" w:rsidRDefault="00E71835" w:rsidP="0062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17C2" w14:textId="77777777" w:rsidR="00620640" w:rsidRPr="00620640" w:rsidRDefault="00620640" w:rsidP="00620640">
    <w:pPr>
      <w:pStyle w:val="Heading2"/>
      <w:ind w:left="-709"/>
      <w:rPr>
        <w:color w:val="000000" w:themeColor="text1"/>
      </w:rPr>
    </w:pPr>
    <w:r>
      <w:rPr>
        <w:color w:val="000000" w:themeColor="text1"/>
      </w:rPr>
      <w:t>Individual m</w:t>
    </w:r>
    <w:r w:rsidRPr="00620640">
      <w:rPr>
        <w:color w:val="000000" w:themeColor="text1"/>
      </w:rPr>
      <w:t>anagement response to the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05A8"/>
    <w:multiLevelType w:val="hybridMultilevel"/>
    <w:tmpl w:val="52700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19E5"/>
    <w:multiLevelType w:val="hybridMultilevel"/>
    <w:tmpl w:val="4420FB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D7D"/>
    <w:multiLevelType w:val="multilevel"/>
    <w:tmpl w:val="33BE5E92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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cs="Times New Roman" w:hint="default"/>
      </w:rPr>
    </w:lvl>
    <w:lvl w:ilvl="3">
      <w:start w:val="1"/>
      <w:numFmt w:val="bullet"/>
      <w:pStyle w:val="ListBullet4"/>
      <w:lvlText w:val="."/>
      <w:lvlJc w:val="left"/>
      <w:pPr>
        <w:ind w:left="1428" w:hanging="357"/>
      </w:pPr>
      <w:rPr>
        <w:rFonts w:ascii="Arial" w:hAnsi="Arial" w:cs="Times New Roman" w:hint="default"/>
      </w:rPr>
    </w:lvl>
    <w:lvl w:ilvl="4">
      <w:start w:val="1"/>
      <w:numFmt w:val="bullet"/>
      <w:pStyle w:val="ListBullet5"/>
      <w:lvlText w:val="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3" w15:restartNumberingAfterBreak="0">
    <w:nsid w:val="26F6596F"/>
    <w:multiLevelType w:val="hybridMultilevel"/>
    <w:tmpl w:val="A816E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3192"/>
    <w:multiLevelType w:val="hybridMultilevel"/>
    <w:tmpl w:val="7234C35C"/>
    <w:lvl w:ilvl="0" w:tplc="42B8F854">
      <w:start w:val="1"/>
      <w:numFmt w:val="bullet"/>
      <w:pStyle w:val="Listbulletfin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DA7"/>
    <w:multiLevelType w:val="hybridMultilevel"/>
    <w:tmpl w:val="C7C2E2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0021B52">
      <w:start w:val="2"/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8B139C7"/>
    <w:multiLevelType w:val="hybridMultilevel"/>
    <w:tmpl w:val="850C910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D5C4DCD"/>
    <w:multiLevelType w:val="hybridMultilevel"/>
    <w:tmpl w:val="DE96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3C6C"/>
    <w:multiLevelType w:val="hybridMultilevel"/>
    <w:tmpl w:val="4F9204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70"/>
    <w:rsid w:val="000245BC"/>
    <w:rsid w:val="000339F5"/>
    <w:rsid w:val="0007313D"/>
    <w:rsid w:val="000739DF"/>
    <w:rsid w:val="00077ECB"/>
    <w:rsid w:val="00077F5F"/>
    <w:rsid w:val="0008787A"/>
    <w:rsid w:val="0009684A"/>
    <w:rsid w:val="000A2A99"/>
    <w:rsid w:val="000A4477"/>
    <w:rsid w:val="000B2D16"/>
    <w:rsid w:val="000C1D13"/>
    <w:rsid w:val="000D45BC"/>
    <w:rsid w:val="000D534F"/>
    <w:rsid w:val="000E3D88"/>
    <w:rsid w:val="000E52EC"/>
    <w:rsid w:val="000F561C"/>
    <w:rsid w:val="00106033"/>
    <w:rsid w:val="00110DB2"/>
    <w:rsid w:val="00114615"/>
    <w:rsid w:val="00126293"/>
    <w:rsid w:val="0013396F"/>
    <w:rsid w:val="0014244F"/>
    <w:rsid w:val="001860C2"/>
    <w:rsid w:val="001B6AE4"/>
    <w:rsid w:val="001F253B"/>
    <w:rsid w:val="002026BA"/>
    <w:rsid w:val="00205DBC"/>
    <w:rsid w:val="00217D7C"/>
    <w:rsid w:val="002243FE"/>
    <w:rsid w:val="0023172B"/>
    <w:rsid w:val="0023394C"/>
    <w:rsid w:val="002365A7"/>
    <w:rsid w:val="00242884"/>
    <w:rsid w:val="00247252"/>
    <w:rsid w:val="0025487F"/>
    <w:rsid w:val="00256DFD"/>
    <w:rsid w:val="0027353B"/>
    <w:rsid w:val="002823ED"/>
    <w:rsid w:val="0029213A"/>
    <w:rsid w:val="00294C39"/>
    <w:rsid w:val="002A4AD2"/>
    <w:rsid w:val="002A6780"/>
    <w:rsid w:val="002F2C7D"/>
    <w:rsid w:val="003153C4"/>
    <w:rsid w:val="0032140A"/>
    <w:rsid w:val="0032727F"/>
    <w:rsid w:val="00335BAA"/>
    <w:rsid w:val="00345ED8"/>
    <w:rsid w:val="003472F4"/>
    <w:rsid w:val="0035237F"/>
    <w:rsid w:val="00360B39"/>
    <w:rsid w:val="00365048"/>
    <w:rsid w:val="003804D7"/>
    <w:rsid w:val="003910C1"/>
    <w:rsid w:val="00396E6F"/>
    <w:rsid w:val="003A14B7"/>
    <w:rsid w:val="003A5405"/>
    <w:rsid w:val="003C2EC8"/>
    <w:rsid w:val="003E30B7"/>
    <w:rsid w:val="003F0904"/>
    <w:rsid w:val="003F47A8"/>
    <w:rsid w:val="00444E16"/>
    <w:rsid w:val="00464447"/>
    <w:rsid w:val="004A4B3A"/>
    <w:rsid w:val="004B2C64"/>
    <w:rsid w:val="004B4B66"/>
    <w:rsid w:val="004B5B90"/>
    <w:rsid w:val="004C31CA"/>
    <w:rsid w:val="004C7B07"/>
    <w:rsid w:val="004D1151"/>
    <w:rsid w:val="004F6913"/>
    <w:rsid w:val="004F76F5"/>
    <w:rsid w:val="00502EBD"/>
    <w:rsid w:val="00504BE9"/>
    <w:rsid w:val="00547C05"/>
    <w:rsid w:val="00553B07"/>
    <w:rsid w:val="005541AF"/>
    <w:rsid w:val="005548F5"/>
    <w:rsid w:val="00564418"/>
    <w:rsid w:val="005651BD"/>
    <w:rsid w:val="005659D2"/>
    <w:rsid w:val="00567389"/>
    <w:rsid w:val="005743E5"/>
    <w:rsid w:val="00581503"/>
    <w:rsid w:val="005910A1"/>
    <w:rsid w:val="00597DE4"/>
    <w:rsid w:val="005B0DCF"/>
    <w:rsid w:val="005B26E8"/>
    <w:rsid w:val="00615BCA"/>
    <w:rsid w:val="00620640"/>
    <w:rsid w:val="006214AE"/>
    <w:rsid w:val="00621E59"/>
    <w:rsid w:val="00634747"/>
    <w:rsid w:val="00636BB9"/>
    <w:rsid w:val="00643E79"/>
    <w:rsid w:val="00650F93"/>
    <w:rsid w:val="00690E88"/>
    <w:rsid w:val="00695CBD"/>
    <w:rsid w:val="006C54C9"/>
    <w:rsid w:val="006D485F"/>
    <w:rsid w:val="006E0587"/>
    <w:rsid w:val="006E4D5B"/>
    <w:rsid w:val="006F0614"/>
    <w:rsid w:val="00743BEF"/>
    <w:rsid w:val="007508AA"/>
    <w:rsid w:val="00761636"/>
    <w:rsid w:val="0078560E"/>
    <w:rsid w:val="007C3A4A"/>
    <w:rsid w:val="007E0AEF"/>
    <w:rsid w:val="0080487C"/>
    <w:rsid w:val="008178FD"/>
    <w:rsid w:val="00834994"/>
    <w:rsid w:val="008412D6"/>
    <w:rsid w:val="00880B96"/>
    <w:rsid w:val="00894C58"/>
    <w:rsid w:val="008A45DF"/>
    <w:rsid w:val="008A582D"/>
    <w:rsid w:val="008F2F6E"/>
    <w:rsid w:val="00917703"/>
    <w:rsid w:val="009310DC"/>
    <w:rsid w:val="00931FB1"/>
    <w:rsid w:val="00932A9C"/>
    <w:rsid w:val="009512D4"/>
    <w:rsid w:val="0096763E"/>
    <w:rsid w:val="009905A4"/>
    <w:rsid w:val="00990687"/>
    <w:rsid w:val="009967A5"/>
    <w:rsid w:val="009C77F3"/>
    <w:rsid w:val="00A26AE1"/>
    <w:rsid w:val="00A51B14"/>
    <w:rsid w:val="00A74606"/>
    <w:rsid w:val="00A878D1"/>
    <w:rsid w:val="00A94F29"/>
    <w:rsid w:val="00AA268D"/>
    <w:rsid w:val="00AB7305"/>
    <w:rsid w:val="00AC004B"/>
    <w:rsid w:val="00AC5511"/>
    <w:rsid w:val="00AE34F3"/>
    <w:rsid w:val="00B0140A"/>
    <w:rsid w:val="00B13455"/>
    <w:rsid w:val="00B46470"/>
    <w:rsid w:val="00B52C04"/>
    <w:rsid w:val="00B606C2"/>
    <w:rsid w:val="00B77E20"/>
    <w:rsid w:val="00B83FB9"/>
    <w:rsid w:val="00B8518A"/>
    <w:rsid w:val="00B9059C"/>
    <w:rsid w:val="00B92B8A"/>
    <w:rsid w:val="00BA2AE3"/>
    <w:rsid w:val="00BB6678"/>
    <w:rsid w:val="00BF0C0D"/>
    <w:rsid w:val="00C354EF"/>
    <w:rsid w:val="00C378E6"/>
    <w:rsid w:val="00C44CF8"/>
    <w:rsid w:val="00CA6E99"/>
    <w:rsid w:val="00CB4984"/>
    <w:rsid w:val="00CB558C"/>
    <w:rsid w:val="00CC053C"/>
    <w:rsid w:val="00CD455A"/>
    <w:rsid w:val="00CE60CD"/>
    <w:rsid w:val="00CF32BA"/>
    <w:rsid w:val="00D03B26"/>
    <w:rsid w:val="00D06DA7"/>
    <w:rsid w:val="00D341EA"/>
    <w:rsid w:val="00D571F2"/>
    <w:rsid w:val="00D57C07"/>
    <w:rsid w:val="00D76D64"/>
    <w:rsid w:val="00D84CE2"/>
    <w:rsid w:val="00D929EB"/>
    <w:rsid w:val="00D96EC8"/>
    <w:rsid w:val="00DA0CAD"/>
    <w:rsid w:val="00DB5E8F"/>
    <w:rsid w:val="00DD1475"/>
    <w:rsid w:val="00DE2CDD"/>
    <w:rsid w:val="00DE69F8"/>
    <w:rsid w:val="00E076BC"/>
    <w:rsid w:val="00E17800"/>
    <w:rsid w:val="00E35889"/>
    <w:rsid w:val="00E6059C"/>
    <w:rsid w:val="00E6180E"/>
    <w:rsid w:val="00E642D2"/>
    <w:rsid w:val="00E6621B"/>
    <w:rsid w:val="00E71835"/>
    <w:rsid w:val="00E84048"/>
    <w:rsid w:val="00E946B4"/>
    <w:rsid w:val="00EA5D36"/>
    <w:rsid w:val="00EC26C3"/>
    <w:rsid w:val="00EE3008"/>
    <w:rsid w:val="00EF76F8"/>
    <w:rsid w:val="00F11353"/>
    <w:rsid w:val="00F414FD"/>
    <w:rsid w:val="00F428D2"/>
    <w:rsid w:val="00F751A4"/>
    <w:rsid w:val="00F818C8"/>
    <w:rsid w:val="00FA35C3"/>
    <w:rsid w:val="00FC4ADF"/>
    <w:rsid w:val="00FD269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F7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B46470"/>
    <w:pPr>
      <w:spacing w:after="120" w:line="360" w:lineRule="auto"/>
    </w:pPr>
    <w:rPr>
      <w:rFonts w:ascii="Arial" w:hAnsi="Arial" w:cs="Arial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B46470"/>
    <w:rPr>
      <w:rFonts w:ascii="Arial" w:hAnsi="Arial" w:cs="Arial"/>
      <w:lang w:val="en-GB" w:eastAsia="en-GB"/>
    </w:rPr>
  </w:style>
  <w:style w:type="character" w:styleId="Strong">
    <w:name w:val="Strong"/>
    <w:basedOn w:val="DefaultParagraphFont"/>
    <w:uiPriority w:val="22"/>
    <w:qFormat/>
    <w:rsid w:val="00B46470"/>
    <w:rPr>
      <w:b/>
      <w:bCs/>
    </w:rPr>
  </w:style>
  <w:style w:type="paragraph" w:styleId="ListBullet">
    <w:name w:val="List Bullet"/>
    <w:basedOn w:val="Normal"/>
    <w:semiHidden/>
    <w:unhideWhenUsed/>
    <w:qFormat/>
    <w:rsid w:val="00B46470"/>
    <w:pPr>
      <w:numPr>
        <w:numId w:val="1"/>
      </w:numPr>
      <w:spacing w:after="6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ListBullet2">
    <w:name w:val="List Bullet 2"/>
    <w:basedOn w:val="Normal"/>
    <w:semiHidden/>
    <w:unhideWhenUsed/>
    <w:qFormat/>
    <w:rsid w:val="00B46470"/>
    <w:pPr>
      <w:numPr>
        <w:ilvl w:val="1"/>
        <w:numId w:val="1"/>
      </w:numPr>
      <w:spacing w:after="60" w:line="276" w:lineRule="atLeast"/>
    </w:pPr>
    <w:rPr>
      <w:rFonts w:ascii="Arial" w:eastAsia="Times New Roman" w:hAnsi="Arial" w:cs="Times New Roman"/>
      <w:szCs w:val="20"/>
      <w:lang w:val="en-GB"/>
    </w:rPr>
  </w:style>
  <w:style w:type="paragraph" w:styleId="ListBullet3">
    <w:name w:val="List Bullet 3"/>
    <w:basedOn w:val="Normal"/>
    <w:semiHidden/>
    <w:unhideWhenUsed/>
    <w:qFormat/>
    <w:rsid w:val="00B46470"/>
    <w:pPr>
      <w:numPr>
        <w:ilvl w:val="2"/>
        <w:numId w:val="1"/>
      </w:numPr>
      <w:spacing w:after="60" w:line="276" w:lineRule="atLeast"/>
    </w:pPr>
    <w:rPr>
      <w:rFonts w:ascii="Arial" w:hAnsi="Arial" w:cs="Arial"/>
      <w:lang w:val="en-GB" w:eastAsia="en-GB"/>
    </w:rPr>
  </w:style>
  <w:style w:type="paragraph" w:styleId="ListBullet4">
    <w:name w:val="List Bullet 4"/>
    <w:basedOn w:val="Normal"/>
    <w:semiHidden/>
    <w:unhideWhenUsed/>
    <w:qFormat/>
    <w:rsid w:val="00B46470"/>
    <w:pPr>
      <w:numPr>
        <w:ilvl w:val="3"/>
        <w:numId w:val="1"/>
      </w:numPr>
      <w:spacing w:after="60" w:line="276" w:lineRule="atLeast"/>
    </w:pPr>
    <w:rPr>
      <w:rFonts w:ascii="Arial" w:hAnsi="Arial" w:cs="Arial"/>
      <w:lang w:val="en-GB" w:eastAsia="en-GB"/>
    </w:rPr>
  </w:style>
  <w:style w:type="paragraph" w:styleId="ListBullet5">
    <w:name w:val="List Bullet 5"/>
    <w:basedOn w:val="Normal"/>
    <w:semiHidden/>
    <w:unhideWhenUsed/>
    <w:qFormat/>
    <w:rsid w:val="00B46470"/>
    <w:pPr>
      <w:numPr>
        <w:ilvl w:val="4"/>
        <w:numId w:val="1"/>
      </w:numPr>
      <w:spacing w:after="60" w:line="276" w:lineRule="atLeast"/>
    </w:pPr>
    <w:rPr>
      <w:rFonts w:ascii="Arial" w:eastAsia="Times New Roman" w:hAnsi="Arial" w:cs="Times New Roman"/>
      <w:szCs w:val="20"/>
      <w:lang w:val="en-GB"/>
    </w:rPr>
  </w:style>
  <w:style w:type="paragraph" w:customStyle="1" w:styleId="Listbulletfinal">
    <w:name w:val="List bullet final"/>
    <w:basedOn w:val="Normal"/>
    <w:next w:val="Normal"/>
    <w:rsid w:val="00B46470"/>
    <w:pPr>
      <w:numPr>
        <w:numId w:val="3"/>
      </w:numPr>
      <w:spacing w:after="200" w:line="240" w:lineRule="auto"/>
      <w:ind w:left="357" w:hanging="357"/>
    </w:pPr>
    <w:rPr>
      <w:rFonts w:ascii="Arial" w:eastAsia="Times New Roman" w:hAnsi="Arial" w:cs="Times New Roman"/>
      <w:szCs w:val="20"/>
      <w:lang w:val="en-GB"/>
    </w:rPr>
  </w:style>
  <w:style w:type="numbering" w:customStyle="1" w:styleId="ListBullets">
    <w:name w:val="ListBullets"/>
    <w:uiPriority w:val="99"/>
    <w:rsid w:val="00B4647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46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64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64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64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46470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62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40"/>
  </w:style>
  <w:style w:type="paragraph" w:styleId="Footer">
    <w:name w:val="footer"/>
    <w:basedOn w:val="Normal"/>
    <w:link w:val="FooterChar"/>
    <w:uiPriority w:val="99"/>
    <w:unhideWhenUsed/>
    <w:rsid w:val="00620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40"/>
  </w:style>
  <w:style w:type="character" w:styleId="CommentReference">
    <w:name w:val="annotation reference"/>
    <w:basedOn w:val="DefaultParagraphFont"/>
    <w:uiPriority w:val="99"/>
    <w:semiHidden/>
    <w:unhideWhenUsed/>
    <w:rsid w:val="0033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E0F0-2CB9-4E07-98D6-0EE6BA8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Papua New Guinea Partnership Fund Education Grants Summary of Management Response</dc:title>
  <dc:subject/>
  <dc:creator/>
  <cp:keywords/>
  <dc:description/>
  <cp:lastModifiedBy/>
  <cp:revision>1</cp:revision>
  <dcterms:created xsi:type="dcterms:W3CDTF">2020-12-18T05:31:00Z</dcterms:created>
  <dcterms:modified xsi:type="dcterms:W3CDTF">2020-12-18T05:31:00Z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3785905f-9159-4ac9-9a2b-5a58b944956a</vt:lpwstr>
  </property>
  <property fmtid="{D5CDD505-2E9C-101B-9397-08002B2CF9AE}" pid="3" name="SEC">
    <vt:lpwstr>OFFICIAL</vt:lpwstr>
  </property>
</Properties>
</file>