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9ED" w:rsidRDefault="002D2DA8" w:rsidP="00D129ED">
      <w:pPr>
        <w:rPr>
          <w:lang w:val="en-US" w:eastAsia="ja-JP"/>
        </w:rPr>
      </w:pPr>
      <w:r>
        <w:rPr>
          <w:rFonts w:ascii="Times New Roman" w:hAnsi="Times New Roman" w:cs="Times New Roman"/>
          <w:noProof/>
          <w:sz w:val="24"/>
          <w:szCs w:val="24"/>
          <w:lang w:val="en-AU" w:eastAsia="en-AU"/>
        </w:rPr>
        <w:drawing>
          <wp:anchor distT="0" distB="0" distL="114300" distR="114300" simplePos="0" relativeHeight="251681792" behindDoc="1" locked="0" layoutInCell="1" allowOverlap="1" wp14:anchorId="57545F0C" wp14:editId="5ACF36D6">
            <wp:simplePos x="0" y="0"/>
            <wp:positionH relativeFrom="column">
              <wp:posOffset>-927372</wp:posOffset>
            </wp:positionH>
            <wp:positionV relativeFrom="paragraph">
              <wp:posOffset>-896257</wp:posOffset>
            </wp:positionV>
            <wp:extent cx="7661429" cy="1882066"/>
            <wp:effectExtent l="0" t="0" r="0" b="4445"/>
            <wp:wrapNone/>
            <wp:docPr id="1" name="Picture 1" descr="GRM L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M LHead Header"/>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61429" cy="1882066"/>
                    </a:xfrm>
                    <a:prstGeom prst="rect">
                      <a:avLst/>
                    </a:prstGeom>
                    <a:noFill/>
                  </pic:spPr>
                </pic:pic>
              </a:graphicData>
            </a:graphic>
          </wp:anchor>
        </w:drawing>
      </w:r>
    </w:p>
    <w:p w:rsidR="00C12EE3" w:rsidRDefault="00C12EE3" w:rsidP="005337C9">
      <w:pPr>
        <w:spacing w:line="360" w:lineRule="auto"/>
        <w:jc w:val="center"/>
        <w:rPr>
          <w:rFonts w:ascii="Arial Black" w:hAnsi="Arial Black"/>
          <w:b/>
          <w:color w:val="008000"/>
          <w:sz w:val="32"/>
          <w:szCs w:val="32"/>
          <w:lang w:val="en-US" w:eastAsia="ja-JP"/>
        </w:rPr>
      </w:pPr>
    </w:p>
    <w:p w:rsidR="00C12EE3" w:rsidRDefault="00C12EE3" w:rsidP="005337C9">
      <w:pPr>
        <w:spacing w:line="360" w:lineRule="auto"/>
        <w:jc w:val="center"/>
        <w:rPr>
          <w:rFonts w:ascii="Arial Black" w:hAnsi="Arial Black"/>
          <w:b/>
          <w:color w:val="008000"/>
          <w:sz w:val="32"/>
          <w:szCs w:val="32"/>
          <w:lang w:val="en-US" w:eastAsia="ja-JP"/>
        </w:rPr>
      </w:pPr>
    </w:p>
    <w:p w:rsidR="00C12EE3" w:rsidRDefault="00C12EE3" w:rsidP="005337C9">
      <w:pPr>
        <w:spacing w:line="360" w:lineRule="auto"/>
        <w:jc w:val="center"/>
        <w:rPr>
          <w:rFonts w:ascii="Arial Black" w:hAnsi="Arial Black"/>
          <w:b/>
          <w:color w:val="008000"/>
          <w:sz w:val="32"/>
          <w:szCs w:val="32"/>
          <w:lang w:val="en-US" w:eastAsia="ja-JP"/>
        </w:rPr>
      </w:pPr>
    </w:p>
    <w:p w:rsidR="002D2DA8" w:rsidRDefault="00C12EE3" w:rsidP="005337C9">
      <w:pPr>
        <w:spacing w:line="360" w:lineRule="auto"/>
        <w:jc w:val="center"/>
        <w:rPr>
          <w:rFonts w:ascii="Arial Black" w:hAnsi="Arial Black"/>
          <w:b/>
          <w:color w:val="008000"/>
          <w:sz w:val="32"/>
          <w:szCs w:val="32"/>
          <w:lang w:val="en-US" w:eastAsia="ja-JP"/>
        </w:rPr>
      </w:pPr>
      <w:r>
        <w:rPr>
          <w:rFonts w:ascii="Arial Black" w:hAnsi="Arial Black"/>
          <w:b/>
          <w:noProof/>
          <w:color w:val="008000"/>
          <w:sz w:val="32"/>
          <w:szCs w:val="32"/>
          <w:lang w:val="en-AU" w:eastAsia="en-AU"/>
        </w:rPr>
        <w:drawing>
          <wp:inline distT="0" distB="0" distL="0" distR="0" wp14:anchorId="5A7783A9" wp14:editId="3602D505">
            <wp:extent cx="4998720" cy="3749955"/>
            <wp:effectExtent l="0" t="0" r="0" b="3175"/>
            <wp:docPr id="31" name="Picture 31" descr="C:\Users\User\Pictures\VLJP pics\20141205_054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VLJP pics\20141205_05400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06216" cy="3755578"/>
                    </a:xfrm>
                    <a:prstGeom prst="rect">
                      <a:avLst/>
                    </a:prstGeom>
                    <a:noFill/>
                    <a:ln>
                      <a:noFill/>
                    </a:ln>
                  </pic:spPr>
                </pic:pic>
              </a:graphicData>
            </a:graphic>
          </wp:inline>
        </w:drawing>
      </w:r>
    </w:p>
    <w:p w:rsidR="00D6458C" w:rsidRDefault="00D6458C" w:rsidP="005337C9">
      <w:pPr>
        <w:spacing w:line="360" w:lineRule="auto"/>
        <w:jc w:val="center"/>
        <w:rPr>
          <w:rFonts w:ascii="Arial Black" w:hAnsi="Arial Black"/>
          <w:b/>
          <w:color w:val="008000"/>
          <w:sz w:val="32"/>
          <w:szCs w:val="32"/>
          <w:lang w:val="en-US" w:eastAsia="ja-JP"/>
        </w:rPr>
      </w:pPr>
    </w:p>
    <w:p w:rsidR="00C12EE3" w:rsidRDefault="00C12EE3" w:rsidP="00200946">
      <w:pPr>
        <w:autoSpaceDE w:val="0"/>
        <w:autoSpaceDN w:val="0"/>
        <w:adjustRightInd w:val="0"/>
        <w:spacing w:after="67" w:line="240" w:lineRule="auto"/>
        <w:ind w:right="-2292"/>
        <w:jc w:val="center"/>
        <w:rPr>
          <w:rFonts w:ascii="Arial Black" w:hAnsi="Arial Black" w:cstheme="minorHAnsi"/>
          <w:b/>
          <w:color w:val="4F6228" w:themeColor="accent3" w:themeShade="80"/>
          <w:lang w:val="en-AU" w:eastAsia="en-AU"/>
        </w:rPr>
      </w:pPr>
    </w:p>
    <w:p w:rsidR="00ED5A4A" w:rsidRDefault="00ED5A4A" w:rsidP="00200946">
      <w:pPr>
        <w:autoSpaceDE w:val="0"/>
        <w:autoSpaceDN w:val="0"/>
        <w:adjustRightInd w:val="0"/>
        <w:spacing w:after="67" w:line="240" w:lineRule="auto"/>
        <w:jc w:val="center"/>
        <w:rPr>
          <w:rFonts w:ascii="Arial Black" w:hAnsi="Arial Black" w:cstheme="minorHAnsi"/>
          <w:b/>
          <w:color w:val="4F6228" w:themeColor="accent3" w:themeShade="80"/>
          <w:lang w:val="en-AU" w:eastAsia="en-AU"/>
        </w:rPr>
      </w:pPr>
      <w:r>
        <w:rPr>
          <w:rFonts w:ascii="Arial Black" w:hAnsi="Arial Black" w:cstheme="minorHAnsi"/>
          <w:b/>
          <w:color w:val="4F6228" w:themeColor="accent3" w:themeShade="80"/>
          <w:lang w:val="en-AU" w:eastAsia="en-AU"/>
        </w:rPr>
        <w:t>Vanuatu Law and Justice Partnership</w:t>
      </w:r>
    </w:p>
    <w:p w:rsidR="00C12EE3" w:rsidRPr="00E61DC6" w:rsidRDefault="00C12EE3" w:rsidP="00200946">
      <w:pPr>
        <w:autoSpaceDE w:val="0"/>
        <w:autoSpaceDN w:val="0"/>
        <w:adjustRightInd w:val="0"/>
        <w:spacing w:after="67" w:line="240" w:lineRule="auto"/>
        <w:jc w:val="center"/>
        <w:rPr>
          <w:rFonts w:ascii="Arial Black" w:hAnsi="Arial Black" w:cstheme="minorHAnsi"/>
          <w:b/>
          <w:color w:val="4F6228" w:themeColor="accent3" w:themeShade="80"/>
          <w:lang w:val="en-AU" w:eastAsia="en-AU"/>
        </w:rPr>
      </w:pPr>
      <w:r w:rsidRPr="00E61DC6">
        <w:rPr>
          <w:rFonts w:ascii="Arial Black" w:hAnsi="Arial Black" w:cstheme="minorHAnsi"/>
          <w:b/>
          <w:color w:val="4F6228" w:themeColor="accent3" w:themeShade="80"/>
          <w:lang w:val="en-AU" w:eastAsia="en-AU"/>
        </w:rPr>
        <w:t>Stretem Rod Blong Jastis</w:t>
      </w:r>
    </w:p>
    <w:p w:rsidR="00C12EE3" w:rsidRPr="007B6428" w:rsidRDefault="007B6428" w:rsidP="00200946">
      <w:pPr>
        <w:autoSpaceDE w:val="0"/>
        <w:autoSpaceDN w:val="0"/>
        <w:adjustRightInd w:val="0"/>
        <w:spacing w:after="67" w:line="240" w:lineRule="auto"/>
        <w:jc w:val="center"/>
        <w:rPr>
          <w:rFonts w:ascii="Arial Black" w:hAnsi="Arial Black" w:cstheme="minorHAnsi"/>
          <w:b/>
          <w:color w:val="4F6228" w:themeColor="accent3" w:themeShade="80"/>
          <w:sz w:val="20"/>
          <w:szCs w:val="20"/>
          <w:lang w:val="en-AU" w:eastAsia="en-AU"/>
        </w:rPr>
      </w:pPr>
      <w:r w:rsidRPr="007B6428">
        <w:rPr>
          <w:rFonts w:ascii="Arial Black" w:hAnsi="Arial Black" w:cstheme="minorHAnsi"/>
          <w:b/>
          <w:color w:val="4F6228" w:themeColor="accent3" w:themeShade="80"/>
          <w:sz w:val="20"/>
          <w:szCs w:val="20"/>
          <w:lang w:val="en-AU" w:eastAsia="en-AU"/>
        </w:rPr>
        <w:t>p</w:t>
      </w:r>
      <w:r>
        <w:rPr>
          <w:rFonts w:ascii="Arial Black" w:hAnsi="Arial Black" w:cstheme="minorHAnsi"/>
          <w:b/>
          <w:color w:val="4F6228" w:themeColor="accent3" w:themeShade="80"/>
          <w:sz w:val="20"/>
          <w:szCs w:val="20"/>
          <w:lang w:val="en-AU" w:eastAsia="en-AU"/>
        </w:rPr>
        <w:t>art of</w:t>
      </w:r>
    </w:p>
    <w:p w:rsidR="007B6428" w:rsidRPr="00E61DC6" w:rsidRDefault="007B6428" w:rsidP="00200946">
      <w:pPr>
        <w:autoSpaceDE w:val="0"/>
        <w:autoSpaceDN w:val="0"/>
        <w:adjustRightInd w:val="0"/>
        <w:spacing w:after="67" w:line="240" w:lineRule="auto"/>
        <w:jc w:val="center"/>
        <w:rPr>
          <w:rFonts w:ascii="Arial Black" w:hAnsi="Arial Black" w:cstheme="minorHAnsi"/>
          <w:b/>
          <w:color w:val="4F6228" w:themeColor="accent3" w:themeShade="80"/>
          <w:lang w:eastAsia="en-AU"/>
        </w:rPr>
      </w:pPr>
      <w:r>
        <w:rPr>
          <w:rFonts w:ascii="Arial Black" w:hAnsi="Arial Black" w:cstheme="minorHAnsi"/>
          <w:b/>
          <w:color w:val="4F6228" w:themeColor="accent3" w:themeShade="80"/>
          <w:lang w:val="en-AU" w:eastAsia="en-AU"/>
        </w:rPr>
        <w:t>Policing and Justice Support Program (Vanuatu)</w:t>
      </w:r>
    </w:p>
    <w:p w:rsidR="00C12EE3" w:rsidRDefault="00C12EE3" w:rsidP="00C12EE3">
      <w:pPr>
        <w:autoSpaceDE w:val="0"/>
        <w:autoSpaceDN w:val="0"/>
        <w:adjustRightInd w:val="0"/>
        <w:spacing w:after="67"/>
        <w:jc w:val="center"/>
        <w:rPr>
          <w:rFonts w:ascii="Arial Black" w:hAnsi="Arial Black" w:cstheme="minorHAnsi"/>
          <w:b/>
          <w:color w:val="4F6228" w:themeColor="accent3" w:themeShade="80"/>
          <w:lang w:eastAsia="en-AU"/>
        </w:rPr>
      </w:pPr>
    </w:p>
    <w:p w:rsidR="00C12EE3" w:rsidRDefault="00C12EE3" w:rsidP="002D2DA8">
      <w:pPr>
        <w:autoSpaceDE w:val="0"/>
        <w:autoSpaceDN w:val="0"/>
        <w:adjustRightInd w:val="0"/>
        <w:spacing w:after="67" w:line="240" w:lineRule="auto"/>
        <w:ind w:right="-2292"/>
        <w:rPr>
          <w:rFonts w:ascii="Arial Black" w:hAnsi="Arial Black" w:cstheme="minorHAnsi"/>
          <w:b/>
          <w:color w:val="4F6228" w:themeColor="accent3" w:themeShade="80"/>
          <w:lang w:val="en-AU" w:eastAsia="en-AU"/>
        </w:rPr>
      </w:pPr>
    </w:p>
    <w:p w:rsidR="00C12EE3" w:rsidRDefault="00C12EE3" w:rsidP="002D2DA8">
      <w:pPr>
        <w:autoSpaceDE w:val="0"/>
        <w:autoSpaceDN w:val="0"/>
        <w:adjustRightInd w:val="0"/>
        <w:spacing w:after="67" w:line="240" w:lineRule="auto"/>
        <w:ind w:right="-2292"/>
        <w:rPr>
          <w:rFonts w:ascii="Arial Black" w:hAnsi="Arial Black" w:cstheme="minorHAnsi"/>
          <w:b/>
          <w:color w:val="4F6228" w:themeColor="accent3" w:themeShade="80"/>
          <w:lang w:val="en-AU" w:eastAsia="en-AU"/>
        </w:rPr>
      </w:pPr>
    </w:p>
    <w:p w:rsidR="00C12EE3" w:rsidRDefault="00C12EE3" w:rsidP="00C12EE3">
      <w:pPr>
        <w:autoSpaceDE w:val="0"/>
        <w:autoSpaceDN w:val="0"/>
        <w:adjustRightInd w:val="0"/>
        <w:spacing w:after="67" w:line="240" w:lineRule="auto"/>
        <w:ind w:right="-2292"/>
        <w:jc w:val="center"/>
        <w:rPr>
          <w:rFonts w:ascii="Arial Black" w:hAnsi="Arial Black" w:cstheme="minorHAnsi"/>
          <w:b/>
          <w:color w:val="4F6228" w:themeColor="accent3" w:themeShade="80"/>
          <w:lang w:val="en-AU" w:eastAsia="en-AU"/>
        </w:rPr>
      </w:pPr>
    </w:p>
    <w:p w:rsidR="00C12EE3" w:rsidRDefault="00C12EE3" w:rsidP="00C12EE3">
      <w:pPr>
        <w:autoSpaceDE w:val="0"/>
        <w:autoSpaceDN w:val="0"/>
        <w:adjustRightInd w:val="0"/>
        <w:spacing w:after="67" w:line="240" w:lineRule="auto"/>
        <w:ind w:right="-2292"/>
        <w:jc w:val="center"/>
        <w:rPr>
          <w:rFonts w:ascii="Arial Black" w:hAnsi="Arial Black" w:cstheme="minorHAnsi"/>
          <w:b/>
          <w:color w:val="4F6228" w:themeColor="accent3" w:themeShade="80"/>
          <w:lang w:val="en-AU" w:eastAsia="en-AU"/>
        </w:rPr>
      </w:pPr>
    </w:p>
    <w:p w:rsidR="00C12EE3" w:rsidRDefault="00C12EE3" w:rsidP="00C12EE3">
      <w:pPr>
        <w:autoSpaceDE w:val="0"/>
        <w:autoSpaceDN w:val="0"/>
        <w:adjustRightInd w:val="0"/>
        <w:spacing w:after="67" w:line="240" w:lineRule="auto"/>
        <w:ind w:right="-2292"/>
        <w:jc w:val="center"/>
        <w:rPr>
          <w:rFonts w:ascii="Arial Black" w:hAnsi="Arial Black" w:cstheme="minorHAnsi"/>
          <w:b/>
          <w:color w:val="4F6228" w:themeColor="accent3" w:themeShade="80"/>
          <w:lang w:val="en-AU" w:eastAsia="en-AU"/>
        </w:rPr>
      </w:pPr>
    </w:p>
    <w:p w:rsidR="00C12EE3" w:rsidRDefault="006530EE" w:rsidP="00C12EE3">
      <w:pPr>
        <w:autoSpaceDE w:val="0"/>
        <w:autoSpaceDN w:val="0"/>
        <w:adjustRightInd w:val="0"/>
        <w:spacing w:after="67" w:line="240" w:lineRule="auto"/>
        <w:ind w:right="-2292"/>
        <w:jc w:val="center"/>
        <w:rPr>
          <w:rFonts w:ascii="Arial Black" w:hAnsi="Arial Black" w:cstheme="minorHAnsi"/>
          <w:b/>
          <w:color w:val="4F6228" w:themeColor="accent3" w:themeShade="80"/>
          <w:lang w:val="en-AU" w:eastAsia="en-AU"/>
        </w:rPr>
      </w:pPr>
      <w:r>
        <w:rPr>
          <w:noProof/>
          <w:lang w:val="en-AU" w:eastAsia="en-AU"/>
        </w:rPr>
        <mc:AlternateContent>
          <mc:Choice Requires="wps">
            <w:drawing>
              <wp:anchor distT="0" distB="0" distL="114300" distR="114300" simplePos="0" relativeHeight="251685888" behindDoc="0" locked="0" layoutInCell="1" allowOverlap="1" wp14:anchorId="25B2E680" wp14:editId="5B41937E">
                <wp:simplePos x="0" y="0"/>
                <wp:positionH relativeFrom="column">
                  <wp:posOffset>191135</wp:posOffset>
                </wp:positionH>
                <wp:positionV relativeFrom="paragraph">
                  <wp:posOffset>163195</wp:posOffset>
                </wp:positionV>
                <wp:extent cx="1987550" cy="8124825"/>
                <wp:effectExtent l="0" t="0" r="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7550" cy="812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1462" w:rsidRPr="00E61DC6" w:rsidRDefault="00171462" w:rsidP="00ED5A4A">
                            <w:pPr>
                              <w:spacing w:line="360" w:lineRule="auto"/>
                              <w:jc w:val="right"/>
                              <w:rPr>
                                <w:rFonts w:ascii="Arial Black" w:hAnsi="Arial Black"/>
                                <w:b/>
                                <w:color w:val="4F6228" w:themeColor="accent3" w:themeShade="80"/>
                                <w:sz w:val="48"/>
                                <w:szCs w:val="48"/>
                                <w:lang w:val="en-US" w:eastAsia="ja-JP"/>
                              </w:rPr>
                            </w:pPr>
                            <w:r w:rsidRPr="00E61DC6">
                              <w:rPr>
                                <w:rFonts w:ascii="Arial Black" w:hAnsi="Arial Black"/>
                                <w:b/>
                                <w:color w:val="4F6228" w:themeColor="accent3" w:themeShade="80"/>
                                <w:sz w:val="48"/>
                                <w:szCs w:val="48"/>
                                <w:lang w:val="en-US" w:eastAsia="ja-JP"/>
                              </w:rPr>
                              <w:t xml:space="preserve">Stage </w:t>
                            </w:r>
                            <w:r>
                              <w:rPr>
                                <w:rFonts w:ascii="Arial Black" w:hAnsi="Arial Black"/>
                                <w:b/>
                                <w:color w:val="4F6228" w:themeColor="accent3" w:themeShade="80"/>
                                <w:sz w:val="48"/>
                                <w:szCs w:val="48"/>
                                <w:lang w:val="en-US" w:eastAsia="ja-JP"/>
                              </w:rPr>
                              <w:t>Two</w:t>
                            </w:r>
                            <w:r w:rsidRPr="00E61DC6">
                              <w:rPr>
                                <w:rFonts w:ascii="Arial Black" w:hAnsi="Arial Black"/>
                                <w:b/>
                                <w:color w:val="4F6228" w:themeColor="accent3" w:themeShade="80"/>
                                <w:sz w:val="48"/>
                                <w:szCs w:val="48"/>
                                <w:lang w:val="en-US" w:eastAsia="ja-JP"/>
                              </w:rPr>
                              <w:t xml:space="preserve"> </w:t>
                            </w:r>
                            <w:r>
                              <w:rPr>
                                <w:rFonts w:ascii="Arial Black" w:hAnsi="Arial Black"/>
                                <w:b/>
                                <w:color w:val="4F6228" w:themeColor="accent3" w:themeShade="80"/>
                                <w:sz w:val="48"/>
                                <w:szCs w:val="48"/>
                                <w:lang w:val="en-US" w:eastAsia="ja-JP"/>
                              </w:rPr>
                              <w:t>Progress</w:t>
                            </w:r>
                            <w:r w:rsidRPr="00E61DC6">
                              <w:rPr>
                                <w:rFonts w:ascii="Arial Black" w:hAnsi="Arial Black"/>
                                <w:b/>
                                <w:color w:val="4F6228" w:themeColor="accent3" w:themeShade="80"/>
                                <w:sz w:val="48"/>
                                <w:szCs w:val="48"/>
                                <w:lang w:val="en-US" w:eastAsia="ja-JP"/>
                              </w:rPr>
                              <w:t xml:space="preserve"> Report</w:t>
                            </w:r>
                            <w:r>
                              <w:rPr>
                                <w:rFonts w:ascii="Arial Black" w:hAnsi="Arial Black"/>
                                <w:b/>
                                <w:color w:val="4F6228" w:themeColor="accent3" w:themeShade="80"/>
                                <w:sz w:val="48"/>
                                <w:szCs w:val="48"/>
                                <w:lang w:val="en-US" w:eastAsia="ja-JP"/>
                              </w:rPr>
                              <w:t xml:space="preserve"> – July to Dec 2014</w:t>
                            </w:r>
                          </w:p>
                          <w:p w:rsidR="00171462" w:rsidRPr="00ED5A4A" w:rsidRDefault="00171462" w:rsidP="002D2DA8">
                            <w:pPr>
                              <w:spacing w:line="360" w:lineRule="auto"/>
                              <w:jc w:val="center"/>
                              <w:rPr>
                                <w:rFonts w:ascii="Arial Black" w:hAnsi="Arial Black"/>
                                <w:b/>
                                <w:sz w:val="18"/>
                                <w:szCs w:val="18"/>
                                <w:lang w:val="en-US" w:eastAsia="ja-JP"/>
                              </w:rPr>
                            </w:pPr>
                            <w:r>
                              <w:rPr>
                                <w:rFonts w:ascii="Arial Black" w:hAnsi="Arial Black"/>
                                <w:b/>
                                <w:color w:val="4F6228" w:themeColor="accent3" w:themeShade="80"/>
                                <w:sz w:val="18"/>
                                <w:szCs w:val="18"/>
                                <w:lang w:val="en-US" w:eastAsia="ja-JP"/>
                              </w:rPr>
                              <w:t>Submitted 9 February 2015</w:t>
                            </w:r>
                          </w:p>
                          <w:p w:rsidR="00171462" w:rsidRDefault="00171462" w:rsidP="002D2DA8"/>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15.05pt;margin-top:12.85pt;width:156.5pt;height:63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" fillcolor="white [3201]" stroked="f" strokeweight=".5pt">
                <v:path arrowok="t"/>
                <v:textbox style="layout-flow:vertical;mso-layout-flow-alt:bottom-to-top">
                  <w:txbxContent>
                    <w:p w:rsidR="00171462" w:rsidRPr="00E61DC6" w:rsidRDefault="00171462" w:rsidP="00ED5A4A">
                      <w:pPr>
                        <w:spacing w:line="360" w:lineRule="auto"/>
                        <w:jc w:val="right"/>
                        <w:rPr>
                          <w:rFonts w:ascii="Arial Black" w:hAnsi="Arial Black"/>
                          <w:b/>
                          <w:color w:val="4F6228" w:themeColor="accent3" w:themeShade="80"/>
                          <w:sz w:val="48"/>
                          <w:szCs w:val="48"/>
                          <w:lang w:val="en-US" w:eastAsia="ja-JP"/>
                        </w:rPr>
                      </w:pPr>
                      <w:r w:rsidRPr="00E61DC6">
                        <w:rPr>
                          <w:rFonts w:ascii="Arial Black" w:hAnsi="Arial Black"/>
                          <w:b/>
                          <w:color w:val="4F6228" w:themeColor="accent3" w:themeShade="80"/>
                          <w:sz w:val="48"/>
                          <w:szCs w:val="48"/>
                          <w:lang w:val="en-US" w:eastAsia="ja-JP"/>
                        </w:rPr>
                        <w:t xml:space="preserve">Stage </w:t>
                      </w:r>
                      <w:r>
                        <w:rPr>
                          <w:rFonts w:ascii="Arial Black" w:hAnsi="Arial Black"/>
                          <w:b/>
                          <w:color w:val="4F6228" w:themeColor="accent3" w:themeShade="80"/>
                          <w:sz w:val="48"/>
                          <w:szCs w:val="48"/>
                          <w:lang w:val="en-US" w:eastAsia="ja-JP"/>
                        </w:rPr>
                        <w:t>Two</w:t>
                      </w:r>
                      <w:r w:rsidRPr="00E61DC6">
                        <w:rPr>
                          <w:rFonts w:ascii="Arial Black" w:hAnsi="Arial Black"/>
                          <w:b/>
                          <w:color w:val="4F6228" w:themeColor="accent3" w:themeShade="80"/>
                          <w:sz w:val="48"/>
                          <w:szCs w:val="48"/>
                          <w:lang w:val="en-US" w:eastAsia="ja-JP"/>
                        </w:rPr>
                        <w:t xml:space="preserve"> </w:t>
                      </w:r>
                      <w:r>
                        <w:rPr>
                          <w:rFonts w:ascii="Arial Black" w:hAnsi="Arial Black"/>
                          <w:b/>
                          <w:color w:val="4F6228" w:themeColor="accent3" w:themeShade="80"/>
                          <w:sz w:val="48"/>
                          <w:szCs w:val="48"/>
                          <w:lang w:val="en-US" w:eastAsia="ja-JP"/>
                        </w:rPr>
                        <w:t>Progress</w:t>
                      </w:r>
                      <w:r w:rsidRPr="00E61DC6">
                        <w:rPr>
                          <w:rFonts w:ascii="Arial Black" w:hAnsi="Arial Black"/>
                          <w:b/>
                          <w:color w:val="4F6228" w:themeColor="accent3" w:themeShade="80"/>
                          <w:sz w:val="48"/>
                          <w:szCs w:val="48"/>
                          <w:lang w:val="en-US" w:eastAsia="ja-JP"/>
                        </w:rPr>
                        <w:t xml:space="preserve"> Report</w:t>
                      </w:r>
                      <w:r>
                        <w:rPr>
                          <w:rFonts w:ascii="Arial Black" w:hAnsi="Arial Black"/>
                          <w:b/>
                          <w:color w:val="4F6228" w:themeColor="accent3" w:themeShade="80"/>
                          <w:sz w:val="48"/>
                          <w:szCs w:val="48"/>
                          <w:lang w:val="en-US" w:eastAsia="ja-JP"/>
                        </w:rPr>
                        <w:t xml:space="preserve"> – July to Dec 2014</w:t>
                      </w:r>
                    </w:p>
                    <w:p w:rsidR="00171462" w:rsidRPr="00ED5A4A" w:rsidRDefault="00171462" w:rsidP="002D2DA8">
                      <w:pPr>
                        <w:spacing w:line="360" w:lineRule="auto"/>
                        <w:jc w:val="center"/>
                        <w:rPr>
                          <w:rFonts w:ascii="Arial Black" w:hAnsi="Arial Black"/>
                          <w:b/>
                          <w:sz w:val="18"/>
                          <w:szCs w:val="18"/>
                          <w:lang w:val="en-US" w:eastAsia="ja-JP"/>
                        </w:rPr>
                      </w:pPr>
                      <w:r>
                        <w:rPr>
                          <w:rFonts w:ascii="Arial Black" w:hAnsi="Arial Black"/>
                          <w:b/>
                          <w:color w:val="4F6228" w:themeColor="accent3" w:themeShade="80"/>
                          <w:sz w:val="18"/>
                          <w:szCs w:val="18"/>
                          <w:lang w:val="en-US" w:eastAsia="ja-JP"/>
                        </w:rPr>
                        <w:t>Submitted 9 February 2015</w:t>
                      </w:r>
                    </w:p>
                    <w:p w:rsidR="00171462" w:rsidRDefault="00171462" w:rsidP="002D2DA8"/>
                  </w:txbxContent>
                </v:textbox>
              </v:shape>
            </w:pict>
          </mc:Fallback>
        </mc:AlternateContent>
      </w:r>
    </w:p>
    <w:p w:rsidR="00C12EE3" w:rsidRDefault="00C12EE3" w:rsidP="00C12EE3">
      <w:pPr>
        <w:autoSpaceDE w:val="0"/>
        <w:autoSpaceDN w:val="0"/>
        <w:adjustRightInd w:val="0"/>
        <w:spacing w:after="67" w:line="240" w:lineRule="auto"/>
        <w:ind w:right="-2292"/>
        <w:jc w:val="center"/>
        <w:rPr>
          <w:rFonts w:ascii="Arial Black" w:hAnsi="Arial Black" w:cstheme="minorHAnsi"/>
          <w:b/>
          <w:color w:val="4F6228" w:themeColor="accent3" w:themeShade="80"/>
          <w:lang w:val="en-AU" w:eastAsia="en-AU"/>
        </w:rPr>
      </w:pPr>
    </w:p>
    <w:p w:rsidR="002D2DA8" w:rsidRPr="00E61DC6" w:rsidRDefault="002D2DA8" w:rsidP="002D2DA8">
      <w:pPr>
        <w:autoSpaceDE w:val="0"/>
        <w:autoSpaceDN w:val="0"/>
        <w:adjustRightInd w:val="0"/>
        <w:spacing w:after="67"/>
        <w:jc w:val="center"/>
        <w:rPr>
          <w:rFonts w:ascii="Arial Black" w:hAnsi="Arial Black" w:cstheme="minorHAnsi"/>
          <w:b/>
          <w:color w:val="4F6228" w:themeColor="accent3" w:themeShade="80"/>
          <w:lang w:eastAsia="en-AU"/>
        </w:rPr>
      </w:pPr>
    </w:p>
    <w:p w:rsidR="00D6458C" w:rsidRPr="00E61DC6" w:rsidRDefault="00D6458C" w:rsidP="002D2DA8">
      <w:pPr>
        <w:autoSpaceDE w:val="0"/>
        <w:autoSpaceDN w:val="0"/>
        <w:adjustRightInd w:val="0"/>
        <w:spacing w:after="67" w:line="360" w:lineRule="auto"/>
        <w:jc w:val="center"/>
        <w:rPr>
          <w:rFonts w:asciiTheme="minorHAnsi" w:hAnsiTheme="minorHAnsi" w:cstheme="minorHAnsi"/>
          <w:color w:val="4F6228" w:themeColor="accent3" w:themeShade="80"/>
        </w:rPr>
      </w:pPr>
    </w:p>
    <w:p w:rsidR="002E2276" w:rsidRDefault="002E2276" w:rsidP="005337C9">
      <w:pPr>
        <w:spacing w:line="360" w:lineRule="auto"/>
        <w:jc w:val="center"/>
        <w:rPr>
          <w:rFonts w:ascii="Arial Black" w:hAnsi="Arial Black"/>
          <w:b/>
          <w:color w:val="008000"/>
          <w:sz w:val="32"/>
          <w:szCs w:val="32"/>
          <w:lang w:val="en-US" w:eastAsia="ja-JP"/>
        </w:rPr>
      </w:pPr>
    </w:p>
    <w:p w:rsidR="002E2276" w:rsidRDefault="002E2276" w:rsidP="005337C9">
      <w:pPr>
        <w:spacing w:line="360" w:lineRule="auto"/>
        <w:jc w:val="center"/>
        <w:rPr>
          <w:rFonts w:ascii="Arial Black" w:hAnsi="Arial Black"/>
          <w:b/>
          <w:color w:val="008000"/>
          <w:sz w:val="32"/>
          <w:szCs w:val="32"/>
          <w:lang w:val="en-US" w:eastAsia="ja-JP"/>
        </w:rPr>
      </w:pPr>
    </w:p>
    <w:p w:rsidR="005337C9" w:rsidRDefault="005337C9" w:rsidP="00D129ED">
      <w:pPr>
        <w:spacing w:line="360" w:lineRule="auto"/>
        <w:rPr>
          <w:rFonts w:asciiTheme="minorHAnsi" w:hAnsiTheme="minorHAnsi" w:cstheme="minorHAnsi"/>
        </w:rPr>
      </w:pPr>
    </w:p>
    <w:p w:rsidR="002D2DA8" w:rsidRDefault="002D2DA8" w:rsidP="00200946">
      <w:pPr>
        <w:spacing w:after="0" w:line="240" w:lineRule="auto"/>
        <w:ind w:left="426" w:hanging="426"/>
        <w:rPr>
          <w:rFonts w:ascii="Arial Black" w:hAnsi="Arial Black"/>
          <w:b/>
          <w:bCs/>
          <w:color w:val="4F6228" w:themeColor="accent3" w:themeShade="80"/>
          <w:sz w:val="24"/>
          <w:szCs w:val="24"/>
          <w:lang w:val="en-AU"/>
        </w:rPr>
      </w:pPr>
      <w:r>
        <w:rPr>
          <w:sz w:val="24"/>
        </w:rPr>
        <w:br w:type="page"/>
      </w:r>
    </w:p>
    <w:p w:rsidR="00D6458C" w:rsidRDefault="00D6458C" w:rsidP="007B36FD">
      <w:pPr>
        <w:pStyle w:val="Heading1"/>
        <w:numPr>
          <w:ilvl w:val="0"/>
          <w:numId w:val="0"/>
        </w:numPr>
        <w:sectPr w:rsidR="00D6458C">
          <w:headerReference w:type="default" r:id="rId14"/>
          <w:footerReference w:type="default" r:id="rId15"/>
          <w:footerReference w:type="first" r:id="rId16"/>
          <w:pgSz w:w="11906" w:h="16838"/>
          <w:pgMar w:top="1440" w:right="1700" w:bottom="851" w:left="1440" w:header="708" w:footer="708" w:gutter="0"/>
          <w:pgNumType w:start="1"/>
          <w:cols w:num="2" w:space="708" w:equalWidth="0">
            <w:col w:w="7914" w:space="2"/>
            <w:col w:w="850"/>
          </w:cols>
          <w:docGrid w:linePitch="360"/>
        </w:sectPr>
      </w:pPr>
    </w:p>
    <w:p w:rsidR="00977EAD" w:rsidRDefault="00514CF0" w:rsidP="007B36FD">
      <w:pPr>
        <w:pStyle w:val="Heading1"/>
        <w:numPr>
          <w:ilvl w:val="0"/>
          <w:numId w:val="0"/>
        </w:numPr>
      </w:pPr>
      <w:bookmarkStart w:id="0" w:name="_Toc411268932"/>
      <w:r w:rsidRPr="007B36FD">
        <w:lastRenderedPageBreak/>
        <w:t>Contents</w:t>
      </w:r>
      <w:bookmarkEnd w:id="0"/>
    </w:p>
    <w:sdt>
      <w:sdtPr>
        <w:rPr>
          <w:rFonts w:ascii="Calibri" w:hAnsi="Calibri"/>
          <w:b w:val="0"/>
          <w:bCs w:val="0"/>
          <w:color w:val="auto"/>
          <w:sz w:val="22"/>
          <w:szCs w:val="22"/>
          <w:lang w:val="en-GB" w:eastAsia="en-US"/>
        </w:rPr>
        <w:id w:val="624202030"/>
        <w:docPartObj>
          <w:docPartGallery w:val="Table of Contents"/>
          <w:docPartUnique/>
        </w:docPartObj>
      </w:sdtPr>
      <w:sdtEndPr>
        <w:rPr>
          <w:noProof/>
        </w:rPr>
      </w:sdtEndPr>
      <w:sdtContent>
        <w:p w:rsidR="003A5C8D" w:rsidRDefault="003A5C8D" w:rsidP="00376CEA">
          <w:pPr>
            <w:pStyle w:val="TOCHeading"/>
            <w:numPr>
              <w:ilvl w:val="0"/>
              <w:numId w:val="0"/>
            </w:numPr>
            <w:ind w:right="567"/>
          </w:pPr>
        </w:p>
        <w:p w:rsidR="002E18CB" w:rsidRPr="002E18CB" w:rsidRDefault="002E18CB" w:rsidP="002E18CB">
          <w:pPr>
            <w:pStyle w:val="TOC1"/>
            <w:ind w:right="567"/>
            <w:rPr>
              <w:rFonts w:asciiTheme="majorHAnsi" w:eastAsiaTheme="minorEastAsia" w:hAnsiTheme="majorHAnsi" w:cstheme="minorBidi"/>
              <w:noProof/>
              <w:lang w:val="en-AU" w:eastAsia="en-AU"/>
            </w:rPr>
          </w:pPr>
          <w:r>
            <w:fldChar w:fldCharType="begin"/>
          </w:r>
          <w:r>
            <w:instrText xml:space="preserve"> TOC \o "1-3" \h \z \u </w:instrText>
          </w:r>
          <w:r>
            <w:fldChar w:fldCharType="separate"/>
          </w:r>
          <w:hyperlink w:anchor="_Toc411268933" w:history="1">
            <w:r w:rsidRPr="003A5C8D">
              <w:rPr>
                <w:rStyle w:val="Hyperlink"/>
                <w:rFonts w:asciiTheme="majorHAnsi" w:hAnsiTheme="majorHAnsi"/>
                <w:b/>
                <w:noProof/>
              </w:rPr>
              <w:t>Annexes</w:t>
            </w:r>
            <w:r w:rsidRPr="002E18CB">
              <w:rPr>
                <w:rFonts w:asciiTheme="majorHAnsi" w:hAnsiTheme="majorHAnsi"/>
                <w:noProof/>
                <w:webHidden/>
              </w:rPr>
              <w:tab/>
            </w:r>
            <w:r w:rsidRPr="002E18CB">
              <w:rPr>
                <w:rFonts w:asciiTheme="majorHAnsi" w:hAnsiTheme="majorHAnsi"/>
                <w:noProof/>
                <w:webHidden/>
              </w:rPr>
              <w:fldChar w:fldCharType="begin"/>
            </w:r>
            <w:r w:rsidRPr="002E18CB">
              <w:rPr>
                <w:rFonts w:asciiTheme="majorHAnsi" w:hAnsiTheme="majorHAnsi"/>
                <w:noProof/>
                <w:webHidden/>
              </w:rPr>
              <w:instrText xml:space="preserve"> PAGEREF _Toc411268933 \h </w:instrText>
            </w:r>
            <w:r w:rsidRPr="002E18CB">
              <w:rPr>
                <w:rFonts w:asciiTheme="majorHAnsi" w:hAnsiTheme="majorHAnsi"/>
                <w:noProof/>
                <w:webHidden/>
              </w:rPr>
            </w:r>
            <w:r w:rsidRPr="002E18CB">
              <w:rPr>
                <w:rFonts w:asciiTheme="majorHAnsi" w:hAnsiTheme="majorHAnsi"/>
                <w:noProof/>
                <w:webHidden/>
              </w:rPr>
              <w:fldChar w:fldCharType="separate"/>
            </w:r>
            <w:r w:rsidR="00530F64">
              <w:rPr>
                <w:rFonts w:asciiTheme="majorHAnsi" w:hAnsiTheme="majorHAnsi"/>
                <w:noProof/>
                <w:webHidden/>
              </w:rPr>
              <w:t>4</w:t>
            </w:r>
            <w:r w:rsidRPr="002E18CB">
              <w:rPr>
                <w:rFonts w:asciiTheme="majorHAnsi" w:hAnsiTheme="majorHAnsi"/>
                <w:noProof/>
                <w:webHidden/>
              </w:rPr>
              <w:fldChar w:fldCharType="end"/>
            </w:r>
          </w:hyperlink>
        </w:p>
        <w:p w:rsidR="002E18CB" w:rsidRPr="002E18CB" w:rsidRDefault="004F7E1F" w:rsidP="002E18CB">
          <w:pPr>
            <w:pStyle w:val="TOC1"/>
            <w:ind w:right="567"/>
            <w:rPr>
              <w:rFonts w:asciiTheme="majorHAnsi" w:eastAsiaTheme="minorEastAsia" w:hAnsiTheme="majorHAnsi" w:cstheme="minorBidi"/>
              <w:noProof/>
              <w:lang w:val="en-AU" w:eastAsia="en-AU"/>
            </w:rPr>
          </w:pPr>
          <w:hyperlink w:anchor="_Toc411268934" w:history="1">
            <w:r w:rsidR="002E18CB" w:rsidRPr="003A5C8D">
              <w:rPr>
                <w:rStyle w:val="Hyperlink"/>
                <w:rFonts w:asciiTheme="majorHAnsi" w:hAnsiTheme="majorHAnsi"/>
                <w:b/>
                <w:noProof/>
              </w:rPr>
              <w:t>Acronyms</w:t>
            </w:r>
            <w:r w:rsidR="002E18CB" w:rsidRPr="002E18CB">
              <w:rPr>
                <w:rFonts w:asciiTheme="majorHAnsi" w:hAnsiTheme="majorHAnsi"/>
                <w:noProof/>
                <w:webHidden/>
              </w:rPr>
              <w:tab/>
            </w:r>
            <w:r w:rsidR="002E18CB" w:rsidRPr="002E18CB">
              <w:rPr>
                <w:rFonts w:asciiTheme="majorHAnsi" w:hAnsiTheme="majorHAnsi"/>
                <w:noProof/>
                <w:webHidden/>
              </w:rPr>
              <w:fldChar w:fldCharType="begin"/>
            </w:r>
            <w:r w:rsidR="002E18CB" w:rsidRPr="002E18CB">
              <w:rPr>
                <w:rFonts w:asciiTheme="majorHAnsi" w:hAnsiTheme="majorHAnsi"/>
                <w:noProof/>
                <w:webHidden/>
              </w:rPr>
              <w:instrText xml:space="preserve"> PAGEREF _Toc411268934 \h </w:instrText>
            </w:r>
            <w:r w:rsidR="002E18CB" w:rsidRPr="002E18CB">
              <w:rPr>
                <w:rFonts w:asciiTheme="majorHAnsi" w:hAnsiTheme="majorHAnsi"/>
                <w:noProof/>
                <w:webHidden/>
              </w:rPr>
            </w:r>
            <w:r w:rsidR="002E18CB" w:rsidRPr="002E18CB">
              <w:rPr>
                <w:rFonts w:asciiTheme="majorHAnsi" w:hAnsiTheme="majorHAnsi"/>
                <w:noProof/>
                <w:webHidden/>
              </w:rPr>
              <w:fldChar w:fldCharType="separate"/>
            </w:r>
            <w:r w:rsidR="00530F64">
              <w:rPr>
                <w:rFonts w:asciiTheme="majorHAnsi" w:hAnsiTheme="majorHAnsi"/>
                <w:noProof/>
                <w:webHidden/>
              </w:rPr>
              <w:t>5</w:t>
            </w:r>
            <w:r w:rsidR="002E18CB" w:rsidRPr="002E18CB">
              <w:rPr>
                <w:rFonts w:asciiTheme="majorHAnsi" w:hAnsiTheme="majorHAnsi"/>
                <w:noProof/>
                <w:webHidden/>
              </w:rPr>
              <w:fldChar w:fldCharType="end"/>
            </w:r>
          </w:hyperlink>
        </w:p>
        <w:p w:rsidR="002E18CB" w:rsidRDefault="004F7E1F" w:rsidP="002E18CB">
          <w:pPr>
            <w:pStyle w:val="TOC1"/>
            <w:ind w:right="567"/>
            <w:rPr>
              <w:rStyle w:val="Hyperlink"/>
              <w:rFonts w:asciiTheme="majorHAnsi" w:hAnsiTheme="majorHAnsi"/>
              <w:noProof/>
            </w:rPr>
          </w:pPr>
          <w:hyperlink w:anchor="_Toc411268935" w:history="1">
            <w:r w:rsidR="002E18CB" w:rsidRPr="003A5C8D">
              <w:rPr>
                <w:rStyle w:val="Hyperlink"/>
                <w:rFonts w:asciiTheme="majorHAnsi" w:hAnsiTheme="majorHAnsi"/>
                <w:b/>
                <w:noProof/>
              </w:rPr>
              <w:t>Executive Summary</w:t>
            </w:r>
            <w:r w:rsidR="002E18CB" w:rsidRPr="002E18CB">
              <w:rPr>
                <w:rFonts w:asciiTheme="majorHAnsi" w:hAnsiTheme="majorHAnsi"/>
                <w:noProof/>
                <w:webHidden/>
              </w:rPr>
              <w:tab/>
            </w:r>
            <w:r w:rsidR="002E18CB" w:rsidRPr="002E18CB">
              <w:rPr>
                <w:rFonts w:asciiTheme="majorHAnsi" w:hAnsiTheme="majorHAnsi"/>
                <w:noProof/>
                <w:webHidden/>
              </w:rPr>
              <w:fldChar w:fldCharType="begin"/>
            </w:r>
            <w:r w:rsidR="002E18CB" w:rsidRPr="002E18CB">
              <w:rPr>
                <w:rFonts w:asciiTheme="majorHAnsi" w:hAnsiTheme="majorHAnsi"/>
                <w:noProof/>
                <w:webHidden/>
              </w:rPr>
              <w:instrText xml:space="preserve"> PAGEREF _Toc411268935 \h </w:instrText>
            </w:r>
            <w:r w:rsidR="002E18CB" w:rsidRPr="002E18CB">
              <w:rPr>
                <w:rFonts w:asciiTheme="majorHAnsi" w:hAnsiTheme="majorHAnsi"/>
                <w:noProof/>
                <w:webHidden/>
              </w:rPr>
            </w:r>
            <w:r w:rsidR="002E18CB" w:rsidRPr="002E18CB">
              <w:rPr>
                <w:rFonts w:asciiTheme="majorHAnsi" w:hAnsiTheme="majorHAnsi"/>
                <w:noProof/>
                <w:webHidden/>
              </w:rPr>
              <w:fldChar w:fldCharType="separate"/>
            </w:r>
            <w:r w:rsidR="00530F64">
              <w:rPr>
                <w:rFonts w:asciiTheme="majorHAnsi" w:hAnsiTheme="majorHAnsi"/>
                <w:noProof/>
                <w:webHidden/>
              </w:rPr>
              <w:t>6</w:t>
            </w:r>
            <w:r w:rsidR="002E18CB" w:rsidRPr="002E18CB">
              <w:rPr>
                <w:rFonts w:asciiTheme="majorHAnsi" w:hAnsiTheme="majorHAnsi"/>
                <w:noProof/>
                <w:webHidden/>
              </w:rPr>
              <w:fldChar w:fldCharType="end"/>
            </w:r>
          </w:hyperlink>
        </w:p>
        <w:p w:rsidR="002E18CB" w:rsidRPr="002E18CB" w:rsidRDefault="002E18CB" w:rsidP="002E18CB">
          <w:pPr>
            <w:rPr>
              <w:noProof/>
              <w:lang w:val="en-US" w:eastAsia="ja-JP"/>
            </w:rPr>
          </w:pPr>
        </w:p>
        <w:p w:rsidR="002E18CB" w:rsidRPr="002E18CB" w:rsidRDefault="004F7E1F" w:rsidP="002E18CB">
          <w:pPr>
            <w:pStyle w:val="TOC2"/>
            <w:numPr>
              <w:ilvl w:val="0"/>
              <w:numId w:val="50"/>
            </w:numPr>
            <w:ind w:right="567"/>
            <w:rPr>
              <w:rFonts w:eastAsiaTheme="minorEastAsia" w:cstheme="minorBidi"/>
              <w:noProof/>
              <w:lang w:val="en-AU" w:eastAsia="en-AU"/>
            </w:rPr>
          </w:pPr>
          <w:hyperlink w:anchor="_Toc411268936" w:history="1">
            <w:r w:rsidR="002E18CB" w:rsidRPr="003A5C8D">
              <w:rPr>
                <w:rStyle w:val="Hyperlink"/>
                <w:rFonts w:asciiTheme="majorHAnsi" w:hAnsiTheme="majorHAnsi"/>
                <w:b/>
                <w:noProof/>
              </w:rPr>
              <w:t>Context</w:t>
            </w:r>
            <w:r w:rsidR="002E18CB" w:rsidRPr="002E18CB">
              <w:rPr>
                <w:noProof/>
                <w:webHidden/>
              </w:rPr>
              <w:t>…………………………………………………………………………………………………………………</w:t>
            </w:r>
            <w:r w:rsidR="003A5C8D">
              <w:rPr>
                <w:noProof/>
                <w:webHidden/>
              </w:rPr>
              <w:t>..</w:t>
            </w:r>
            <w:r w:rsidR="002E18CB" w:rsidRPr="002E18CB">
              <w:rPr>
                <w:noProof/>
                <w:webHidden/>
              </w:rPr>
              <w:fldChar w:fldCharType="begin"/>
            </w:r>
            <w:r w:rsidR="002E18CB" w:rsidRPr="002E18CB">
              <w:rPr>
                <w:noProof/>
                <w:webHidden/>
              </w:rPr>
              <w:instrText xml:space="preserve"> PAGEREF _Toc411268936 \h </w:instrText>
            </w:r>
            <w:r w:rsidR="002E18CB" w:rsidRPr="002E18CB">
              <w:rPr>
                <w:noProof/>
                <w:webHidden/>
              </w:rPr>
            </w:r>
            <w:r w:rsidR="002E18CB" w:rsidRPr="002E18CB">
              <w:rPr>
                <w:noProof/>
                <w:webHidden/>
              </w:rPr>
              <w:fldChar w:fldCharType="separate"/>
            </w:r>
            <w:r w:rsidR="00530F64">
              <w:rPr>
                <w:noProof/>
                <w:webHidden/>
              </w:rPr>
              <w:t>9</w:t>
            </w:r>
            <w:r w:rsidR="002E18CB" w:rsidRPr="002E18CB">
              <w:rPr>
                <w:noProof/>
                <w:webHidden/>
              </w:rPr>
              <w:fldChar w:fldCharType="end"/>
            </w:r>
          </w:hyperlink>
        </w:p>
        <w:p w:rsidR="002E18CB" w:rsidRPr="002E18CB" w:rsidRDefault="004F7E1F" w:rsidP="002E18CB">
          <w:pPr>
            <w:pStyle w:val="TOC3"/>
            <w:tabs>
              <w:tab w:val="left" w:pos="1320"/>
            </w:tabs>
            <w:ind w:right="567"/>
            <w:rPr>
              <w:rFonts w:asciiTheme="majorHAnsi" w:eastAsiaTheme="minorEastAsia" w:hAnsiTheme="majorHAnsi" w:cstheme="minorBidi"/>
              <w:lang w:val="en-AU" w:eastAsia="en-AU"/>
            </w:rPr>
          </w:pPr>
          <w:hyperlink w:anchor="_Toc411268937" w:history="1">
            <w:r w:rsidR="002E18CB" w:rsidRPr="002E18CB">
              <w:rPr>
                <w:rStyle w:val="Hyperlink"/>
                <w:rFonts w:asciiTheme="majorHAnsi" w:hAnsiTheme="majorHAnsi"/>
              </w:rPr>
              <w:t>a)</w:t>
            </w:r>
            <w:r w:rsidR="002E18CB" w:rsidRPr="002E18CB">
              <w:rPr>
                <w:rFonts w:asciiTheme="majorHAnsi" w:eastAsiaTheme="minorEastAsia" w:hAnsiTheme="majorHAnsi" w:cstheme="minorBidi"/>
                <w:lang w:val="en-AU" w:eastAsia="en-AU"/>
              </w:rPr>
              <w:tab/>
            </w:r>
            <w:r w:rsidR="002E18CB" w:rsidRPr="002E18CB">
              <w:rPr>
                <w:rStyle w:val="Hyperlink"/>
                <w:rFonts w:asciiTheme="majorHAnsi" w:hAnsiTheme="majorHAnsi"/>
              </w:rPr>
              <w:t>Maintaining relevance of the program</w:t>
            </w:r>
            <w:r w:rsidR="002E18CB" w:rsidRPr="002E18CB">
              <w:rPr>
                <w:rFonts w:asciiTheme="majorHAnsi" w:hAnsiTheme="majorHAnsi"/>
                <w:webHidden/>
              </w:rPr>
              <w:tab/>
            </w:r>
            <w:r w:rsidR="002E18CB" w:rsidRPr="002E18CB">
              <w:rPr>
                <w:rFonts w:asciiTheme="majorHAnsi" w:hAnsiTheme="majorHAnsi"/>
                <w:webHidden/>
              </w:rPr>
              <w:fldChar w:fldCharType="begin"/>
            </w:r>
            <w:r w:rsidR="002E18CB" w:rsidRPr="002E18CB">
              <w:rPr>
                <w:rFonts w:asciiTheme="majorHAnsi" w:hAnsiTheme="majorHAnsi"/>
                <w:webHidden/>
              </w:rPr>
              <w:instrText xml:space="preserve"> PAGEREF _Toc411268937 \h </w:instrText>
            </w:r>
            <w:r w:rsidR="002E18CB" w:rsidRPr="002E18CB">
              <w:rPr>
                <w:rFonts w:asciiTheme="majorHAnsi" w:hAnsiTheme="majorHAnsi"/>
                <w:webHidden/>
              </w:rPr>
            </w:r>
            <w:r w:rsidR="002E18CB" w:rsidRPr="002E18CB">
              <w:rPr>
                <w:rFonts w:asciiTheme="majorHAnsi" w:hAnsiTheme="majorHAnsi"/>
                <w:webHidden/>
              </w:rPr>
              <w:fldChar w:fldCharType="separate"/>
            </w:r>
            <w:r w:rsidR="00530F64">
              <w:rPr>
                <w:rFonts w:asciiTheme="majorHAnsi" w:hAnsiTheme="majorHAnsi"/>
                <w:webHidden/>
              </w:rPr>
              <w:t>9</w:t>
            </w:r>
            <w:r w:rsidR="002E18CB" w:rsidRPr="002E18CB">
              <w:rPr>
                <w:rFonts w:asciiTheme="majorHAnsi" w:hAnsiTheme="majorHAnsi"/>
                <w:webHidden/>
              </w:rPr>
              <w:fldChar w:fldCharType="end"/>
            </w:r>
          </w:hyperlink>
        </w:p>
        <w:p w:rsidR="002E18CB" w:rsidRPr="002E18CB" w:rsidRDefault="004F7E1F" w:rsidP="002E18CB">
          <w:pPr>
            <w:pStyle w:val="TOC3"/>
            <w:tabs>
              <w:tab w:val="left" w:pos="1320"/>
            </w:tabs>
            <w:ind w:right="567"/>
            <w:rPr>
              <w:rFonts w:asciiTheme="majorHAnsi" w:eastAsiaTheme="minorEastAsia" w:hAnsiTheme="majorHAnsi" w:cstheme="minorBidi"/>
              <w:lang w:val="en-AU" w:eastAsia="en-AU"/>
            </w:rPr>
          </w:pPr>
          <w:hyperlink w:anchor="_Toc411268938" w:history="1">
            <w:r w:rsidR="002E18CB" w:rsidRPr="002E18CB">
              <w:rPr>
                <w:rStyle w:val="Hyperlink"/>
                <w:rFonts w:asciiTheme="majorHAnsi" w:hAnsiTheme="majorHAnsi"/>
              </w:rPr>
              <w:t>b)</w:t>
            </w:r>
            <w:r w:rsidR="002E18CB" w:rsidRPr="002E18CB">
              <w:rPr>
                <w:rFonts w:asciiTheme="majorHAnsi" w:eastAsiaTheme="minorEastAsia" w:hAnsiTheme="majorHAnsi" w:cstheme="minorBidi"/>
                <w:lang w:val="en-AU" w:eastAsia="en-AU"/>
              </w:rPr>
              <w:tab/>
            </w:r>
            <w:r w:rsidR="002E18CB" w:rsidRPr="002E18CB">
              <w:rPr>
                <w:rStyle w:val="Hyperlink"/>
                <w:rFonts w:asciiTheme="majorHAnsi" w:hAnsiTheme="majorHAnsi"/>
              </w:rPr>
              <w:t>Factors in the context which effect achievement of outcomes or implementation</w:t>
            </w:r>
            <w:r w:rsidR="002E18CB" w:rsidRPr="002E18CB">
              <w:rPr>
                <w:rFonts w:asciiTheme="majorHAnsi" w:hAnsiTheme="majorHAnsi"/>
                <w:webHidden/>
              </w:rPr>
              <w:tab/>
            </w:r>
            <w:r w:rsidR="002E18CB" w:rsidRPr="002E18CB">
              <w:rPr>
                <w:rFonts w:asciiTheme="majorHAnsi" w:hAnsiTheme="majorHAnsi"/>
                <w:webHidden/>
              </w:rPr>
              <w:fldChar w:fldCharType="begin"/>
            </w:r>
            <w:r w:rsidR="002E18CB" w:rsidRPr="002E18CB">
              <w:rPr>
                <w:rFonts w:asciiTheme="majorHAnsi" w:hAnsiTheme="majorHAnsi"/>
                <w:webHidden/>
              </w:rPr>
              <w:instrText xml:space="preserve"> PAGEREF _Toc411268938 \h </w:instrText>
            </w:r>
            <w:r w:rsidR="002E18CB" w:rsidRPr="002E18CB">
              <w:rPr>
                <w:rFonts w:asciiTheme="majorHAnsi" w:hAnsiTheme="majorHAnsi"/>
                <w:webHidden/>
              </w:rPr>
            </w:r>
            <w:r w:rsidR="002E18CB" w:rsidRPr="002E18CB">
              <w:rPr>
                <w:rFonts w:asciiTheme="majorHAnsi" w:hAnsiTheme="majorHAnsi"/>
                <w:webHidden/>
              </w:rPr>
              <w:fldChar w:fldCharType="separate"/>
            </w:r>
            <w:r w:rsidR="00530F64">
              <w:rPr>
                <w:rFonts w:asciiTheme="majorHAnsi" w:hAnsiTheme="majorHAnsi"/>
                <w:webHidden/>
              </w:rPr>
              <w:t>10</w:t>
            </w:r>
            <w:r w:rsidR="002E18CB" w:rsidRPr="002E18CB">
              <w:rPr>
                <w:rFonts w:asciiTheme="majorHAnsi" w:hAnsiTheme="majorHAnsi"/>
                <w:webHidden/>
              </w:rPr>
              <w:fldChar w:fldCharType="end"/>
            </w:r>
          </w:hyperlink>
        </w:p>
        <w:p w:rsidR="002E18CB" w:rsidRDefault="004F7E1F" w:rsidP="002E18CB">
          <w:pPr>
            <w:pStyle w:val="TOC3"/>
            <w:tabs>
              <w:tab w:val="left" w:pos="1320"/>
            </w:tabs>
            <w:ind w:right="567"/>
            <w:rPr>
              <w:rStyle w:val="Hyperlink"/>
              <w:rFonts w:asciiTheme="majorHAnsi" w:hAnsiTheme="majorHAnsi"/>
            </w:rPr>
          </w:pPr>
          <w:hyperlink w:anchor="_Toc411268939" w:history="1">
            <w:r w:rsidR="002E18CB" w:rsidRPr="002E18CB">
              <w:rPr>
                <w:rStyle w:val="Hyperlink"/>
                <w:rFonts w:asciiTheme="majorHAnsi" w:hAnsiTheme="majorHAnsi"/>
              </w:rPr>
              <w:t>c)</w:t>
            </w:r>
            <w:r w:rsidR="002E18CB" w:rsidRPr="002E18CB">
              <w:rPr>
                <w:rFonts w:asciiTheme="majorHAnsi" w:eastAsiaTheme="minorEastAsia" w:hAnsiTheme="majorHAnsi" w:cstheme="minorBidi"/>
                <w:lang w:val="en-AU" w:eastAsia="en-AU"/>
              </w:rPr>
              <w:tab/>
            </w:r>
            <w:r w:rsidR="002E18CB" w:rsidRPr="002E18CB">
              <w:rPr>
                <w:rStyle w:val="Hyperlink"/>
                <w:rFonts w:asciiTheme="majorHAnsi" w:hAnsiTheme="majorHAnsi"/>
              </w:rPr>
              <w:t>Extent to which program may be effecting context</w:t>
            </w:r>
            <w:r w:rsidR="002E18CB" w:rsidRPr="002E18CB">
              <w:rPr>
                <w:rFonts w:asciiTheme="majorHAnsi" w:hAnsiTheme="majorHAnsi"/>
                <w:webHidden/>
              </w:rPr>
              <w:tab/>
            </w:r>
            <w:r w:rsidR="002E18CB" w:rsidRPr="002E18CB">
              <w:rPr>
                <w:rFonts w:asciiTheme="majorHAnsi" w:hAnsiTheme="majorHAnsi"/>
                <w:webHidden/>
              </w:rPr>
              <w:fldChar w:fldCharType="begin"/>
            </w:r>
            <w:r w:rsidR="002E18CB" w:rsidRPr="002E18CB">
              <w:rPr>
                <w:rFonts w:asciiTheme="majorHAnsi" w:hAnsiTheme="majorHAnsi"/>
                <w:webHidden/>
              </w:rPr>
              <w:instrText xml:space="preserve"> PAGEREF _Toc411268939 \h </w:instrText>
            </w:r>
            <w:r w:rsidR="002E18CB" w:rsidRPr="002E18CB">
              <w:rPr>
                <w:rFonts w:asciiTheme="majorHAnsi" w:hAnsiTheme="majorHAnsi"/>
                <w:webHidden/>
              </w:rPr>
            </w:r>
            <w:r w:rsidR="002E18CB" w:rsidRPr="002E18CB">
              <w:rPr>
                <w:rFonts w:asciiTheme="majorHAnsi" w:hAnsiTheme="majorHAnsi"/>
                <w:webHidden/>
              </w:rPr>
              <w:fldChar w:fldCharType="separate"/>
            </w:r>
            <w:r w:rsidR="00530F64">
              <w:rPr>
                <w:rFonts w:asciiTheme="majorHAnsi" w:hAnsiTheme="majorHAnsi"/>
                <w:webHidden/>
              </w:rPr>
              <w:t>12</w:t>
            </w:r>
            <w:r w:rsidR="002E18CB" w:rsidRPr="002E18CB">
              <w:rPr>
                <w:rFonts w:asciiTheme="majorHAnsi" w:hAnsiTheme="majorHAnsi"/>
                <w:webHidden/>
              </w:rPr>
              <w:fldChar w:fldCharType="end"/>
            </w:r>
          </w:hyperlink>
        </w:p>
        <w:p w:rsidR="002E18CB" w:rsidRPr="002E18CB" w:rsidRDefault="002E18CB" w:rsidP="002E18CB">
          <w:pPr>
            <w:rPr>
              <w:noProof/>
              <w:lang w:val="en-US" w:eastAsia="ja-JP"/>
            </w:rPr>
          </w:pPr>
        </w:p>
        <w:p w:rsidR="002E18CB" w:rsidRPr="002E18CB" w:rsidRDefault="004F7E1F" w:rsidP="002E18CB">
          <w:pPr>
            <w:pStyle w:val="TOC2"/>
            <w:ind w:right="567"/>
            <w:rPr>
              <w:rFonts w:eastAsiaTheme="minorEastAsia" w:cstheme="minorBidi"/>
              <w:noProof/>
              <w:lang w:val="en-AU" w:eastAsia="en-AU"/>
            </w:rPr>
          </w:pPr>
          <w:hyperlink w:anchor="_Toc411268940" w:history="1">
            <w:r w:rsidR="002E18CB" w:rsidRPr="003A5C8D">
              <w:rPr>
                <w:rStyle w:val="Hyperlink"/>
                <w:rFonts w:asciiTheme="majorHAnsi" w:hAnsiTheme="majorHAnsi"/>
                <w:b/>
                <w:noProof/>
              </w:rPr>
              <w:t>2.</w:t>
            </w:r>
            <w:r w:rsidR="002E18CB" w:rsidRPr="003A5C8D">
              <w:rPr>
                <w:rFonts w:eastAsiaTheme="minorEastAsia" w:cstheme="minorBidi"/>
                <w:b/>
                <w:noProof/>
                <w:lang w:val="en-AU" w:eastAsia="en-AU"/>
              </w:rPr>
              <w:tab/>
            </w:r>
            <w:r w:rsidR="002E18CB" w:rsidRPr="003A5C8D">
              <w:rPr>
                <w:rStyle w:val="Hyperlink"/>
                <w:rFonts w:asciiTheme="majorHAnsi" w:hAnsiTheme="majorHAnsi"/>
                <w:b/>
                <w:noProof/>
              </w:rPr>
              <w:t>Progress Towards End-of-Program-Outcomes</w:t>
            </w:r>
            <w:r w:rsidR="002E18CB" w:rsidRPr="002E18CB">
              <w:rPr>
                <w:noProof/>
                <w:webHidden/>
              </w:rPr>
              <w:tab/>
            </w:r>
            <w:r w:rsidR="002E18CB" w:rsidRPr="002E18CB">
              <w:rPr>
                <w:noProof/>
                <w:webHidden/>
              </w:rPr>
              <w:fldChar w:fldCharType="begin"/>
            </w:r>
            <w:r w:rsidR="002E18CB" w:rsidRPr="002E18CB">
              <w:rPr>
                <w:noProof/>
                <w:webHidden/>
              </w:rPr>
              <w:instrText xml:space="preserve"> PAGEREF _Toc411268940 \h </w:instrText>
            </w:r>
            <w:r w:rsidR="002E18CB" w:rsidRPr="002E18CB">
              <w:rPr>
                <w:noProof/>
                <w:webHidden/>
              </w:rPr>
            </w:r>
            <w:r w:rsidR="002E18CB" w:rsidRPr="002E18CB">
              <w:rPr>
                <w:noProof/>
                <w:webHidden/>
              </w:rPr>
              <w:fldChar w:fldCharType="separate"/>
            </w:r>
            <w:r w:rsidR="00530F64">
              <w:rPr>
                <w:noProof/>
                <w:webHidden/>
              </w:rPr>
              <w:t>13</w:t>
            </w:r>
            <w:r w:rsidR="002E18CB" w:rsidRPr="002E18CB">
              <w:rPr>
                <w:noProof/>
                <w:webHidden/>
              </w:rPr>
              <w:fldChar w:fldCharType="end"/>
            </w:r>
          </w:hyperlink>
        </w:p>
        <w:p w:rsidR="002E18CB" w:rsidRPr="002E18CB" w:rsidRDefault="004F7E1F" w:rsidP="002E18CB">
          <w:pPr>
            <w:pStyle w:val="TOC3"/>
            <w:tabs>
              <w:tab w:val="left" w:pos="1320"/>
            </w:tabs>
            <w:ind w:right="567"/>
            <w:rPr>
              <w:rFonts w:asciiTheme="majorHAnsi" w:eastAsiaTheme="minorEastAsia" w:hAnsiTheme="majorHAnsi" w:cstheme="minorBidi"/>
              <w:lang w:val="en-AU" w:eastAsia="en-AU"/>
            </w:rPr>
          </w:pPr>
          <w:hyperlink w:anchor="_Toc411268941" w:history="1">
            <w:r w:rsidR="002E18CB" w:rsidRPr="002E18CB">
              <w:rPr>
                <w:rStyle w:val="Hyperlink"/>
                <w:rFonts w:asciiTheme="majorHAnsi" w:hAnsiTheme="majorHAnsi"/>
              </w:rPr>
              <w:t>a)</w:t>
            </w:r>
            <w:r w:rsidR="002E18CB" w:rsidRPr="002E18CB">
              <w:rPr>
                <w:rFonts w:asciiTheme="majorHAnsi" w:eastAsiaTheme="minorEastAsia" w:hAnsiTheme="majorHAnsi" w:cstheme="minorBidi"/>
                <w:lang w:val="en-AU" w:eastAsia="en-AU"/>
              </w:rPr>
              <w:tab/>
            </w:r>
            <w:r w:rsidR="002E18CB" w:rsidRPr="002E18CB">
              <w:rPr>
                <w:rStyle w:val="Hyperlink"/>
                <w:rFonts w:asciiTheme="majorHAnsi" w:hAnsiTheme="majorHAnsi"/>
              </w:rPr>
              <w:t>Defining Outcomes for the Program</w:t>
            </w:r>
            <w:r w:rsidR="002E18CB" w:rsidRPr="002E18CB">
              <w:rPr>
                <w:rFonts w:asciiTheme="majorHAnsi" w:hAnsiTheme="majorHAnsi"/>
                <w:webHidden/>
              </w:rPr>
              <w:tab/>
            </w:r>
            <w:r w:rsidR="002E18CB" w:rsidRPr="002E18CB">
              <w:rPr>
                <w:rFonts w:asciiTheme="majorHAnsi" w:hAnsiTheme="majorHAnsi"/>
                <w:webHidden/>
              </w:rPr>
              <w:fldChar w:fldCharType="begin"/>
            </w:r>
            <w:r w:rsidR="002E18CB" w:rsidRPr="002E18CB">
              <w:rPr>
                <w:rFonts w:asciiTheme="majorHAnsi" w:hAnsiTheme="majorHAnsi"/>
                <w:webHidden/>
              </w:rPr>
              <w:instrText xml:space="preserve"> PAGEREF _Toc411268941 \h </w:instrText>
            </w:r>
            <w:r w:rsidR="002E18CB" w:rsidRPr="002E18CB">
              <w:rPr>
                <w:rFonts w:asciiTheme="majorHAnsi" w:hAnsiTheme="majorHAnsi"/>
                <w:webHidden/>
              </w:rPr>
            </w:r>
            <w:r w:rsidR="002E18CB" w:rsidRPr="002E18CB">
              <w:rPr>
                <w:rFonts w:asciiTheme="majorHAnsi" w:hAnsiTheme="majorHAnsi"/>
                <w:webHidden/>
              </w:rPr>
              <w:fldChar w:fldCharType="separate"/>
            </w:r>
            <w:r w:rsidR="00530F64">
              <w:rPr>
                <w:rFonts w:asciiTheme="majorHAnsi" w:hAnsiTheme="majorHAnsi"/>
                <w:webHidden/>
              </w:rPr>
              <w:t>13</w:t>
            </w:r>
            <w:r w:rsidR="002E18CB" w:rsidRPr="002E18CB">
              <w:rPr>
                <w:rFonts w:asciiTheme="majorHAnsi" w:hAnsiTheme="majorHAnsi"/>
                <w:webHidden/>
              </w:rPr>
              <w:fldChar w:fldCharType="end"/>
            </w:r>
          </w:hyperlink>
        </w:p>
        <w:p w:rsidR="002E18CB" w:rsidRPr="002E18CB" w:rsidRDefault="004F7E1F" w:rsidP="002E18CB">
          <w:pPr>
            <w:pStyle w:val="TOC3"/>
            <w:tabs>
              <w:tab w:val="left" w:pos="1320"/>
            </w:tabs>
            <w:ind w:right="567"/>
            <w:rPr>
              <w:rFonts w:asciiTheme="majorHAnsi" w:eastAsiaTheme="minorEastAsia" w:hAnsiTheme="majorHAnsi" w:cstheme="minorBidi"/>
              <w:lang w:val="en-AU" w:eastAsia="en-AU"/>
            </w:rPr>
          </w:pPr>
          <w:hyperlink w:anchor="_Toc411268942" w:history="1">
            <w:r w:rsidR="002E18CB" w:rsidRPr="002E18CB">
              <w:rPr>
                <w:rStyle w:val="Hyperlink"/>
                <w:rFonts w:asciiTheme="majorHAnsi" w:hAnsiTheme="majorHAnsi"/>
              </w:rPr>
              <w:t>b)</w:t>
            </w:r>
            <w:r w:rsidR="002E18CB" w:rsidRPr="002E18CB">
              <w:rPr>
                <w:rFonts w:asciiTheme="majorHAnsi" w:eastAsiaTheme="minorEastAsia" w:hAnsiTheme="majorHAnsi" w:cstheme="minorBidi"/>
                <w:lang w:val="en-AU" w:eastAsia="en-AU"/>
              </w:rPr>
              <w:tab/>
            </w:r>
            <w:r w:rsidR="002E18CB" w:rsidRPr="002E18CB">
              <w:rPr>
                <w:rStyle w:val="Hyperlink"/>
                <w:rFonts w:asciiTheme="majorHAnsi" w:hAnsiTheme="majorHAnsi"/>
              </w:rPr>
              <w:t>Summary of Key Achievements</w:t>
            </w:r>
            <w:r w:rsidR="002E18CB" w:rsidRPr="002E18CB">
              <w:rPr>
                <w:rFonts w:asciiTheme="majorHAnsi" w:hAnsiTheme="majorHAnsi"/>
                <w:webHidden/>
              </w:rPr>
              <w:tab/>
            </w:r>
            <w:r w:rsidR="002E18CB" w:rsidRPr="002E18CB">
              <w:rPr>
                <w:rFonts w:asciiTheme="majorHAnsi" w:hAnsiTheme="majorHAnsi"/>
                <w:webHidden/>
              </w:rPr>
              <w:fldChar w:fldCharType="begin"/>
            </w:r>
            <w:r w:rsidR="002E18CB" w:rsidRPr="002E18CB">
              <w:rPr>
                <w:rFonts w:asciiTheme="majorHAnsi" w:hAnsiTheme="majorHAnsi"/>
                <w:webHidden/>
              </w:rPr>
              <w:instrText xml:space="preserve"> PAGEREF _Toc411268942 \h </w:instrText>
            </w:r>
            <w:r w:rsidR="002E18CB" w:rsidRPr="002E18CB">
              <w:rPr>
                <w:rFonts w:asciiTheme="majorHAnsi" w:hAnsiTheme="majorHAnsi"/>
                <w:webHidden/>
              </w:rPr>
            </w:r>
            <w:r w:rsidR="002E18CB" w:rsidRPr="002E18CB">
              <w:rPr>
                <w:rFonts w:asciiTheme="majorHAnsi" w:hAnsiTheme="majorHAnsi"/>
                <w:webHidden/>
              </w:rPr>
              <w:fldChar w:fldCharType="separate"/>
            </w:r>
            <w:r w:rsidR="00530F64">
              <w:rPr>
                <w:rFonts w:asciiTheme="majorHAnsi" w:hAnsiTheme="majorHAnsi"/>
                <w:webHidden/>
              </w:rPr>
              <w:t>16</w:t>
            </w:r>
            <w:r w:rsidR="002E18CB" w:rsidRPr="002E18CB">
              <w:rPr>
                <w:rFonts w:asciiTheme="majorHAnsi" w:hAnsiTheme="majorHAnsi"/>
                <w:webHidden/>
              </w:rPr>
              <w:fldChar w:fldCharType="end"/>
            </w:r>
          </w:hyperlink>
        </w:p>
        <w:p w:rsidR="002E18CB" w:rsidRPr="002E18CB" w:rsidRDefault="004F7E1F" w:rsidP="002E18CB">
          <w:pPr>
            <w:pStyle w:val="TOC3"/>
            <w:tabs>
              <w:tab w:val="left" w:pos="1320"/>
            </w:tabs>
            <w:ind w:right="567"/>
            <w:rPr>
              <w:rFonts w:asciiTheme="majorHAnsi" w:eastAsiaTheme="minorEastAsia" w:hAnsiTheme="majorHAnsi" w:cstheme="minorBidi"/>
              <w:lang w:val="en-AU" w:eastAsia="en-AU"/>
            </w:rPr>
          </w:pPr>
          <w:hyperlink w:anchor="_Toc411268945" w:history="1">
            <w:r w:rsidR="002E18CB" w:rsidRPr="002E18CB">
              <w:rPr>
                <w:rStyle w:val="Hyperlink"/>
                <w:rFonts w:asciiTheme="majorHAnsi" w:hAnsiTheme="majorHAnsi"/>
              </w:rPr>
              <w:t>c)</w:t>
            </w:r>
            <w:r w:rsidR="002E18CB" w:rsidRPr="002E18CB">
              <w:rPr>
                <w:rFonts w:asciiTheme="majorHAnsi" w:eastAsiaTheme="minorEastAsia" w:hAnsiTheme="majorHAnsi" w:cstheme="minorBidi"/>
                <w:lang w:val="en-AU" w:eastAsia="en-AU"/>
              </w:rPr>
              <w:tab/>
            </w:r>
            <w:r w:rsidR="002E18CB" w:rsidRPr="002E18CB">
              <w:rPr>
                <w:rStyle w:val="Hyperlink"/>
                <w:rFonts w:asciiTheme="majorHAnsi" w:hAnsiTheme="majorHAnsi"/>
              </w:rPr>
              <w:t>Key factors that account for the degree of progress towards outcomes</w:t>
            </w:r>
            <w:r w:rsidR="002E18CB" w:rsidRPr="002E18CB">
              <w:rPr>
                <w:rFonts w:asciiTheme="majorHAnsi" w:hAnsiTheme="majorHAnsi"/>
                <w:webHidden/>
              </w:rPr>
              <w:tab/>
            </w:r>
            <w:r w:rsidR="002E18CB" w:rsidRPr="002E18CB">
              <w:rPr>
                <w:rFonts w:asciiTheme="majorHAnsi" w:hAnsiTheme="majorHAnsi"/>
                <w:webHidden/>
              </w:rPr>
              <w:fldChar w:fldCharType="begin"/>
            </w:r>
            <w:r w:rsidR="002E18CB" w:rsidRPr="002E18CB">
              <w:rPr>
                <w:rFonts w:asciiTheme="majorHAnsi" w:hAnsiTheme="majorHAnsi"/>
                <w:webHidden/>
              </w:rPr>
              <w:instrText xml:space="preserve"> PAGEREF _Toc411268945 \h </w:instrText>
            </w:r>
            <w:r w:rsidR="002E18CB" w:rsidRPr="002E18CB">
              <w:rPr>
                <w:rFonts w:asciiTheme="majorHAnsi" w:hAnsiTheme="majorHAnsi"/>
                <w:webHidden/>
              </w:rPr>
            </w:r>
            <w:r w:rsidR="002E18CB" w:rsidRPr="002E18CB">
              <w:rPr>
                <w:rFonts w:asciiTheme="majorHAnsi" w:hAnsiTheme="majorHAnsi"/>
                <w:webHidden/>
              </w:rPr>
              <w:fldChar w:fldCharType="separate"/>
            </w:r>
            <w:r w:rsidR="00530F64">
              <w:rPr>
                <w:rFonts w:asciiTheme="majorHAnsi" w:hAnsiTheme="majorHAnsi"/>
                <w:webHidden/>
              </w:rPr>
              <w:t>27</w:t>
            </w:r>
            <w:r w:rsidR="002E18CB" w:rsidRPr="002E18CB">
              <w:rPr>
                <w:rFonts w:asciiTheme="majorHAnsi" w:hAnsiTheme="majorHAnsi"/>
                <w:webHidden/>
              </w:rPr>
              <w:fldChar w:fldCharType="end"/>
            </w:r>
          </w:hyperlink>
        </w:p>
        <w:p w:rsidR="002E18CB" w:rsidRPr="002E18CB" w:rsidRDefault="004F7E1F" w:rsidP="002E18CB">
          <w:pPr>
            <w:pStyle w:val="TOC3"/>
            <w:tabs>
              <w:tab w:val="left" w:pos="1320"/>
            </w:tabs>
            <w:ind w:right="567"/>
            <w:rPr>
              <w:rFonts w:asciiTheme="majorHAnsi" w:eastAsiaTheme="minorEastAsia" w:hAnsiTheme="majorHAnsi" w:cstheme="minorBidi"/>
              <w:lang w:val="en-AU" w:eastAsia="en-AU"/>
            </w:rPr>
          </w:pPr>
          <w:hyperlink w:anchor="_Toc411268946" w:history="1">
            <w:r w:rsidR="002E18CB" w:rsidRPr="002E18CB">
              <w:rPr>
                <w:rStyle w:val="Hyperlink"/>
                <w:rFonts w:asciiTheme="majorHAnsi" w:hAnsiTheme="majorHAnsi"/>
              </w:rPr>
              <w:t>d)</w:t>
            </w:r>
            <w:r w:rsidR="002E18CB" w:rsidRPr="002E18CB">
              <w:rPr>
                <w:rFonts w:asciiTheme="majorHAnsi" w:eastAsiaTheme="minorEastAsia" w:hAnsiTheme="majorHAnsi" w:cstheme="minorBidi"/>
                <w:lang w:val="en-AU" w:eastAsia="en-AU"/>
              </w:rPr>
              <w:tab/>
            </w:r>
            <w:r w:rsidR="002E18CB" w:rsidRPr="002E18CB">
              <w:rPr>
                <w:rStyle w:val="Hyperlink"/>
                <w:rFonts w:asciiTheme="majorHAnsi" w:hAnsiTheme="majorHAnsi"/>
              </w:rPr>
              <w:t>Implications for achieving end-of-program-outcomes</w:t>
            </w:r>
            <w:r w:rsidR="002E18CB" w:rsidRPr="002E18CB">
              <w:rPr>
                <w:rFonts w:asciiTheme="majorHAnsi" w:hAnsiTheme="majorHAnsi"/>
                <w:webHidden/>
              </w:rPr>
              <w:tab/>
            </w:r>
            <w:r w:rsidR="002E18CB" w:rsidRPr="002E18CB">
              <w:rPr>
                <w:rFonts w:asciiTheme="majorHAnsi" w:hAnsiTheme="majorHAnsi"/>
                <w:webHidden/>
              </w:rPr>
              <w:fldChar w:fldCharType="begin"/>
            </w:r>
            <w:r w:rsidR="002E18CB" w:rsidRPr="002E18CB">
              <w:rPr>
                <w:rFonts w:asciiTheme="majorHAnsi" w:hAnsiTheme="majorHAnsi"/>
                <w:webHidden/>
              </w:rPr>
              <w:instrText xml:space="preserve"> PAGEREF _Toc411268946 \h </w:instrText>
            </w:r>
            <w:r w:rsidR="002E18CB" w:rsidRPr="002E18CB">
              <w:rPr>
                <w:rFonts w:asciiTheme="majorHAnsi" w:hAnsiTheme="majorHAnsi"/>
                <w:webHidden/>
              </w:rPr>
            </w:r>
            <w:r w:rsidR="002E18CB" w:rsidRPr="002E18CB">
              <w:rPr>
                <w:rFonts w:asciiTheme="majorHAnsi" w:hAnsiTheme="majorHAnsi"/>
                <w:webHidden/>
              </w:rPr>
              <w:fldChar w:fldCharType="separate"/>
            </w:r>
            <w:r w:rsidR="00530F64">
              <w:rPr>
                <w:rFonts w:asciiTheme="majorHAnsi" w:hAnsiTheme="majorHAnsi"/>
                <w:webHidden/>
              </w:rPr>
              <w:t>30</w:t>
            </w:r>
            <w:r w:rsidR="002E18CB" w:rsidRPr="002E18CB">
              <w:rPr>
                <w:rFonts w:asciiTheme="majorHAnsi" w:hAnsiTheme="majorHAnsi"/>
                <w:webHidden/>
              </w:rPr>
              <w:fldChar w:fldCharType="end"/>
            </w:r>
          </w:hyperlink>
        </w:p>
        <w:p w:rsidR="002E18CB" w:rsidRPr="002E18CB" w:rsidRDefault="004F7E1F" w:rsidP="002E18CB">
          <w:pPr>
            <w:pStyle w:val="TOC3"/>
            <w:tabs>
              <w:tab w:val="left" w:pos="1320"/>
            </w:tabs>
            <w:ind w:right="567"/>
            <w:rPr>
              <w:rFonts w:asciiTheme="majorHAnsi" w:eastAsiaTheme="minorEastAsia" w:hAnsiTheme="majorHAnsi" w:cstheme="minorBidi"/>
              <w:lang w:val="en-AU" w:eastAsia="en-AU"/>
            </w:rPr>
          </w:pPr>
          <w:hyperlink w:anchor="_Toc411268947" w:history="1">
            <w:r w:rsidR="002E18CB" w:rsidRPr="002E18CB">
              <w:rPr>
                <w:rStyle w:val="Hyperlink"/>
                <w:rFonts w:asciiTheme="majorHAnsi" w:hAnsiTheme="majorHAnsi"/>
              </w:rPr>
              <w:t>e)</w:t>
            </w:r>
            <w:r w:rsidR="002E18CB" w:rsidRPr="002E18CB">
              <w:rPr>
                <w:rFonts w:asciiTheme="majorHAnsi" w:eastAsiaTheme="minorEastAsia" w:hAnsiTheme="majorHAnsi" w:cstheme="minorBidi"/>
                <w:lang w:val="en-AU" w:eastAsia="en-AU"/>
              </w:rPr>
              <w:tab/>
            </w:r>
            <w:r w:rsidR="002E18CB" w:rsidRPr="002E18CB">
              <w:rPr>
                <w:rStyle w:val="Hyperlink"/>
                <w:rFonts w:asciiTheme="majorHAnsi" w:hAnsiTheme="majorHAnsi"/>
              </w:rPr>
              <w:t>Variations to Workplan</w:t>
            </w:r>
            <w:r w:rsidR="002E18CB" w:rsidRPr="002E18CB">
              <w:rPr>
                <w:rFonts w:asciiTheme="majorHAnsi" w:hAnsiTheme="majorHAnsi"/>
                <w:webHidden/>
              </w:rPr>
              <w:tab/>
            </w:r>
            <w:r w:rsidR="002E18CB" w:rsidRPr="002E18CB">
              <w:rPr>
                <w:rFonts w:asciiTheme="majorHAnsi" w:hAnsiTheme="majorHAnsi"/>
                <w:webHidden/>
              </w:rPr>
              <w:fldChar w:fldCharType="begin"/>
            </w:r>
            <w:r w:rsidR="002E18CB" w:rsidRPr="002E18CB">
              <w:rPr>
                <w:rFonts w:asciiTheme="majorHAnsi" w:hAnsiTheme="majorHAnsi"/>
                <w:webHidden/>
              </w:rPr>
              <w:instrText xml:space="preserve"> PAGEREF _Toc411268947 \h </w:instrText>
            </w:r>
            <w:r w:rsidR="002E18CB" w:rsidRPr="002E18CB">
              <w:rPr>
                <w:rFonts w:asciiTheme="majorHAnsi" w:hAnsiTheme="majorHAnsi"/>
                <w:webHidden/>
              </w:rPr>
            </w:r>
            <w:r w:rsidR="002E18CB" w:rsidRPr="002E18CB">
              <w:rPr>
                <w:rFonts w:asciiTheme="majorHAnsi" w:hAnsiTheme="majorHAnsi"/>
                <w:webHidden/>
              </w:rPr>
              <w:fldChar w:fldCharType="separate"/>
            </w:r>
            <w:r w:rsidR="00530F64">
              <w:rPr>
                <w:rFonts w:asciiTheme="majorHAnsi" w:hAnsiTheme="majorHAnsi"/>
                <w:webHidden/>
              </w:rPr>
              <w:t>31</w:t>
            </w:r>
            <w:r w:rsidR="002E18CB" w:rsidRPr="002E18CB">
              <w:rPr>
                <w:rFonts w:asciiTheme="majorHAnsi" w:hAnsiTheme="majorHAnsi"/>
                <w:webHidden/>
              </w:rPr>
              <w:fldChar w:fldCharType="end"/>
            </w:r>
          </w:hyperlink>
        </w:p>
        <w:p w:rsidR="002E18CB" w:rsidRPr="002E18CB" w:rsidRDefault="004F7E1F" w:rsidP="002E18CB">
          <w:pPr>
            <w:pStyle w:val="TOC3"/>
            <w:tabs>
              <w:tab w:val="left" w:pos="1100"/>
            </w:tabs>
            <w:ind w:right="567"/>
            <w:rPr>
              <w:rFonts w:asciiTheme="majorHAnsi" w:eastAsiaTheme="minorEastAsia" w:hAnsiTheme="majorHAnsi" w:cstheme="minorBidi"/>
              <w:lang w:val="en-AU" w:eastAsia="en-AU"/>
            </w:rPr>
          </w:pPr>
          <w:hyperlink w:anchor="_Toc411268948" w:history="1">
            <w:r w:rsidR="002E18CB" w:rsidRPr="002E18CB">
              <w:rPr>
                <w:rStyle w:val="Hyperlink"/>
                <w:rFonts w:asciiTheme="majorHAnsi" w:hAnsiTheme="majorHAnsi"/>
              </w:rPr>
              <w:t>f)</w:t>
            </w:r>
            <w:r w:rsidR="002E18CB" w:rsidRPr="002E18CB">
              <w:rPr>
                <w:rFonts w:asciiTheme="majorHAnsi" w:eastAsiaTheme="minorEastAsia" w:hAnsiTheme="majorHAnsi" w:cstheme="minorBidi"/>
                <w:lang w:val="en-AU" w:eastAsia="en-AU"/>
              </w:rPr>
              <w:tab/>
            </w:r>
            <w:r w:rsidR="003A5C8D">
              <w:rPr>
                <w:rFonts w:asciiTheme="majorHAnsi" w:eastAsiaTheme="minorEastAsia" w:hAnsiTheme="majorHAnsi" w:cstheme="minorBidi"/>
                <w:lang w:val="en-AU" w:eastAsia="en-AU"/>
              </w:rPr>
              <w:t xml:space="preserve">    </w:t>
            </w:r>
            <w:r w:rsidR="002E18CB" w:rsidRPr="002E18CB">
              <w:rPr>
                <w:rStyle w:val="Hyperlink"/>
                <w:rFonts w:asciiTheme="majorHAnsi" w:hAnsiTheme="majorHAnsi"/>
              </w:rPr>
              <w:t>Gender</w:t>
            </w:r>
            <w:r w:rsidR="002E18CB" w:rsidRPr="002E18CB">
              <w:rPr>
                <w:rFonts w:asciiTheme="majorHAnsi" w:hAnsiTheme="majorHAnsi"/>
                <w:webHidden/>
              </w:rPr>
              <w:tab/>
            </w:r>
            <w:r w:rsidR="002E18CB" w:rsidRPr="002E18CB">
              <w:rPr>
                <w:rFonts w:asciiTheme="majorHAnsi" w:hAnsiTheme="majorHAnsi"/>
                <w:webHidden/>
              </w:rPr>
              <w:fldChar w:fldCharType="begin"/>
            </w:r>
            <w:r w:rsidR="002E18CB" w:rsidRPr="002E18CB">
              <w:rPr>
                <w:rFonts w:asciiTheme="majorHAnsi" w:hAnsiTheme="majorHAnsi"/>
                <w:webHidden/>
              </w:rPr>
              <w:instrText xml:space="preserve"> PAGEREF _Toc411268948 \h </w:instrText>
            </w:r>
            <w:r w:rsidR="002E18CB" w:rsidRPr="002E18CB">
              <w:rPr>
                <w:rFonts w:asciiTheme="majorHAnsi" w:hAnsiTheme="majorHAnsi"/>
                <w:webHidden/>
              </w:rPr>
            </w:r>
            <w:r w:rsidR="002E18CB" w:rsidRPr="002E18CB">
              <w:rPr>
                <w:rFonts w:asciiTheme="majorHAnsi" w:hAnsiTheme="majorHAnsi"/>
                <w:webHidden/>
              </w:rPr>
              <w:fldChar w:fldCharType="separate"/>
            </w:r>
            <w:r w:rsidR="00530F64">
              <w:rPr>
                <w:rFonts w:asciiTheme="majorHAnsi" w:hAnsiTheme="majorHAnsi"/>
                <w:webHidden/>
              </w:rPr>
              <w:t>35</w:t>
            </w:r>
            <w:r w:rsidR="002E18CB" w:rsidRPr="002E18CB">
              <w:rPr>
                <w:rFonts w:asciiTheme="majorHAnsi" w:hAnsiTheme="majorHAnsi"/>
                <w:webHidden/>
              </w:rPr>
              <w:fldChar w:fldCharType="end"/>
            </w:r>
          </w:hyperlink>
        </w:p>
        <w:p w:rsidR="002E18CB" w:rsidRPr="002E18CB" w:rsidRDefault="004F7E1F" w:rsidP="002E18CB">
          <w:pPr>
            <w:pStyle w:val="TOC3"/>
            <w:tabs>
              <w:tab w:val="left" w:pos="1320"/>
            </w:tabs>
            <w:ind w:right="567"/>
            <w:rPr>
              <w:rFonts w:asciiTheme="majorHAnsi" w:eastAsiaTheme="minorEastAsia" w:hAnsiTheme="majorHAnsi" w:cstheme="minorBidi"/>
              <w:lang w:val="en-AU" w:eastAsia="en-AU"/>
            </w:rPr>
          </w:pPr>
          <w:hyperlink w:anchor="_Toc411268949" w:history="1">
            <w:r w:rsidR="002E18CB" w:rsidRPr="002E18CB">
              <w:rPr>
                <w:rStyle w:val="Hyperlink"/>
                <w:rFonts w:asciiTheme="majorHAnsi" w:hAnsiTheme="majorHAnsi"/>
              </w:rPr>
              <w:t>g)</w:t>
            </w:r>
            <w:r w:rsidR="002E18CB" w:rsidRPr="002E18CB">
              <w:rPr>
                <w:rFonts w:asciiTheme="majorHAnsi" w:eastAsiaTheme="minorEastAsia" w:hAnsiTheme="majorHAnsi" w:cstheme="minorBidi"/>
                <w:lang w:val="en-AU" w:eastAsia="en-AU"/>
              </w:rPr>
              <w:tab/>
            </w:r>
            <w:r w:rsidR="002E18CB" w:rsidRPr="002E18CB">
              <w:rPr>
                <w:rStyle w:val="Hyperlink"/>
                <w:rFonts w:asciiTheme="majorHAnsi" w:hAnsiTheme="majorHAnsi"/>
              </w:rPr>
              <w:t>Areas of strategic focus for next reporting period</w:t>
            </w:r>
            <w:r w:rsidR="002E18CB" w:rsidRPr="002E18CB">
              <w:rPr>
                <w:rFonts w:asciiTheme="majorHAnsi" w:hAnsiTheme="majorHAnsi"/>
                <w:webHidden/>
              </w:rPr>
              <w:tab/>
            </w:r>
            <w:r w:rsidR="002E18CB" w:rsidRPr="002E18CB">
              <w:rPr>
                <w:rFonts w:asciiTheme="majorHAnsi" w:hAnsiTheme="majorHAnsi"/>
                <w:webHidden/>
              </w:rPr>
              <w:fldChar w:fldCharType="begin"/>
            </w:r>
            <w:r w:rsidR="002E18CB" w:rsidRPr="002E18CB">
              <w:rPr>
                <w:rFonts w:asciiTheme="majorHAnsi" w:hAnsiTheme="majorHAnsi"/>
                <w:webHidden/>
              </w:rPr>
              <w:instrText xml:space="preserve"> PAGEREF _Toc411268949 \h </w:instrText>
            </w:r>
            <w:r w:rsidR="002E18CB" w:rsidRPr="002E18CB">
              <w:rPr>
                <w:rFonts w:asciiTheme="majorHAnsi" w:hAnsiTheme="majorHAnsi"/>
                <w:webHidden/>
              </w:rPr>
            </w:r>
            <w:r w:rsidR="002E18CB" w:rsidRPr="002E18CB">
              <w:rPr>
                <w:rFonts w:asciiTheme="majorHAnsi" w:hAnsiTheme="majorHAnsi"/>
                <w:webHidden/>
              </w:rPr>
              <w:fldChar w:fldCharType="separate"/>
            </w:r>
            <w:r w:rsidR="00530F64">
              <w:rPr>
                <w:rFonts w:asciiTheme="majorHAnsi" w:hAnsiTheme="majorHAnsi"/>
                <w:webHidden/>
              </w:rPr>
              <w:t>37</w:t>
            </w:r>
            <w:r w:rsidR="002E18CB" w:rsidRPr="002E18CB">
              <w:rPr>
                <w:rFonts w:asciiTheme="majorHAnsi" w:hAnsiTheme="majorHAnsi"/>
                <w:webHidden/>
              </w:rPr>
              <w:fldChar w:fldCharType="end"/>
            </w:r>
          </w:hyperlink>
        </w:p>
        <w:p w:rsidR="002E18CB" w:rsidRDefault="004F7E1F" w:rsidP="002E18CB">
          <w:pPr>
            <w:pStyle w:val="TOC3"/>
            <w:tabs>
              <w:tab w:val="left" w:pos="1320"/>
            </w:tabs>
            <w:ind w:right="567"/>
            <w:rPr>
              <w:rStyle w:val="Hyperlink"/>
              <w:rFonts w:asciiTheme="majorHAnsi" w:hAnsiTheme="majorHAnsi"/>
            </w:rPr>
          </w:pPr>
          <w:hyperlink w:anchor="_Toc411268950" w:history="1">
            <w:r w:rsidR="002E18CB" w:rsidRPr="002E18CB">
              <w:rPr>
                <w:rStyle w:val="Hyperlink"/>
                <w:rFonts w:asciiTheme="majorHAnsi" w:hAnsiTheme="majorHAnsi"/>
              </w:rPr>
              <w:t>h)</w:t>
            </w:r>
            <w:r w:rsidR="002E18CB" w:rsidRPr="002E18CB">
              <w:rPr>
                <w:rFonts w:asciiTheme="majorHAnsi" w:eastAsiaTheme="minorEastAsia" w:hAnsiTheme="majorHAnsi" w:cstheme="minorBidi"/>
                <w:lang w:val="en-AU" w:eastAsia="en-AU"/>
              </w:rPr>
              <w:tab/>
            </w:r>
            <w:r w:rsidR="002E18CB" w:rsidRPr="002E18CB">
              <w:rPr>
                <w:rStyle w:val="Hyperlink"/>
                <w:rFonts w:asciiTheme="majorHAnsi" w:hAnsiTheme="majorHAnsi"/>
              </w:rPr>
              <w:t>Lessons</w:t>
            </w:r>
            <w:r w:rsidR="002E18CB" w:rsidRPr="002E18CB">
              <w:rPr>
                <w:rFonts w:asciiTheme="majorHAnsi" w:hAnsiTheme="majorHAnsi"/>
                <w:webHidden/>
              </w:rPr>
              <w:tab/>
            </w:r>
            <w:r w:rsidR="002E18CB" w:rsidRPr="002E18CB">
              <w:rPr>
                <w:rFonts w:asciiTheme="majorHAnsi" w:hAnsiTheme="majorHAnsi"/>
                <w:webHidden/>
              </w:rPr>
              <w:fldChar w:fldCharType="begin"/>
            </w:r>
            <w:r w:rsidR="002E18CB" w:rsidRPr="002E18CB">
              <w:rPr>
                <w:rFonts w:asciiTheme="majorHAnsi" w:hAnsiTheme="majorHAnsi"/>
                <w:webHidden/>
              </w:rPr>
              <w:instrText xml:space="preserve"> PAGEREF _Toc411268950 \h </w:instrText>
            </w:r>
            <w:r w:rsidR="002E18CB" w:rsidRPr="002E18CB">
              <w:rPr>
                <w:rFonts w:asciiTheme="majorHAnsi" w:hAnsiTheme="majorHAnsi"/>
                <w:webHidden/>
              </w:rPr>
            </w:r>
            <w:r w:rsidR="002E18CB" w:rsidRPr="002E18CB">
              <w:rPr>
                <w:rFonts w:asciiTheme="majorHAnsi" w:hAnsiTheme="majorHAnsi"/>
                <w:webHidden/>
              </w:rPr>
              <w:fldChar w:fldCharType="separate"/>
            </w:r>
            <w:r w:rsidR="00530F64">
              <w:rPr>
                <w:rFonts w:asciiTheme="majorHAnsi" w:hAnsiTheme="majorHAnsi"/>
                <w:webHidden/>
              </w:rPr>
              <w:t>38</w:t>
            </w:r>
            <w:r w:rsidR="002E18CB" w:rsidRPr="002E18CB">
              <w:rPr>
                <w:rFonts w:asciiTheme="majorHAnsi" w:hAnsiTheme="majorHAnsi"/>
                <w:webHidden/>
              </w:rPr>
              <w:fldChar w:fldCharType="end"/>
            </w:r>
          </w:hyperlink>
        </w:p>
        <w:p w:rsidR="002E18CB" w:rsidRPr="002E18CB" w:rsidRDefault="002E18CB" w:rsidP="002E18CB">
          <w:pPr>
            <w:rPr>
              <w:noProof/>
              <w:lang w:val="en-US" w:eastAsia="ja-JP"/>
            </w:rPr>
          </w:pPr>
        </w:p>
        <w:p w:rsidR="002E18CB" w:rsidRDefault="004F7E1F" w:rsidP="002E18CB">
          <w:pPr>
            <w:pStyle w:val="TOC2"/>
            <w:ind w:right="567"/>
            <w:rPr>
              <w:rStyle w:val="Hyperlink"/>
              <w:rFonts w:asciiTheme="majorHAnsi" w:hAnsiTheme="majorHAnsi"/>
              <w:noProof/>
            </w:rPr>
          </w:pPr>
          <w:hyperlink w:anchor="_Toc411268952" w:history="1">
            <w:r w:rsidR="002E18CB" w:rsidRPr="003A5C8D">
              <w:rPr>
                <w:rStyle w:val="Hyperlink"/>
                <w:rFonts w:asciiTheme="majorHAnsi" w:hAnsiTheme="majorHAnsi"/>
                <w:b/>
                <w:noProof/>
              </w:rPr>
              <w:t>3.</w:t>
            </w:r>
            <w:r w:rsidR="002E18CB" w:rsidRPr="002E18CB">
              <w:rPr>
                <w:rFonts w:eastAsiaTheme="minorEastAsia" w:cstheme="minorBidi"/>
                <w:noProof/>
                <w:lang w:val="en-AU" w:eastAsia="en-AU"/>
              </w:rPr>
              <w:tab/>
            </w:r>
            <w:r w:rsidR="002E18CB" w:rsidRPr="003A5C8D">
              <w:rPr>
                <w:rStyle w:val="Hyperlink"/>
                <w:rFonts w:asciiTheme="majorHAnsi" w:hAnsiTheme="majorHAnsi"/>
                <w:b/>
                <w:noProof/>
              </w:rPr>
              <w:t>Reach &amp; coverage of outputs during Reporting Period</w:t>
            </w:r>
            <w:r w:rsidR="002E18CB" w:rsidRPr="002E18CB">
              <w:rPr>
                <w:noProof/>
                <w:webHidden/>
              </w:rPr>
              <w:tab/>
            </w:r>
            <w:r w:rsidR="002E18CB" w:rsidRPr="002E18CB">
              <w:rPr>
                <w:noProof/>
                <w:webHidden/>
              </w:rPr>
              <w:fldChar w:fldCharType="begin"/>
            </w:r>
            <w:r w:rsidR="002E18CB" w:rsidRPr="002E18CB">
              <w:rPr>
                <w:noProof/>
                <w:webHidden/>
              </w:rPr>
              <w:instrText xml:space="preserve"> PAGEREF _Toc411268952 \h </w:instrText>
            </w:r>
            <w:r w:rsidR="002E18CB" w:rsidRPr="002E18CB">
              <w:rPr>
                <w:noProof/>
                <w:webHidden/>
              </w:rPr>
            </w:r>
            <w:r w:rsidR="002E18CB" w:rsidRPr="002E18CB">
              <w:rPr>
                <w:noProof/>
                <w:webHidden/>
              </w:rPr>
              <w:fldChar w:fldCharType="separate"/>
            </w:r>
            <w:r w:rsidR="00530F64">
              <w:rPr>
                <w:noProof/>
                <w:webHidden/>
              </w:rPr>
              <w:t>41</w:t>
            </w:r>
            <w:r w:rsidR="002E18CB" w:rsidRPr="002E18CB">
              <w:rPr>
                <w:noProof/>
                <w:webHidden/>
              </w:rPr>
              <w:fldChar w:fldCharType="end"/>
            </w:r>
          </w:hyperlink>
        </w:p>
        <w:p w:rsidR="002E18CB" w:rsidRPr="002E18CB" w:rsidRDefault="002E18CB" w:rsidP="002E18CB">
          <w:pPr>
            <w:rPr>
              <w:noProof/>
            </w:rPr>
          </w:pPr>
        </w:p>
        <w:p w:rsidR="002E18CB" w:rsidRPr="002E18CB" w:rsidRDefault="004F7E1F" w:rsidP="002E18CB">
          <w:pPr>
            <w:pStyle w:val="TOC2"/>
            <w:ind w:right="567"/>
            <w:rPr>
              <w:rFonts w:eastAsiaTheme="minorEastAsia" w:cstheme="minorBidi"/>
              <w:noProof/>
              <w:lang w:val="en-AU" w:eastAsia="en-AU"/>
            </w:rPr>
          </w:pPr>
          <w:hyperlink w:anchor="_Toc411268953" w:history="1">
            <w:r w:rsidR="002E18CB" w:rsidRPr="003A5C8D">
              <w:rPr>
                <w:rStyle w:val="Hyperlink"/>
                <w:rFonts w:asciiTheme="majorHAnsi" w:hAnsiTheme="majorHAnsi"/>
                <w:b/>
                <w:noProof/>
              </w:rPr>
              <w:t>4.</w:t>
            </w:r>
            <w:r w:rsidR="002E18CB" w:rsidRPr="002E18CB">
              <w:rPr>
                <w:rFonts w:eastAsiaTheme="minorEastAsia" w:cstheme="minorBidi"/>
                <w:noProof/>
                <w:lang w:val="en-AU" w:eastAsia="en-AU"/>
              </w:rPr>
              <w:tab/>
            </w:r>
            <w:r w:rsidR="002E18CB" w:rsidRPr="003A5C8D">
              <w:rPr>
                <w:rStyle w:val="Hyperlink"/>
                <w:rFonts w:asciiTheme="majorHAnsi" w:hAnsiTheme="majorHAnsi"/>
                <w:b/>
                <w:noProof/>
              </w:rPr>
              <w:t>Adequacy of Progress</w:t>
            </w:r>
            <w:r w:rsidR="002E18CB" w:rsidRPr="002E18CB">
              <w:rPr>
                <w:noProof/>
                <w:webHidden/>
              </w:rPr>
              <w:tab/>
            </w:r>
            <w:r w:rsidR="002E18CB" w:rsidRPr="002E18CB">
              <w:rPr>
                <w:noProof/>
                <w:webHidden/>
              </w:rPr>
              <w:fldChar w:fldCharType="begin"/>
            </w:r>
            <w:r w:rsidR="002E18CB" w:rsidRPr="002E18CB">
              <w:rPr>
                <w:noProof/>
                <w:webHidden/>
              </w:rPr>
              <w:instrText xml:space="preserve"> PAGEREF _Toc411268953 \h </w:instrText>
            </w:r>
            <w:r w:rsidR="002E18CB" w:rsidRPr="002E18CB">
              <w:rPr>
                <w:noProof/>
                <w:webHidden/>
              </w:rPr>
            </w:r>
            <w:r w:rsidR="002E18CB" w:rsidRPr="002E18CB">
              <w:rPr>
                <w:noProof/>
                <w:webHidden/>
              </w:rPr>
              <w:fldChar w:fldCharType="separate"/>
            </w:r>
            <w:r w:rsidR="00530F64">
              <w:rPr>
                <w:noProof/>
                <w:webHidden/>
              </w:rPr>
              <w:t>43</w:t>
            </w:r>
            <w:r w:rsidR="002E18CB" w:rsidRPr="002E18CB">
              <w:rPr>
                <w:noProof/>
                <w:webHidden/>
              </w:rPr>
              <w:fldChar w:fldCharType="end"/>
            </w:r>
          </w:hyperlink>
        </w:p>
        <w:p w:rsidR="002E18CB" w:rsidRPr="002E18CB" w:rsidRDefault="004F7E1F" w:rsidP="002E18CB">
          <w:pPr>
            <w:pStyle w:val="TOC3"/>
            <w:tabs>
              <w:tab w:val="left" w:pos="1320"/>
            </w:tabs>
            <w:ind w:right="567"/>
            <w:rPr>
              <w:rFonts w:asciiTheme="majorHAnsi" w:eastAsiaTheme="minorEastAsia" w:hAnsiTheme="majorHAnsi" w:cstheme="minorBidi"/>
              <w:lang w:val="en-AU" w:eastAsia="en-AU"/>
            </w:rPr>
          </w:pPr>
          <w:hyperlink w:anchor="_Toc411268954" w:history="1">
            <w:r w:rsidR="002E18CB" w:rsidRPr="002E18CB">
              <w:rPr>
                <w:rStyle w:val="Hyperlink"/>
                <w:rFonts w:asciiTheme="majorHAnsi" w:hAnsiTheme="majorHAnsi"/>
              </w:rPr>
              <w:t>a)</w:t>
            </w:r>
            <w:r w:rsidR="002E18CB" w:rsidRPr="002E18CB">
              <w:rPr>
                <w:rFonts w:asciiTheme="majorHAnsi" w:eastAsiaTheme="minorEastAsia" w:hAnsiTheme="majorHAnsi" w:cstheme="minorBidi"/>
                <w:lang w:val="en-AU" w:eastAsia="en-AU"/>
              </w:rPr>
              <w:tab/>
            </w:r>
            <w:r w:rsidR="002E18CB" w:rsidRPr="002E18CB">
              <w:rPr>
                <w:rStyle w:val="Hyperlink"/>
                <w:rFonts w:asciiTheme="majorHAnsi" w:hAnsiTheme="majorHAnsi"/>
              </w:rPr>
              <w:t>Against the Workplan: On time</w:t>
            </w:r>
            <w:r w:rsidR="002E18CB" w:rsidRPr="002E18CB">
              <w:rPr>
                <w:rFonts w:asciiTheme="majorHAnsi" w:hAnsiTheme="majorHAnsi"/>
                <w:webHidden/>
              </w:rPr>
              <w:tab/>
            </w:r>
            <w:r w:rsidR="002E18CB" w:rsidRPr="002E18CB">
              <w:rPr>
                <w:rFonts w:asciiTheme="majorHAnsi" w:hAnsiTheme="majorHAnsi"/>
                <w:webHidden/>
              </w:rPr>
              <w:fldChar w:fldCharType="begin"/>
            </w:r>
            <w:r w:rsidR="002E18CB" w:rsidRPr="002E18CB">
              <w:rPr>
                <w:rFonts w:asciiTheme="majorHAnsi" w:hAnsiTheme="majorHAnsi"/>
                <w:webHidden/>
              </w:rPr>
              <w:instrText xml:space="preserve"> PAGEREF _Toc411268954 \h </w:instrText>
            </w:r>
            <w:r w:rsidR="002E18CB" w:rsidRPr="002E18CB">
              <w:rPr>
                <w:rFonts w:asciiTheme="majorHAnsi" w:hAnsiTheme="majorHAnsi"/>
                <w:webHidden/>
              </w:rPr>
            </w:r>
            <w:r w:rsidR="002E18CB" w:rsidRPr="002E18CB">
              <w:rPr>
                <w:rFonts w:asciiTheme="majorHAnsi" w:hAnsiTheme="majorHAnsi"/>
                <w:webHidden/>
              </w:rPr>
              <w:fldChar w:fldCharType="separate"/>
            </w:r>
            <w:r w:rsidR="00530F64">
              <w:rPr>
                <w:rFonts w:asciiTheme="majorHAnsi" w:hAnsiTheme="majorHAnsi"/>
                <w:webHidden/>
              </w:rPr>
              <w:t>43</w:t>
            </w:r>
            <w:r w:rsidR="002E18CB" w:rsidRPr="002E18CB">
              <w:rPr>
                <w:rFonts w:asciiTheme="majorHAnsi" w:hAnsiTheme="majorHAnsi"/>
                <w:webHidden/>
              </w:rPr>
              <w:fldChar w:fldCharType="end"/>
            </w:r>
          </w:hyperlink>
        </w:p>
        <w:p w:rsidR="002E18CB" w:rsidRPr="002E18CB" w:rsidRDefault="004F7E1F" w:rsidP="002E18CB">
          <w:pPr>
            <w:pStyle w:val="TOC3"/>
            <w:tabs>
              <w:tab w:val="left" w:pos="1320"/>
            </w:tabs>
            <w:ind w:right="567"/>
            <w:rPr>
              <w:rFonts w:asciiTheme="majorHAnsi" w:eastAsiaTheme="minorEastAsia" w:hAnsiTheme="majorHAnsi" w:cstheme="minorBidi"/>
              <w:lang w:val="en-AU" w:eastAsia="en-AU"/>
            </w:rPr>
          </w:pPr>
          <w:hyperlink w:anchor="_Toc411268955" w:history="1">
            <w:r w:rsidR="002E18CB" w:rsidRPr="002E18CB">
              <w:rPr>
                <w:rStyle w:val="Hyperlink"/>
                <w:rFonts w:asciiTheme="majorHAnsi" w:hAnsiTheme="majorHAnsi"/>
              </w:rPr>
              <w:t>b)</w:t>
            </w:r>
            <w:r w:rsidR="002E18CB" w:rsidRPr="002E18CB">
              <w:rPr>
                <w:rFonts w:asciiTheme="majorHAnsi" w:eastAsiaTheme="minorEastAsia" w:hAnsiTheme="majorHAnsi" w:cstheme="minorBidi"/>
                <w:lang w:val="en-AU" w:eastAsia="en-AU"/>
              </w:rPr>
              <w:tab/>
            </w:r>
            <w:r w:rsidR="002E18CB" w:rsidRPr="002E18CB">
              <w:rPr>
                <w:rStyle w:val="Hyperlink"/>
                <w:rFonts w:asciiTheme="majorHAnsi" w:hAnsiTheme="majorHAnsi"/>
              </w:rPr>
              <w:t>Adequacy of inputs to meet end-of-program-outcomes</w:t>
            </w:r>
            <w:r w:rsidR="002E18CB" w:rsidRPr="002E18CB">
              <w:rPr>
                <w:rFonts w:asciiTheme="majorHAnsi" w:hAnsiTheme="majorHAnsi"/>
                <w:webHidden/>
              </w:rPr>
              <w:tab/>
            </w:r>
            <w:r w:rsidR="002E18CB" w:rsidRPr="002E18CB">
              <w:rPr>
                <w:rFonts w:asciiTheme="majorHAnsi" w:hAnsiTheme="majorHAnsi"/>
                <w:webHidden/>
              </w:rPr>
              <w:fldChar w:fldCharType="begin"/>
            </w:r>
            <w:r w:rsidR="002E18CB" w:rsidRPr="002E18CB">
              <w:rPr>
                <w:rFonts w:asciiTheme="majorHAnsi" w:hAnsiTheme="majorHAnsi"/>
                <w:webHidden/>
              </w:rPr>
              <w:instrText xml:space="preserve"> PAGEREF _Toc411268955 \h </w:instrText>
            </w:r>
            <w:r w:rsidR="002E18CB" w:rsidRPr="002E18CB">
              <w:rPr>
                <w:rFonts w:asciiTheme="majorHAnsi" w:hAnsiTheme="majorHAnsi"/>
                <w:webHidden/>
              </w:rPr>
            </w:r>
            <w:r w:rsidR="002E18CB" w:rsidRPr="002E18CB">
              <w:rPr>
                <w:rFonts w:asciiTheme="majorHAnsi" w:hAnsiTheme="majorHAnsi"/>
                <w:webHidden/>
              </w:rPr>
              <w:fldChar w:fldCharType="separate"/>
            </w:r>
            <w:r w:rsidR="00530F64">
              <w:rPr>
                <w:rFonts w:asciiTheme="majorHAnsi" w:hAnsiTheme="majorHAnsi"/>
                <w:webHidden/>
              </w:rPr>
              <w:t>43</w:t>
            </w:r>
            <w:r w:rsidR="002E18CB" w:rsidRPr="002E18CB">
              <w:rPr>
                <w:rFonts w:asciiTheme="majorHAnsi" w:hAnsiTheme="majorHAnsi"/>
                <w:webHidden/>
              </w:rPr>
              <w:fldChar w:fldCharType="end"/>
            </w:r>
          </w:hyperlink>
        </w:p>
        <w:p w:rsidR="002E18CB" w:rsidRDefault="004F7E1F" w:rsidP="002E18CB">
          <w:pPr>
            <w:pStyle w:val="TOC3"/>
            <w:tabs>
              <w:tab w:val="left" w:pos="1320"/>
            </w:tabs>
            <w:ind w:right="567"/>
            <w:rPr>
              <w:rStyle w:val="Hyperlink"/>
              <w:rFonts w:asciiTheme="majorHAnsi" w:hAnsiTheme="majorHAnsi"/>
            </w:rPr>
          </w:pPr>
          <w:hyperlink w:anchor="_Toc411268956" w:history="1">
            <w:r w:rsidR="002E18CB" w:rsidRPr="002E18CB">
              <w:rPr>
                <w:rStyle w:val="Hyperlink"/>
                <w:rFonts w:asciiTheme="majorHAnsi" w:hAnsiTheme="majorHAnsi"/>
              </w:rPr>
              <w:t>c)</w:t>
            </w:r>
            <w:r w:rsidR="002E18CB" w:rsidRPr="002E18CB">
              <w:rPr>
                <w:rFonts w:asciiTheme="majorHAnsi" w:eastAsiaTheme="minorEastAsia" w:hAnsiTheme="majorHAnsi" w:cstheme="minorBidi"/>
                <w:lang w:val="en-AU" w:eastAsia="en-AU"/>
              </w:rPr>
              <w:tab/>
            </w:r>
            <w:r w:rsidR="002E18CB" w:rsidRPr="002E18CB">
              <w:rPr>
                <w:rStyle w:val="Hyperlink"/>
                <w:rFonts w:asciiTheme="majorHAnsi" w:hAnsiTheme="majorHAnsi"/>
              </w:rPr>
              <w:t>Against Budget</w:t>
            </w:r>
            <w:r w:rsidR="002E18CB" w:rsidRPr="002E18CB">
              <w:rPr>
                <w:rFonts w:asciiTheme="majorHAnsi" w:hAnsiTheme="majorHAnsi"/>
                <w:webHidden/>
              </w:rPr>
              <w:tab/>
            </w:r>
            <w:r w:rsidR="002E18CB" w:rsidRPr="002E18CB">
              <w:rPr>
                <w:rFonts w:asciiTheme="majorHAnsi" w:hAnsiTheme="majorHAnsi"/>
                <w:webHidden/>
              </w:rPr>
              <w:fldChar w:fldCharType="begin"/>
            </w:r>
            <w:r w:rsidR="002E18CB" w:rsidRPr="002E18CB">
              <w:rPr>
                <w:rFonts w:asciiTheme="majorHAnsi" w:hAnsiTheme="majorHAnsi"/>
                <w:webHidden/>
              </w:rPr>
              <w:instrText xml:space="preserve"> PAGEREF _Toc411268956 \h </w:instrText>
            </w:r>
            <w:r w:rsidR="002E18CB" w:rsidRPr="002E18CB">
              <w:rPr>
                <w:rFonts w:asciiTheme="majorHAnsi" w:hAnsiTheme="majorHAnsi"/>
                <w:webHidden/>
              </w:rPr>
            </w:r>
            <w:r w:rsidR="002E18CB" w:rsidRPr="002E18CB">
              <w:rPr>
                <w:rFonts w:asciiTheme="majorHAnsi" w:hAnsiTheme="majorHAnsi"/>
                <w:webHidden/>
              </w:rPr>
              <w:fldChar w:fldCharType="separate"/>
            </w:r>
            <w:r w:rsidR="00530F64">
              <w:rPr>
                <w:rFonts w:asciiTheme="majorHAnsi" w:hAnsiTheme="majorHAnsi"/>
                <w:webHidden/>
              </w:rPr>
              <w:t>43</w:t>
            </w:r>
            <w:r w:rsidR="002E18CB" w:rsidRPr="002E18CB">
              <w:rPr>
                <w:rFonts w:asciiTheme="majorHAnsi" w:hAnsiTheme="majorHAnsi"/>
                <w:webHidden/>
              </w:rPr>
              <w:fldChar w:fldCharType="end"/>
            </w:r>
          </w:hyperlink>
        </w:p>
        <w:p w:rsidR="002E18CB" w:rsidRPr="002E18CB" w:rsidRDefault="002E18CB" w:rsidP="002E18CB">
          <w:pPr>
            <w:rPr>
              <w:noProof/>
              <w:lang w:val="en-US" w:eastAsia="ja-JP"/>
            </w:rPr>
          </w:pPr>
        </w:p>
        <w:p w:rsidR="002E18CB" w:rsidRPr="002E18CB" w:rsidRDefault="004F7E1F" w:rsidP="002E18CB">
          <w:pPr>
            <w:pStyle w:val="TOC2"/>
            <w:ind w:right="567"/>
            <w:rPr>
              <w:rFonts w:eastAsiaTheme="minorEastAsia" w:cstheme="minorBidi"/>
              <w:noProof/>
              <w:lang w:val="en-AU" w:eastAsia="en-AU"/>
            </w:rPr>
          </w:pPr>
          <w:hyperlink w:anchor="_Toc411268957" w:history="1">
            <w:r w:rsidR="002E18CB" w:rsidRPr="003A5C8D">
              <w:rPr>
                <w:rStyle w:val="Hyperlink"/>
                <w:rFonts w:asciiTheme="majorHAnsi" w:hAnsiTheme="majorHAnsi"/>
                <w:b/>
                <w:noProof/>
              </w:rPr>
              <w:t>5.</w:t>
            </w:r>
            <w:r w:rsidR="002E18CB" w:rsidRPr="003A5C8D">
              <w:rPr>
                <w:rFonts w:eastAsiaTheme="minorEastAsia" w:cstheme="minorBidi"/>
                <w:b/>
                <w:noProof/>
                <w:lang w:val="en-AU" w:eastAsia="en-AU"/>
              </w:rPr>
              <w:tab/>
            </w:r>
            <w:r w:rsidR="002E18CB" w:rsidRPr="003A5C8D">
              <w:rPr>
                <w:rStyle w:val="Hyperlink"/>
                <w:rFonts w:asciiTheme="majorHAnsi" w:hAnsiTheme="majorHAnsi"/>
                <w:b/>
                <w:noProof/>
              </w:rPr>
              <w:t>Effectiveness and Efficiency of Management Systems</w:t>
            </w:r>
            <w:r w:rsidR="002E18CB" w:rsidRPr="002E18CB">
              <w:rPr>
                <w:noProof/>
                <w:webHidden/>
              </w:rPr>
              <w:tab/>
            </w:r>
            <w:r w:rsidR="002E18CB" w:rsidRPr="002E18CB">
              <w:rPr>
                <w:noProof/>
                <w:webHidden/>
              </w:rPr>
              <w:fldChar w:fldCharType="begin"/>
            </w:r>
            <w:r w:rsidR="002E18CB" w:rsidRPr="002E18CB">
              <w:rPr>
                <w:noProof/>
                <w:webHidden/>
              </w:rPr>
              <w:instrText xml:space="preserve"> PAGEREF _Toc411268957 \h </w:instrText>
            </w:r>
            <w:r w:rsidR="002E18CB" w:rsidRPr="002E18CB">
              <w:rPr>
                <w:noProof/>
                <w:webHidden/>
              </w:rPr>
            </w:r>
            <w:r w:rsidR="002E18CB" w:rsidRPr="002E18CB">
              <w:rPr>
                <w:noProof/>
                <w:webHidden/>
              </w:rPr>
              <w:fldChar w:fldCharType="separate"/>
            </w:r>
            <w:r w:rsidR="00530F64">
              <w:rPr>
                <w:noProof/>
                <w:webHidden/>
              </w:rPr>
              <w:t>46</w:t>
            </w:r>
            <w:r w:rsidR="002E18CB" w:rsidRPr="002E18CB">
              <w:rPr>
                <w:noProof/>
                <w:webHidden/>
              </w:rPr>
              <w:fldChar w:fldCharType="end"/>
            </w:r>
          </w:hyperlink>
        </w:p>
        <w:p w:rsidR="002E18CB" w:rsidRPr="002E18CB" w:rsidRDefault="004F7E1F" w:rsidP="002E18CB">
          <w:pPr>
            <w:pStyle w:val="TOC3"/>
            <w:tabs>
              <w:tab w:val="left" w:pos="1320"/>
            </w:tabs>
            <w:ind w:right="567"/>
            <w:rPr>
              <w:rFonts w:asciiTheme="majorHAnsi" w:eastAsiaTheme="minorEastAsia" w:hAnsiTheme="majorHAnsi" w:cstheme="minorBidi"/>
              <w:lang w:val="en-AU" w:eastAsia="en-AU"/>
            </w:rPr>
          </w:pPr>
          <w:hyperlink w:anchor="_Toc411268958" w:history="1">
            <w:r w:rsidR="002E18CB" w:rsidRPr="002E18CB">
              <w:rPr>
                <w:rStyle w:val="Hyperlink"/>
                <w:rFonts w:asciiTheme="majorHAnsi" w:hAnsiTheme="majorHAnsi"/>
              </w:rPr>
              <w:t>a)</w:t>
            </w:r>
            <w:r w:rsidR="002E18CB" w:rsidRPr="002E18CB">
              <w:rPr>
                <w:rFonts w:asciiTheme="majorHAnsi" w:eastAsiaTheme="minorEastAsia" w:hAnsiTheme="majorHAnsi" w:cstheme="minorBidi"/>
                <w:lang w:val="en-AU" w:eastAsia="en-AU"/>
              </w:rPr>
              <w:tab/>
            </w:r>
            <w:r w:rsidR="002E18CB" w:rsidRPr="002E18CB">
              <w:rPr>
                <w:rStyle w:val="Hyperlink"/>
                <w:rFonts w:asciiTheme="majorHAnsi" w:hAnsiTheme="majorHAnsi"/>
              </w:rPr>
              <w:t>Workplan</w:t>
            </w:r>
            <w:r w:rsidR="002E18CB" w:rsidRPr="002E18CB">
              <w:rPr>
                <w:rFonts w:asciiTheme="majorHAnsi" w:hAnsiTheme="majorHAnsi"/>
                <w:webHidden/>
              </w:rPr>
              <w:tab/>
            </w:r>
            <w:r w:rsidR="002E18CB" w:rsidRPr="002E18CB">
              <w:rPr>
                <w:rFonts w:asciiTheme="majorHAnsi" w:hAnsiTheme="majorHAnsi"/>
                <w:webHidden/>
              </w:rPr>
              <w:fldChar w:fldCharType="begin"/>
            </w:r>
            <w:r w:rsidR="002E18CB" w:rsidRPr="002E18CB">
              <w:rPr>
                <w:rFonts w:asciiTheme="majorHAnsi" w:hAnsiTheme="majorHAnsi"/>
                <w:webHidden/>
              </w:rPr>
              <w:instrText xml:space="preserve"> PAGEREF _Toc411268958 \h </w:instrText>
            </w:r>
            <w:r w:rsidR="002E18CB" w:rsidRPr="002E18CB">
              <w:rPr>
                <w:rFonts w:asciiTheme="majorHAnsi" w:hAnsiTheme="majorHAnsi"/>
                <w:webHidden/>
              </w:rPr>
            </w:r>
            <w:r w:rsidR="002E18CB" w:rsidRPr="002E18CB">
              <w:rPr>
                <w:rFonts w:asciiTheme="majorHAnsi" w:hAnsiTheme="majorHAnsi"/>
                <w:webHidden/>
              </w:rPr>
              <w:fldChar w:fldCharType="separate"/>
            </w:r>
            <w:r w:rsidR="00530F64">
              <w:rPr>
                <w:rFonts w:asciiTheme="majorHAnsi" w:hAnsiTheme="majorHAnsi"/>
                <w:webHidden/>
              </w:rPr>
              <w:t>46</w:t>
            </w:r>
            <w:r w:rsidR="002E18CB" w:rsidRPr="002E18CB">
              <w:rPr>
                <w:rFonts w:asciiTheme="majorHAnsi" w:hAnsiTheme="majorHAnsi"/>
                <w:webHidden/>
              </w:rPr>
              <w:fldChar w:fldCharType="end"/>
            </w:r>
          </w:hyperlink>
        </w:p>
        <w:p w:rsidR="002E18CB" w:rsidRPr="002E18CB" w:rsidRDefault="004F7E1F" w:rsidP="002E18CB">
          <w:pPr>
            <w:pStyle w:val="TOC3"/>
            <w:tabs>
              <w:tab w:val="left" w:pos="1320"/>
            </w:tabs>
            <w:ind w:right="567"/>
            <w:rPr>
              <w:rFonts w:asciiTheme="majorHAnsi" w:eastAsiaTheme="minorEastAsia" w:hAnsiTheme="majorHAnsi" w:cstheme="minorBidi"/>
              <w:lang w:val="en-AU" w:eastAsia="en-AU"/>
            </w:rPr>
          </w:pPr>
          <w:hyperlink w:anchor="_Toc411268959" w:history="1">
            <w:r w:rsidR="002E18CB" w:rsidRPr="002E18CB">
              <w:rPr>
                <w:rStyle w:val="Hyperlink"/>
                <w:rFonts w:asciiTheme="majorHAnsi" w:hAnsiTheme="majorHAnsi"/>
              </w:rPr>
              <w:t>b)</w:t>
            </w:r>
            <w:r w:rsidR="002E18CB" w:rsidRPr="002E18CB">
              <w:rPr>
                <w:rFonts w:asciiTheme="majorHAnsi" w:eastAsiaTheme="minorEastAsia" w:hAnsiTheme="majorHAnsi" w:cstheme="minorBidi"/>
                <w:lang w:val="en-AU" w:eastAsia="en-AU"/>
              </w:rPr>
              <w:tab/>
            </w:r>
            <w:r w:rsidR="002E18CB" w:rsidRPr="002E18CB">
              <w:rPr>
                <w:rStyle w:val="Hyperlink"/>
                <w:rFonts w:asciiTheme="majorHAnsi" w:hAnsiTheme="majorHAnsi"/>
              </w:rPr>
              <w:t>Financial Management Systems</w:t>
            </w:r>
            <w:r w:rsidR="002E18CB" w:rsidRPr="002E18CB">
              <w:rPr>
                <w:rFonts w:asciiTheme="majorHAnsi" w:hAnsiTheme="majorHAnsi"/>
                <w:webHidden/>
              </w:rPr>
              <w:tab/>
            </w:r>
            <w:r w:rsidR="002E18CB" w:rsidRPr="002E18CB">
              <w:rPr>
                <w:rFonts w:asciiTheme="majorHAnsi" w:hAnsiTheme="majorHAnsi"/>
                <w:webHidden/>
              </w:rPr>
              <w:fldChar w:fldCharType="begin"/>
            </w:r>
            <w:r w:rsidR="002E18CB" w:rsidRPr="002E18CB">
              <w:rPr>
                <w:rFonts w:asciiTheme="majorHAnsi" w:hAnsiTheme="majorHAnsi"/>
                <w:webHidden/>
              </w:rPr>
              <w:instrText xml:space="preserve"> PAGEREF _Toc411268959 \h </w:instrText>
            </w:r>
            <w:r w:rsidR="002E18CB" w:rsidRPr="002E18CB">
              <w:rPr>
                <w:rFonts w:asciiTheme="majorHAnsi" w:hAnsiTheme="majorHAnsi"/>
                <w:webHidden/>
              </w:rPr>
            </w:r>
            <w:r w:rsidR="002E18CB" w:rsidRPr="002E18CB">
              <w:rPr>
                <w:rFonts w:asciiTheme="majorHAnsi" w:hAnsiTheme="majorHAnsi"/>
                <w:webHidden/>
              </w:rPr>
              <w:fldChar w:fldCharType="separate"/>
            </w:r>
            <w:r w:rsidR="00530F64">
              <w:rPr>
                <w:rFonts w:asciiTheme="majorHAnsi" w:hAnsiTheme="majorHAnsi"/>
                <w:webHidden/>
              </w:rPr>
              <w:t>49</w:t>
            </w:r>
            <w:r w:rsidR="002E18CB" w:rsidRPr="002E18CB">
              <w:rPr>
                <w:rFonts w:asciiTheme="majorHAnsi" w:hAnsiTheme="majorHAnsi"/>
                <w:webHidden/>
              </w:rPr>
              <w:fldChar w:fldCharType="end"/>
            </w:r>
          </w:hyperlink>
        </w:p>
        <w:p w:rsidR="002E18CB" w:rsidRPr="002E18CB" w:rsidRDefault="004F7E1F" w:rsidP="002E18CB">
          <w:pPr>
            <w:pStyle w:val="TOC3"/>
            <w:tabs>
              <w:tab w:val="left" w:pos="1320"/>
            </w:tabs>
            <w:ind w:right="567"/>
            <w:rPr>
              <w:rFonts w:asciiTheme="majorHAnsi" w:eastAsiaTheme="minorEastAsia" w:hAnsiTheme="majorHAnsi" w:cstheme="minorBidi"/>
              <w:lang w:val="en-AU" w:eastAsia="en-AU"/>
            </w:rPr>
          </w:pPr>
          <w:hyperlink w:anchor="_Toc411268960" w:history="1">
            <w:r w:rsidR="002E18CB" w:rsidRPr="002E18CB">
              <w:rPr>
                <w:rStyle w:val="Hyperlink"/>
                <w:rFonts w:asciiTheme="majorHAnsi" w:hAnsiTheme="majorHAnsi"/>
              </w:rPr>
              <w:t>c)</w:t>
            </w:r>
            <w:r w:rsidR="002E18CB" w:rsidRPr="002E18CB">
              <w:rPr>
                <w:rFonts w:asciiTheme="majorHAnsi" w:eastAsiaTheme="minorEastAsia" w:hAnsiTheme="majorHAnsi" w:cstheme="minorBidi"/>
                <w:lang w:val="en-AU" w:eastAsia="en-AU"/>
              </w:rPr>
              <w:tab/>
            </w:r>
            <w:r w:rsidR="002E18CB" w:rsidRPr="002E18CB">
              <w:rPr>
                <w:rStyle w:val="Hyperlink"/>
                <w:rFonts w:asciiTheme="majorHAnsi" w:hAnsiTheme="majorHAnsi"/>
              </w:rPr>
              <w:t>Monitoring and Evaluation</w:t>
            </w:r>
            <w:r w:rsidR="002E18CB" w:rsidRPr="002E18CB">
              <w:rPr>
                <w:rFonts w:asciiTheme="majorHAnsi" w:hAnsiTheme="majorHAnsi"/>
                <w:webHidden/>
              </w:rPr>
              <w:tab/>
            </w:r>
            <w:r w:rsidR="002E18CB" w:rsidRPr="002E18CB">
              <w:rPr>
                <w:rFonts w:asciiTheme="majorHAnsi" w:hAnsiTheme="majorHAnsi"/>
                <w:webHidden/>
              </w:rPr>
              <w:fldChar w:fldCharType="begin"/>
            </w:r>
            <w:r w:rsidR="002E18CB" w:rsidRPr="002E18CB">
              <w:rPr>
                <w:rFonts w:asciiTheme="majorHAnsi" w:hAnsiTheme="majorHAnsi"/>
                <w:webHidden/>
              </w:rPr>
              <w:instrText xml:space="preserve"> PAGEREF _Toc411268960 \h </w:instrText>
            </w:r>
            <w:r w:rsidR="002E18CB" w:rsidRPr="002E18CB">
              <w:rPr>
                <w:rFonts w:asciiTheme="majorHAnsi" w:hAnsiTheme="majorHAnsi"/>
                <w:webHidden/>
              </w:rPr>
            </w:r>
            <w:r w:rsidR="002E18CB" w:rsidRPr="002E18CB">
              <w:rPr>
                <w:rFonts w:asciiTheme="majorHAnsi" w:hAnsiTheme="majorHAnsi"/>
                <w:webHidden/>
              </w:rPr>
              <w:fldChar w:fldCharType="separate"/>
            </w:r>
            <w:r w:rsidR="00530F64">
              <w:rPr>
                <w:rFonts w:asciiTheme="majorHAnsi" w:hAnsiTheme="majorHAnsi"/>
                <w:webHidden/>
              </w:rPr>
              <w:t>49</w:t>
            </w:r>
            <w:r w:rsidR="002E18CB" w:rsidRPr="002E18CB">
              <w:rPr>
                <w:rFonts w:asciiTheme="majorHAnsi" w:hAnsiTheme="majorHAnsi"/>
                <w:webHidden/>
              </w:rPr>
              <w:fldChar w:fldCharType="end"/>
            </w:r>
          </w:hyperlink>
        </w:p>
        <w:p w:rsidR="002E18CB" w:rsidRPr="002E18CB" w:rsidRDefault="004F7E1F" w:rsidP="002E18CB">
          <w:pPr>
            <w:pStyle w:val="TOC3"/>
            <w:tabs>
              <w:tab w:val="left" w:pos="1320"/>
            </w:tabs>
            <w:ind w:right="567"/>
            <w:rPr>
              <w:rFonts w:asciiTheme="majorHAnsi" w:eastAsiaTheme="minorEastAsia" w:hAnsiTheme="majorHAnsi" w:cstheme="minorBidi"/>
              <w:lang w:val="en-AU" w:eastAsia="en-AU"/>
            </w:rPr>
          </w:pPr>
          <w:hyperlink w:anchor="_Toc411268962" w:history="1">
            <w:r w:rsidR="002E18CB" w:rsidRPr="002E18CB">
              <w:rPr>
                <w:rStyle w:val="Hyperlink"/>
                <w:rFonts w:asciiTheme="majorHAnsi" w:hAnsiTheme="majorHAnsi"/>
              </w:rPr>
              <w:t>d)</w:t>
            </w:r>
            <w:r w:rsidR="002E18CB" w:rsidRPr="002E18CB">
              <w:rPr>
                <w:rFonts w:asciiTheme="majorHAnsi" w:eastAsiaTheme="minorEastAsia" w:hAnsiTheme="majorHAnsi" w:cstheme="minorBidi"/>
                <w:lang w:val="en-AU" w:eastAsia="en-AU"/>
              </w:rPr>
              <w:tab/>
            </w:r>
            <w:r w:rsidR="002E18CB" w:rsidRPr="002E18CB">
              <w:rPr>
                <w:rStyle w:val="Hyperlink"/>
                <w:rFonts w:asciiTheme="majorHAnsi" w:hAnsiTheme="majorHAnsi"/>
              </w:rPr>
              <w:t>Risk Management</w:t>
            </w:r>
            <w:r w:rsidR="002E18CB" w:rsidRPr="002E18CB">
              <w:rPr>
                <w:rFonts w:asciiTheme="majorHAnsi" w:hAnsiTheme="majorHAnsi"/>
                <w:webHidden/>
              </w:rPr>
              <w:tab/>
            </w:r>
            <w:r w:rsidR="002E18CB" w:rsidRPr="002E18CB">
              <w:rPr>
                <w:rFonts w:asciiTheme="majorHAnsi" w:hAnsiTheme="majorHAnsi"/>
                <w:webHidden/>
              </w:rPr>
              <w:fldChar w:fldCharType="begin"/>
            </w:r>
            <w:r w:rsidR="002E18CB" w:rsidRPr="002E18CB">
              <w:rPr>
                <w:rFonts w:asciiTheme="majorHAnsi" w:hAnsiTheme="majorHAnsi"/>
                <w:webHidden/>
              </w:rPr>
              <w:instrText xml:space="preserve"> PAGEREF _Toc411268962 \h </w:instrText>
            </w:r>
            <w:r w:rsidR="002E18CB" w:rsidRPr="002E18CB">
              <w:rPr>
                <w:rFonts w:asciiTheme="majorHAnsi" w:hAnsiTheme="majorHAnsi"/>
                <w:webHidden/>
              </w:rPr>
            </w:r>
            <w:r w:rsidR="002E18CB" w:rsidRPr="002E18CB">
              <w:rPr>
                <w:rFonts w:asciiTheme="majorHAnsi" w:hAnsiTheme="majorHAnsi"/>
                <w:webHidden/>
              </w:rPr>
              <w:fldChar w:fldCharType="separate"/>
            </w:r>
            <w:r w:rsidR="00530F64">
              <w:rPr>
                <w:rFonts w:asciiTheme="majorHAnsi" w:hAnsiTheme="majorHAnsi"/>
                <w:webHidden/>
              </w:rPr>
              <w:t>51</w:t>
            </w:r>
            <w:r w:rsidR="002E18CB" w:rsidRPr="002E18CB">
              <w:rPr>
                <w:rFonts w:asciiTheme="majorHAnsi" w:hAnsiTheme="majorHAnsi"/>
                <w:webHidden/>
              </w:rPr>
              <w:fldChar w:fldCharType="end"/>
            </w:r>
          </w:hyperlink>
        </w:p>
        <w:p w:rsidR="002E18CB" w:rsidRPr="002E18CB" w:rsidRDefault="004F7E1F" w:rsidP="002E18CB">
          <w:pPr>
            <w:pStyle w:val="TOC3"/>
            <w:tabs>
              <w:tab w:val="left" w:pos="1320"/>
            </w:tabs>
            <w:ind w:right="567"/>
            <w:rPr>
              <w:rFonts w:asciiTheme="majorHAnsi" w:eastAsiaTheme="minorEastAsia" w:hAnsiTheme="majorHAnsi" w:cstheme="minorBidi"/>
              <w:lang w:val="en-AU" w:eastAsia="en-AU"/>
            </w:rPr>
          </w:pPr>
          <w:hyperlink w:anchor="_Toc411268963" w:history="1">
            <w:r w:rsidR="002E18CB" w:rsidRPr="002E18CB">
              <w:rPr>
                <w:rStyle w:val="Hyperlink"/>
                <w:rFonts w:asciiTheme="majorHAnsi" w:hAnsiTheme="majorHAnsi"/>
              </w:rPr>
              <w:t>e)</w:t>
            </w:r>
            <w:r w:rsidR="002E18CB" w:rsidRPr="002E18CB">
              <w:rPr>
                <w:rFonts w:asciiTheme="majorHAnsi" w:eastAsiaTheme="minorEastAsia" w:hAnsiTheme="majorHAnsi" w:cstheme="minorBidi"/>
                <w:lang w:val="en-AU" w:eastAsia="en-AU"/>
              </w:rPr>
              <w:tab/>
            </w:r>
            <w:r w:rsidR="002E18CB" w:rsidRPr="002E18CB">
              <w:rPr>
                <w:rStyle w:val="Hyperlink"/>
                <w:rFonts w:asciiTheme="majorHAnsi" w:hAnsiTheme="majorHAnsi"/>
              </w:rPr>
              <w:t>Staffing and human resource management</w:t>
            </w:r>
            <w:r w:rsidR="002E18CB" w:rsidRPr="002E18CB">
              <w:rPr>
                <w:rFonts w:asciiTheme="majorHAnsi" w:hAnsiTheme="majorHAnsi"/>
                <w:webHidden/>
              </w:rPr>
              <w:tab/>
            </w:r>
            <w:r w:rsidR="002E18CB" w:rsidRPr="002E18CB">
              <w:rPr>
                <w:rFonts w:asciiTheme="majorHAnsi" w:hAnsiTheme="majorHAnsi"/>
                <w:webHidden/>
              </w:rPr>
              <w:fldChar w:fldCharType="begin"/>
            </w:r>
            <w:r w:rsidR="002E18CB" w:rsidRPr="002E18CB">
              <w:rPr>
                <w:rFonts w:asciiTheme="majorHAnsi" w:hAnsiTheme="majorHAnsi"/>
                <w:webHidden/>
              </w:rPr>
              <w:instrText xml:space="preserve"> PAGEREF _Toc411268963 \h </w:instrText>
            </w:r>
            <w:r w:rsidR="002E18CB" w:rsidRPr="002E18CB">
              <w:rPr>
                <w:rFonts w:asciiTheme="majorHAnsi" w:hAnsiTheme="majorHAnsi"/>
                <w:webHidden/>
              </w:rPr>
            </w:r>
            <w:r w:rsidR="002E18CB" w:rsidRPr="002E18CB">
              <w:rPr>
                <w:rFonts w:asciiTheme="majorHAnsi" w:hAnsiTheme="majorHAnsi"/>
                <w:webHidden/>
              </w:rPr>
              <w:fldChar w:fldCharType="separate"/>
            </w:r>
            <w:r w:rsidR="00530F64">
              <w:rPr>
                <w:rFonts w:asciiTheme="majorHAnsi" w:hAnsiTheme="majorHAnsi"/>
                <w:webHidden/>
              </w:rPr>
              <w:t>52</w:t>
            </w:r>
            <w:r w:rsidR="002E18CB" w:rsidRPr="002E18CB">
              <w:rPr>
                <w:rFonts w:asciiTheme="majorHAnsi" w:hAnsiTheme="majorHAnsi"/>
                <w:webHidden/>
              </w:rPr>
              <w:fldChar w:fldCharType="end"/>
            </w:r>
          </w:hyperlink>
        </w:p>
        <w:p w:rsidR="002E18CB" w:rsidRDefault="004F7E1F" w:rsidP="002E18CB">
          <w:pPr>
            <w:pStyle w:val="TOC3"/>
            <w:tabs>
              <w:tab w:val="left" w:pos="1320"/>
            </w:tabs>
            <w:ind w:right="567"/>
            <w:rPr>
              <w:rStyle w:val="Hyperlink"/>
              <w:rFonts w:asciiTheme="majorHAnsi" w:hAnsiTheme="majorHAnsi"/>
            </w:rPr>
          </w:pPr>
          <w:hyperlink w:anchor="_Toc411268964" w:history="1">
            <w:r w:rsidR="002E18CB" w:rsidRPr="002E18CB">
              <w:rPr>
                <w:rStyle w:val="Hyperlink"/>
                <w:rFonts w:asciiTheme="majorHAnsi" w:hAnsiTheme="majorHAnsi"/>
              </w:rPr>
              <w:t>f)</w:t>
            </w:r>
            <w:r w:rsidR="002E18CB" w:rsidRPr="002E18CB">
              <w:rPr>
                <w:rStyle w:val="Hyperlink"/>
                <w:rFonts w:asciiTheme="majorHAnsi" w:hAnsiTheme="majorHAnsi"/>
              </w:rPr>
              <w:tab/>
              <w:t>Special Management issues related to Grants Facility</w:t>
            </w:r>
            <w:r w:rsidR="002E18CB" w:rsidRPr="002E18CB">
              <w:rPr>
                <w:rStyle w:val="Hyperlink"/>
                <w:rFonts w:asciiTheme="majorHAnsi" w:hAnsiTheme="majorHAnsi"/>
                <w:webHidden/>
              </w:rPr>
              <w:t>……………………………</w:t>
            </w:r>
            <w:r w:rsidR="002E18CB">
              <w:rPr>
                <w:rStyle w:val="Hyperlink"/>
                <w:rFonts w:asciiTheme="majorHAnsi" w:hAnsiTheme="majorHAnsi"/>
                <w:webHidden/>
              </w:rPr>
              <w:t>…</w:t>
            </w:r>
            <w:r w:rsidR="002E18CB" w:rsidRPr="002E18CB">
              <w:rPr>
                <w:rStyle w:val="Hyperlink"/>
                <w:rFonts w:asciiTheme="majorHAnsi" w:hAnsiTheme="majorHAnsi"/>
                <w:webHidden/>
              </w:rPr>
              <w:fldChar w:fldCharType="begin"/>
            </w:r>
            <w:r w:rsidR="002E18CB" w:rsidRPr="002E18CB">
              <w:rPr>
                <w:rStyle w:val="Hyperlink"/>
                <w:rFonts w:asciiTheme="majorHAnsi" w:hAnsiTheme="majorHAnsi"/>
                <w:webHidden/>
              </w:rPr>
              <w:instrText xml:space="preserve"> PAGEREF _Toc411268964 \h </w:instrText>
            </w:r>
            <w:r w:rsidR="002E18CB" w:rsidRPr="002E18CB">
              <w:rPr>
                <w:rStyle w:val="Hyperlink"/>
                <w:rFonts w:asciiTheme="majorHAnsi" w:hAnsiTheme="majorHAnsi"/>
                <w:webHidden/>
              </w:rPr>
            </w:r>
            <w:r w:rsidR="002E18CB" w:rsidRPr="002E18CB">
              <w:rPr>
                <w:rStyle w:val="Hyperlink"/>
                <w:rFonts w:asciiTheme="majorHAnsi" w:hAnsiTheme="majorHAnsi"/>
                <w:webHidden/>
              </w:rPr>
              <w:fldChar w:fldCharType="separate"/>
            </w:r>
            <w:r w:rsidR="00530F64">
              <w:rPr>
                <w:rStyle w:val="Hyperlink"/>
                <w:rFonts w:asciiTheme="majorHAnsi" w:hAnsiTheme="majorHAnsi"/>
                <w:webHidden/>
              </w:rPr>
              <w:t>53</w:t>
            </w:r>
            <w:r w:rsidR="002E18CB" w:rsidRPr="002E18CB">
              <w:rPr>
                <w:rStyle w:val="Hyperlink"/>
                <w:rFonts w:asciiTheme="majorHAnsi" w:hAnsiTheme="majorHAnsi"/>
                <w:webHidden/>
              </w:rPr>
              <w:fldChar w:fldCharType="end"/>
            </w:r>
          </w:hyperlink>
        </w:p>
        <w:p w:rsidR="002E18CB" w:rsidRPr="002E18CB" w:rsidRDefault="002E18CB" w:rsidP="002E18CB">
          <w:pPr>
            <w:rPr>
              <w:noProof/>
              <w:lang w:val="en-US" w:eastAsia="ja-JP"/>
            </w:rPr>
          </w:pPr>
        </w:p>
        <w:p w:rsidR="002E18CB" w:rsidRPr="002E18CB" w:rsidRDefault="004F7E1F" w:rsidP="002E18CB">
          <w:pPr>
            <w:pStyle w:val="TOC2"/>
            <w:ind w:right="567"/>
            <w:rPr>
              <w:noProof/>
              <w:lang w:val="en-US" w:eastAsia="ja-JP"/>
            </w:rPr>
          </w:pPr>
          <w:hyperlink w:anchor="_Toc411268965" w:history="1">
            <w:r w:rsidR="002E18CB" w:rsidRPr="003A5C8D">
              <w:rPr>
                <w:b/>
                <w:noProof/>
                <w:lang w:val="en-US" w:eastAsia="ja-JP"/>
              </w:rPr>
              <w:t>6.</w:t>
            </w:r>
            <w:r w:rsidR="002E18CB" w:rsidRPr="003A5C8D">
              <w:rPr>
                <w:b/>
                <w:noProof/>
                <w:lang w:val="en-US" w:eastAsia="ja-JP"/>
              </w:rPr>
              <w:tab/>
              <w:t>Overall conclusion</w:t>
            </w:r>
            <w:r w:rsidR="002E18CB" w:rsidRPr="002E18CB">
              <w:rPr>
                <w:noProof/>
                <w:lang w:val="en-US" w:eastAsia="ja-JP"/>
              </w:rPr>
              <w:t>……………………………………………………………...................................</w:t>
            </w:r>
            <w:r w:rsidR="002E18CB" w:rsidRPr="002E18CB">
              <w:rPr>
                <w:noProof/>
                <w:webHidden/>
                <w:lang w:val="en-US" w:eastAsia="ja-JP"/>
              </w:rPr>
              <w:fldChar w:fldCharType="begin"/>
            </w:r>
            <w:r w:rsidR="002E18CB" w:rsidRPr="002E18CB">
              <w:rPr>
                <w:noProof/>
                <w:webHidden/>
                <w:lang w:val="en-US" w:eastAsia="ja-JP"/>
              </w:rPr>
              <w:instrText xml:space="preserve"> PAGEREF _Toc411268965 \h </w:instrText>
            </w:r>
            <w:r w:rsidR="002E18CB" w:rsidRPr="002E18CB">
              <w:rPr>
                <w:noProof/>
                <w:webHidden/>
                <w:lang w:val="en-US" w:eastAsia="ja-JP"/>
              </w:rPr>
            </w:r>
            <w:r w:rsidR="002E18CB" w:rsidRPr="002E18CB">
              <w:rPr>
                <w:noProof/>
                <w:webHidden/>
                <w:lang w:val="en-US" w:eastAsia="ja-JP"/>
              </w:rPr>
              <w:fldChar w:fldCharType="separate"/>
            </w:r>
            <w:r w:rsidR="00530F64">
              <w:rPr>
                <w:noProof/>
                <w:webHidden/>
                <w:lang w:val="en-US" w:eastAsia="ja-JP"/>
              </w:rPr>
              <w:t>54</w:t>
            </w:r>
            <w:r w:rsidR="002E18CB" w:rsidRPr="002E18CB">
              <w:rPr>
                <w:noProof/>
                <w:webHidden/>
                <w:lang w:val="en-US" w:eastAsia="ja-JP"/>
              </w:rPr>
              <w:fldChar w:fldCharType="end"/>
            </w:r>
          </w:hyperlink>
        </w:p>
        <w:p w:rsidR="002E18CB" w:rsidRPr="00E9734A" w:rsidRDefault="002E18CB" w:rsidP="00E9734A">
          <w:pPr>
            <w:ind w:right="567"/>
            <w:rPr>
              <w:b/>
              <w:bCs/>
              <w:noProof/>
            </w:rPr>
          </w:pPr>
          <w:r>
            <w:rPr>
              <w:b/>
              <w:bCs/>
              <w:noProof/>
            </w:rPr>
            <w:fldChar w:fldCharType="end"/>
          </w:r>
        </w:p>
      </w:sdtContent>
    </w:sdt>
    <w:p w:rsidR="00ED5A4A" w:rsidRDefault="00ED5A4A">
      <w:pPr>
        <w:spacing w:after="0" w:line="240" w:lineRule="auto"/>
      </w:pPr>
    </w:p>
    <w:p w:rsidR="00F95CAA" w:rsidRPr="00E11139" w:rsidRDefault="008D62C0">
      <w:pPr>
        <w:spacing w:after="0" w:line="240" w:lineRule="auto"/>
        <w:rPr>
          <w:rFonts w:ascii="Arial Black" w:hAnsi="Arial Black"/>
          <w:b/>
          <w:bCs/>
          <w:i/>
          <w:color w:val="4F6228" w:themeColor="accent3" w:themeShade="80"/>
          <w:sz w:val="18"/>
          <w:szCs w:val="18"/>
          <w:lang w:val="en-AU"/>
        </w:rPr>
      </w:pPr>
      <w:r>
        <w:rPr>
          <w:b/>
          <w:i/>
          <w:sz w:val="18"/>
          <w:szCs w:val="18"/>
        </w:rPr>
        <w:t>Co</w:t>
      </w:r>
      <w:r w:rsidR="00ED5A4A" w:rsidRPr="00E11139">
        <w:rPr>
          <w:b/>
          <w:i/>
          <w:sz w:val="18"/>
          <w:szCs w:val="18"/>
        </w:rPr>
        <w:t>ver photo</w:t>
      </w:r>
      <w:r w:rsidR="00ED5A4A" w:rsidRPr="00E11139">
        <w:rPr>
          <w:i/>
          <w:sz w:val="18"/>
          <w:szCs w:val="18"/>
        </w:rPr>
        <w:t xml:space="preserve">: </w:t>
      </w:r>
      <w:r w:rsidR="00190CE4">
        <w:rPr>
          <w:i/>
          <w:sz w:val="18"/>
          <w:szCs w:val="18"/>
        </w:rPr>
        <w:t>Graduate</w:t>
      </w:r>
      <w:r w:rsidR="00190CE4" w:rsidRPr="00E11139">
        <w:rPr>
          <w:i/>
          <w:sz w:val="18"/>
          <w:szCs w:val="18"/>
        </w:rPr>
        <w:t xml:space="preserve">s </w:t>
      </w:r>
      <w:r w:rsidR="00D90BAA">
        <w:rPr>
          <w:i/>
          <w:sz w:val="18"/>
          <w:szCs w:val="18"/>
        </w:rPr>
        <w:t>of</w:t>
      </w:r>
      <w:r w:rsidR="00ED5A4A" w:rsidRPr="00E11139">
        <w:rPr>
          <w:i/>
          <w:sz w:val="18"/>
          <w:szCs w:val="18"/>
        </w:rPr>
        <w:t xml:space="preserve"> the </w:t>
      </w:r>
      <w:r w:rsidR="00F3283C" w:rsidRPr="00E11139">
        <w:rPr>
          <w:i/>
          <w:sz w:val="18"/>
          <w:szCs w:val="18"/>
        </w:rPr>
        <w:t>I</w:t>
      </w:r>
      <w:r w:rsidR="00ED5A4A" w:rsidRPr="00E11139">
        <w:rPr>
          <w:i/>
          <w:sz w:val="18"/>
          <w:szCs w:val="18"/>
        </w:rPr>
        <w:t xml:space="preserve">ntermediate </w:t>
      </w:r>
      <w:r w:rsidR="00190CE4">
        <w:rPr>
          <w:i/>
          <w:sz w:val="18"/>
          <w:szCs w:val="18"/>
        </w:rPr>
        <w:t xml:space="preserve">Legal </w:t>
      </w:r>
      <w:r w:rsidR="00F3283C" w:rsidRPr="00E11139">
        <w:rPr>
          <w:i/>
          <w:sz w:val="18"/>
          <w:szCs w:val="18"/>
        </w:rPr>
        <w:t xml:space="preserve">Advocacy Skills Training Course </w:t>
      </w:r>
      <w:r w:rsidR="00D90BAA">
        <w:rPr>
          <w:i/>
          <w:sz w:val="18"/>
          <w:szCs w:val="18"/>
        </w:rPr>
        <w:t>delivered by</w:t>
      </w:r>
      <w:r w:rsidR="00F3283C" w:rsidRPr="00E11139">
        <w:rPr>
          <w:i/>
          <w:sz w:val="18"/>
          <w:szCs w:val="18"/>
        </w:rPr>
        <w:t xml:space="preserve"> the Victorian Bar Association held at the University of the South Pacific</w:t>
      </w:r>
      <w:r w:rsidR="00D90BAA">
        <w:rPr>
          <w:i/>
          <w:sz w:val="18"/>
          <w:szCs w:val="18"/>
        </w:rPr>
        <w:t>,</w:t>
      </w:r>
      <w:r w:rsidR="00F3283C" w:rsidRPr="00E11139">
        <w:rPr>
          <w:i/>
          <w:sz w:val="18"/>
          <w:szCs w:val="18"/>
        </w:rPr>
        <w:t xml:space="preserve"> Moot Court</w:t>
      </w:r>
      <w:r w:rsidR="00BF4BA7">
        <w:rPr>
          <w:i/>
          <w:sz w:val="18"/>
          <w:szCs w:val="18"/>
        </w:rPr>
        <w:t xml:space="preserve"> during December 2014</w:t>
      </w:r>
      <w:r w:rsidR="00F95CAA" w:rsidRPr="00E11139">
        <w:rPr>
          <w:i/>
          <w:sz w:val="18"/>
          <w:szCs w:val="18"/>
        </w:rPr>
        <w:br w:type="page"/>
      </w:r>
    </w:p>
    <w:p w:rsidR="000D1936" w:rsidRDefault="000D1936" w:rsidP="000D1936">
      <w:pPr>
        <w:pStyle w:val="Heading1"/>
        <w:numPr>
          <w:ilvl w:val="0"/>
          <w:numId w:val="0"/>
        </w:numPr>
      </w:pPr>
      <w:bookmarkStart w:id="1" w:name="_Toc411268933"/>
      <w:r>
        <w:lastRenderedPageBreak/>
        <w:t>A</w:t>
      </w:r>
      <w:r w:rsidRPr="00447851">
        <w:t>nnexes</w:t>
      </w:r>
      <w:bookmarkEnd w:id="1"/>
    </w:p>
    <w:p w:rsidR="000D1936" w:rsidRPr="003657C6" w:rsidRDefault="000D1936" w:rsidP="000D1936">
      <w:pPr>
        <w:rPr>
          <w:lang w:val="en-AU"/>
        </w:rPr>
      </w:pPr>
    </w:p>
    <w:tbl>
      <w:tblPr>
        <w:tblStyle w:val="TableGrid"/>
        <w:tblW w:w="8755" w:type="dxa"/>
        <w:tblLook w:val="04A0" w:firstRow="1" w:lastRow="0" w:firstColumn="1" w:lastColumn="0" w:noHBand="0" w:noVBand="1"/>
      </w:tblPr>
      <w:tblGrid>
        <w:gridCol w:w="1242"/>
        <w:gridCol w:w="7513"/>
      </w:tblGrid>
      <w:tr w:rsidR="000D1936" w:rsidRPr="002517BC" w:rsidTr="004E50CB">
        <w:trPr>
          <w:trHeight w:val="509"/>
        </w:trPr>
        <w:tc>
          <w:tcPr>
            <w:tcW w:w="1242" w:type="dxa"/>
            <w:tcBorders>
              <w:top w:val="nil"/>
              <w:left w:val="nil"/>
              <w:bottom w:val="nil"/>
              <w:right w:val="single" w:sz="4" w:space="0" w:color="4F6228" w:themeColor="accent3" w:themeShade="80"/>
            </w:tcBorders>
          </w:tcPr>
          <w:p w:rsidR="000D1936" w:rsidRPr="002F49BB" w:rsidRDefault="000D1936" w:rsidP="004E50CB">
            <w:pPr>
              <w:rPr>
                <w:b/>
              </w:rPr>
            </w:pPr>
            <w:r w:rsidRPr="002F49BB">
              <w:rPr>
                <w:b/>
              </w:rPr>
              <w:t>Annex 1</w:t>
            </w:r>
          </w:p>
        </w:tc>
        <w:tc>
          <w:tcPr>
            <w:tcW w:w="7513" w:type="dxa"/>
            <w:tcBorders>
              <w:top w:val="nil"/>
              <w:left w:val="single" w:sz="4" w:space="0" w:color="4F6228" w:themeColor="accent3" w:themeShade="80"/>
              <w:bottom w:val="nil"/>
              <w:right w:val="nil"/>
            </w:tcBorders>
          </w:tcPr>
          <w:p w:rsidR="000D1936" w:rsidRPr="009E1A2F" w:rsidRDefault="000D1936" w:rsidP="004E50CB">
            <w:r>
              <w:t>Data Quality Assessment</w:t>
            </w:r>
          </w:p>
        </w:tc>
      </w:tr>
      <w:tr w:rsidR="000D1936" w:rsidRPr="002517BC" w:rsidTr="004E50CB">
        <w:trPr>
          <w:trHeight w:val="509"/>
        </w:trPr>
        <w:tc>
          <w:tcPr>
            <w:tcW w:w="1242" w:type="dxa"/>
            <w:tcBorders>
              <w:top w:val="nil"/>
              <w:left w:val="nil"/>
              <w:bottom w:val="nil"/>
              <w:right w:val="single" w:sz="4" w:space="0" w:color="4F6228" w:themeColor="accent3" w:themeShade="80"/>
            </w:tcBorders>
          </w:tcPr>
          <w:p w:rsidR="000D1936" w:rsidRPr="002F49BB" w:rsidRDefault="000D1936" w:rsidP="004E50CB">
            <w:pPr>
              <w:rPr>
                <w:b/>
              </w:rPr>
            </w:pPr>
            <w:r w:rsidRPr="002F49BB">
              <w:rPr>
                <w:b/>
              </w:rPr>
              <w:t>Annex 2</w:t>
            </w:r>
          </w:p>
        </w:tc>
        <w:tc>
          <w:tcPr>
            <w:tcW w:w="7513" w:type="dxa"/>
            <w:tcBorders>
              <w:top w:val="nil"/>
              <w:left w:val="single" w:sz="4" w:space="0" w:color="4F6228" w:themeColor="accent3" w:themeShade="80"/>
              <w:bottom w:val="nil"/>
              <w:right w:val="nil"/>
            </w:tcBorders>
          </w:tcPr>
          <w:p w:rsidR="000D1936" w:rsidRPr="009E1A2F" w:rsidRDefault="00C57D93" w:rsidP="004E50CB">
            <w:r>
              <w:t>Case and Data Management information in Management Decisions</w:t>
            </w:r>
          </w:p>
        </w:tc>
      </w:tr>
      <w:tr w:rsidR="000D1936" w:rsidRPr="002517BC" w:rsidTr="004E50CB">
        <w:trPr>
          <w:trHeight w:val="509"/>
        </w:trPr>
        <w:tc>
          <w:tcPr>
            <w:tcW w:w="1242" w:type="dxa"/>
            <w:tcBorders>
              <w:top w:val="nil"/>
              <w:left w:val="nil"/>
              <w:bottom w:val="nil"/>
              <w:right w:val="single" w:sz="4" w:space="0" w:color="4F6228" w:themeColor="accent3" w:themeShade="80"/>
            </w:tcBorders>
          </w:tcPr>
          <w:p w:rsidR="000D1936" w:rsidRPr="002F49BB" w:rsidRDefault="000D1936" w:rsidP="004E50CB">
            <w:pPr>
              <w:rPr>
                <w:b/>
              </w:rPr>
            </w:pPr>
            <w:r w:rsidRPr="002F49BB">
              <w:rPr>
                <w:b/>
              </w:rPr>
              <w:t>Annex 3</w:t>
            </w:r>
          </w:p>
        </w:tc>
        <w:tc>
          <w:tcPr>
            <w:tcW w:w="7513" w:type="dxa"/>
            <w:tcBorders>
              <w:top w:val="nil"/>
              <w:left w:val="single" w:sz="4" w:space="0" w:color="4F6228" w:themeColor="accent3" w:themeShade="80"/>
              <w:bottom w:val="nil"/>
              <w:right w:val="nil"/>
            </w:tcBorders>
          </w:tcPr>
          <w:p w:rsidR="000D1936" w:rsidRPr="009E1A2F" w:rsidRDefault="000D1936" w:rsidP="004E50CB">
            <w:r>
              <w:t>VPF Rapid Charge System template</w:t>
            </w:r>
          </w:p>
        </w:tc>
      </w:tr>
      <w:tr w:rsidR="000D1936" w:rsidRPr="002517BC" w:rsidTr="004E50CB">
        <w:trPr>
          <w:trHeight w:val="509"/>
        </w:trPr>
        <w:tc>
          <w:tcPr>
            <w:tcW w:w="1242" w:type="dxa"/>
            <w:tcBorders>
              <w:top w:val="nil"/>
              <w:left w:val="nil"/>
              <w:bottom w:val="nil"/>
              <w:right w:val="single" w:sz="4" w:space="0" w:color="4F6228" w:themeColor="accent3" w:themeShade="80"/>
            </w:tcBorders>
          </w:tcPr>
          <w:p w:rsidR="000D1936" w:rsidRPr="002F49BB" w:rsidRDefault="000D1936" w:rsidP="004E50CB">
            <w:pPr>
              <w:rPr>
                <w:b/>
              </w:rPr>
            </w:pPr>
            <w:r w:rsidRPr="002F49BB">
              <w:rPr>
                <w:b/>
              </w:rPr>
              <w:t>Annex 4</w:t>
            </w:r>
          </w:p>
        </w:tc>
        <w:tc>
          <w:tcPr>
            <w:tcW w:w="7513" w:type="dxa"/>
            <w:tcBorders>
              <w:top w:val="nil"/>
              <w:left w:val="single" w:sz="4" w:space="0" w:color="4F6228" w:themeColor="accent3" w:themeShade="80"/>
              <w:bottom w:val="nil"/>
              <w:right w:val="nil"/>
            </w:tcBorders>
          </w:tcPr>
          <w:p w:rsidR="000D1936" w:rsidRPr="009E1A2F" w:rsidRDefault="000D1936" w:rsidP="000D1936">
            <w:r>
              <w:t>Case &amp; Data Management repeat assessment of status (Jan 2015)</w:t>
            </w:r>
          </w:p>
        </w:tc>
      </w:tr>
      <w:tr w:rsidR="000D1936" w:rsidRPr="002517BC" w:rsidTr="004E50CB">
        <w:trPr>
          <w:trHeight w:val="509"/>
        </w:trPr>
        <w:tc>
          <w:tcPr>
            <w:tcW w:w="1242" w:type="dxa"/>
            <w:tcBorders>
              <w:top w:val="nil"/>
              <w:left w:val="nil"/>
              <w:bottom w:val="nil"/>
              <w:right w:val="single" w:sz="4" w:space="0" w:color="4F6228" w:themeColor="accent3" w:themeShade="80"/>
            </w:tcBorders>
          </w:tcPr>
          <w:p w:rsidR="000D1936" w:rsidRPr="002F49BB" w:rsidRDefault="000D1936" w:rsidP="004E50CB">
            <w:pPr>
              <w:rPr>
                <w:b/>
              </w:rPr>
            </w:pPr>
            <w:r w:rsidRPr="002F49BB">
              <w:rPr>
                <w:b/>
              </w:rPr>
              <w:t>Annex 5</w:t>
            </w:r>
          </w:p>
        </w:tc>
        <w:tc>
          <w:tcPr>
            <w:tcW w:w="7513" w:type="dxa"/>
            <w:tcBorders>
              <w:top w:val="nil"/>
              <w:left w:val="single" w:sz="4" w:space="0" w:color="4F6228" w:themeColor="accent3" w:themeShade="80"/>
              <w:bottom w:val="nil"/>
              <w:right w:val="nil"/>
            </w:tcBorders>
          </w:tcPr>
          <w:p w:rsidR="000D1936" w:rsidRPr="009E1A2F" w:rsidRDefault="000D1936" w:rsidP="004E50CB">
            <w:r>
              <w:t xml:space="preserve">Access to Justice Piloting </w:t>
            </w:r>
            <w:proofErr w:type="spellStart"/>
            <w:r>
              <w:t>Workplan</w:t>
            </w:r>
            <w:proofErr w:type="spellEnd"/>
            <w:r>
              <w:t xml:space="preserve"> January to December 2015</w:t>
            </w:r>
          </w:p>
        </w:tc>
      </w:tr>
      <w:tr w:rsidR="000D1936" w:rsidRPr="002517BC" w:rsidTr="004E50CB">
        <w:trPr>
          <w:trHeight w:val="509"/>
        </w:trPr>
        <w:tc>
          <w:tcPr>
            <w:tcW w:w="1242" w:type="dxa"/>
            <w:tcBorders>
              <w:top w:val="nil"/>
              <w:left w:val="nil"/>
              <w:bottom w:val="nil"/>
              <w:right w:val="single" w:sz="4" w:space="0" w:color="4F6228" w:themeColor="accent3" w:themeShade="80"/>
            </w:tcBorders>
          </w:tcPr>
          <w:p w:rsidR="000D1936" w:rsidRPr="002F49BB" w:rsidRDefault="000D1936" w:rsidP="004E50CB">
            <w:pPr>
              <w:rPr>
                <w:b/>
              </w:rPr>
            </w:pPr>
            <w:r w:rsidRPr="002F49BB">
              <w:rPr>
                <w:b/>
              </w:rPr>
              <w:t>Annex 6</w:t>
            </w:r>
          </w:p>
        </w:tc>
        <w:tc>
          <w:tcPr>
            <w:tcW w:w="7513" w:type="dxa"/>
            <w:tcBorders>
              <w:top w:val="nil"/>
              <w:left w:val="single" w:sz="4" w:space="0" w:color="4F6228" w:themeColor="accent3" w:themeShade="80"/>
              <w:bottom w:val="nil"/>
              <w:right w:val="nil"/>
            </w:tcBorders>
          </w:tcPr>
          <w:p w:rsidR="000D1936" w:rsidRPr="009E1A2F" w:rsidRDefault="000D1936" w:rsidP="004E50CB">
            <w:r>
              <w:t>LSIP Initial Tracer Study</w:t>
            </w:r>
          </w:p>
        </w:tc>
      </w:tr>
      <w:tr w:rsidR="000D1936" w:rsidRPr="002517BC" w:rsidTr="004E50CB">
        <w:trPr>
          <w:trHeight w:val="509"/>
        </w:trPr>
        <w:tc>
          <w:tcPr>
            <w:tcW w:w="1242" w:type="dxa"/>
            <w:tcBorders>
              <w:top w:val="nil"/>
              <w:left w:val="nil"/>
              <w:bottom w:val="nil"/>
              <w:right w:val="single" w:sz="4" w:space="0" w:color="4F6228" w:themeColor="accent3" w:themeShade="80"/>
            </w:tcBorders>
          </w:tcPr>
          <w:p w:rsidR="000D1936" w:rsidRPr="002F49BB" w:rsidRDefault="000D1936" w:rsidP="004E50CB">
            <w:pPr>
              <w:rPr>
                <w:b/>
              </w:rPr>
            </w:pPr>
            <w:r w:rsidRPr="002F49BB">
              <w:rPr>
                <w:b/>
              </w:rPr>
              <w:t>Annex 7</w:t>
            </w:r>
          </w:p>
        </w:tc>
        <w:tc>
          <w:tcPr>
            <w:tcW w:w="7513" w:type="dxa"/>
            <w:tcBorders>
              <w:top w:val="nil"/>
              <w:left w:val="single" w:sz="4" w:space="0" w:color="4F6228" w:themeColor="accent3" w:themeShade="80"/>
              <w:bottom w:val="nil"/>
              <w:right w:val="nil"/>
            </w:tcBorders>
          </w:tcPr>
          <w:p w:rsidR="000D1936" w:rsidRPr="009E1A2F" w:rsidRDefault="000D1936" w:rsidP="004E50CB">
            <w:r>
              <w:t xml:space="preserve">Program Audit Scope of Services  </w:t>
            </w:r>
          </w:p>
        </w:tc>
      </w:tr>
      <w:tr w:rsidR="000D1936" w:rsidRPr="002517BC" w:rsidTr="004E50CB">
        <w:trPr>
          <w:trHeight w:val="509"/>
        </w:trPr>
        <w:tc>
          <w:tcPr>
            <w:tcW w:w="1242" w:type="dxa"/>
            <w:tcBorders>
              <w:top w:val="nil"/>
              <w:left w:val="nil"/>
              <w:bottom w:val="nil"/>
              <w:right w:val="single" w:sz="4" w:space="0" w:color="4F6228" w:themeColor="accent3" w:themeShade="80"/>
            </w:tcBorders>
          </w:tcPr>
          <w:p w:rsidR="000D1936" w:rsidRPr="002F49BB" w:rsidRDefault="000D1936" w:rsidP="004E50CB">
            <w:pPr>
              <w:rPr>
                <w:b/>
              </w:rPr>
            </w:pPr>
            <w:r w:rsidRPr="002F49BB">
              <w:rPr>
                <w:b/>
              </w:rPr>
              <w:t>Annex 8</w:t>
            </w:r>
          </w:p>
        </w:tc>
        <w:tc>
          <w:tcPr>
            <w:tcW w:w="7513" w:type="dxa"/>
            <w:tcBorders>
              <w:top w:val="nil"/>
              <w:left w:val="single" w:sz="4" w:space="0" w:color="4F6228" w:themeColor="accent3" w:themeShade="80"/>
              <w:bottom w:val="nil"/>
              <w:right w:val="nil"/>
            </w:tcBorders>
          </w:tcPr>
          <w:p w:rsidR="000D1936" w:rsidRPr="009E1A2F" w:rsidRDefault="000D1936" w:rsidP="004E50CB">
            <w:r>
              <w:t>Snapshot of SRBJ Baseline as at 27 January 2015</w:t>
            </w:r>
          </w:p>
        </w:tc>
      </w:tr>
      <w:tr w:rsidR="000D1936" w:rsidRPr="002517BC" w:rsidTr="004E50CB">
        <w:trPr>
          <w:trHeight w:val="509"/>
        </w:trPr>
        <w:tc>
          <w:tcPr>
            <w:tcW w:w="1242" w:type="dxa"/>
            <w:tcBorders>
              <w:top w:val="nil"/>
              <w:left w:val="nil"/>
              <w:bottom w:val="nil"/>
              <w:right w:val="single" w:sz="4" w:space="0" w:color="4F6228" w:themeColor="accent3" w:themeShade="80"/>
            </w:tcBorders>
          </w:tcPr>
          <w:p w:rsidR="000D1936" w:rsidRPr="002F49BB" w:rsidRDefault="000D1936" w:rsidP="004E50CB">
            <w:pPr>
              <w:rPr>
                <w:b/>
              </w:rPr>
            </w:pPr>
            <w:r w:rsidRPr="002F49BB">
              <w:rPr>
                <w:b/>
              </w:rPr>
              <w:t>Annex 9</w:t>
            </w:r>
          </w:p>
        </w:tc>
        <w:tc>
          <w:tcPr>
            <w:tcW w:w="7513" w:type="dxa"/>
            <w:tcBorders>
              <w:top w:val="nil"/>
              <w:left w:val="single" w:sz="4" w:space="0" w:color="4F6228" w:themeColor="accent3" w:themeShade="80"/>
              <w:bottom w:val="nil"/>
              <w:right w:val="nil"/>
            </w:tcBorders>
          </w:tcPr>
          <w:p w:rsidR="000D1936" w:rsidRPr="009E1A2F" w:rsidRDefault="000D1936" w:rsidP="004E50CB">
            <w:r>
              <w:t>Risk Management Table</w:t>
            </w:r>
          </w:p>
        </w:tc>
      </w:tr>
    </w:tbl>
    <w:p w:rsidR="000D1936" w:rsidRDefault="000D1936" w:rsidP="000D1936">
      <w:pPr>
        <w:pStyle w:val="Heading1"/>
        <w:numPr>
          <w:ilvl w:val="0"/>
          <w:numId w:val="0"/>
        </w:numPr>
        <w:rPr>
          <w:szCs w:val="22"/>
        </w:rPr>
      </w:pPr>
    </w:p>
    <w:p w:rsidR="000D1936" w:rsidRDefault="000D1936">
      <w:pPr>
        <w:spacing w:after="0" w:line="240" w:lineRule="auto"/>
        <w:rPr>
          <w:rFonts w:ascii="Arial Black" w:hAnsi="Arial Black"/>
          <w:b/>
          <w:bCs/>
          <w:color w:val="4F6228" w:themeColor="accent3" w:themeShade="80"/>
          <w:lang w:val="en-AU"/>
        </w:rPr>
      </w:pPr>
      <w:r>
        <w:br w:type="page"/>
      </w:r>
    </w:p>
    <w:p w:rsidR="00A327D2" w:rsidRDefault="00A327D2" w:rsidP="00A327D2">
      <w:pPr>
        <w:pStyle w:val="Heading1"/>
        <w:numPr>
          <w:ilvl w:val="0"/>
          <w:numId w:val="0"/>
        </w:numPr>
        <w:rPr>
          <w:szCs w:val="22"/>
        </w:rPr>
      </w:pPr>
      <w:bookmarkStart w:id="2" w:name="_Toc411268934"/>
      <w:r w:rsidRPr="007B36FD">
        <w:rPr>
          <w:szCs w:val="22"/>
        </w:rPr>
        <w:lastRenderedPageBreak/>
        <w:t>Acronyms</w:t>
      </w:r>
      <w:bookmarkEnd w:id="2"/>
      <w:r w:rsidRPr="007B36FD">
        <w:rPr>
          <w:szCs w:val="22"/>
        </w:rPr>
        <w:t xml:space="preserve"> </w:t>
      </w:r>
    </w:p>
    <w:p w:rsidR="007B36FD" w:rsidRPr="007B36FD" w:rsidRDefault="007B36FD" w:rsidP="007B36FD">
      <w:pPr>
        <w:rPr>
          <w:lang w:val="en-AU"/>
        </w:rPr>
      </w:pPr>
    </w:p>
    <w:tbl>
      <w:tblPr>
        <w:tblW w:w="0" w:type="auto"/>
        <w:jc w:val="center"/>
        <w:tblLook w:val="00A0" w:firstRow="1" w:lastRow="0" w:firstColumn="1" w:lastColumn="0" w:noHBand="0" w:noVBand="0"/>
      </w:tblPr>
      <w:tblGrid>
        <w:gridCol w:w="887"/>
        <w:gridCol w:w="7976"/>
      </w:tblGrid>
      <w:tr w:rsidR="007B36FD" w:rsidRPr="00B834EF">
        <w:trPr>
          <w:trHeight w:val="281"/>
          <w:jc w:val="center"/>
        </w:trPr>
        <w:tc>
          <w:tcPr>
            <w:tcW w:w="888" w:type="dxa"/>
            <w:tcBorders>
              <w:right w:val="single" w:sz="4" w:space="0" w:color="auto"/>
            </w:tcBorders>
          </w:tcPr>
          <w:p w:rsidR="007B36FD" w:rsidRPr="00B834EF" w:rsidRDefault="007B36FD" w:rsidP="00C0470F">
            <w:pPr>
              <w:pStyle w:val="ListParagraph"/>
              <w:spacing w:after="0" w:line="240" w:lineRule="auto"/>
              <w:ind w:left="0"/>
              <w:jc w:val="both"/>
              <w:rPr>
                <w:b/>
                <w:bCs/>
                <w:sz w:val="20"/>
                <w:szCs w:val="20"/>
              </w:rPr>
            </w:pPr>
            <w:r>
              <w:rPr>
                <w:b/>
                <w:bCs/>
                <w:sz w:val="20"/>
                <w:szCs w:val="20"/>
              </w:rPr>
              <w:t>ADR</w:t>
            </w:r>
          </w:p>
        </w:tc>
        <w:tc>
          <w:tcPr>
            <w:tcW w:w="8035" w:type="dxa"/>
            <w:tcBorders>
              <w:left w:val="single" w:sz="4" w:space="0" w:color="auto"/>
            </w:tcBorders>
          </w:tcPr>
          <w:p w:rsidR="007B36FD" w:rsidRPr="00B834EF" w:rsidRDefault="007B36FD" w:rsidP="00C0470F">
            <w:pPr>
              <w:pStyle w:val="ListParagraph"/>
              <w:spacing w:after="0" w:line="240" w:lineRule="auto"/>
              <w:ind w:left="0"/>
              <w:jc w:val="both"/>
              <w:rPr>
                <w:sz w:val="20"/>
                <w:szCs w:val="20"/>
              </w:rPr>
            </w:pPr>
            <w:r>
              <w:rPr>
                <w:sz w:val="20"/>
                <w:szCs w:val="20"/>
              </w:rPr>
              <w:t>Annual Development Report</w:t>
            </w:r>
          </w:p>
        </w:tc>
      </w:tr>
      <w:tr w:rsidR="0019595D" w:rsidRPr="00B834EF">
        <w:trPr>
          <w:trHeight w:val="281"/>
          <w:jc w:val="center"/>
        </w:trPr>
        <w:tc>
          <w:tcPr>
            <w:tcW w:w="888" w:type="dxa"/>
            <w:tcBorders>
              <w:right w:val="single" w:sz="4" w:space="0" w:color="auto"/>
            </w:tcBorders>
          </w:tcPr>
          <w:p w:rsidR="0019595D" w:rsidRDefault="0019595D" w:rsidP="00C0470F">
            <w:pPr>
              <w:pStyle w:val="ListParagraph"/>
              <w:spacing w:after="0" w:line="240" w:lineRule="auto"/>
              <w:ind w:left="0"/>
              <w:jc w:val="both"/>
              <w:rPr>
                <w:b/>
                <w:bCs/>
                <w:sz w:val="20"/>
                <w:szCs w:val="20"/>
              </w:rPr>
            </w:pPr>
            <w:r>
              <w:rPr>
                <w:b/>
                <w:bCs/>
                <w:sz w:val="20"/>
                <w:szCs w:val="20"/>
              </w:rPr>
              <w:t>CDLA</w:t>
            </w:r>
          </w:p>
        </w:tc>
        <w:tc>
          <w:tcPr>
            <w:tcW w:w="8035" w:type="dxa"/>
            <w:tcBorders>
              <w:left w:val="single" w:sz="4" w:space="0" w:color="auto"/>
            </w:tcBorders>
          </w:tcPr>
          <w:p w:rsidR="0019595D" w:rsidRDefault="0019595D" w:rsidP="00C0470F">
            <w:pPr>
              <w:pStyle w:val="ListParagraph"/>
              <w:spacing w:after="0" w:line="240" w:lineRule="auto"/>
              <w:ind w:left="0"/>
              <w:jc w:val="both"/>
              <w:rPr>
                <w:sz w:val="20"/>
                <w:szCs w:val="20"/>
              </w:rPr>
            </w:pPr>
            <w:r>
              <w:rPr>
                <w:sz w:val="20"/>
                <w:szCs w:val="20"/>
              </w:rPr>
              <w:t>Capacity Development &amp; Leadership Adviser</w:t>
            </w:r>
          </w:p>
        </w:tc>
      </w:tr>
      <w:tr w:rsidR="0019595D" w:rsidRPr="00B834EF">
        <w:trPr>
          <w:trHeight w:val="281"/>
          <w:jc w:val="center"/>
        </w:trPr>
        <w:tc>
          <w:tcPr>
            <w:tcW w:w="888" w:type="dxa"/>
            <w:tcBorders>
              <w:right w:val="single" w:sz="4" w:space="0" w:color="auto"/>
            </w:tcBorders>
          </w:tcPr>
          <w:p w:rsidR="0019595D" w:rsidRPr="00B834EF" w:rsidRDefault="0019595D" w:rsidP="00C0470F">
            <w:pPr>
              <w:pStyle w:val="ListParagraph"/>
              <w:spacing w:after="0" w:line="240" w:lineRule="auto"/>
              <w:ind w:left="0"/>
              <w:jc w:val="both"/>
              <w:rPr>
                <w:b/>
                <w:bCs/>
                <w:sz w:val="20"/>
                <w:szCs w:val="20"/>
              </w:rPr>
            </w:pPr>
            <w:r>
              <w:rPr>
                <w:b/>
                <w:bCs/>
                <w:sz w:val="20"/>
                <w:szCs w:val="20"/>
              </w:rPr>
              <w:t>CDMA</w:t>
            </w:r>
          </w:p>
        </w:tc>
        <w:tc>
          <w:tcPr>
            <w:tcW w:w="8035" w:type="dxa"/>
            <w:tcBorders>
              <w:left w:val="single" w:sz="4" w:space="0" w:color="auto"/>
            </w:tcBorders>
          </w:tcPr>
          <w:p w:rsidR="0019595D" w:rsidRPr="00B834EF" w:rsidRDefault="0019595D" w:rsidP="00C0470F">
            <w:pPr>
              <w:pStyle w:val="ListParagraph"/>
              <w:spacing w:after="0" w:line="240" w:lineRule="auto"/>
              <w:ind w:left="0"/>
              <w:jc w:val="both"/>
              <w:rPr>
                <w:sz w:val="20"/>
                <w:szCs w:val="20"/>
              </w:rPr>
            </w:pPr>
            <w:r>
              <w:rPr>
                <w:sz w:val="20"/>
                <w:szCs w:val="20"/>
              </w:rPr>
              <w:t>Case &amp; Data Management Adviser</w:t>
            </w:r>
          </w:p>
        </w:tc>
      </w:tr>
      <w:tr w:rsidR="007B36FD" w:rsidRPr="00B834EF">
        <w:trPr>
          <w:trHeight w:val="281"/>
          <w:jc w:val="center"/>
        </w:trPr>
        <w:tc>
          <w:tcPr>
            <w:tcW w:w="888" w:type="dxa"/>
            <w:tcBorders>
              <w:right w:val="single" w:sz="4" w:space="0" w:color="auto"/>
            </w:tcBorders>
          </w:tcPr>
          <w:p w:rsidR="007B36FD" w:rsidRPr="00B834EF" w:rsidRDefault="007B36FD" w:rsidP="00C0470F">
            <w:pPr>
              <w:pStyle w:val="ListParagraph"/>
              <w:spacing w:after="0" w:line="240" w:lineRule="auto"/>
              <w:ind w:left="0"/>
              <w:jc w:val="both"/>
              <w:rPr>
                <w:b/>
                <w:bCs/>
                <w:sz w:val="20"/>
                <w:szCs w:val="20"/>
              </w:rPr>
            </w:pPr>
            <w:r w:rsidRPr="00B834EF">
              <w:rPr>
                <w:b/>
                <w:bCs/>
                <w:sz w:val="20"/>
                <w:szCs w:val="20"/>
              </w:rPr>
              <w:t>CLE</w:t>
            </w:r>
          </w:p>
        </w:tc>
        <w:tc>
          <w:tcPr>
            <w:tcW w:w="8035" w:type="dxa"/>
            <w:tcBorders>
              <w:left w:val="single" w:sz="4" w:space="0" w:color="auto"/>
            </w:tcBorders>
          </w:tcPr>
          <w:p w:rsidR="007B36FD" w:rsidRPr="00B834EF" w:rsidRDefault="007B36FD" w:rsidP="00C0470F">
            <w:pPr>
              <w:pStyle w:val="ListParagraph"/>
              <w:spacing w:after="0" w:line="240" w:lineRule="auto"/>
              <w:ind w:left="0"/>
              <w:jc w:val="both"/>
              <w:rPr>
                <w:sz w:val="20"/>
                <w:szCs w:val="20"/>
              </w:rPr>
            </w:pPr>
            <w:r w:rsidRPr="00B834EF">
              <w:rPr>
                <w:sz w:val="20"/>
                <w:szCs w:val="20"/>
              </w:rPr>
              <w:t>Continuing Legal Education</w:t>
            </w:r>
          </w:p>
        </w:tc>
      </w:tr>
      <w:tr w:rsidR="00F665B9" w:rsidRPr="00B834EF">
        <w:trPr>
          <w:trHeight w:val="281"/>
          <w:jc w:val="center"/>
        </w:trPr>
        <w:tc>
          <w:tcPr>
            <w:tcW w:w="888" w:type="dxa"/>
            <w:tcBorders>
              <w:right w:val="single" w:sz="4" w:space="0" w:color="auto"/>
            </w:tcBorders>
          </w:tcPr>
          <w:p w:rsidR="00F665B9" w:rsidRDefault="00F665B9" w:rsidP="00C0470F">
            <w:pPr>
              <w:pStyle w:val="ListParagraph"/>
              <w:spacing w:after="0" w:line="240" w:lineRule="auto"/>
              <w:ind w:left="0"/>
              <w:jc w:val="both"/>
              <w:rPr>
                <w:b/>
                <w:bCs/>
                <w:sz w:val="20"/>
                <w:szCs w:val="20"/>
              </w:rPr>
            </w:pPr>
            <w:r>
              <w:rPr>
                <w:b/>
                <w:bCs/>
                <w:sz w:val="20"/>
                <w:szCs w:val="20"/>
              </w:rPr>
              <w:t>CP</w:t>
            </w:r>
          </w:p>
        </w:tc>
        <w:tc>
          <w:tcPr>
            <w:tcW w:w="8035" w:type="dxa"/>
            <w:tcBorders>
              <w:left w:val="single" w:sz="4" w:space="0" w:color="auto"/>
            </w:tcBorders>
          </w:tcPr>
          <w:p w:rsidR="00F665B9" w:rsidRDefault="00F665B9" w:rsidP="00C0470F">
            <w:pPr>
              <w:pStyle w:val="ListParagraph"/>
              <w:spacing w:after="0" w:line="240" w:lineRule="auto"/>
              <w:ind w:left="0"/>
              <w:jc w:val="both"/>
              <w:rPr>
                <w:color w:val="000000"/>
                <w:sz w:val="20"/>
                <w:szCs w:val="20"/>
              </w:rPr>
            </w:pPr>
            <w:r>
              <w:rPr>
                <w:color w:val="000000"/>
                <w:sz w:val="20"/>
                <w:szCs w:val="20"/>
              </w:rPr>
              <w:t>Child Protection</w:t>
            </w:r>
          </w:p>
        </w:tc>
      </w:tr>
      <w:tr w:rsidR="007B36FD" w:rsidRPr="00B834EF">
        <w:trPr>
          <w:trHeight w:val="281"/>
          <w:jc w:val="center"/>
        </w:trPr>
        <w:tc>
          <w:tcPr>
            <w:tcW w:w="888" w:type="dxa"/>
            <w:tcBorders>
              <w:right w:val="single" w:sz="4" w:space="0" w:color="auto"/>
            </w:tcBorders>
          </w:tcPr>
          <w:p w:rsidR="007B36FD" w:rsidRPr="00B834EF" w:rsidRDefault="007B36FD" w:rsidP="00C0470F">
            <w:pPr>
              <w:pStyle w:val="ListParagraph"/>
              <w:spacing w:after="0" w:line="240" w:lineRule="auto"/>
              <w:ind w:left="0"/>
              <w:jc w:val="both"/>
              <w:rPr>
                <w:b/>
                <w:bCs/>
                <w:sz w:val="20"/>
                <w:szCs w:val="20"/>
              </w:rPr>
            </w:pPr>
            <w:r>
              <w:rPr>
                <w:b/>
                <w:bCs/>
                <w:sz w:val="20"/>
                <w:szCs w:val="20"/>
              </w:rPr>
              <w:t>DFAT</w:t>
            </w:r>
          </w:p>
        </w:tc>
        <w:tc>
          <w:tcPr>
            <w:tcW w:w="8035" w:type="dxa"/>
            <w:tcBorders>
              <w:left w:val="single" w:sz="4" w:space="0" w:color="auto"/>
            </w:tcBorders>
          </w:tcPr>
          <w:p w:rsidR="007B36FD" w:rsidRPr="00B834EF" w:rsidRDefault="007B36FD" w:rsidP="00C0470F">
            <w:pPr>
              <w:pStyle w:val="ListParagraph"/>
              <w:spacing w:after="0" w:line="240" w:lineRule="auto"/>
              <w:ind w:left="0"/>
              <w:jc w:val="both"/>
              <w:rPr>
                <w:color w:val="000000"/>
                <w:sz w:val="20"/>
                <w:szCs w:val="20"/>
              </w:rPr>
            </w:pPr>
            <w:r>
              <w:rPr>
                <w:color w:val="000000"/>
                <w:sz w:val="20"/>
                <w:szCs w:val="20"/>
              </w:rPr>
              <w:t>Australian Department of Foreign Affairs and Trade</w:t>
            </w:r>
          </w:p>
        </w:tc>
      </w:tr>
      <w:tr w:rsidR="007B36FD" w:rsidRPr="00B834EF">
        <w:trPr>
          <w:trHeight w:val="281"/>
          <w:jc w:val="center"/>
        </w:trPr>
        <w:tc>
          <w:tcPr>
            <w:tcW w:w="888" w:type="dxa"/>
            <w:tcBorders>
              <w:right w:val="single" w:sz="4" w:space="0" w:color="auto"/>
            </w:tcBorders>
          </w:tcPr>
          <w:p w:rsidR="007B36FD" w:rsidRPr="00B834EF" w:rsidRDefault="007B36FD" w:rsidP="00C0470F">
            <w:pPr>
              <w:pStyle w:val="ListParagraph"/>
              <w:spacing w:after="0" w:line="240" w:lineRule="auto"/>
              <w:ind w:left="0"/>
              <w:jc w:val="both"/>
              <w:rPr>
                <w:b/>
                <w:bCs/>
                <w:sz w:val="20"/>
                <w:szCs w:val="20"/>
              </w:rPr>
            </w:pPr>
            <w:r w:rsidRPr="00B834EF">
              <w:rPr>
                <w:b/>
                <w:bCs/>
                <w:sz w:val="20"/>
                <w:szCs w:val="20"/>
              </w:rPr>
              <w:t>DWA</w:t>
            </w:r>
          </w:p>
        </w:tc>
        <w:tc>
          <w:tcPr>
            <w:tcW w:w="8035" w:type="dxa"/>
            <w:tcBorders>
              <w:left w:val="single" w:sz="4" w:space="0" w:color="auto"/>
            </w:tcBorders>
          </w:tcPr>
          <w:p w:rsidR="007B36FD" w:rsidRPr="00B834EF" w:rsidRDefault="007B36FD" w:rsidP="00C0470F">
            <w:pPr>
              <w:pStyle w:val="ListParagraph"/>
              <w:spacing w:after="0" w:line="240" w:lineRule="auto"/>
              <w:ind w:left="0"/>
              <w:jc w:val="both"/>
              <w:rPr>
                <w:sz w:val="20"/>
                <w:szCs w:val="20"/>
              </w:rPr>
            </w:pPr>
            <w:r w:rsidRPr="00B834EF">
              <w:rPr>
                <w:color w:val="000000"/>
                <w:sz w:val="20"/>
                <w:szCs w:val="20"/>
              </w:rPr>
              <w:t>Department of Women’s Affairs</w:t>
            </w:r>
          </w:p>
        </w:tc>
      </w:tr>
      <w:tr w:rsidR="007B36FD" w:rsidRPr="00B834EF">
        <w:trPr>
          <w:trHeight w:val="281"/>
          <w:jc w:val="center"/>
        </w:trPr>
        <w:tc>
          <w:tcPr>
            <w:tcW w:w="888" w:type="dxa"/>
            <w:tcBorders>
              <w:right w:val="single" w:sz="4" w:space="0" w:color="auto"/>
            </w:tcBorders>
          </w:tcPr>
          <w:p w:rsidR="007B36FD" w:rsidRPr="00B834EF" w:rsidRDefault="007B36FD" w:rsidP="00C0470F">
            <w:pPr>
              <w:pStyle w:val="ListParagraph"/>
              <w:spacing w:after="0" w:line="240" w:lineRule="auto"/>
              <w:ind w:left="0"/>
              <w:jc w:val="both"/>
              <w:rPr>
                <w:b/>
                <w:bCs/>
                <w:sz w:val="20"/>
                <w:szCs w:val="20"/>
              </w:rPr>
            </w:pPr>
            <w:r w:rsidRPr="00B834EF">
              <w:rPr>
                <w:b/>
                <w:bCs/>
                <w:sz w:val="20"/>
                <w:szCs w:val="20"/>
              </w:rPr>
              <w:t>GoA</w:t>
            </w:r>
          </w:p>
        </w:tc>
        <w:tc>
          <w:tcPr>
            <w:tcW w:w="8035" w:type="dxa"/>
            <w:tcBorders>
              <w:left w:val="single" w:sz="4" w:space="0" w:color="auto"/>
            </w:tcBorders>
          </w:tcPr>
          <w:p w:rsidR="007B36FD" w:rsidRPr="00B834EF" w:rsidRDefault="007B36FD" w:rsidP="00C0470F">
            <w:pPr>
              <w:pStyle w:val="ListParagraph"/>
              <w:spacing w:after="0" w:line="240" w:lineRule="auto"/>
              <w:ind w:left="0"/>
              <w:jc w:val="both"/>
              <w:rPr>
                <w:sz w:val="20"/>
                <w:szCs w:val="20"/>
              </w:rPr>
            </w:pPr>
            <w:r w:rsidRPr="00B834EF">
              <w:rPr>
                <w:sz w:val="20"/>
                <w:szCs w:val="20"/>
              </w:rPr>
              <w:t>Government of Australia</w:t>
            </w:r>
          </w:p>
        </w:tc>
      </w:tr>
      <w:tr w:rsidR="007B36FD" w:rsidRPr="00B834EF">
        <w:trPr>
          <w:trHeight w:val="281"/>
          <w:jc w:val="center"/>
        </w:trPr>
        <w:tc>
          <w:tcPr>
            <w:tcW w:w="888" w:type="dxa"/>
            <w:tcBorders>
              <w:right w:val="single" w:sz="4" w:space="0" w:color="auto"/>
            </w:tcBorders>
          </w:tcPr>
          <w:p w:rsidR="007B36FD" w:rsidRPr="00B834EF" w:rsidRDefault="007B36FD" w:rsidP="00C0470F">
            <w:pPr>
              <w:pStyle w:val="ListParagraph"/>
              <w:spacing w:after="0" w:line="240" w:lineRule="auto"/>
              <w:ind w:left="0"/>
              <w:jc w:val="both"/>
              <w:rPr>
                <w:b/>
                <w:bCs/>
                <w:sz w:val="20"/>
                <w:szCs w:val="20"/>
              </w:rPr>
            </w:pPr>
            <w:r w:rsidRPr="00B834EF">
              <w:rPr>
                <w:b/>
                <w:bCs/>
                <w:sz w:val="20"/>
                <w:szCs w:val="20"/>
              </w:rPr>
              <w:t>GoV</w:t>
            </w:r>
          </w:p>
        </w:tc>
        <w:tc>
          <w:tcPr>
            <w:tcW w:w="8035" w:type="dxa"/>
            <w:tcBorders>
              <w:left w:val="single" w:sz="4" w:space="0" w:color="auto"/>
            </w:tcBorders>
          </w:tcPr>
          <w:p w:rsidR="007B36FD" w:rsidRPr="00B834EF" w:rsidRDefault="007B36FD" w:rsidP="00C0470F">
            <w:pPr>
              <w:pStyle w:val="ListParagraph"/>
              <w:spacing w:after="0" w:line="240" w:lineRule="auto"/>
              <w:ind w:left="0"/>
              <w:jc w:val="both"/>
              <w:rPr>
                <w:sz w:val="20"/>
                <w:szCs w:val="20"/>
              </w:rPr>
            </w:pPr>
            <w:r w:rsidRPr="00B834EF">
              <w:rPr>
                <w:sz w:val="20"/>
                <w:szCs w:val="20"/>
              </w:rPr>
              <w:t>Government of Vanuatu</w:t>
            </w:r>
          </w:p>
        </w:tc>
      </w:tr>
      <w:tr w:rsidR="007B36FD" w:rsidRPr="00B834EF">
        <w:trPr>
          <w:trHeight w:val="268"/>
          <w:jc w:val="center"/>
        </w:trPr>
        <w:tc>
          <w:tcPr>
            <w:tcW w:w="888" w:type="dxa"/>
            <w:tcBorders>
              <w:right w:val="single" w:sz="4" w:space="0" w:color="auto"/>
            </w:tcBorders>
          </w:tcPr>
          <w:p w:rsidR="007B36FD" w:rsidRPr="00B834EF" w:rsidRDefault="007B36FD" w:rsidP="00C0470F">
            <w:pPr>
              <w:pStyle w:val="ListParagraph"/>
              <w:spacing w:after="0" w:line="240" w:lineRule="auto"/>
              <w:ind w:left="0"/>
              <w:jc w:val="both"/>
              <w:rPr>
                <w:b/>
                <w:bCs/>
                <w:sz w:val="20"/>
                <w:szCs w:val="20"/>
              </w:rPr>
            </w:pPr>
            <w:r w:rsidRPr="00B834EF">
              <w:rPr>
                <w:b/>
                <w:bCs/>
                <w:sz w:val="20"/>
                <w:szCs w:val="20"/>
              </w:rPr>
              <w:t>GRM</w:t>
            </w:r>
          </w:p>
        </w:tc>
        <w:tc>
          <w:tcPr>
            <w:tcW w:w="8035" w:type="dxa"/>
            <w:tcBorders>
              <w:left w:val="single" w:sz="4" w:space="0" w:color="auto"/>
            </w:tcBorders>
          </w:tcPr>
          <w:p w:rsidR="007B36FD" w:rsidRPr="00B834EF" w:rsidRDefault="007B36FD" w:rsidP="00C0470F">
            <w:pPr>
              <w:pStyle w:val="ListParagraph"/>
              <w:spacing w:after="0" w:line="240" w:lineRule="auto"/>
              <w:ind w:left="0"/>
              <w:jc w:val="both"/>
              <w:rPr>
                <w:sz w:val="20"/>
                <w:szCs w:val="20"/>
              </w:rPr>
            </w:pPr>
            <w:r w:rsidRPr="00B834EF">
              <w:rPr>
                <w:sz w:val="20"/>
                <w:szCs w:val="20"/>
              </w:rPr>
              <w:t>GRM International Pty Ltd</w:t>
            </w:r>
          </w:p>
        </w:tc>
      </w:tr>
      <w:tr w:rsidR="007B36FD" w:rsidRPr="00B834EF">
        <w:trPr>
          <w:trHeight w:val="268"/>
          <w:jc w:val="center"/>
        </w:trPr>
        <w:tc>
          <w:tcPr>
            <w:tcW w:w="888" w:type="dxa"/>
            <w:tcBorders>
              <w:right w:val="single" w:sz="4" w:space="0" w:color="auto"/>
            </w:tcBorders>
          </w:tcPr>
          <w:p w:rsidR="007B36FD" w:rsidRPr="00B834EF" w:rsidRDefault="007B36FD" w:rsidP="00C0470F">
            <w:pPr>
              <w:pStyle w:val="ListParagraph"/>
              <w:spacing w:after="0" w:line="240" w:lineRule="auto"/>
              <w:ind w:left="0"/>
              <w:jc w:val="both"/>
              <w:rPr>
                <w:b/>
                <w:bCs/>
                <w:sz w:val="20"/>
                <w:szCs w:val="20"/>
              </w:rPr>
            </w:pPr>
            <w:r w:rsidRPr="00B834EF">
              <w:rPr>
                <w:b/>
                <w:bCs/>
                <w:sz w:val="20"/>
                <w:szCs w:val="20"/>
              </w:rPr>
              <w:t>HOAG</w:t>
            </w:r>
          </w:p>
        </w:tc>
        <w:tc>
          <w:tcPr>
            <w:tcW w:w="8035" w:type="dxa"/>
            <w:tcBorders>
              <w:left w:val="single" w:sz="4" w:space="0" w:color="auto"/>
            </w:tcBorders>
          </w:tcPr>
          <w:p w:rsidR="007B36FD" w:rsidRPr="00B834EF" w:rsidRDefault="007B36FD" w:rsidP="00C0470F">
            <w:pPr>
              <w:pStyle w:val="ListParagraph"/>
              <w:spacing w:after="0" w:line="240" w:lineRule="auto"/>
              <w:ind w:left="0"/>
              <w:jc w:val="both"/>
              <w:rPr>
                <w:sz w:val="20"/>
                <w:szCs w:val="20"/>
              </w:rPr>
            </w:pPr>
            <w:r w:rsidRPr="00B834EF">
              <w:rPr>
                <w:sz w:val="20"/>
                <w:szCs w:val="20"/>
              </w:rPr>
              <w:t>Heads of Agency Group</w:t>
            </w:r>
          </w:p>
        </w:tc>
      </w:tr>
      <w:tr w:rsidR="005557B4" w:rsidRPr="00B834EF">
        <w:trPr>
          <w:trHeight w:val="268"/>
          <w:jc w:val="center"/>
        </w:trPr>
        <w:tc>
          <w:tcPr>
            <w:tcW w:w="888" w:type="dxa"/>
            <w:tcBorders>
              <w:right w:val="single" w:sz="4" w:space="0" w:color="auto"/>
            </w:tcBorders>
          </w:tcPr>
          <w:p w:rsidR="005557B4" w:rsidRPr="00B834EF" w:rsidRDefault="005557B4" w:rsidP="00C0470F">
            <w:pPr>
              <w:pStyle w:val="ListParagraph"/>
              <w:spacing w:after="0" w:line="240" w:lineRule="auto"/>
              <w:ind w:left="0"/>
              <w:jc w:val="both"/>
              <w:rPr>
                <w:b/>
                <w:bCs/>
                <w:sz w:val="20"/>
                <w:szCs w:val="20"/>
              </w:rPr>
            </w:pPr>
            <w:r>
              <w:rPr>
                <w:b/>
                <w:bCs/>
                <w:sz w:val="20"/>
                <w:szCs w:val="20"/>
              </w:rPr>
              <w:t>IPAM</w:t>
            </w:r>
          </w:p>
        </w:tc>
        <w:tc>
          <w:tcPr>
            <w:tcW w:w="8035" w:type="dxa"/>
            <w:tcBorders>
              <w:left w:val="single" w:sz="4" w:space="0" w:color="auto"/>
            </w:tcBorders>
          </w:tcPr>
          <w:p w:rsidR="005557B4" w:rsidRPr="00B834EF" w:rsidRDefault="005557B4" w:rsidP="00C0470F">
            <w:pPr>
              <w:pStyle w:val="ListParagraph"/>
              <w:spacing w:after="0" w:line="240" w:lineRule="auto"/>
              <w:ind w:left="0"/>
              <w:jc w:val="both"/>
              <w:rPr>
                <w:color w:val="000000"/>
                <w:sz w:val="20"/>
                <w:szCs w:val="20"/>
              </w:rPr>
            </w:pPr>
            <w:r>
              <w:rPr>
                <w:color w:val="000000"/>
                <w:sz w:val="20"/>
                <w:szCs w:val="20"/>
              </w:rPr>
              <w:t>Institute of Public Administration and Management</w:t>
            </w:r>
          </w:p>
        </w:tc>
      </w:tr>
      <w:tr w:rsidR="007B36FD" w:rsidRPr="00B834EF">
        <w:trPr>
          <w:trHeight w:val="268"/>
          <w:jc w:val="center"/>
        </w:trPr>
        <w:tc>
          <w:tcPr>
            <w:tcW w:w="888" w:type="dxa"/>
            <w:tcBorders>
              <w:right w:val="single" w:sz="4" w:space="0" w:color="auto"/>
            </w:tcBorders>
          </w:tcPr>
          <w:p w:rsidR="007B36FD" w:rsidRPr="00B834EF" w:rsidRDefault="007B36FD" w:rsidP="00C0470F">
            <w:pPr>
              <w:pStyle w:val="ListParagraph"/>
              <w:spacing w:after="0" w:line="240" w:lineRule="auto"/>
              <w:ind w:left="0"/>
              <w:jc w:val="both"/>
              <w:rPr>
                <w:b/>
                <w:bCs/>
                <w:sz w:val="20"/>
                <w:szCs w:val="20"/>
              </w:rPr>
            </w:pPr>
            <w:r w:rsidRPr="00B834EF">
              <w:rPr>
                <w:b/>
                <w:bCs/>
                <w:sz w:val="20"/>
                <w:szCs w:val="20"/>
              </w:rPr>
              <w:t>JCSSS</w:t>
            </w:r>
          </w:p>
        </w:tc>
        <w:tc>
          <w:tcPr>
            <w:tcW w:w="8035" w:type="dxa"/>
            <w:tcBorders>
              <w:left w:val="single" w:sz="4" w:space="0" w:color="auto"/>
            </w:tcBorders>
          </w:tcPr>
          <w:p w:rsidR="007B36FD" w:rsidRPr="00B834EF" w:rsidRDefault="007B36FD" w:rsidP="00C0470F">
            <w:pPr>
              <w:pStyle w:val="ListParagraph"/>
              <w:spacing w:after="0" w:line="240" w:lineRule="auto"/>
              <w:ind w:left="0"/>
              <w:jc w:val="both"/>
              <w:rPr>
                <w:color w:val="000000"/>
                <w:sz w:val="20"/>
                <w:szCs w:val="20"/>
              </w:rPr>
            </w:pPr>
            <w:r w:rsidRPr="00B834EF">
              <w:rPr>
                <w:color w:val="000000"/>
                <w:sz w:val="20"/>
                <w:szCs w:val="20"/>
              </w:rPr>
              <w:t>Justice and Community Services Sector Strategy</w:t>
            </w:r>
          </w:p>
        </w:tc>
      </w:tr>
      <w:tr w:rsidR="007B36FD" w:rsidRPr="00B834EF">
        <w:trPr>
          <w:trHeight w:val="268"/>
          <w:jc w:val="center"/>
        </w:trPr>
        <w:tc>
          <w:tcPr>
            <w:tcW w:w="888" w:type="dxa"/>
            <w:tcBorders>
              <w:right w:val="single" w:sz="4" w:space="0" w:color="auto"/>
            </w:tcBorders>
          </w:tcPr>
          <w:p w:rsidR="007B36FD" w:rsidRPr="00B834EF" w:rsidRDefault="007B36FD" w:rsidP="00C0470F">
            <w:pPr>
              <w:pStyle w:val="ListParagraph"/>
              <w:spacing w:after="0" w:line="240" w:lineRule="auto"/>
              <w:ind w:left="0"/>
              <w:jc w:val="both"/>
              <w:rPr>
                <w:b/>
                <w:bCs/>
                <w:sz w:val="20"/>
                <w:szCs w:val="20"/>
              </w:rPr>
            </w:pPr>
            <w:r w:rsidRPr="00B834EF">
              <w:rPr>
                <w:b/>
                <w:bCs/>
                <w:sz w:val="20"/>
                <w:szCs w:val="20"/>
              </w:rPr>
              <w:t>JBE</w:t>
            </w:r>
          </w:p>
        </w:tc>
        <w:tc>
          <w:tcPr>
            <w:tcW w:w="8035" w:type="dxa"/>
            <w:tcBorders>
              <w:left w:val="single" w:sz="4" w:space="0" w:color="auto"/>
            </w:tcBorders>
          </w:tcPr>
          <w:p w:rsidR="007B36FD" w:rsidRPr="00B834EF" w:rsidRDefault="007B36FD" w:rsidP="00C0470F">
            <w:pPr>
              <w:pStyle w:val="ListParagraph"/>
              <w:spacing w:after="0" w:line="240" w:lineRule="auto"/>
              <w:ind w:left="0"/>
              <w:jc w:val="both"/>
              <w:rPr>
                <w:sz w:val="20"/>
                <w:szCs w:val="20"/>
              </w:rPr>
            </w:pPr>
            <w:r w:rsidRPr="00B834EF">
              <w:rPr>
                <w:color w:val="000000"/>
                <w:sz w:val="20"/>
                <w:szCs w:val="20"/>
              </w:rPr>
              <w:t>Jastis Blong Evriwan</w:t>
            </w:r>
          </w:p>
        </w:tc>
      </w:tr>
      <w:tr w:rsidR="007B36FD" w:rsidRPr="00B834EF">
        <w:trPr>
          <w:trHeight w:val="268"/>
          <w:jc w:val="center"/>
        </w:trPr>
        <w:tc>
          <w:tcPr>
            <w:tcW w:w="888" w:type="dxa"/>
            <w:tcBorders>
              <w:right w:val="single" w:sz="4" w:space="0" w:color="auto"/>
            </w:tcBorders>
          </w:tcPr>
          <w:p w:rsidR="007B36FD" w:rsidRPr="00B834EF" w:rsidRDefault="007B36FD" w:rsidP="00C0470F">
            <w:pPr>
              <w:pStyle w:val="ListParagraph"/>
              <w:spacing w:after="0" w:line="240" w:lineRule="auto"/>
              <w:ind w:left="0"/>
              <w:jc w:val="both"/>
              <w:rPr>
                <w:b/>
                <w:bCs/>
                <w:sz w:val="20"/>
                <w:szCs w:val="20"/>
              </w:rPr>
            </w:pPr>
            <w:r w:rsidRPr="00B834EF">
              <w:rPr>
                <w:b/>
                <w:bCs/>
                <w:sz w:val="20"/>
                <w:szCs w:val="20"/>
              </w:rPr>
              <w:t>KAP</w:t>
            </w:r>
          </w:p>
        </w:tc>
        <w:tc>
          <w:tcPr>
            <w:tcW w:w="8035" w:type="dxa"/>
            <w:tcBorders>
              <w:left w:val="single" w:sz="4" w:space="0" w:color="auto"/>
            </w:tcBorders>
          </w:tcPr>
          <w:p w:rsidR="007B36FD" w:rsidRPr="00B834EF" w:rsidRDefault="007B36FD" w:rsidP="00C0470F">
            <w:pPr>
              <w:pStyle w:val="ListParagraph"/>
              <w:spacing w:after="0" w:line="240" w:lineRule="auto"/>
              <w:ind w:left="0"/>
              <w:jc w:val="both"/>
              <w:rPr>
                <w:sz w:val="20"/>
                <w:szCs w:val="20"/>
              </w:rPr>
            </w:pPr>
            <w:r w:rsidRPr="00B834EF">
              <w:rPr>
                <w:sz w:val="20"/>
                <w:szCs w:val="20"/>
              </w:rPr>
              <w:t>Knowledge, attitudes and practices</w:t>
            </w:r>
          </w:p>
        </w:tc>
      </w:tr>
      <w:tr w:rsidR="007B36FD" w:rsidRPr="00B834EF">
        <w:trPr>
          <w:trHeight w:val="268"/>
          <w:jc w:val="center"/>
        </w:trPr>
        <w:tc>
          <w:tcPr>
            <w:tcW w:w="888" w:type="dxa"/>
            <w:tcBorders>
              <w:right w:val="single" w:sz="4" w:space="0" w:color="auto"/>
            </w:tcBorders>
          </w:tcPr>
          <w:p w:rsidR="007B36FD" w:rsidRPr="00B834EF" w:rsidRDefault="007B36FD" w:rsidP="00C0470F">
            <w:pPr>
              <w:pStyle w:val="ListParagraph"/>
              <w:spacing w:after="0" w:line="240" w:lineRule="auto"/>
              <w:ind w:left="0"/>
              <w:jc w:val="both"/>
              <w:rPr>
                <w:b/>
                <w:bCs/>
                <w:sz w:val="20"/>
                <w:szCs w:val="20"/>
              </w:rPr>
            </w:pPr>
            <w:r>
              <w:rPr>
                <w:b/>
                <w:bCs/>
                <w:sz w:val="20"/>
                <w:szCs w:val="20"/>
              </w:rPr>
              <w:t>LSIP</w:t>
            </w:r>
          </w:p>
        </w:tc>
        <w:tc>
          <w:tcPr>
            <w:tcW w:w="8035" w:type="dxa"/>
            <w:tcBorders>
              <w:left w:val="single" w:sz="4" w:space="0" w:color="auto"/>
            </w:tcBorders>
          </w:tcPr>
          <w:p w:rsidR="007B36FD" w:rsidRPr="00B834EF" w:rsidRDefault="007B36FD" w:rsidP="00C0470F">
            <w:pPr>
              <w:pStyle w:val="ListParagraph"/>
              <w:spacing w:after="0" w:line="240" w:lineRule="auto"/>
              <w:ind w:left="0"/>
              <w:jc w:val="both"/>
              <w:rPr>
                <w:sz w:val="20"/>
                <w:szCs w:val="20"/>
              </w:rPr>
            </w:pPr>
            <w:r>
              <w:rPr>
                <w:sz w:val="20"/>
                <w:szCs w:val="20"/>
              </w:rPr>
              <w:t>Law Student Internship Program</w:t>
            </w:r>
          </w:p>
        </w:tc>
      </w:tr>
      <w:tr w:rsidR="007B36FD" w:rsidRPr="00B834EF">
        <w:trPr>
          <w:trHeight w:val="268"/>
          <w:jc w:val="center"/>
        </w:trPr>
        <w:tc>
          <w:tcPr>
            <w:tcW w:w="888" w:type="dxa"/>
            <w:tcBorders>
              <w:right w:val="single" w:sz="4" w:space="0" w:color="auto"/>
            </w:tcBorders>
          </w:tcPr>
          <w:p w:rsidR="007B36FD" w:rsidRPr="00B834EF" w:rsidRDefault="007B36FD" w:rsidP="00C0470F">
            <w:pPr>
              <w:pStyle w:val="ListParagraph"/>
              <w:spacing w:after="0" w:line="240" w:lineRule="auto"/>
              <w:ind w:left="0"/>
              <w:jc w:val="both"/>
              <w:rPr>
                <w:b/>
                <w:bCs/>
                <w:sz w:val="20"/>
                <w:szCs w:val="20"/>
              </w:rPr>
            </w:pPr>
            <w:r w:rsidRPr="00B834EF">
              <w:rPr>
                <w:b/>
                <w:bCs/>
                <w:sz w:val="20"/>
                <w:szCs w:val="20"/>
              </w:rPr>
              <w:t>LTA</w:t>
            </w:r>
          </w:p>
        </w:tc>
        <w:tc>
          <w:tcPr>
            <w:tcW w:w="8035" w:type="dxa"/>
            <w:tcBorders>
              <w:left w:val="single" w:sz="4" w:space="0" w:color="auto"/>
            </w:tcBorders>
          </w:tcPr>
          <w:p w:rsidR="007B36FD" w:rsidRPr="00B834EF" w:rsidRDefault="007B36FD" w:rsidP="00C0470F">
            <w:pPr>
              <w:pStyle w:val="ListParagraph"/>
              <w:spacing w:after="0" w:line="240" w:lineRule="auto"/>
              <w:ind w:left="0"/>
              <w:jc w:val="both"/>
              <w:rPr>
                <w:sz w:val="20"/>
                <w:szCs w:val="20"/>
              </w:rPr>
            </w:pPr>
            <w:r w:rsidRPr="00B834EF">
              <w:rPr>
                <w:sz w:val="20"/>
                <w:szCs w:val="20"/>
              </w:rPr>
              <w:t>Long Term Adviser</w:t>
            </w:r>
          </w:p>
        </w:tc>
      </w:tr>
      <w:tr w:rsidR="005557B4" w:rsidRPr="00B834EF">
        <w:trPr>
          <w:trHeight w:val="268"/>
          <w:jc w:val="center"/>
        </w:trPr>
        <w:tc>
          <w:tcPr>
            <w:tcW w:w="888" w:type="dxa"/>
            <w:tcBorders>
              <w:right w:val="single" w:sz="4" w:space="0" w:color="auto"/>
            </w:tcBorders>
          </w:tcPr>
          <w:p w:rsidR="005557B4" w:rsidRPr="00B834EF" w:rsidRDefault="005557B4" w:rsidP="005557B4">
            <w:pPr>
              <w:pStyle w:val="ListParagraph"/>
              <w:spacing w:after="0" w:line="240" w:lineRule="auto"/>
              <w:ind w:left="0"/>
              <w:jc w:val="both"/>
              <w:rPr>
                <w:b/>
                <w:bCs/>
                <w:sz w:val="20"/>
                <w:szCs w:val="20"/>
              </w:rPr>
            </w:pPr>
            <w:r w:rsidRPr="00B834EF">
              <w:rPr>
                <w:b/>
                <w:bCs/>
                <w:sz w:val="20"/>
                <w:szCs w:val="20"/>
              </w:rPr>
              <w:t>M&amp;E</w:t>
            </w:r>
          </w:p>
        </w:tc>
        <w:tc>
          <w:tcPr>
            <w:tcW w:w="8035" w:type="dxa"/>
            <w:tcBorders>
              <w:left w:val="single" w:sz="4" w:space="0" w:color="auto"/>
            </w:tcBorders>
          </w:tcPr>
          <w:p w:rsidR="005557B4" w:rsidRPr="00B834EF" w:rsidRDefault="005557B4" w:rsidP="005557B4">
            <w:pPr>
              <w:pStyle w:val="ListParagraph"/>
              <w:spacing w:after="0" w:line="240" w:lineRule="auto"/>
              <w:ind w:left="0"/>
              <w:jc w:val="both"/>
              <w:rPr>
                <w:sz w:val="20"/>
                <w:szCs w:val="20"/>
              </w:rPr>
            </w:pPr>
            <w:r w:rsidRPr="00B834EF">
              <w:rPr>
                <w:sz w:val="20"/>
                <w:szCs w:val="20"/>
              </w:rPr>
              <w:t>Monitoring and Evaluation</w:t>
            </w:r>
          </w:p>
        </w:tc>
      </w:tr>
      <w:tr w:rsidR="007B36FD" w:rsidRPr="00B834EF">
        <w:trPr>
          <w:trHeight w:val="268"/>
          <w:jc w:val="center"/>
        </w:trPr>
        <w:tc>
          <w:tcPr>
            <w:tcW w:w="888" w:type="dxa"/>
            <w:tcBorders>
              <w:right w:val="single" w:sz="4" w:space="0" w:color="auto"/>
            </w:tcBorders>
          </w:tcPr>
          <w:p w:rsidR="00F55F61" w:rsidRPr="00B834EF" w:rsidRDefault="00F55F61" w:rsidP="005557B4">
            <w:pPr>
              <w:pStyle w:val="ListParagraph"/>
              <w:spacing w:after="0" w:line="240" w:lineRule="auto"/>
              <w:ind w:left="0"/>
              <w:jc w:val="both"/>
              <w:rPr>
                <w:b/>
                <w:bCs/>
                <w:sz w:val="20"/>
                <w:szCs w:val="20"/>
              </w:rPr>
            </w:pPr>
            <w:r>
              <w:rPr>
                <w:b/>
                <w:bCs/>
                <w:sz w:val="20"/>
                <w:szCs w:val="20"/>
              </w:rPr>
              <w:t>MEF</w:t>
            </w:r>
          </w:p>
        </w:tc>
        <w:tc>
          <w:tcPr>
            <w:tcW w:w="8035" w:type="dxa"/>
            <w:tcBorders>
              <w:left w:val="single" w:sz="4" w:space="0" w:color="auto"/>
            </w:tcBorders>
          </w:tcPr>
          <w:p w:rsidR="00F55F61" w:rsidRPr="00B834EF" w:rsidRDefault="00F55F61" w:rsidP="005557B4">
            <w:pPr>
              <w:pStyle w:val="ListParagraph"/>
              <w:spacing w:after="0" w:line="240" w:lineRule="auto"/>
              <w:ind w:left="0"/>
              <w:jc w:val="both"/>
              <w:rPr>
                <w:sz w:val="20"/>
                <w:szCs w:val="20"/>
              </w:rPr>
            </w:pPr>
            <w:r>
              <w:rPr>
                <w:sz w:val="20"/>
                <w:szCs w:val="20"/>
              </w:rPr>
              <w:t>Monitoring and Evaluation Framework</w:t>
            </w:r>
          </w:p>
        </w:tc>
      </w:tr>
      <w:tr w:rsidR="007B36FD" w:rsidRPr="00B834EF">
        <w:trPr>
          <w:trHeight w:val="268"/>
          <w:jc w:val="center"/>
        </w:trPr>
        <w:tc>
          <w:tcPr>
            <w:tcW w:w="888" w:type="dxa"/>
            <w:tcBorders>
              <w:right w:val="single" w:sz="4" w:space="0" w:color="auto"/>
            </w:tcBorders>
          </w:tcPr>
          <w:p w:rsidR="007B36FD" w:rsidRPr="00B834EF" w:rsidRDefault="005557B4" w:rsidP="00C0470F">
            <w:pPr>
              <w:pStyle w:val="ListParagraph"/>
              <w:spacing w:after="0" w:line="240" w:lineRule="auto"/>
              <w:ind w:left="0"/>
              <w:jc w:val="both"/>
              <w:rPr>
                <w:b/>
                <w:bCs/>
                <w:sz w:val="20"/>
                <w:szCs w:val="20"/>
              </w:rPr>
            </w:pPr>
            <w:r>
              <w:rPr>
                <w:b/>
                <w:bCs/>
                <w:sz w:val="20"/>
                <w:szCs w:val="20"/>
              </w:rPr>
              <w:t>MEP</w:t>
            </w:r>
          </w:p>
        </w:tc>
        <w:tc>
          <w:tcPr>
            <w:tcW w:w="8035" w:type="dxa"/>
            <w:tcBorders>
              <w:left w:val="single" w:sz="4" w:space="0" w:color="auto"/>
            </w:tcBorders>
          </w:tcPr>
          <w:p w:rsidR="007B36FD" w:rsidRPr="00B834EF" w:rsidRDefault="007B36FD" w:rsidP="005557B4">
            <w:pPr>
              <w:pStyle w:val="ListParagraph"/>
              <w:spacing w:after="0" w:line="240" w:lineRule="auto"/>
              <w:ind w:left="0"/>
              <w:jc w:val="both"/>
              <w:rPr>
                <w:sz w:val="20"/>
                <w:szCs w:val="20"/>
              </w:rPr>
            </w:pPr>
            <w:r w:rsidRPr="00B834EF">
              <w:rPr>
                <w:sz w:val="20"/>
                <w:szCs w:val="20"/>
              </w:rPr>
              <w:t xml:space="preserve">Monitoring and Evaluation </w:t>
            </w:r>
            <w:r w:rsidR="005557B4">
              <w:rPr>
                <w:sz w:val="20"/>
                <w:szCs w:val="20"/>
              </w:rPr>
              <w:t>Plan</w:t>
            </w:r>
          </w:p>
        </w:tc>
      </w:tr>
      <w:tr w:rsidR="007B36FD" w:rsidRPr="00B834EF">
        <w:trPr>
          <w:trHeight w:val="268"/>
          <w:jc w:val="center"/>
        </w:trPr>
        <w:tc>
          <w:tcPr>
            <w:tcW w:w="888" w:type="dxa"/>
            <w:tcBorders>
              <w:right w:val="single" w:sz="4" w:space="0" w:color="auto"/>
            </w:tcBorders>
          </w:tcPr>
          <w:p w:rsidR="007B36FD" w:rsidRPr="00B834EF" w:rsidRDefault="007B36FD" w:rsidP="00C0470F">
            <w:pPr>
              <w:pStyle w:val="ListParagraph"/>
              <w:spacing w:after="0" w:line="240" w:lineRule="auto"/>
              <w:ind w:left="0"/>
              <w:jc w:val="both"/>
              <w:rPr>
                <w:b/>
                <w:bCs/>
                <w:sz w:val="20"/>
                <w:szCs w:val="20"/>
              </w:rPr>
            </w:pPr>
            <w:r w:rsidRPr="00B834EF">
              <w:rPr>
                <w:b/>
                <w:bCs/>
                <w:sz w:val="20"/>
                <w:szCs w:val="20"/>
              </w:rPr>
              <w:t>MJCS</w:t>
            </w:r>
          </w:p>
        </w:tc>
        <w:tc>
          <w:tcPr>
            <w:tcW w:w="8035" w:type="dxa"/>
            <w:tcBorders>
              <w:left w:val="single" w:sz="4" w:space="0" w:color="auto"/>
            </w:tcBorders>
          </w:tcPr>
          <w:p w:rsidR="007B36FD" w:rsidRPr="00B834EF" w:rsidRDefault="007B36FD" w:rsidP="00C0470F">
            <w:pPr>
              <w:pStyle w:val="ListParagraph"/>
              <w:spacing w:after="0" w:line="240" w:lineRule="auto"/>
              <w:ind w:left="0"/>
              <w:jc w:val="both"/>
              <w:rPr>
                <w:sz w:val="20"/>
                <w:szCs w:val="20"/>
              </w:rPr>
            </w:pPr>
            <w:r w:rsidRPr="00B834EF">
              <w:rPr>
                <w:sz w:val="20"/>
                <w:szCs w:val="20"/>
              </w:rPr>
              <w:t>Ministry of Justice and Community Services</w:t>
            </w:r>
          </w:p>
        </w:tc>
      </w:tr>
      <w:tr w:rsidR="007B36FD" w:rsidRPr="00B834EF">
        <w:trPr>
          <w:trHeight w:val="281"/>
          <w:jc w:val="center"/>
        </w:trPr>
        <w:tc>
          <w:tcPr>
            <w:tcW w:w="888" w:type="dxa"/>
            <w:tcBorders>
              <w:right w:val="single" w:sz="4" w:space="0" w:color="auto"/>
            </w:tcBorders>
          </w:tcPr>
          <w:p w:rsidR="007B36FD" w:rsidRPr="00B834EF" w:rsidRDefault="007B36FD" w:rsidP="00C0470F">
            <w:pPr>
              <w:pStyle w:val="ListParagraph"/>
              <w:spacing w:after="0" w:line="240" w:lineRule="auto"/>
              <w:ind w:left="0"/>
              <w:jc w:val="both"/>
              <w:rPr>
                <w:b/>
                <w:bCs/>
                <w:sz w:val="20"/>
                <w:szCs w:val="20"/>
              </w:rPr>
            </w:pPr>
            <w:r w:rsidRPr="00B834EF">
              <w:rPr>
                <w:b/>
                <w:bCs/>
                <w:sz w:val="20"/>
                <w:szCs w:val="20"/>
              </w:rPr>
              <w:t>MNCC</w:t>
            </w:r>
          </w:p>
        </w:tc>
        <w:tc>
          <w:tcPr>
            <w:tcW w:w="8035" w:type="dxa"/>
            <w:tcBorders>
              <w:left w:val="single" w:sz="4" w:space="0" w:color="auto"/>
            </w:tcBorders>
          </w:tcPr>
          <w:p w:rsidR="007B36FD" w:rsidRPr="00B834EF" w:rsidRDefault="007B36FD" w:rsidP="00C0470F">
            <w:pPr>
              <w:pStyle w:val="ListParagraph"/>
              <w:spacing w:after="0" w:line="240" w:lineRule="auto"/>
              <w:ind w:left="0"/>
              <w:jc w:val="both"/>
              <w:rPr>
                <w:sz w:val="20"/>
                <w:szCs w:val="20"/>
              </w:rPr>
            </w:pPr>
            <w:r w:rsidRPr="00B834EF">
              <w:rPr>
                <w:sz w:val="20"/>
                <w:szCs w:val="20"/>
              </w:rPr>
              <w:t>Malvatumauri National Council of Chiefs</w:t>
            </w:r>
          </w:p>
        </w:tc>
      </w:tr>
      <w:tr w:rsidR="007B36FD" w:rsidRPr="00B834EF">
        <w:trPr>
          <w:trHeight w:val="281"/>
          <w:jc w:val="center"/>
        </w:trPr>
        <w:tc>
          <w:tcPr>
            <w:tcW w:w="888" w:type="dxa"/>
            <w:tcBorders>
              <w:right w:val="single" w:sz="4" w:space="0" w:color="auto"/>
            </w:tcBorders>
          </w:tcPr>
          <w:p w:rsidR="007B36FD" w:rsidRPr="00B834EF" w:rsidRDefault="007B36FD" w:rsidP="005557B4">
            <w:pPr>
              <w:pStyle w:val="ListParagraph"/>
              <w:spacing w:after="0" w:line="240" w:lineRule="auto"/>
              <w:ind w:left="0"/>
              <w:jc w:val="both"/>
              <w:rPr>
                <w:b/>
                <w:bCs/>
                <w:sz w:val="20"/>
                <w:szCs w:val="20"/>
              </w:rPr>
            </w:pPr>
            <w:r w:rsidRPr="00B834EF">
              <w:rPr>
                <w:b/>
                <w:bCs/>
                <w:sz w:val="20"/>
                <w:szCs w:val="20"/>
              </w:rPr>
              <w:t>NZ</w:t>
            </w:r>
          </w:p>
        </w:tc>
        <w:tc>
          <w:tcPr>
            <w:tcW w:w="8035" w:type="dxa"/>
            <w:tcBorders>
              <w:left w:val="single" w:sz="4" w:space="0" w:color="auto"/>
            </w:tcBorders>
          </w:tcPr>
          <w:p w:rsidR="007B36FD" w:rsidRPr="00B834EF" w:rsidRDefault="007B36FD" w:rsidP="00A6372C">
            <w:pPr>
              <w:pStyle w:val="ListParagraph"/>
              <w:spacing w:after="0" w:line="240" w:lineRule="auto"/>
              <w:ind w:left="0"/>
              <w:jc w:val="both"/>
              <w:rPr>
                <w:sz w:val="20"/>
                <w:szCs w:val="20"/>
              </w:rPr>
            </w:pPr>
            <w:r w:rsidRPr="00B834EF">
              <w:rPr>
                <w:sz w:val="20"/>
                <w:szCs w:val="20"/>
              </w:rPr>
              <w:t xml:space="preserve">New Zealand </w:t>
            </w:r>
          </w:p>
        </w:tc>
      </w:tr>
      <w:tr w:rsidR="007B36FD" w:rsidRPr="00106D0C">
        <w:trPr>
          <w:trHeight w:val="281"/>
          <w:jc w:val="center"/>
        </w:trPr>
        <w:tc>
          <w:tcPr>
            <w:tcW w:w="888" w:type="dxa"/>
            <w:tcBorders>
              <w:right w:val="single" w:sz="4" w:space="0" w:color="auto"/>
            </w:tcBorders>
          </w:tcPr>
          <w:p w:rsidR="007B36FD" w:rsidRPr="00106D0C" w:rsidRDefault="007B36FD" w:rsidP="00C0470F">
            <w:pPr>
              <w:pStyle w:val="ListParagraph"/>
              <w:spacing w:after="0" w:line="240" w:lineRule="auto"/>
              <w:ind w:left="0"/>
              <w:jc w:val="both"/>
              <w:rPr>
                <w:b/>
                <w:bCs/>
                <w:sz w:val="20"/>
                <w:szCs w:val="20"/>
              </w:rPr>
            </w:pPr>
            <w:r w:rsidRPr="00106D0C">
              <w:rPr>
                <w:b/>
                <w:bCs/>
                <w:sz w:val="20"/>
                <w:szCs w:val="20"/>
              </w:rPr>
              <w:t>OGCIO</w:t>
            </w:r>
          </w:p>
        </w:tc>
        <w:tc>
          <w:tcPr>
            <w:tcW w:w="8035" w:type="dxa"/>
            <w:tcBorders>
              <w:left w:val="single" w:sz="4" w:space="0" w:color="auto"/>
            </w:tcBorders>
          </w:tcPr>
          <w:p w:rsidR="007B36FD" w:rsidRPr="00106D0C" w:rsidRDefault="007B36FD" w:rsidP="00C0470F">
            <w:pPr>
              <w:pStyle w:val="ListParagraph"/>
              <w:spacing w:after="0" w:line="240" w:lineRule="auto"/>
              <w:ind w:left="0"/>
              <w:jc w:val="both"/>
              <w:rPr>
                <w:sz w:val="20"/>
                <w:szCs w:val="20"/>
              </w:rPr>
            </w:pPr>
            <w:r w:rsidRPr="00106D0C">
              <w:rPr>
                <w:sz w:val="20"/>
                <w:szCs w:val="20"/>
              </w:rPr>
              <w:t>GoV Office of the Chief Information Officer</w:t>
            </w:r>
          </w:p>
        </w:tc>
      </w:tr>
      <w:tr w:rsidR="007B36FD" w:rsidRPr="00106D0C">
        <w:trPr>
          <w:trHeight w:val="281"/>
          <w:jc w:val="center"/>
        </w:trPr>
        <w:tc>
          <w:tcPr>
            <w:tcW w:w="888" w:type="dxa"/>
            <w:tcBorders>
              <w:right w:val="single" w:sz="4" w:space="0" w:color="auto"/>
            </w:tcBorders>
          </w:tcPr>
          <w:p w:rsidR="007B36FD" w:rsidRPr="00106D0C" w:rsidRDefault="007B36FD" w:rsidP="00C0470F">
            <w:pPr>
              <w:pStyle w:val="ListParagraph"/>
              <w:spacing w:after="0" w:line="240" w:lineRule="auto"/>
              <w:ind w:left="0"/>
              <w:jc w:val="both"/>
              <w:rPr>
                <w:b/>
                <w:bCs/>
                <w:sz w:val="20"/>
                <w:szCs w:val="20"/>
              </w:rPr>
            </w:pPr>
            <w:r w:rsidRPr="00106D0C">
              <w:rPr>
                <w:b/>
                <w:bCs/>
                <w:sz w:val="20"/>
                <w:szCs w:val="20"/>
              </w:rPr>
              <w:t>PAA</w:t>
            </w:r>
          </w:p>
        </w:tc>
        <w:tc>
          <w:tcPr>
            <w:tcW w:w="8035" w:type="dxa"/>
            <w:tcBorders>
              <w:left w:val="single" w:sz="4" w:space="0" w:color="auto"/>
            </w:tcBorders>
          </w:tcPr>
          <w:p w:rsidR="007B36FD" w:rsidRPr="00106D0C" w:rsidRDefault="007B36FD" w:rsidP="00C0470F">
            <w:pPr>
              <w:pStyle w:val="ListParagraph"/>
              <w:spacing w:after="0" w:line="240" w:lineRule="auto"/>
              <w:ind w:left="0"/>
              <w:jc w:val="both"/>
              <w:rPr>
                <w:sz w:val="20"/>
                <w:szCs w:val="20"/>
              </w:rPr>
            </w:pPr>
            <w:r w:rsidRPr="00106D0C">
              <w:rPr>
                <w:sz w:val="20"/>
                <w:szCs w:val="20"/>
              </w:rPr>
              <w:t>Priority Action Agenda</w:t>
            </w:r>
          </w:p>
        </w:tc>
      </w:tr>
      <w:tr w:rsidR="00757DE9" w:rsidRPr="00106D0C">
        <w:trPr>
          <w:trHeight w:val="268"/>
          <w:jc w:val="center"/>
        </w:trPr>
        <w:tc>
          <w:tcPr>
            <w:tcW w:w="888" w:type="dxa"/>
            <w:tcBorders>
              <w:right w:val="single" w:sz="4" w:space="0" w:color="auto"/>
            </w:tcBorders>
          </w:tcPr>
          <w:p w:rsidR="00757DE9" w:rsidRPr="00106D0C" w:rsidRDefault="00757DE9" w:rsidP="00C0470F">
            <w:pPr>
              <w:pStyle w:val="ListParagraph"/>
              <w:spacing w:after="0" w:line="240" w:lineRule="auto"/>
              <w:ind w:left="0"/>
              <w:jc w:val="both"/>
              <w:rPr>
                <w:b/>
                <w:bCs/>
                <w:sz w:val="20"/>
                <w:szCs w:val="20"/>
              </w:rPr>
            </w:pPr>
            <w:r>
              <w:rPr>
                <w:b/>
                <w:bCs/>
                <w:sz w:val="20"/>
                <w:szCs w:val="20"/>
              </w:rPr>
              <w:t>PJSPV</w:t>
            </w:r>
          </w:p>
        </w:tc>
        <w:tc>
          <w:tcPr>
            <w:tcW w:w="8035" w:type="dxa"/>
            <w:tcBorders>
              <w:left w:val="single" w:sz="4" w:space="0" w:color="auto"/>
            </w:tcBorders>
          </w:tcPr>
          <w:p w:rsidR="00757DE9" w:rsidRPr="00106D0C" w:rsidRDefault="00757DE9" w:rsidP="00C0470F">
            <w:pPr>
              <w:pStyle w:val="ListParagraph"/>
              <w:spacing w:after="0" w:line="240" w:lineRule="auto"/>
              <w:ind w:left="0"/>
              <w:jc w:val="both"/>
              <w:rPr>
                <w:sz w:val="20"/>
                <w:szCs w:val="20"/>
              </w:rPr>
            </w:pPr>
            <w:r>
              <w:rPr>
                <w:sz w:val="20"/>
                <w:szCs w:val="20"/>
              </w:rPr>
              <w:t>Policing and Justice Support Program (Vanuatu)</w:t>
            </w:r>
          </w:p>
        </w:tc>
      </w:tr>
      <w:tr w:rsidR="007B36FD" w:rsidRPr="00106D0C">
        <w:trPr>
          <w:trHeight w:val="268"/>
          <w:jc w:val="center"/>
        </w:trPr>
        <w:tc>
          <w:tcPr>
            <w:tcW w:w="888" w:type="dxa"/>
            <w:tcBorders>
              <w:right w:val="single" w:sz="4" w:space="0" w:color="auto"/>
            </w:tcBorders>
          </w:tcPr>
          <w:p w:rsidR="007B36FD" w:rsidRPr="00106D0C" w:rsidRDefault="007B36FD" w:rsidP="00C0470F">
            <w:pPr>
              <w:pStyle w:val="ListParagraph"/>
              <w:spacing w:after="0" w:line="240" w:lineRule="auto"/>
              <w:ind w:left="0"/>
              <w:jc w:val="both"/>
              <w:rPr>
                <w:b/>
                <w:bCs/>
                <w:sz w:val="20"/>
                <w:szCs w:val="20"/>
              </w:rPr>
            </w:pPr>
            <w:r w:rsidRPr="00106D0C">
              <w:rPr>
                <w:b/>
                <w:bCs/>
                <w:sz w:val="20"/>
                <w:szCs w:val="20"/>
              </w:rPr>
              <w:t>PLAS</w:t>
            </w:r>
          </w:p>
        </w:tc>
        <w:tc>
          <w:tcPr>
            <w:tcW w:w="8035" w:type="dxa"/>
            <w:tcBorders>
              <w:left w:val="single" w:sz="4" w:space="0" w:color="auto"/>
            </w:tcBorders>
          </w:tcPr>
          <w:p w:rsidR="007B36FD" w:rsidRPr="00106D0C" w:rsidRDefault="007B36FD" w:rsidP="00C0470F">
            <w:pPr>
              <w:pStyle w:val="ListParagraph"/>
              <w:spacing w:after="0" w:line="240" w:lineRule="auto"/>
              <w:ind w:left="0"/>
              <w:jc w:val="both"/>
              <w:rPr>
                <w:sz w:val="20"/>
                <w:szCs w:val="20"/>
              </w:rPr>
            </w:pPr>
            <w:r w:rsidRPr="00106D0C">
              <w:rPr>
                <w:sz w:val="20"/>
                <w:szCs w:val="20"/>
              </w:rPr>
              <w:t>Planning Long Acting Short</w:t>
            </w:r>
          </w:p>
        </w:tc>
      </w:tr>
      <w:tr w:rsidR="007B36FD" w:rsidRPr="00106D0C">
        <w:trPr>
          <w:trHeight w:val="268"/>
          <w:jc w:val="center"/>
        </w:trPr>
        <w:tc>
          <w:tcPr>
            <w:tcW w:w="888" w:type="dxa"/>
            <w:tcBorders>
              <w:right w:val="single" w:sz="4" w:space="0" w:color="auto"/>
            </w:tcBorders>
          </w:tcPr>
          <w:p w:rsidR="007B36FD" w:rsidRPr="00106D0C" w:rsidRDefault="007B36FD" w:rsidP="00C0470F">
            <w:pPr>
              <w:pStyle w:val="ListParagraph"/>
              <w:spacing w:after="0" w:line="240" w:lineRule="auto"/>
              <w:ind w:left="0"/>
              <w:jc w:val="both"/>
              <w:rPr>
                <w:b/>
                <w:bCs/>
                <w:sz w:val="20"/>
                <w:szCs w:val="20"/>
              </w:rPr>
            </w:pPr>
            <w:r w:rsidRPr="00106D0C">
              <w:rPr>
                <w:b/>
                <w:bCs/>
                <w:sz w:val="20"/>
                <w:szCs w:val="20"/>
              </w:rPr>
              <w:t>PMG</w:t>
            </w:r>
          </w:p>
        </w:tc>
        <w:tc>
          <w:tcPr>
            <w:tcW w:w="8035" w:type="dxa"/>
            <w:tcBorders>
              <w:left w:val="single" w:sz="4" w:space="0" w:color="auto"/>
            </w:tcBorders>
          </w:tcPr>
          <w:p w:rsidR="007B36FD" w:rsidRPr="00106D0C" w:rsidRDefault="007B36FD" w:rsidP="00C0470F">
            <w:pPr>
              <w:pStyle w:val="ListParagraph"/>
              <w:spacing w:after="0" w:line="240" w:lineRule="auto"/>
              <w:ind w:left="0"/>
              <w:jc w:val="both"/>
              <w:rPr>
                <w:sz w:val="20"/>
                <w:szCs w:val="20"/>
              </w:rPr>
            </w:pPr>
            <w:r w:rsidRPr="00106D0C">
              <w:rPr>
                <w:sz w:val="20"/>
                <w:szCs w:val="20"/>
              </w:rPr>
              <w:t>Partnership Management Group</w:t>
            </w:r>
          </w:p>
        </w:tc>
      </w:tr>
      <w:tr w:rsidR="007B36FD" w:rsidRPr="00B834EF">
        <w:trPr>
          <w:trHeight w:val="268"/>
          <w:jc w:val="center"/>
        </w:trPr>
        <w:tc>
          <w:tcPr>
            <w:tcW w:w="888" w:type="dxa"/>
            <w:tcBorders>
              <w:right w:val="single" w:sz="4" w:space="0" w:color="auto"/>
            </w:tcBorders>
            <w:shd w:val="clear" w:color="auto" w:fill="auto"/>
          </w:tcPr>
          <w:p w:rsidR="007B36FD" w:rsidRPr="00B834EF" w:rsidRDefault="007B36FD" w:rsidP="00C0470F">
            <w:pPr>
              <w:pStyle w:val="ListParagraph"/>
              <w:spacing w:after="0" w:line="240" w:lineRule="auto"/>
              <w:ind w:left="0"/>
              <w:jc w:val="both"/>
              <w:rPr>
                <w:b/>
                <w:bCs/>
                <w:sz w:val="20"/>
                <w:szCs w:val="20"/>
              </w:rPr>
            </w:pPr>
            <w:r>
              <w:rPr>
                <w:b/>
                <w:bCs/>
                <w:sz w:val="20"/>
                <w:szCs w:val="20"/>
              </w:rPr>
              <w:t>PMF</w:t>
            </w:r>
          </w:p>
        </w:tc>
        <w:tc>
          <w:tcPr>
            <w:tcW w:w="8035" w:type="dxa"/>
            <w:tcBorders>
              <w:left w:val="single" w:sz="4" w:space="0" w:color="auto"/>
            </w:tcBorders>
            <w:shd w:val="clear" w:color="auto" w:fill="auto"/>
          </w:tcPr>
          <w:p w:rsidR="007B36FD" w:rsidRPr="00B834EF" w:rsidRDefault="007B36FD" w:rsidP="00C0470F">
            <w:pPr>
              <w:pStyle w:val="ListParagraph"/>
              <w:spacing w:after="0" w:line="240" w:lineRule="auto"/>
              <w:ind w:left="0"/>
              <w:jc w:val="both"/>
              <w:rPr>
                <w:sz w:val="20"/>
                <w:szCs w:val="20"/>
              </w:rPr>
            </w:pPr>
            <w:r>
              <w:rPr>
                <w:sz w:val="20"/>
                <w:szCs w:val="20"/>
              </w:rPr>
              <w:t>Performance Management Framework</w:t>
            </w:r>
          </w:p>
        </w:tc>
      </w:tr>
      <w:tr w:rsidR="007B36FD" w:rsidRPr="00B834EF">
        <w:trPr>
          <w:trHeight w:val="268"/>
          <w:jc w:val="center"/>
        </w:trPr>
        <w:tc>
          <w:tcPr>
            <w:tcW w:w="888" w:type="dxa"/>
            <w:tcBorders>
              <w:right w:val="single" w:sz="4" w:space="0" w:color="auto"/>
            </w:tcBorders>
          </w:tcPr>
          <w:p w:rsidR="007B36FD" w:rsidRPr="00B834EF" w:rsidRDefault="007B36FD" w:rsidP="00C0470F">
            <w:pPr>
              <w:pStyle w:val="ListParagraph"/>
              <w:spacing w:after="0" w:line="240" w:lineRule="auto"/>
              <w:ind w:left="0"/>
              <w:jc w:val="both"/>
              <w:rPr>
                <w:b/>
                <w:bCs/>
                <w:sz w:val="20"/>
                <w:szCs w:val="20"/>
              </w:rPr>
            </w:pPr>
            <w:r w:rsidRPr="00B834EF">
              <w:rPr>
                <w:b/>
                <w:bCs/>
                <w:sz w:val="20"/>
                <w:szCs w:val="20"/>
              </w:rPr>
              <w:t>PMO</w:t>
            </w:r>
          </w:p>
        </w:tc>
        <w:tc>
          <w:tcPr>
            <w:tcW w:w="8035" w:type="dxa"/>
            <w:tcBorders>
              <w:left w:val="single" w:sz="4" w:space="0" w:color="auto"/>
            </w:tcBorders>
          </w:tcPr>
          <w:p w:rsidR="007B36FD" w:rsidRPr="00B834EF" w:rsidRDefault="007B36FD" w:rsidP="00C0470F">
            <w:pPr>
              <w:pStyle w:val="ListParagraph"/>
              <w:spacing w:after="0" w:line="240" w:lineRule="auto"/>
              <w:ind w:left="0"/>
              <w:jc w:val="both"/>
              <w:rPr>
                <w:sz w:val="20"/>
                <w:szCs w:val="20"/>
              </w:rPr>
            </w:pPr>
            <w:r w:rsidRPr="00B834EF">
              <w:rPr>
                <w:sz w:val="20"/>
                <w:szCs w:val="20"/>
              </w:rPr>
              <w:t>Prime Minister’s Office</w:t>
            </w:r>
          </w:p>
        </w:tc>
      </w:tr>
      <w:tr w:rsidR="007B36FD" w:rsidRPr="00B834EF">
        <w:trPr>
          <w:trHeight w:val="268"/>
          <w:jc w:val="center"/>
        </w:trPr>
        <w:tc>
          <w:tcPr>
            <w:tcW w:w="888" w:type="dxa"/>
            <w:tcBorders>
              <w:right w:val="single" w:sz="4" w:space="0" w:color="auto"/>
            </w:tcBorders>
          </w:tcPr>
          <w:p w:rsidR="007B36FD" w:rsidRPr="00B834EF" w:rsidRDefault="007B36FD" w:rsidP="00C0470F">
            <w:pPr>
              <w:pStyle w:val="ListParagraph"/>
              <w:spacing w:after="0" w:line="240" w:lineRule="auto"/>
              <w:ind w:left="0"/>
              <w:jc w:val="both"/>
              <w:rPr>
                <w:b/>
                <w:bCs/>
                <w:sz w:val="20"/>
                <w:szCs w:val="20"/>
              </w:rPr>
            </w:pPr>
            <w:r w:rsidRPr="00B834EF">
              <w:rPr>
                <w:b/>
                <w:bCs/>
                <w:sz w:val="20"/>
                <w:szCs w:val="20"/>
              </w:rPr>
              <w:t>PPO</w:t>
            </w:r>
          </w:p>
        </w:tc>
        <w:tc>
          <w:tcPr>
            <w:tcW w:w="8035" w:type="dxa"/>
            <w:tcBorders>
              <w:left w:val="single" w:sz="4" w:space="0" w:color="auto"/>
            </w:tcBorders>
          </w:tcPr>
          <w:p w:rsidR="007B36FD" w:rsidRPr="00B834EF" w:rsidRDefault="007B36FD" w:rsidP="00C0470F">
            <w:pPr>
              <w:pStyle w:val="ListParagraph"/>
              <w:spacing w:after="0" w:line="240" w:lineRule="auto"/>
              <w:ind w:left="0"/>
              <w:jc w:val="both"/>
              <w:rPr>
                <w:sz w:val="20"/>
                <w:szCs w:val="20"/>
              </w:rPr>
            </w:pPr>
            <w:r w:rsidRPr="00B834EF">
              <w:rPr>
                <w:sz w:val="20"/>
                <w:szCs w:val="20"/>
              </w:rPr>
              <w:t>Public Prosecutor’s Office</w:t>
            </w:r>
          </w:p>
        </w:tc>
      </w:tr>
      <w:tr w:rsidR="007B36FD" w:rsidRPr="00B834EF">
        <w:trPr>
          <w:trHeight w:val="281"/>
          <w:jc w:val="center"/>
        </w:trPr>
        <w:tc>
          <w:tcPr>
            <w:tcW w:w="888" w:type="dxa"/>
            <w:tcBorders>
              <w:right w:val="single" w:sz="4" w:space="0" w:color="auto"/>
            </w:tcBorders>
          </w:tcPr>
          <w:p w:rsidR="007B36FD" w:rsidRPr="00B834EF" w:rsidRDefault="007B36FD" w:rsidP="00C0470F">
            <w:pPr>
              <w:pStyle w:val="ListParagraph"/>
              <w:spacing w:after="0" w:line="240" w:lineRule="auto"/>
              <w:ind w:left="0"/>
              <w:jc w:val="both"/>
              <w:rPr>
                <w:b/>
                <w:bCs/>
                <w:sz w:val="20"/>
                <w:szCs w:val="20"/>
              </w:rPr>
            </w:pPr>
            <w:r w:rsidRPr="00B834EF">
              <w:rPr>
                <w:b/>
                <w:bCs/>
                <w:sz w:val="20"/>
                <w:szCs w:val="20"/>
              </w:rPr>
              <w:t>PSC</w:t>
            </w:r>
          </w:p>
        </w:tc>
        <w:tc>
          <w:tcPr>
            <w:tcW w:w="8035" w:type="dxa"/>
            <w:tcBorders>
              <w:left w:val="single" w:sz="4" w:space="0" w:color="auto"/>
            </w:tcBorders>
          </w:tcPr>
          <w:p w:rsidR="007B36FD" w:rsidRPr="00B834EF" w:rsidRDefault="007B36FD" w:rsidP="00C0470F">
            <w:pPr>
              <w:pStyle w:val="ListParagraph"/>
              <w:spacing w:after="0" w:line="240" w:lineRule="auto"/>
              <w:ind w:left="0"/>
              <w:jc w:val="both"/>
              <w:rPr>
                <w:sz w:val="20"/>
                <w:szCs w:val="20"/>
              </w:rPr>
            </w:pPr>
            <w:r w:rsidRPr="00B834EF">
              <w:rPr>
                <w:sz w:val="20"/>
                <w:szCs w:val="20"/>
              </w:rPr>
              <w:t>Public Service Commission</w:t>
            </w:r>
          </w:p>
        </w:tc>
      </w:tr>
      <w:tr w:rsidR="007B36FD" w:rsidRPr="00B834EF">
        <w:trPr>
          <w:trHeight w:val="281"/>
          <w:jc w:val="center"/>
        </w:trPr>
        <w:tc>
          <w:tcPr>
            <w:tcW w:w="888" w:type="dxa"/>
            <w:tcBorders>
              <w:right w:val="single" w:sz="4" w:space="0" w:color="auto"/>
            </w:tcBorders>
          </w:tcPr>
          <w:p w:rsidR="007B36FD" w:rsidRPr="00B834EF" w:rsidRDefault="007B36FD" w:rsidP="00C0470F">
            <w:pPr>
              <w:pStyle w:val="ListParagraph"/>
              <w:spacing w:after="0" w:line="240" w:lineRule="auto"/>
              <w:ind w:left="0"/>
              <w:jc w:val="both"/>
              <w:rPr>
                <w:b/>
                <w:bCs/>
                <w:sz w:val="20"/>
                <w:szCs w:val="20"/>
              </w:rPr>
            </w:pPr>
            <w:r w:rsidRPr="00B834EF">
              <w:rPr>
                <w:b/>
                <w:bCs/>
                <w:sz w:val="20"/>
                <w:szCs w:val="20"/>
              </w:rPr>
              <w:t>PSO</w:t>
            </w:r>
          </w:p>
        </w:tc>
        <w:tc>
          <w:tcPr>
            <w:tcW w:w="8035" w:type="dxa"/>
            <w:tcBorders>
              <w:left w:val="single" w:sz="4" w:space="0" w:color="auto"/>
            </w:tcBorders>
          </w:tcPr>
          <w:p w:rsidR="007B36FD" w:rsidRPr="00B834EF" w:rsidRDefault="007B36FD" w:rsidP="00C0470F">
            <w:pPr>
              <w:pStyle w:val="ListParagraph"/>
              <w:spacing w:after="0" w:line="240" w:lineRule="auto"/>
              <w:ind w:left="0"/>
              <w:jc w:val="both"/>
              <w:rPr>
                <w:sz w:val="20"/>
                <w:szCs w:val="20"/>
              </w:rPr>
            </w:pPr>
            <w:r w:rsidRPr="00B834EF">
              <w:rPr>
                <w:sz w:val="20"/>
                <w:szCs w:val="20"/>
              </w:rPr>
              <w:t>Public Solicitor’s Office</w:t>
            </w:r>
          </w:p>
        </w:tc>
      </w:tr>
      <w:tr w:rsidR="007B36FD" w:rsidRPr="00B834EF">
        <w:trPr>
          <w:trHeight w:val="268"/>
          <w:jc w:val="center"/>
        </w:trPr>
        <w:tc>
          <w:tcPr>
            <w:tcW w:w="888" w:type="dxa"/>
            <w:tcBorders>
              <w:right w:val="single" w:sz="4" w:space="0" w:color="auto"/>
            </w:tcBorders>
          </w:tcPr>
          <w:p w:rsidR="007B36FD" w:rsidRPr="00B834EF" w:rsidRDefault="007B36FD" w:rsidP="00C0470F">
            <w:pPr>
              <w:pStyle w:val="ListParagraph"/>
              <w:spacing w:after="0" w:line="240" w:lineRule="auto"/>
              <w:ind w:left="0"/>
              <w:jc w:val="both"/>
              <w:rPr>
                <w:b/>
                <w:bCs/>
                <w:sz w:val="20"/>
                <w:szCs w:val="20"/>
              </w:rPr>
            </w:pPr>
            <w:r>
              <w:rPr>
                <w:b/>
                <w:bCs/>
                <w:sz w:val="20"/>
                <w:szCs w:val="20"/>
              </w:rPr>
              <w:t>SCV</w:t>
            </w:r>
          </w:p>
        </w:tc>
        <w:tc>
          <w:tcPr>
            <w:tcW w:w="8035" w:type="dxa"/>
            <w:tcBorders>
              <w:left w:val="single" w:sz="4" w:space="0" w:color="auto"/>
            </w:tcBorders>
          </w:tcPr>
          <w:p w:rsidR="007B36FD" w:rsidRPr="00B834EF" w:rsidRDefault="007B36FD" w:rsidP="005557B4">
            <w:pPr>
              <w:pStyle w:val="ListParagraph"/>
              <w:spacing w:after="0" w:line="240" w:lineRule="auto"/>
              <w:ind w:left="0"/>
              <w:jc w:val="both"/>
              <w:rPr>
                <w:sz w:val="20"/>
                <w:szCs w:val="20"/>
              </w:rPr>
            </w:pPr>
            <w:r w:rsidRPr="00B834EF">
              <w:rPr>
                <w:color w:val="000000"/>
                <w:sz w:val="20"/>
                <w:szCs w:val="20"/>
              </w:rPr>
              <w:t xml:space="preserve">Save the Children </w:t>
            </w:r>
            <w:r w:rsidR="005557B4">
              <w:rPr>
                <w:color w:val="000000"/>
                <w:sz w:val="20"/>
                <w:szCs w:val="20"/>
              </w:rPr>
              <w:t>Vanuatu</w:t>
            </w:r>
          </w:p>
        </w:tc>
      </w:tr>
      <w:tr w:rsidR="007B36FD" w:rsidRPr="00B834EF">
        <w:trPr>
          <w:trHeight w:val="268"/>
          <w:jc w:val="center"/>
        </w:trPr>
        <w:tc>
          <w:tcPr>
            <w:tcW w:w="888" w:type="dxa"/>
            <w:tcBorders>
              <w:right w:val="single" w:sz="4" w:space="0" w:color="auto"/>
            </w:tcBorders>
          </w:tcPr>
          <w:p w:rsidR="007B36FD" w:rsidRPr="00B834EF" w:rsidRDefault="007B36FD" w:rsidP="00C0470F">
            <w:pPr>
              <w:pStyle w:val="ListParagraph"/>
              <w:spacing w:after="0" w:line="240" w:lineRule="auto"/>
              <w:ind w:left="0"/>
              <w:jc w:val="both"/>
              <w:rPr>
                <w:b/>
                <w:bCs/>
                <w:sz w:val="20"/>
                <w:szCs w:val="20"/>
              </w:rPr>
            </w:pPr>
            <w:r w:rsidRPr="00B834EF">
              <w:rPr>
                <w:b/>
                <w:bCs/>
                <w:sz w:val="20"/>
                <w:szCs w:val="20"/>
              </w:rPr>
              <w:t>SLO</w:t>
            </w:r>
          </w:p>
        </w:tc>
        <w:tc>
          <w:tcPr>
            <w:tcW w:w="8035" w:type="dxa"/>
            <w:tcBorders>
              <w:left w:val="single" w:sz="4" w:space="0" w:color="auto"/>
            </w:tcBorders>
          </w:tcPr>
          <w:p w:rsidR="007B36FD" w:rsidRPr="00B834EF" w:rsidRDefault="007B36FD" w:rsidP="00C0470F">
            <w:pPr>
              <w:pStyle w:val="ListParagraph"/>
              <w:spacing w:after="0" w:line="240" w:lineRule="auto"/>
              <w:ind w:left="0"/>
              <w:jc w:val="both"/>
              <w:rPr>
                <w:sz w:val="20"/>
                <w:szCs w:val="20"/>
              </w:rPr>
            </w:pPr>
            <w:r w:rsidRPr="00B834EF">
              <w:rPr>
                <w:sz w:val="20"/>
                <w:szCs w:val="20"/>
              </w:rPr>
              <w:t>State Law Office</w:t>
            </w:r>
          </w:p>
        </w:tc>
      </w:tr>
      <w:tr w:rsidR="007B36FD" w:rsidRPr="00B834EF">
        <w:trPr>
          <w:trHeight w:val="268"/>
          <w:jc w:val="center"/>
        </w:trPr>
        <w:tc>
          <w:tcPr>
            <w:tcW w:w="888" w:type="dxa"/>
            <w:tcBorders>
              <w:right w:val="single" w:sz="4" w:space="0" w:color="auto"/>
            </w:tcBorders>
          </w:tcPr>
          <w:p w:rsidR="007B36FD" w:rsidRPr="00B834EF" w:rsidRDefault="007B36FD" w:rsidP="00C0470F">
            <w:pPr>
              <w:pStyle w:val="ListParagraph"/>
              <w:spacing w:after="0" w:line="240" w:lineRule="auto"/>
              <w:ind w:left="0"/>
              <w:jc w:val="both"/>
              <w:rPr>
                <w:b/>
                <w:bCs/>
                <w:sz w:val="20"/>
                <w:szCs w:val="20"/>
              </w:rPr>
            </w:pPr>
            <w:r w:rsidRPr="00B834EF">
              <w:rPr>
                <w:b/>
                <w:bCs/>
                <w:sz w:val="20"/>
                <w:szCs w:val="20"/>
              </w:rPr>
              <w:t>SPD</w:t>
            </w:r>
          </w:p>
        </w:tc>
        <w:tc>
          <w:tcPr>
            <w:tcW w:w="8035" w:type="dxa"/>
            <w:tcBorders>
              <w:left w:val="single" w:sz="4" w:space="0" w:color="auto"/>
            </w:tcBorders>
          </w:tcPr>
          <w:p w:rsidR="007B36FD" w:rsidRPr="00B834EF" w:rsidRDefault="007B36FD" w:rsidP="00C0470F">
            <w:pPr>
              <w:pStyle w:val="ListParagraph"/>
              <w:spacing w:after="0" w:line="240" w:lineRule="auto"/>
              <w:ind w:left="0"/>
              <w:jc w:val="both"/>
              <w:rPr>
                <w:sz w:val="20"/>
                <w:szCs w:val="20"/>
              </w:rPr>
            </w:pPr>
            <w:r w:rsidRPr="00B834EF">
              <w:rPr>
                <w:sz w:val="20"/>
                <w:szCs w:val="20"/>
              </w:rPr>
              <w:t>State Prosecutions Department</w:t>
            </w:r>
          </w:p>
        </w:tc>
      </w:tr>
      <w:tr w:rsidR="007B36FD" w:rsidRPr="00B834EF">
        <w:trPr>
          <w:trHeight w:val="268"/>
          <w:jc w:val="center"/>
        </w:trPr>
        <w:tc>
          <w:tcPr>
            <w:tcW w:w="888" w:type="dxa"/>
            <w:tcBorders>
              <w:right w:val="single" w:sz="4" w:space="0" w:color="auto"/>
            </w:tcBorders>
          </w:tcPr>
          <w:p w:rsidR="007B36FD" w:rsidRPr="00B834EF" w:rsidRDefault="007B36FD" w:rsidP="00C0470F">
            <w:pPr>
              <w:pStyle w:val="ListParagraph"/>
              <w:spacing w:after="0" w:line="240" w:lineRule="auto"/>
              <w:ind w:left="0"/>
              <w:jc w:val="both"/>
              <w:rPr>
                <w:b/>
                <w:bCs/>
                <w:sz w:val="20"/>
                <w:szCs w:val="20"/>
              </w:rPr>
            </w:pPr>
            <w:r w:rsidRPr="00B834EF">
              <w:rPr>
                <w:b/>
                <w:bCs/>
                <w:sz w:val="20"/>
                <w:szCs w:val="20"/>
              </w:rPr>
              <w:t>SRBJ</w:t>
            </w:r>
          </w:p>
        </w:tc>
        <w:tc>
          <w:tcPr>
            <w:tcW w:w="8035" w:type="dxa"/>
            <w:tcBorders>
              <w:left w:val="single" w:sz="4" w:space="0" w:color="auto"/>
            </w:tcBorders>
          </w:tcPr>
          <w:p w:rsidR="007B36FD" w:rsidRPr="00B834EF" w:rsidRDefault="007B36FD" w:rsidP="00C0470F">
            <w:pPr>
              <w:pStyle w:val="ListParagraph"/>
              <w:spacing w:after="0" w:line="240" w:lineRule="auto"/>
              <w:ind w:left="0"/>
              <w:jc w:val="both"/>
              <w:rPr>
                <w:sz w:val="20"/>
                <w:szCs w:val="20"/>
              </w:rPr>
            </w:pPr>
            <w:r w:rsidRPr="00B834EF">
              <w:rPr>
                <w:sz w:val="20"/>
                <w:szCs w:val="20"/>
              </w:rPr>
              <w:t>Stretem Rod Blong Jastis Partnership</w:t>
            </w:r>
          </w:p>
        </w:tc>
      </w:tr>
      <w:tr w:rsidR="007B36FD" w:rsidRPr="00B834EF">
        <w:trPr>
          <w:trHeight w:val="268"/>
          <w:jc w:val="center"/>
        </w:trPr>
        <w:tc>
          <w:tcPr>
            <w:tcW w:w="888" w:type="dxa"/>
            <w:tcBorders>
              <w:right w:val="single" w:sz="4" w:space="0" w:color="auto"/>
            </w:tcBorders>
          </w:tcPr>
          <w:p w:rsidR="007B36FD" w:rsidRPr="00B834EF" w:rsidRDefault="007B36FD" w:rsidP="00C0470F">
            <w:pPr>
              <w:pStyle w:val="ListParagraph"/>
              <w:spacing w:after="0" w:line="240" w:lineRule="auto"/>
              <w:ind w:left="0"/>
              <w:jc w:val="both"/>
              <w:rPr>
                <w:b/>
                <w:bCs/>
                <w:sz w:val="20"/>
                <w:szCs w:val="20"/>
              </w:rPr>
            </w:pPr>
            <w:r w:rsidRPr="00B834EF">
              <w:rPr>
                <w:b/>
                <w:bCs/>
                <w:sz w:val="20"/>
                <w:szCs w:val="20"/>
              </w:rPr>
              <w:t>TA</w:t>
            </w:r>
          </w:p>
        </w:tc>
        <w:tc>
          <w:tcPr>
            <w:tcW w:w="8035" w:type="dxa"/>
            <w:tcBorders>
              <w:left w:val="single" w:sz="4" w:space="0" w:color="auto"/>
            </w:tcBorders>
          </w:tcPr>
          <w:p w:rsidR="007B36FD" w:rsidRPr="00B834EF" w:rsidRDefault="007B36FD" w:rsidP="00C0470F">
            <w:pPr>
              <w:pStyle w:val="ListParagraph"/>
              <w:spacing w:after="0" w:line="240" w:lineRule="auto"/>
              <w:ind w:left="0"/>
              <w:jc w:val="both"/>
              <w:rPr>
                <w:sz w:val="20"/>
                <w:szCs w:val="20"/>
              </w:rPr>
            </w:pPr>
            <w:r w:rsidRPr="00B834EF">
              <w:rPr>
                <w:sz w:val="20"/>
                <w:szCs w:val="20"/>
              </w:rPr>
              <w:t>Technical Advisers</w:t>
            </w:r>
          </w:p>
        </w:tc>
      </w:tr>
      <w:tr w:rsidR="007B36FD" w:rsidRPr="00B834EF">
        <w:trPr>
          <w:trHeight w:val="281"/>
          <w:jc w:val="center"/>
        </w:trPr>
        <w:tc>
          <w:tcPr>
            <w:tcW w:w="888" w:type="dxa"/>
            <w:tcBorders>
              <w:right w:val="single" w:sz="4" w:space="0" w:color="auto"/>
            </w:tcBorders>
          </w:tcPr>
          <w:p w:rsidR="007B36FD" w:rsidRPr="00B834EF" w:rsidRDefault="007B36FD" w:rsidP="00C0470F">
            <w:pPr>
              <w:pStyle w:val="ListParagraph"/>
              <w:spacing w:after="0" w:line="240" w:lineRule="auto"/>
              <w:ind w:left="0"/>
              <w:jc w:val="both"/>
              <w:rPr>
                <w:b/>
                <w:bCs/>
                <w:sz w:val="20"/>
                <w:szCs w:val="20"/>
              </w:rPr>
            </w:pPr>
            <w:r w:rsidRPr="00B834EF">
              <w:rPr>
                <w:b/>
                <w:bCs/>
                <w:sz w:val="20"/>
                <w:szCs w:val="20"/>
              </w:rPr>
              <w:t>TOR</w:t>
            </w:r>
          </w:p>
        </w:tc>
        <w:tc>
          <w:tcPr>
            <w:tcW w:w="8035" w:type="dxa"/>
            <w:tcBorders>
              <w:left w:val="single" w:sz="4" w:space="0" w:color="auto"/>
            </w:tcBorders>
          </w:tcPr>
          <w:p w:rsidR="007B36FD" w:rsidRPr="00B834EF" w:rsidRDefault="007B36FD" w:rsidP="00C0470F">
            <w:pPr>
              <w:pStyle w:val="ListParagraph"/>
              <w:spacing w:after="0" w:line="240" w:lineRule="auto"/>
              <w:ind w:left="0"/>
              <w:jc w:val="both"/>
              <w:rPr>
                <w:sz w:val="20"/>
                <w:szCs w:val="20"/>
              </w:rPr>
            </w:pPr>
            <w:r w:rsidRPr="00B834EF">
              <w:rPr>
                <w:sz w:val="20"/>
                <w:szCs w:val="20"/>
              </w:rPr>
              <w:t>Terms of Reference</w:t>
            </w:r>
          </w:p>
        </w:tc>
      </w:tr>
      <w:tr w:rsidR="007B36FD" w:rsidRPr="00B834EF">
        <w:trPr>
          <w:trHeight w:val="281"/>
          <w:jc w:val="center"/>
        </w:trPr>
        <w:tc>
          <w:tcPr>
            <w:tcW w:w="888" w:type="dxa"/>
            <w:tcBorders>
              <w:right w:val="single" w:sz="4" w:space="0" w:color="auto"/>
            </w:tcBorders>
          </w:tcPr>
          <w:p w:rsidR="007B36FD" w:rsidRPr="00B834EF" w:rsidRDefault="007B36FD" w:rsidP="00C0470F">
            <w:pPr>
              <w:pStyle w:val="ListParagraph"/>
              <w:spacing w:after="0" w:line="240" w:lineRule="auto"/>
              <w:ind w:left="0"/>
              <w:jc w:val="both"/>
              <w:rPr>
                <w:b/>
                <w:bCs/>
                <w:sz w:val="20"/>
                <w:szCs w:val="20"/>
              </w:rPr>
            </w:pPr>
            <w:r w:rsidRPr="00B834EF">
              <w:rPr>
                <w:b/>
                <w:bCs/>
                <w:sz w:val="20"/>
                <w:szCs w:val="20"/>
              </w:rPr>
              <w:t>UNICEF</w:t>
            </w:r>
          </w:p>
        </w:tc>
        <w:tc>
          <w:tcPr>
            <w:tcW w:w="8035" w:type="dxa"/>
            <w:tcBorders>
              <w:left w:val="single" w:sz="4" w:space="0" w:color="auto"/>
            </w:tcBorders>
          </w:tcPr>
          <w:p w:rsidR="007B36FD" w:rsidRPr="00B834EF" w:rsidRDefault="007B36FD" w:rsidP="00C0470F">
            <w:pPr>
              <w:pStyle w:val="ListParagraph"/>
              <w:spacing w:after="0" w:line="240" w:lineRule="auto"/>
              <w:ind w:left="0"/>
              <w:jc w:val="both"/>
              <w:rPr>
                <w:sz w:val="20"/>
                <w:szCs w:val="20"/>
              </w:rPr>
            </w:pPr>
            <w:r w:rsidRPr="00B834EF">
              <w:rPr>
                <w:sz w:val="20"/>
                <w:szCs w:val="20"/>
              </w:rPr>
              <w:t>United Nations Children’s Fund</w:t>
            </w:r>
          </w:p>
        </w:tc>
      </w:tr>
      <w:tr w:rsidR="007B36FD" w:rsidRPr="00B834EF">
        <w:trPr>
          <w:trHeight w:val="268"/>
          <w:jc w:val="center"/>
        </w:trPr>
        <w:tc>
          <w:tcPr>
            <w:tcW w:w="888" w:type="dxa"/>
            <w:tcBorders>
              <w:right w:val="single" w:sz="4" w:space="0" w:color="auto"/>
            </w:tcBorders>
          </w:tcPr>
          <w:p w:rsidR="007B36FD" w:rsidRPr="00B834EF" w:rsidRDefault="007B36FD" w:rsidP="00C0470F">
            <w:pPr>
              <w:pStyle w:val="ListParagraph"/>
              <w:spacing w:after="0" w:line="240" w:lineRule="auto"/>
              <w:ind w:left="0"/>
              <w:jc w:val="both"/>
              <w:rPr>
                <w:b/>
                <w:bCs/>
                <w:sz w:val="20"/>
                <w:szCs w:val="20"/>
              </w:rPr>
            </w:pPr>
            <w:r w:rsidRPr="00B834EF">
              <w:rPr>
                <w:b/>
                <w:bCs/>
                <w:sz w:val="20"/>
                <w:szCs w:val="20"/>
              </w:rPr>
              <w:t>USP</w:t>
            </w:r>
          </w:p>
        </w:tc>
        <w:tc>
          <w:tcPr>
            <w:tcW w:w="8035" w:type="dxa"/>
            <w:tcBorders>
              <w:left w:val="single" w:sz="4" w:space="0" w:color="auto"/>
            </w:tcBorders>
          </w:tcPr>
          <w:p w:rsidR="007B36FD" w:rsidRPr="00B834EF" w:rsidRDefault="007B36FD" w:rsidP="00C0470F">
            <w:pPr>
              <w:pStyle w:val="ListParagraph"/>
              <w:spacing w:after="0" w:line="240" w:lineRule="auto"/>
              <w:ind w:left="0"/>
              <w:jc w:val="both"/>
              <w:rPr>
                <w:sz w:val="20"/>
                <w:szCs w:val="20"/>
              </w:rPr>
            </w:pPr>
            <w:r w:rsidRPr="00B834EF">
              <w:rPr>
                <w:sz w:val="20"/>
                <w:szCs w:val="20"/>
              </w:rPr>
              <w:t>University of the South Pacific</w:t>
            </w:r>
          </w:p>
        </w:tc>
      </w:tr>
      <w:tr w:rsidR="007B36FD" w:rsidRPr="00B834EF">
        <w:trPr>
          <w:trHeight w:val="268"/>
          <w:jc w:val="center"/>
        </w:trPr>
        <w:tc>
          <w:tcPr>
            <w:tcW w:w="888" w:type="dxa"/>
            <w:tcBorders>
              <w:right w:val="single" w:sz="4" w:space="0" w:color="auto"/>
            </w:tcBorders>
          </w:tcPr>
          <w:p w:rsidR="007B36FD" w:rsidRPr="00B834EF" w:rsidRDefault="007B36FD" w:rsidP="00C0470F">
            <w:pPr>
              <w:pStyle w:val="ListParagraph"/>
              <w:spacing w:after="0" w:line="240" w:lineRule="auto"/>
              <w:ind w:left="0"/>
              <w:jc w:val="both"/>
              <w:rPr>
                <w:b/>
                <w:bCs/>
                <w:sz w:val="20"/>
                <w:szCs w:val="20"/>
              </w:rPr>
            </w:pPr>
            <w:r w:rsidRPr="00B834EF">
              <w:rPr>
                <w:b/>
                <w:bCs/>
                <w:sz w:val="20"/>
                <w:szCs w:val="20"/>
              </w:rPr>
              <w:t>VAPP</w:t>
            </w:r>
          </w:p>
        </w:tc>
        <w:tc>
          <w:tcPr>
            <w:tcW w:w="8035" w:type="dxa"/>
            <w:tcBorders>
              <w:left w:val="single" w:sz="4" w:space="0" w:color="auto"/>
            </w:tcBorders>
          </w:tcPr>
          <w:p w:rsidR="007B36FD" w:rsidRPr="00B834EF" w:rsidRDefault="007B36FD" w:rsidP="00C0470F">
            <w:pPr>
              <w:pStyle w:val="ListParagraph"/>
              <w:spacing w:after="0" w:line="240" w:lineRule="auto"/>
              <w:ind w:left="0"/>
              <w:jc w:val="both"/>
              <w:rPr>
                <w:sz w:val="20"/>
                <w:szCs w:val="20"/>
              </w:rPr>
            </w:pPr>
            <w:r w:rsidRPr="00B834EF">
              <w:rPr>
                <w:sz w:val="20"/>
                <w:szCs w:val="20"/>
              </w:rPr>
              <w:t>Vanuatu Australia Police Program</w:t>
            </w:r>
          </w:p>
        </w:tc>
      </w:tr>
      <w:tr w:rsidR="007B36FD" w:rsidRPr="00B834EF">
        <w:trPr>
          <w:trHeight w:val="268"/>
          <w:jc w:val="center"/>
        </w:trPr>
        <w:tc>
          <w:tcPr>
            <w:tcW w:w="888" w:type="dxa"/>
            <w:tcBorders>
              <w:right w:val="single" w:sz="4" w:space="0" w:color="auto"/>
            </w:tcBorders>
          </w:tcPr>
          <w:p w:rsidR="007B36FD" w:rsidRPr="00B834EF" w:rsidRDefault="007B36FD" w:rsidP="00C0470F">
            <w:pPr>
              <w:pStyle w:val="ListParagraph"/>
              <w:spacing w:after="0" w:line="240" w:lineRule="auto"/>
              <w:ind w:left="0"/>
              <w:jc w:val="both"/>
              <w:rPr>
                <w:b/>
                <w:bCs/>
                <w:sz w:val="20"/>
                <w:szCs w:val="20"/>
              </w:rPr>
            </w:pPr>
            <w:r w:rsidRPr="00B834EF">
              <w:rPr>
                <w:b/>
                <w:bCs/>
                <w:sz w:val="20"/>
                <w:szCs w:val="20"/>
              </w:rPr>
              <w:t>VLC</w:t>
            </w:r>
          </w:p>
        </w:tc>
        <w:tc>
          <w:tcPr>
            <w:tcW w:w="8035" w:type="dxa"/>
            <w:tcBorders>
              <w:left w:val="single" w:sz="4" w:space="0" w:color="auto"/>
            </w:tcBorders>
          </w:tcPr>
          <w:p w:rsidR="007B36FD" w:rsidRPr="00B834EF" w:rsidRDefault="007B36FD" w:rsidP="00C0470F">
            <w:pPr>
              <w:pStyle w:val="ListParagraph"/>
              <w:spacing w:after="0" w:line="240" w:lineRule="auto"/>
              <w:ind w:left="0"/>
              <w:jc w:val="both"/>
              <w:rPr>
                <w:sz w:val="20"/>
                <w:szCs w:val="20"/>
              </w:rPr>
            </w:pPr>
            <w:r w:rsidRPr="00B834EF">
              <w:rPr>
                <w:sz w:val="20"/>
                <w:szCs w:val="20"/>
              </w:rPr>
              <w:t>Vanuatu Law Commission</w:t>
            </w:r>
          </w:p>
        </w:tc>
      </w:tr>
      <w:tr w:rsidR="007B36FD" w:rsidRPr="00B834EF">
        <w:trPr>
          <w:trHeight w:val="281"/>
          <w:jc w:val="center"/>
        </w:trPr>
        <w:tc>
          <w:tcPr>
            <w:tcW w:w="888" w:type="dxa"/>
            <w:tcBorders>
              <w:right w:val="single" w:sz="4" w:space="0" w:color="auto"/>
            </w:tcBorders>
          </w:tcPr>
          <w:p w:rsidR="007B36FD" w:rsidRPr="00B834EF" w:rsidRDefault="007B36FD" w:rsidP="00C0470F">
            <w:pPr>
              <w:pStyle w:val="ListParagraph"/>
              <w:spacing w:after="0" w:line="240" w:lineRule="auto"/>
              <w:ind w:left="0"/>
              <w:jc w:val="both"/>
              <w:rPr>
                <w:b/>
                <w:bCs/>
                <w:sz w:val="20"/>
                <w:szCs w:val="20"/>
              </w:rPr>
            </w:pPr>
            <w:r w:rsidRPr="00B834EF">
              <w:rPr>
                <w:b/>
                <w:bCs/>
                <w:sz w:val="20"/>
                <w:szCs w:val="20"/>
              </w:rPr>
              <w:t>VLJP</w:t>
            </w:r>
          </w:p>
        </w:tc>
        <w:tc>
          <w:tcPr>
            <w:tcW w:w="8035" w:type="dxa"/>
            <w:tcBorders>
              <w:left w:val="single" w:sz="4" w:space="0" w:color="auto"/>
            </w:tcBorders>
          </w:tcPr>
          <w:p w:rsidR="007B36FD" w:rsidRPr="00B834EF" w:rsidRDefault="007B36FD" w:rsidP="00C0470F">
            <w:pPr>
              <w:pStyle w:val="ListParagraph"/>
              <w:spacing w:after="0" w:line="240" w:lineRule="auto"/>
              <w:ind w:left="0"/>
              <w:jc w:val="both"/>
              <w:rPr>
                <w:sz w:val="20"/>
                <w:szCs w:val="20"/>
              </w:rPr>
            </w:pPr>
            <w:r w:rsidRPr="00B834EF">
              <w:rPr>
                <w:sz w:val="20"/>
                <w:szCs w:val="20"/>
              </w:rPr>
              <w:t>Vanuatu Law and Justice Partnership</w:t>
            </w:r>
          </w:p>
        </w:tc>
      </w:tr>
      <w:tr w:rsidR="007B36FD" w:rsidRPr="00B834EF">
        <w:trPr>
          <w:trHeight w:val="281"/>
          <w:jc w:val="center"/>
        </w:trPr>
        <w:tc>
          <w:tcPr>
            <w:tcW w:w="888" w:type="dxa"/>
            <w:tcBorders>
              <w:right w:val="single" w:sz="4" w:space="0" w:color="auto"/>
            </w:tcBorders>
          </w:tcPr>
          <w:p w:rsidR="007B36FD" w:rsidRPr="00B834EF" w:rsidRDefault="007B36FD" w:rsidP="00C0470F">
            <w:pPr>
              <w:pStyle w:val="ListParagraph"/>
              <w:spacing w:after="0" w:line="240" w:lineRule="auto"/>
              <w:ind w:left="0"/>
              <w:jc w:val="both"/>
              <w:rPr>
                <w:b/>
                <w:bCs/>
                <w:sz w:val="20"/>
                <w:szCs w:val="20"/>
              </w:rPr>
            </w:pPr>
            <w:r w:rsidRPr="00B834EF">
              <w:rPr>
                <w:b/>
                <w:bCs/>
                <w:sz w:val="20"/>
                <w:szCs w:val="20"/>
              </w:rPr>
              <w:t>VNSO</w:t>
            </w:r>
          </w:p>
        </w:tc>
        <w:tc>
          <w:tcPr>
            <w:tcW w:w="8035" w:type="dxa"/>
            <w:tcBorders>
              <w:left w:val="single" w:sz="4" w:space="0" w:color="auto"/>
            </w:tcBorders>
          </w:tcPr>
          <w:p w:rsidR="007B36FD" w:rsidRPr="00B834EF" w:rsidRDefault="007B36FD" w:rsidP="00C0470F">
            <w:pPr>
              <w:pStyle w:val="ListParagraph"/>
              <w:spacing w:after="0" w:line="240" w:lineRule="auto"/>
              <w:ind w:left="0"/>
              <w:jc w:val="both"/>
              <w:rPr>
                <w:sz w:val="20"/>
                <w:szCs w:val="20"/>
              </w:rPr>
            </w:pPr>
            <w:r w:rsidRPr="00B834EF">
              <w:rPr>
                <w:color w:val="000000"/>
                <w:sz w:val="20"/>
                <w:szCs w:val="20"/>
              </w:rPr>
              <w:t>Vanuatu National Statistics Office</w:t>
            </w:r>
          </w:p>
        </w:tc>
      </w:tr>
      <w:tr w:rsidR="007B36FD" w:rsidRPr="00B834EF">
        <w:trPr>
          <w:trHeight w:val="281"/>
          <w:jc w:val="center"/>
        </w:trPr>
        <w:tc>
          <w:tcPr>
            <w:tcW w:w="888" w:type="dxa"/>
            <w:tcBorders>
              <w:right w:val="single" w:sz="4" w:space="0" w:color="auto"/>
            </w:tcBorders>
          </w:tcPr>
          <w:p w:rsidR="007B36FD" w:rsidRPr="00B834EF" w:rsidRDefault="007B36FD" w:rsidP="00C0470F">
            <w:pPr>
              <w:pStyle w:val="ListParagraph"/>
              <w:spacing w:after="0" w:line="240" w:lineRule="auto"/>
              <w:ind w:left="0"/>
              <w:jc w:val="both"/>
              <w:rPr>
                <w:b/>
                <w:bCs/>
                <w:sz w:val="20"/>
                <w:szCs w:val="20"/>
              </w:rPr>
            </w:pPr>
            <w:r w:rsidRPr="00B834EF">
              <w:rPr>
                <w:b/>
                <w:bCs/>
                <w:sz w:val="20"/>
                <w:szCs w:val="20"/>
              </w:rPr>
              <w:t>VPF</w:t>
            </w:r>
          </w:p>
        </w:tc>
        <w:tc>
          <w:tcPr>
            <w:tcW w:w="8035" w:type="dxa"/>
            <w:tcBorders>
              <w:left w:val="single" w:sz="4" w:space="0" w:color="auto"/>
            </w:tcBorders>
          </w:tcPr>
          <w:p w:rsidR="007B36FD" w:rsidRDefault="007B36FD" w:rsidP="00C0470F">
            <w:pPr>
              <w:pStyle w:val="ListParagraph"/>
              <w:spacing w:after="0" w:line="240" w:lineRule="auto"/>
              <w:ind w:left="0"/>
              <w:jc w:val="both"/>
              <w:rPr>
                <w:sz w:val="20"/>
                <w:szCs w:val="20"/>
              </w:rPr>
            </w:pPr>
            <w:r w:rsidRPr="00B834EF">
              <w:rPr>
                <w:sz w:val="20"/>
                <w:szCs w:val="20"/>
              </w:rPr>
              <w:t>Vanuatu Police Force</w:t>
            </w:r>
          </w:p>
          <w:p w:rsidR="005557B4" w:rsidRPr="00B834EF" w:rsidRDefault="005557B4" w:rsidP="00C0470F">
            <w:pPr>
              <w:pStyle w:val="ListParagraph"/>
              <w:spacing w:after="0" w:line="240" w:lineRule="auto"/>
              <w:ind w:left="0"/>
              <w:jc w:val="both"/>
              <w:rPr>
                <w:sz w:val="20"/>
                <w:szCs w:val="20"/>
              </w:rPr>
            </w:pPr>
          </w:p>
        </w:tc>
      </w:tr>
    </w:tbl>
    <w:p w:rsidR="00A84297" w:rsidRPr="00870BC3" w:rsidRDefault="00A84297" w:rsidP="00870BC3">
      <w:pPr>
        <w:pStyle w:val="Heading1"/>
        <w:numPr>
          <w:ilvl w:val="0"/>
          <w:numId w:val="0"/>
        </w:numPr>
        <w:rPr>
          <w:sz w:val="32"/>
          <w:szCs w:val="32"/>
        </w:rPr>
      </w:pPr>
      <w:bookmarkStart w:id="3" w:name="_Toc411268935"/>
      <w:r w:rsidRPr="00870BC3">
        <w:rPr>
          <w:sz w:val="32"/>
          <w:szCs w:val="32"/>
        </w:rPr>
        <w:lastRenderedPageBreak/>
        <w:t>Executive Summary</w:t>
      </w:r>
      <w:bookmarkEnd w:id="3"/>
    </w:p>
    <w:p w:rsidR="00C02405" w:rsidRPr="005D062D" w:rsidRDefault="00C02405" w:rsidP="00C02405">
      <w:pPr>
        <w:jc w:val="both"/>
        <w:rPr>
          <w:lang w:val="en-AU"/>
        </w:rPr>
      </w:pPr>
    </w:p>
    <w:p w:rsidR="00C02405" w:rsidRDefault="00C02405" w:rsidP="00301E52">
      <w:pPr>
        <w:spacing w:after="0"/>
        <w:jc w:val="both"/>
        <w:rPr>
          <w:bCs/>
          <w:lang w:val="en-AU"/>
        </w:rPr>
      </w:pPr>
      <w:r w:rsidRPr="00BC4A39">
        <w:rPr>
          <w:bCs/>
          <w:i/>
          <w:lang w:val="en-AU"/>
        </w:rPr>
        <w:t>Stretem Rod Blong Jastis</w:t>
      </w:r>
      <w:r>
        <w:rPr>
          <w:bCs/>
          <w:lang w:val="en-AU"/>
        </w:rPr>
        <w:t xml:space="preserve"> (SRBJ) has been able, over the first six months of Stage 2, to maintain momentum and in some areas escalate implementation despite increased management burdens and contract deliverables. </w:t>
      </w:r>
    </w:p>
    <w:p w:rsidR="00C02405" w:rsidRDefault="00C02405" w:rsidP="00301E52">
      <w:pPr>
        <w:spacing w:after="0"/>
        <w:jc w:val="both"/>
        <w:rPr>
          <w:bCs/>
          <w:lang w:val="en-AU"/>
        </w:rPr>
      </w:pPr>
    </w:p>
    <w:p w:rsidR="00C02405" w:rsidRDefault="00C02405" w:rsidP="00301E52">
      <w:pPr>
        <w:spacing w:after="0"/>
        <w:jc w:val="both"/>
        <w:rPr>
          <w:bCs/>
          <w:lang w:val="en-AU"/>
        </w:rPr>
      </w:pPr>
      <w:r>
        <w:rPr>
          <w:bCs/>
          <w:lang w:val="en-AU"/>
        </w:rPr>
        <w:t>Demonstrable progress</w:t>
      </w:r>
      <w:r w:rsidRPr="00BC4A39">
        <w:rPr>
          <w:bCs/>
          <w:lang w:val="en-AU"/>
        </w:rPr>
        <w:t xml:space="preserve"> </w:t>
      </w:r>
      <w:r>
        <w:rPr>
          <w:bCs/>
          <w:lang w:val="en-AU"/>
        </w:rPr>
        <w:t xml:space="preserve">towards the intermediate outcomes of the program has been made across all three components which is provided in greater detail in the table at section 2b summarising key achievements. </w:t>
      </w:r>
    </w:p>
    <w:p w:rsidR="00C02405" w:rsidRDefault="00C02405" w:rsidP="00301E52">
      <w:pPr>
        <w:spacing w:after="0"/>
        <w:jc w:val="both"/>
        <w:rPr>
          <w:bCs/>
          <w:lang w:val="en-AU"/>
        </w:rPr>
      </w:pPr>
    </w:p>
    <w:p w:rsidR="00C02405" w:rsidRDefault="00C02405" w:rsidP="00301E52">
      <w:pPr>
        <w:spacing w:after="0"/>
        <w:jc w:val="both"/>
        <w:rPr>
          <w:bCs/>
          <w:lang w:val="en-AU"/>
        </w:rPr>
      </w:pPr>
      <w:r>
        <w:rPr>
          <w:bCs/>
          <w:lang w:val="en-AU"/>
        </w:rPr>
        <w:t>The highlights for this reporting period include:</w:t>
      </w:r>
    </w:p>
    <w:p w:rsidR="00C02405" w:rsidRDefault="00C02405" w:rsidP="00301E52">
      <w:pPr>
        <w:spacing w:after="0"/>
        <w:jc w:val="both"/>
        <w:rPr>
          <w:bCs/>
          <w:lang w:val="en-AU"/>
        </w:rPr>
      </w:pPr>
    </w:p>
    <w:p w:rsidR="00C02405" w:rsidRDefault="00C02405" w:rsidP="00301E52">
      <w:pPr>
        <w:pStyle w:val="ListParagraph"/>
        <w:numPr>
          <w:ilvl w:val="0"/>
          <w:numId w:val="48"/>
        </w:numPr>
        <w:jc w:val="both"/>
        <w:rPr>
          <w:bCs/>
          <w:lang w:val="en-AU"/>
        </w:rPr>
      </w:pPr>
      <w:r>
        <w:rPr>
          <w:bCs/>
          <w:lang w:val="en-AU"/>
        </w:rPr>
        <w:t xml:space="preserve">Completion of a program wide monitoring and evaluation plan (MEP) that is ambitious but fit for purpose and will measure the contribution of SRBJ to the progress of the justice and community services sector. The MEP is resourced by a Specialist and an Adviser which is a model that is providing robust support for the MEP but also significant support for skills and knowledge transfer to the Monitoring Officer of the Ministry of Justice and Community Services (MJCS). </w:t>
      </w:r>
    </w:p>
    <w:p w:rsidR="003B66C0" w:rsidRDefault="003B66C0" w:rsidP="00301E52">
      <w:pPr>
        <w:pStyle w:val="ListParagraph"/>
        <w:numPr>
          <w:ilvl w:val="0"/>
          <w:numId w:val="48"/>
        </w:numPr>
        <w:jc w:val="both"/>
        <w:rPr>
          <w:bCs/>
          <w:lang w:val="en-AU"/>
        </w:rPr>
      </w:pPr>
      <w:r>
        <w:rPr>
          <w:bCs/>
          <w:lang w:val="en-AU"/>
        </w:rPr>
        <w:t>Completion of the refurbishment of the Public Prosecutor’s Office.</w:t>
      </w:r>
    </w:p>
    <w:p w:rsidR="003B66C0" w:rsidRDefault="003B66C0" w:rsidP="00301E52">
      <w:pPr>
        <w:pStyle w:val="ListParagraph"/>
        <w:numPr>
          <w:ilvl w:val="0"/>
          <w:numId w:val="48"/>
        </w:numPr>
        <w:jc w:val="both"/>
        <w:rPr>
          <w:bCs/>
          <w:lang w:val="en-AU"/>
        </w:rPr>
      </w:pPr>
      <w:r>
        <w:rPr>
          <w:bCs/>
          <w:lang w:val="en-AU"/>
        </w:rPr>
        <w:t>Completion of the refurbishment of the Supreme Court Registry.</w:t>
      </w:r>
    </w:p>
    <w:p w:rsidR="00C02405" w:rsidRDefault="00C02405" w:rsidP="00301E52">
      <w:pPr>
        <w:pStyle w:val="ListParagraph"/>
        <w:numPr>
          <w:ilvl w:val="0"/>
          <w:numId w:val="48"/>
        </w:numPr>
        <w:jc w:val="both"/>
        <w:rPr>
          <w:bCs/>
          <w:lang w:val="en-AU"/>
        </w:rPr>
      </w:pPr>
      <w:r>
        <w:rPr>
          <w:bCs/>
          <w:lang w:val="en-AU"/>
        </w:rPr>
        <w:t>The Monitoring Officer has developed and completed an MEP for the justice and community services sector for consideration and approval at the next Heads of Agency Group meeting in March.</w:t>
      </w:r>
    </w:p>
    <w:p w:rsidR="00637447" w:rsidRDefault="00C02405" w:rsidP="00301E52">
      <w:pPr>
        <w:pStyle w:val="ListParagraph"/>
        <w:numPr>
          <w:ilvl w:val="0"/>
          <w:numId w:val="48"/>
        </w:numPr>
        <w:jc w:val="both"/>
        <w:rPr>
          <w:bCs/>
          <w:lang w:val="en-AU"/>
        </w:rPr>
      </w:pPr>
      <w:r w:rsidRPr="00637447">
        <w:rPr>
          <w:bCs/>
          <w:lang w:val="en-AU"/>
        </w:rPr>
        <w:t>Sector communications have been supported through the development of a MJCS website and monthly newsletter both of which are showing increased use and interest.</w:t>
      </w:r>
      <w:r w:rsidR="00637447" w:rsidRPr="00637447">
        <w:rPr>
          <w:bCs/>
          <w:lang w:val="en-AU"/>
        </w:rPr>
        <w:t xml:space="preserve"> </w:t>
      </w:r>
      <w:r w:rsidR="00637447">
        <w:rPr>
          <w:bCs/>
          <w:lang w:val="en-AU"/>
        </w:rPr>
        <w:t xml:space="preserve">The website has demonstrated a fourfold increase in traffic between </w:t>
      </w:r>
      <w:r w:rsidR="00D811AD">
        <w:rPr>
          <w:bCs/>
          <w:lang w:val="en-AU"/>
        </w:rPr>
        <w:t>August and December 2014 and an</w:t>
      </w:r>
      <w:r w:rsidR="00637447">
        <w:rPr>
          <w:bCs/>
          <w:lang w:val="en-AU"/>
        </w:rPr>
        <w:t xml:space="preserve"> increase in agencies contributing to the newsletter from seven to </w:t>
      </w:r>
      <w:r w:rsidR="00D811AD">
        <w:rPr>
          <w:bCs/>
          <w:lang w:val="en-AU"/>
        </w:rPr>
        <w:t>twenty-two</w:t>
      </w:r>
      <w:r w:rsidR="00637447">
        <w:rPr>
          <w:bCs/>
          <w:lang w:val="en-AU"/>
        </w:rPr>
        <w:t xml:space="preserve"> during the same period.</w:t>
      </w:r>
    </w:p>
    <w:p w:rsidR="00C02405" w:rsidRPr="00637447" w:rsidRDefault="00C02405" w:rsidP="00301E52">
      <w:pPr>
        <w:pStyle w:val="ListParagraph"/>
        <w:numPr>
          <w:ilvl w:val="0"/>
          <w:numId w:val="48"/>
        </w:numPr>
        <w:jc w:val="both"/>
        <w:rPr>
          <w:bCs/>
          <w:lang w:val="en-AU"/>
        </w:rPr>
      </w:pPr>
      <w:r w:rsidRPr="00637447">
        <w:rPr>
          <w:bCs/>
          <w:lang w:val="en-AU"/>
        </w:rPr>
        <w:t>The courts have progressed the tender and selection of a service provider for a courts case management system which will commence implementation in February with the support of the program</w:t>
      </w:r>
      <w:r w:rsidR="00D811AD">
        <w:rPr>
          <w:bCs/>
          <w:lang w:val="en-AU"/>
        </w:rPr>
        <w:t>. This</w:t>
      </w:r>
      <w:r w:rsidRPr="00637447">
        <w:rPr>
          <w:bCs/>
          <w:lang w:val="en-AU"/>
        </w:rPr>
        <w:t xml:space="preserve"> will provide </w:t>
      </w:r>
      <w:r w:rsidR="00D811AD">
        <w:rPr>
          <w:bCs/>
          <w:lang w:val="en-AU"/>
        </w:rPr>
        <w:t>a significant</w:t>
      </w:r>
      <w:r w:rsidR="00D811AD" w:rsidRPr="00637447">
        <w:rPr>
          <w:bCs/>
          <w:lang w:val="en-AU"/>
        </w:rPr>
        <w:t xml:space="preserve"> </w:t>
      </w:r>
      <w:r w:rsidRPr="00637447">
        <w:rPr>
          <w:bCs/>
          <w:lang w:val="en-AU"/>
        </w:rPr>
        <w:t xml:space="preserve">tool to </w:t>
      </w:r>
      <w:r w:rsidR="00D811AD">
        <w:rPr>
          <w:bCs/>
          <w:lang w:val="en-AU"/>
        </w:rPr>
        <w:t>facilitate the enhancement of</w:t>
      </w:r>
      <w:r w:rsidR="00D811AD" w:rsidRPr="00637447">
        <w:rPr>
          <w:bCs/>
          <w:lang w:val="en-AU"/>
        </w:rPr>
        <w:t xml:space="preserve"> </w:t>
      </w:r>
      <w:r w:rsidRPr="00637447">
        <w:rPr>
          <w:bCs/>
          <w:lang w:val="en-AU"/>
        </w:rPr>
        <w:t>court efficiency.</w:t>
      </w:r>
    </w:p>
    <w:p w:rsidR="00C02405" w:rsidRDefault="00C02405" w:rsidP="00301E52">
      <w:pPr>
        <w:pStyle w:val="ListParagraph"/>
        <w:numPr>
          <w:ilvl w:val="0"/>
          <w:numId w:val="48"/>
        </w:numPr>
        <w:jc w:val="both"/>
        <w:rPr>
          <w:bCs/>
          <w:lang w:val="en-AU"/>
        </w:rPr>
      </w:pPr>
      <w:r>
        <w:rPr>
          <w:bCs/>
          <w:lang w:val="en-AU"/>
        </w:rPr>
        <w:t>Data quality has improved in a number of justice agencies with some promising signs that the data is starting to be used to appropriately inform management decisions.</w:t>
      </w:r>
      <w:r w:rsidR="00637447">
        <w:rPr>
          <w:bCs/>
          <w:lang w:val="en-AU"/>
        </w:rPr>
        <w:t xml:space="preserve"> </w:t>
      </w:r>
      <w:r w:rsidR="00D811AD">
        <w:rPr>
          <w:bCs/>
          <w:lang w:val="en-AU"/>
        </w:rPr>
        <w:t>Such agencies</w:t>
      </w:r>
      <w:r w:rsidR="00637447">
        <w:rPr>
          <w:bCs/>
          <w:lang w:val="en-AU"/>
        </w:rPr>
        <w:t xml:space="preserve"> include the courts and the SPD which have both targeted attention to certain issues as a result of better data, for example on cases listed without a further date, reserved judgments and causes </w:t>
      </w:r>
      <w:r w:rsidR="00D811AD">
        <w:rPr>
          <w:bCs/>
          <w:lang w:val="en-AU"/>
        </w:rPr>
        <w:t xml:space="preserve">of </w:t>
      </w:r>
      <w:r w:rsidR="00637447">
        <w:rPr>
          <w:bCs/>
          <w:lang w:val="en-AU"/>
        </w:rPr>
        <w:t>for want of prosecution outcomes.</w:t>
      </w:r>
    </w:p>
    <w:p w:rsidR="00C02405" w:rsidRDefault="00D811AD" w:rsidP="00301E52">
      <w:pPr>
        <w:pStyle w:val="ListParagraph"/>
        <w:numPr>
          <w:ilvl w:val="0"/>
          <w:numId w:val="48"/>
        </w:numPr>
        <w:jc w:val="both"/>
        <w:rPr>
          <w:bCs/>
          <w:lang w:val="en-AU"/>
        </w:rPr>
      </w:pPr>
      <w:r>
        <w:rPr>
          <w:bCs/>
          <w:lang w:val="en-AU"/>
        </w:rPr>
        <w:t>Three substantial c</w:t>
      </w:r>
      <w:r w:rsidR="00C02405">
        <w:rPr>
          <w:bCs/>
          <w:lang w:val="en-AU"/>
        </w:rPr>
        <w:t>apacity development opportunities targeting technical sub-groups within the sector have been implemented over the reporting period</w:t>
      </w:r>
      <w:r>
        <w:rPr>
          <w:bCs/>
          <w:lang w:val="en-AU"/>
        </w:rPr>
        <w:t>;</w:t>
      </w:r>
      <w:r w:rsidR="00C02405">
        <w:rPr>
          <w:bCs/>
          <w:lang w:val="en-AU"/>
        </w:rPr>
        <w:t xml:space="preserve"> being financial management </w:t>
      </w:r>
      <w:r w:rsidR="00C02405">
        <w:rPr>
          <w:bCs/>
          <w:lang w:val="en-AU"/>
        </w:rPr>
        <w:lastRenderedPageBreak/>
        <w:t xml:space="preserve">training, human resource management training and legal advocacy training for lawyers and prosecutors. </w:t>
      </w:r>
    </w:p>
    <w:p w:rsidR="00C02405" w:rsidRDefault="00C02405" w:rsidP="00301E52">
      <w:pPr>
        <w:pStyle w:val="ListParagraph"/>
        <w:numPr>
          <w:ilvl w:val="0"/>
          <w:numId w:val="48"/>
        </w:numPr>
        <w:jc w:val="both"/>
        <w:rPr>
          <w:bCs/>
          <w:lang w:val="en-AU"/>
        </w:rPr>
      </w:pPr>
      <w:r>
        <w:rPr>
          <w:bCs/>
          <w:lang w:val="en-AU"/>
        </w:rPr>
        <w:t xml:space="preserve">The implementation of a pilot multidisciplinary approach to institutional strengthening with the SPD has been showing good results in a number of areas and will be replicated with other institutions. </w:t>
      </w:r>
      <w:r w:rsidR="00D811AD">
        <w:rPr>
          <w:bCs/>
          <w:lang w:val="en-AU"/>
        </w:rPr>
        <w:t>Improvements can be d</w:t>
      </w:r>
      <w:r w:rsidR="00637447">
        <w:rPr>
          <w:bCs/>
          <w:lang w:val="en-AU"/>
        </w:rPr>
        <w:t>emonstrated in the tracking of cases; the time taken to draft charges; as well as in the overall leadership of the officer-in-charge.</w:t>
      </w:r>
    </w:p>
    <w:p w:rsidR="00C02405" w:rsidRDefault="00C02405" w:rsidP="00301E52">
      <w:pPr>
        <w:pStyle w:val="ListParagraph"/>
        <w:numPr>
          <w:ilvl w:val="0"/>
          <w:numId w:val="48"/>
        </w:numPr>
        <w:jc w:val="both"/>
        <w:rPr>
          <w:bCs/>
          <w:lang w:val="en-AU"/>
        </w:rPr>
      </w:pPr>
      <w:r>
        <w:rPr>
          <w:bCs/>
          <w:lang w:val="en-AU"/>
        </w:rPr>
        <w:t>There is demonstrable increased capacity of public criminal defence at the Public Solicitor’s Office.</w:t>
      </w:r>
    </w:p>
    <w:p w:rsidR="00BC6A70" w:rsidRDefault="00BC6A70" w:rsidP="00301E52">
      <w:pPr>
        <w:pStyle w:val="ListParagraph"/>
        <w:numPr>
          <w:ilvl w:val="0"/>
          <w:numId w:val="48"/>
        </w:numPr>
        <w:jc w:val="both"/>
        <w:rPr>
          <w:bCs/>
          <w:lang w:val="en-AU"/>
        </w:rPr>
      </w:pPr>
      <w:r>
        <w:rPr>
          <w:lang w:val="en-AU"/>
        </w:rPr>
        <w:t>Greater accessibility of the SRBJ advisers</w:t>
      </w:r>
      <w:r>
        <w:rPr>
          <w:rStyle w:val="FootnoteReference"/>
          <w:lang w:val="en-AU"/>
        </w:rPr>
        <w:footnoteReference w:id="1"/>
      </w:r>
      <w:r>
        <w:rPr>
          <w:lang w:val="en-AU"/>
        </w:rPr>
        <w:t xml:space="preserve"> to the VPF since the commencement of Stage 2, </w:t>
      </w:r>
      <w:r w:rsidR="00D811AD">
        <w:rPr>
          <w:lang w:val="en-AU"/>
        </w:rPr>
        <w:t xml:space="preserve">is </w:t>
      </w:r>
      <w:r>
        <w:rPr>
          <w:lang w:val="en-AU"/>
        </w:rPr>
        <w:t>allowing the program to provide advice and support to police in areas of program strength which will provide opportunity for a more holistic approach across the sector particularly with respect to certain thematic or systemic challenges; for example the case and data management support; the investigations and prosecutions collaboration for greater efficiencies, and support for the strategic planning of the WAN</w:t>
      </w:r>
    </w:p>
    <w:p w:rsidR="00C02405" w:rsidRDefault="00C02405" w:rsidP="00301E52">
      <w:pPr>
        <w:pStyle w:val="ListParagraph"/>
        <w:numPr>
          <w:ilvl w:val="0"/>
          <w:numId w:val="48"/>
        </w:numPr>
        <w:jc w:val="both"/>
        <w:rPr>
          <w:bCs/>
          <w:lang w:val="en-AU"/>
        </w:rPr>
      </w:pPr>
      <w:r>
        <w:rPr>
          <w:bCs/>
          <w:lang w:val="en-AU"/>
        </w:rPr>
        <w:t xml:space="preserve">The Law Student Internship Program (LSIP) has expanded since its inception and a pathway for greater sustainability of that program is agreed with the University of the South Pacific (USP) School of Law. There is already evidence that it is providing a career pathway into the public sector for law graduates. </w:t>
      </w:r>
      <w:r w:rsidR="00076AF8">
        <w:rPr>
          <w:bCs/>
          <w:lang w:val="en-AU"/>
        </w:rPr>
        <w:t>Based on the small sampl</w:t>
      </w:r>
      <w:r w:rsidR="00D811AD">
        <w:rPr>
          <w:bCs/>
          <w:lang w:val="en-AU"/>
        </w:rPr>
        <w:t xml:space="preserve">e of </w:t>
      </w:r>
      <w:proofErr w:type="spellStart"/>
      <w:r w:rsidR="00D811AD">
        <w:rPr>
          <w:bCs/>
          <w:lang w:val="en-AU"/>
        </w:rPr>
        <w:t>ni</w:t>
      </w:r>
      <w:proofErr w:type="spellEnd"/>
      <w:r w:rsidR="00D811AD">
        <w:rPr>
          <w:bCs/>
          <w:lang w:val="en-AU"/>
        </w:rPr>
        <w:t>-Vanuatu interns based</w:t>
      </w:r>
      <w:r w:rsidR="00076AF8">
        <w:rPr>
          <w:bCs/>
          <w:lang w:val="en-AU"/>
        </w:rPr>
        <w:t xml:space="preserve"> in Port Vila </w:t>
      </w:r>
      <w:r w:rsidR="00D811AD">
        <w:rPr>
          <w:bCs/>
          <w:lang w:val="en-AU"/>
        </w:rPr>
        <w:t xml:space="preserve">who participated </w:t>
      </w:r>
      <w:r w:rsidR="00076AF8">
        <w:rPr>
          <w:bCs/>
          <w:lang w:val="en-AU"/>
        </w:rPr>
        <w:t>in the initial tracer study, e</w:t>
      </w:r>
      <w:r w:rsidR="00637447">
        <w:rPr>
          <w:bCs/>
          <w:lang w:val="en-AU"/>
        </w:rPr>
        <w:t xml:space="preserve">ight former interns </w:t>
      </w:r>
      <w:r w:rsidR="00076AF8">
        <w:rPr>
          <w:bCs/>
          <w:lang w:val="en-AU"/>
        </w:rPr>
        <w:t>have found positions within the legal profession (all but one in the public sector) in the last six months.</w:t>
      </w:r>
      <w:r w:rsidR="00076AF8">
        <w:rPr>
          <w:rStyle w:val="FootnoteReference"/>
          <w:bCs/>
          <w:lang w:val="en-AU"/>
        </w:rPr>
        <w:footnoteReference w:id="2"/>
      </w:r>
    </w:p>
    <w:p w:rsidR="00C02405" w:rsidRDefault="00C02405" w:rsidP="00301E52">
      <w:pPr>
        <w:pStyle w:val="ListParagraph"/>
        <w:numPr>
          <w:ilvl w:val="0"/>
          <w:numId w:val="48"/>
        </w:numPr>
        <w:jc w:val="both"/>
        <w:rPr>
          <w:bCs/>
          <w:lang w:val="en-AU"/>
        </w:rPr>
      </w:pPr>
      <w:r>
        <w:rPr>
          <w:bCs/>
          <w:lang w:val="en-AU"/>
        </w:rPr>
        <w:t xml:space="preserve">The development and finalisation of a </w:t>
      </w:r>
      <w:proofErr w:type="spellStart"/>
      <w:r>
        <w:rPr>
          <w:bCs/>
          <w:lang w:val="en-AU"/>
        </w:rPr>
        <w:t>workplan</w:t>
      </w:r>
      <w:proofErr w:type="spellEnd"/>
      <w:r>
        <w:rPr>
          <w:bCs/>
          <w:lang w:val="en-AU"/>
        </w:rPr>
        <w:t xml:space="preserve"> to support appointment of “Authorised Persons” and “Registered Counsellors” under the Family Protection Act 2006 working in support of the Department of Women’s Affairs (DWA). </w:t>
      </w:r>
    </w:p>
    <w:p w:rsidR="00C02405" w:rsidRPr="00600B97" w:rsidRDefault="00C02405" w:rsidP="00301E52">
      <w:pPr>
        <w:pStyle w:val="ListParagraph"/>
        <w:numPr>
          <w:ilvl w:val="0"/>
          <w:numId w:val="48"/>
        </w:numPr>
        <w:jc w:val="both"/>
        <w:rPr>
          <w:bCs/>
          <w:lang w:val="en-AU"/>
        </w:rPr>
      </w:pPr>
      <w:r>
        <w:rPr>
          <w:bCs/>
          <w:lang w:val="en-AU"/>
        </w:rPr>
        <w:t xml:space="preserve">The development of an approach for research that will support the Malekula and </w:t>
      </w:r>
      <w:proofErr w:type="spellStart"/>
      <w:r>
        <w:rPr>
          <w:bCs/>
          <w:lang w:val="en-AU"/>
        </w:rPr>
        <w:t>Blacksands</w:t>
      </w:r>
      <w:proofErr w:type="spellEnd"/>
      <w:r>
        <w:rPr>
          <w:bCs/>
          <w:lang w:val="en-AU"/>
        </w:rPr>
        <w:t xml:space="preserve"> pilots targeting support for women experiencing gender based violence and for youth in conflict with the law retrospectively.</w:t>
      </w:r>
    </w:p>
    <w:p w:rsidR="00C02405" w:rsidRDefault="00C02405" w:rsidP="00C02405">
      <w:pPr>
        <w:spacing w:after="0" w:line="240" w:lineRule="auto"/>
        <w:jc w:val="both"/>
        <w:rPr>
          <w:bCs/>
          <w:lang w:val="en-AU"/>
        </w:rPr>
      </w:pPr>
    </w:p>
    <w:p w:rsidR="00C02405" w:rsidRPr="005D062D" w:rsidRDefault="00C02405" w:rsidP="00076AF8">
      <w:pPr>
        <w:spacing w:after="0"/>
        <w:jc w:val="both"/>
        <w:rPr>
          <w:bCs/>
          <w:lang w:val="en-AU"/>
        </w:rPr>
      </w:pPr>
      <w:r>
        <w:rPr>
          <w:bCs/>
          <w:lang w:val="en-AU"/>
        </w:rPr>
        <w:t>One challenge over then reporting period has been finding the opportunity to engage, with significant time and attention, with the MJCS and sector leaders on the status of the Justice and Community Services Sector Strategy (JCSSS). A good understanding for the reasons for the slow progress of planning and implementation of the JCSS strategies and development of an agreed, rationalised approach that takes into account the challenges being felt by the leaders within the sector might allow this work to continue within a more confined scope. This will receive more focused attention over the next reporting period and is likely to be better informed by the sector perceptions survey.</w:t>
      </w:r>
    </w:p>
    <w:p w:rsidR="00C02405" w:rsidRPr="005D062D" w:rsidRDefault="00C02405" w:rsidP="00C02405">
      <w:pPr>
        <w:spacing w:after="0" w:line="240" w:lineRule="auto"/>
        <w:jc w:val="both"/>
        <w:rPr>
          <w:bCs/>
          <w:lang w:val="en-AU"/>
        </w:rPr>
      </w:pPr>
    </w:p>
    <w:p w:rsidR="00C02405" w:rsidRDefault="00C02405" w:rsidP="00C02405">
      <w:pPr>
        <w:jc w:val="both"/>
      </w:pPr>
      <w:r>
        <w:lastRenderedPageBreak/>
        <w:t xml:space="preserve">Overall, SRBJ has made effective progress against its </w:t>
      </w:r>
      <w:proofErr w:type="spellStart"/>
      <w:r>
        <w:t>Workplan</w:t>
      </w:r>
      <w:proofErr w:type="spellEnd"/>
      <w:r>
        <w:t xml:space="preserve"> over the first six months of Stage 2 under the integrated PJSPV. There has been some delay in delivery of outputs but it is anticipated that these will be implemented during the next reporting period with minimal impact on the progress towards outcomes. Small delays of this nature were anticipated</w:t>
      </w:r>
      <w:r w:rsidR="00076AF8">
        <w:t xml:space="preserve"> and included delays in recruitment (to several positions including VPF Monitoring Officer, MJCS Communications Officer and support for Child Desk); and approval of the sector M&amp;E framework last December</w:t>
      </w:r>
      <w:r>
        <w:t>.</w:t>
      </w:r>
      <w:r w:rsidR="00980A16">
        <w:rPr>
          <w:rStyle w:val="FootnoteReference"/>
        </w:rPr>
        <w:footnoteReference w:id="3"/>
      </w:r>
    </w:p>
    <w:p w:rsidR="0082359D" w:rsidRDefault="00C02405" w:rsidP="00C02405">
      <w:pPr>
        <w:jc w:val="both"/>
      </w:pPr>
      <w:r>
        <w:t xml:space="preserve">The SRBJ team as a whole is starting to look more intensively at progress towards intermediate and end-of-program outcomes and at strengthening the sustainability of support in their areas of practice as the program now moves into its final two years of implementation. Collaboration and the sharing of information, knowledge and learning will be increasingly supported to ensure the consistency and a holistic approach envisaged by the program design. The MEP is more robustly supporting effort in this regard and the baseline which will be available shortly will provide a better base from which to measure contribution of the program than the sector has had to date. </w:t>
      </w:r>
    </w:p>
    <w:p w:rsidR="00C02405" w:rsidRDefault="00D811AD" w:rsidP="00C02405">
      <w:pPr>
        <w:jc w:val="both"/>
      </w:pPr>
      <w:r>
        <w:t>Management recommendations arising over the reporting period include</w:t>
      </w:r>
      <w:r w:rsidR="000E5465">
        <w:t>:</w:t>
      </w:r>
    </w:p>
    <w:p w:rsidR="00492DA0" w:rsidRPr="00492DA0" w:rsidRDefault="000E5465" w:rsidP="00492DA0">
      <w:pPr>
        <w:pStyle w:val="ListParagraph"/>
        <w:numPr>
          <w:ilvl w:val="0"/>
          <w:numId w:val="52"/>
        </w:numPr>
        <w:jc w:val="both"/>
      </w:pPr>
      <w:r>
        <w:t>Support for the process of identification of an appropriate approach for the support of the JCSSS to end of 2016.</w:t>
      </w:r>
      <w:r w:rsidR="008833BE">
        <w:t xml:space="preserve"> I</w:t>
      </w:r>
      <w:r w:rsidR="008833BE" w:rsidRPr="00492DA0">
        <w:rPr>
          <w:lang w:val="en-AU"/>
        </w:rPr>
        <w:t xml:space="preserve">t is proposed that there be a review of the current mechanism for advancing the JCSSS in consultation and partnership with key GoV stakeholders (possibly the JCSSS Task Force) to determine a more appropriate means of supporting the JCSSS. </w:t>
      </w:r>
    </w:p>
    <w:p w:rsidR="000E5465" w:rsidRDefault="000E5465" w:rsidP="00492DA0">
      <w:pPr>
        <w:pStyle w:val="ListParagraph"/>
        <w:numPr>
          <w:ilvl w:val="0"/>
          <w:numId w:val="52"/>
        </w:numPr>
        <w:jc w:val="both"/>
      </w:pPr>
      <w:r>
        <w:t>Exploration of the possibility of evaluating resistance to change – even positive change.</w:t>
      </w:r>
    </w:p>
    <w:p w:rsidR="000E5465" w:rsidRDefault="008833BE" w:rsidP="000E5465">
      <w:pPr>
        <w:pStyle w:val="ListParagraph"/>
        <w:numPr>
          <w:ilvl w:val="0"/>
          <w:numId w:val="52"/>
        </w:numPr>
        <w:jc w:val="both"/>
      </w:pPr>
      <w:r>
        <w:t xml:space="preserve">Exploration with the PPO of possible discrete support that could be provided to that office in anticipation of the arrival of a </w:t>
      </w:r>
      <w:r w:rsidR="00492DA0">
        <w:t>British-</w:t>
      </w:r>
      <w:r>
        <w:t>funded Public Prosecutor and in support of that position once in place.</w:t>
      </w:r>
    </w:p>
    <w:p w:rsidR="008833BE" w:rsidRDefault="008833BE" w:rsidP="000E5465">
      <w:pPr>
        <w:pStyle w:val="ListParagraph"/>
        <w:numPr>
          <w:ilvl w:val="0"/>
          <w:numId w:val="52"/>
        </w:numPr>
        <w:jc w:val="both"/>
      </w:pPr>
      <w:r>
        <w:t>Seeking approval for strengthened support of the program to the Magistrates’ Court.</w:t>
      </w:r>
    </w:p>
    <w:p w:rsidR="008833BE" w:rsidRDefault="008833BE" w:rsidP="008833BE">
      <w:pPr>
        <w:pStyle w:val="ListParagraph"/>
        <w:numPr>
          <w:ilvl w:val="0"/>
          <w:numId w:val="52"/>
        </w:numPr>
        <w:jc w:val="both"/>
      </w:pPr>
      <w:r>
        <w:t>Recruitment of a case a</w:t>
      </w:r>
      <w:r w:rsidR="00492DA0">
        <w:t>nd data management counterpart.</w:t>
      </w:r>
      <w:r>
        <w:t xml:space="preserve"> </w:t>
      </w:r>
    </w:p>
    <w:p w:rsidR="008833BE" w:rsidRDefault="008833BE" w:rsidP="008833BE">
      <w:pPr>
        <w:pStyle w:val="ListParagraph"/>
        <w:numPr>
          <w:ilvl w:val="0"/>
          <w:numId w:val="52"/>
        </w:numPr>
        <w:jc w:val="both"/>
      </w:pPr>
      <w:r>
        <w:t>Strengthening of the integration of gender across the program</w:t>
      </w:r>
      <w:r w:rsidR="00492DA0">
        <w:t>.</w:t>
      </w:r>
      <w:r>
        <w:t xml:space="preserve"> </w:t>
      </w:r>
    </w:p>
    <w:p w:rsidR="008833BE" w:rsidRPr="00DB3FBD" w:rsidRDefault="008833BE" w:rsidP="008833BE">
      <w:pPr>
        <w:pStyle w:val="ListParagraph"/>
        <w:numPr>
          <w:ilvl w:val="0"/>
          <w:numId w:val="52"/>
        </w:numPr>
        <w:jc w:val="both"/>
        <w:rPr>
          <w:lang w:val="en-AU"/>
        </w:rPr>
      </w:pPr>
      <w:r w:rsidRPr="00492DA0">
        <w:rPr>
          <w:lang w:val="en-AU"/>
        </w:rPr>
        <w:t>Strengthening the focus on institutional systems, processes, management and administration</w:t>
      </w:r>
      <w:r>
        <w:rPr>
          <w:lang w:val="en-AU"/>
        </w:rPr>
        <w:t xml:space="preserve"> to increasingly embed capacity development and strengthen the sustainability of outcomes, particularly with respect to SPD and PSO</w:t>
      </w:r>
      <w:r w:rsidR="00492DA0">
        <w:rPr>
          <w:lang w:val="en-AU"/>
        </w:rPr>
        <w:t>.</w:t>
      </w:r>
      <w:r>
        <w:rPr>
          <w:lang w:val="en-AU"/>
        </w:rPr>
        <w:t xml:space="preserve"> </w:t>
      </w:r>
    </w:p>
    <w:p w:rsidR="008833BE" w:rsidRPr="00492DA0" w:rsidRDefault="008833BE" w:rsidP="008833BE">
      <w:pPr>
        <w:pStyle w:val="ListParagraph"/>
        <w:numPr>
          <w:ilvl w:val="0"/>
          <w:numId w:val="52"/>
        </w:numPr>
        <w:jc w:val="both"/>
        <w:rPr>
          <w:rFonts w:cstheme="minorHAnsi"/>
          <w:lang w:val="en-AU"/>
        </w:rPr>
      </w:pPr>
      <w:r w:rsidRPr="00492DA0">
        <w:rPr>
          <w:rFonts w:cstheme="minorHAnsi"/>
          <w:lang w:val="en-AU"/>
        </w:rPr>
        <w:t>Continuing cognisance of the necessity of preserving sufficient resourcing for component 3 initiatives.</w:t>
      </w:r>
    </w:p>
    <w:p w:rsidR="008833BE" w:rsidRPr="00492DA0" w:rsidRDefault="008833BE" w:rsidP="008833BE">
      <w:pPr>
        <w:pStyle w:val="ListParagraph"/>
        <w:numPr>
          <w:ilvl w:val="0"/>
          <w:numId w:val="52"/>
        </w:numPr>
        <w:jc w:val="both"/>
        <w:rPr>
          <w:lang w:val="en-AU"/>
        </w:rPr>
      </w:pPr>
      <w:r w:rsidRPr="00492DA0">
        <w:rPr>
          <w:lang w:val="en-AU"/>
        </w:rPr>
        <w:t>Strengthen</w:t>
      </w:r>
      <w:r w:rsidR="00EB22DC">
        <w:rPr>
          <w:lang w:val="en-AU"/>
        </w:rPr>
        <w:t>ing</w:t>
      </w:r>
      <w:r w:rsidRPr="00492DA0">
        <w:rPr>
          <w:lang w:val="en-AU"/>
        </w:rPr>
        <w:t xml:space="preserve"> the links between the sector Monitoring Officers (MJCS and VPF) and the M&amp;E Unit, PMO</w:t>
      </w:r>
      <w:r w:rsidR="00492DA0" w:rsidRPr="00492DA0">
        <w:rPr>
          <w:lang w:val="en-AU"/>
        </w:rPr>
        <w:t>.</w:t>
      </w:r>
    </w:p>
    <w:p w:rsidR="00EB22DC" w:rsidRPr="00171462" w:rsidRDefault="008833BE" w:rsidP="00492DA0">
      <w:pPr>
        <w:pStyle w:val="ListParagraph"/>
        <w:numPr>
          <w:ilvl w:val="0"/>
          <w:numId w:val="52"/>
        </w:numPr>
        <w:jc w:val="both"/>
      </w:pPr>
      <w:r w:rsidRPr="00492DA0">
        <w:rPr>
          <w:lang w:val="en-AU"/>
        </w:rPr>
        <w:lastRenderedPageBreak/>
        <w:t>Strengthen</w:t>
      </w:r>
      <w:r w:rsidR="00EB22DC">
        <w:rPr>
          <w:lang w:val="en-AU"/>
        </w:rPr>
        <w:t>ing</w:t>
      </w:r>
      <w:r w:rsidRPr="00492DA0">
        <w:rPr>
          <w:lang w:val="en-AU"/>
        </w:rPr>
        <w:t xml:space="preserve"> effectiveness of grants facility</w:t>
      </w:r>
      <w:r w:rsidR="00492DA0">
        <w:rPr>
          <w:lang w:val="en-AU"/>
        </w:rPr>
        <w:t>.</w:t>
      </w:r>
      <w:r w:rsidRPr="00492DA0">
        <w:rPr>
          <w:lang w:val="en-AU"/>
        </w:rPr>
        <w:t xml:space="preserve"> </w:t>
      </w:r>
      <w:r w:rsidR="00EB22DC">
        <w:rPr>
          <w:lang w:val="en-AU"/>
        </w:rPr>
        <w:t>Exploring the possibility of secondment of staff to VLC and / or twinning with a strong regional law reform commission.</w:t>
      </w:r>
    </w:p>
    <w:p w:rsidR="00171462" w:rsidRPr="00492DA0" w:rsidRDefault="00171462" w:rsidP="00171462">
      <w:pPr>
        <w:pStyle w:val="ListParagraph"/>
        <w:ind w:left="360"/>
        <w:jc w:val="both"/>
      </w:pPr>
    </w:p>
    <w:p w:rsidR="00A327D2" w:rsidRDefault="00870BC3" w:rsidP="00870BC3">
      <w:pPr>
        <w:pStyle w:val="Heading2"/>
      </w:pPr>
      <w:bookmarkStart w:id="4" w:name="_Toc411268936"/>
      <w:r w:rsidRPr="00870BC3">
        <w:t>Context</w:t>
      </w:r>
      <w:bookmarkEnd w:id="4"/>
    </w:p>
    <w:p w:rsidR="00C02405" w:rsidRPr="00C02405" w:rsidRDefault="00C02405" w:rsidP="00C02405"/>
    <w:p w:rsidR="00C02405" w:rsidRDefault="00C02405" w:rsidP="00C02405">
      <w:pPr>
        <w:spacing w:after="0"/>
        <w:jc w:val="both"/>
      </w:pPr>
      <w:r>
        <w:t>This report is intended to build on the reports of Stage 1 of SRBJ and, in particular, the Stage 1 Completion Report which provided a stand-alone review of Stage 1 of SRBJ. Accordingly, reporting on Context or on Lessons Learned for example, is intended to highlight new or changing factors rather than to repeat ones that have been reported on previously. Context and lessons learned from Stage 1 are assumed or alluded to in brief and will not be reported on again in this first Progress Report of Stage 2 of SRBJ.</w:t>
      </w:r>
    </w:p>
    <w:p w:rsidR="00C57D93" w:rsidRDefault="00C57D93" w:rsidP="00C02405">
      <w:pPr>
        <w:spacing w:after="0"/>
        <w:jc w:val="both"/>
      </w:pPr>
    </w:p>
    <w:p w:rsidR="00C02405" w:rsidRDefault="00C02405" w:rsidP="00C02405">
      <w:pPr>
        <w:spacing w:after="0"/>
        <w:jc w:val="both"/>
      </w:pPr>
    </w:p>
    <w:p w:rsidR="00200B1D" w:rsidRDefault="00870BC3" w:rsidP="00E9734A">
      <w:pPr>
        <w:pStyle w:val="Heading3"/>
      </w:pPr>
      <w:bookmarkStart w:id="5" w:name="_Toc411268937"/>
      <w:r>
        <w:t>Maintaining relevance of the program</w:t>
      </w:r>
      <w:bookmarkEnd w:id="5"/>
    </w:p>
    <w:p w:rsidR="00EE51DE" w:rsidRDefault="00EE51DE" w:rsidP="00564F43">
      <w:pPr>
        <w:jc w:val="both"/>
        <w:rPr>
          <w:lang w:val="en-AU"/>
        </w:rPr>
      </w:pPr>
      <w:r>
        <w:rPr>
          <w:lang w:val="en-AU"/>
        </w:rPr>
        <w:t>The program logic, theory and justification for the direction of the design of Stage 2 of SRBJ were formulated almost two years ago</w:t>
      </w:r>
      <w:r w:rsidR="00564F43">
        <w:rPr>
          <w:lang w:val="en-AU"/>
        </w:rPr>
        <w:t xml:space="preserve">. Despite this </w:t>
      </w:r>
      <w:r w:rsidR="00E8112E">
        <w:rPr>
          <w:lang w:val="en-AU"/>
        </w:rPr>
        <w:t xml:space="preserve">lapse </w:t>
      </w:r>
      <w:r w:rsidR="00564F43">
        <w:rPr>
          <w:lang w:val="en-AU"/>
        </w:rPr>
        <w:t>of time</w:t>
      </w:r>
      <w:r w:rsidR="00E61E39">
        <w:rPr>
          <w:lang w:val="en-AU"/>
        </w:rPr>
        <w:t>,</w:t>
      </w:r>
      <w:r w:rsidR="00564F43">
        <w:rPr>
          <w:lang w:val="en-AU"/>
        </w:rPr>
        <w:t xml:space="preserve"> </w:t>
      </w:r>
      <w:r>
        <w:rPr>
          <w:lang w:val="en-AU"/>
        </w:rPr>
        <w:t xml:space="preserve">the </w:t>
      </w:r>
      <w:r w:rsidR="00564F43">
        <w:rPr>
          <w:lang w:val="en-AU"/>
        </w:rPr>
        <w:t xml:space="preserve">higher order goals and development concerns to which the design of the program </w:t>
      </w:r>
      <w:r w:rsidR="00E61E39">
        <w:rPr>
          <w:lang w:val="en-AU"/>
        </w:rPr>
        <w:t>sought</w:t>
      </w:r>
      <w:r w:rsidR="00564F43">
        <w:rPr>
          <w:lang w:val="en-AU"/>
        </w:rPr>
        <w:t xml:space="preserve"> to respond continue to be critically relevant to needs </w:t>
      </w:r>
      <w:r w:rsidR="000117B8">
        <w:rPr>
          <w:lang w:val="en-AU"/>
        </w:rPr>
        <w:t xml:space="preserve">at the </w:t>
      </w:r>
      <w:r w:rsidR="00564F43">
        <w:rPr>
          <w:lang w:val="en-AU"/>
        </w:rPr>
        <w:t>community</w:t>
      </w:r>
      <w:r w:rsidR="000117B8">
        <w:rPr>
          <w:lang w:val="en-AU"/>
        </w:rPr>
        <w:t xml:space="preserve"> level in Vanuatu</w:t>
      </w:r>
      <w:r w:rsidR="00564F43">
        <w:rPr>
          <w:lang w:val="en-AU"/>
        </w:rPr>
        <w:t xml:space="preserve">, and more poignantly perhaps </w:t>
      </w:r>
      <w:r w:rsidR="00E8112E">
        <w:rPr>
          <w:lang w:val="en-AU"/>
        </w:rPr>
        <w:t xml:space="preserve">to </w:t>
      </w:r>
      <w:r w:rsidR="00564F43">
        <w:rPr>
          <w:lang w:val="en-AU"/>
        </w:rPr>
        <w:t xml:space="preserve">target groups </w:t>
      </w:r>
      <w:r w:rsidR="000117B8">
        <w:rPr>
          <w:lang w:val="en-AU"/>
        </w:rPr>
        <w:t>within communities</w:t>
      </w:r>
      <w:r w:rsidR="00564F43">
        <w:rPr>
          <w:lang w:val="en-AU"/>
        </w:rPr>
        <w:t>.</w:t>
      </w:r>
    </w:p>
    <w:p w:rsidR="00564F43" w:rsidRDefault="00564F43" w:rsidP="00564F43">
      <w:pPr>
        <w:jc w:val="both"/>
        <w:rPr>
          <w:lang w:val="en-AU"/>
        </w:rPr>
      </w:pPr>
      <w:r>
        <w:rPr>
          <w:lang w:val="en-AU"/>
        </w:rPr>
        <w:t xml:space="preserve">Vanuatu has as part of its justice armoury a Western style formal system intended to provide fair and equitable adjudication of disputes and access to resources and rights to its citizens. For this service to be effectively delivered to </w:t>
      </w:r>
      <w:r w:rsidR="00E8112E">
        <w:rPr>
          <w:lang w:val="en-AU"/>
        </w:rPr>
        <w:t xml:space="preserve">the </w:t>
      </w:r>
      <w:r>
        <w:rPr>
          <w:lang w:val="en-AU"/>
        </w:rPr>
        <w:t>community</w:t>
      </w:r>
      <w:r w:rsidR="00E8112E">
        <w:rPr>
          <w:lang w:val="en-AU"/>
        </w:rPr>
        <w:t xml:space="preserve"> level</w:t>
      </w:r>
      <w:r w:rsidR="00E61E39">
        <w:rPr>
          <w:lang w:val="en-AU"/>
        </w:rPr>
        <w:t>,</w:t>
      </w:r>
      <w:r>
        <w:rPr>
          <w:lang w:val="en-AU"/>
        </w:rPr>
        <w:t xml:space="preserve"> a complex system of independent, but yet interdependent agencies</w:t>
      </w:r>
      <w:r w:rsidR="00550553">
        <w:rPr>
          <w:lang w:val="en-AU"/>
        </w:rPr>
        <w:t>,</w:t>
      </w:r>
      <w:r>
        <w:rPr>
          <w:lang w:val="en-AU"/>
        </w:rPr>
        <w:t xml:space="preserve"> need to interact and act e</w:t>
      </w:r>
      <w:r w:rsidR="00550553">
        <w:rPr>
          <w:lang w:val="en-AU"/>
        </w:rPr>
        <w:t>ffectively and efficiently. The</w:t>
      </w:r>
      <w:r>
        <w:rPr>
          <w:lang w:val="en-AU"/>
        </w:rPr>
        <w:t xml:space="preserve"> justice and community services sector in Vanuatu is a dynamic environment in which c</w:t>
      </w:r>
      <w:r w:rsidR="00550553">
        <w:rPr>
          <w:lang w:val="en-AU"/>
        </w:rPr>
        <w:t>omplex</w:t>
      </w:r>
      <w:r w:rsidR="00E61E39">
        <w:rPr>
          <w:lang w:val="en-AU"/>
        </w:rPr>
        <w:t>,</w:t>
      </w:r>
      <w:r w:rsidR="00550553">
        <w:rPr>
          <w:lang w:val="en-AU"/>
        </w:rPr>
        <w:t xml:space="preserve"> multilevel challenges interplay to impact on effective delivery of justice outcomes to the community. </w:t>
      </w:r>
    </w:p>
    <w:p w:rsidR="00550553" w:rsidRDefault="00550553" w:rsidP="00564F43">
      <w:pPr>
        <w:jc w:val="both"/>
        <w:rPr>
          <w:lang w:val="en-AU"/>
        </w:rPr>
      </w:pPr>
      <w:r>
        <w:rPr>
          <w:lang w:val="en-AU"/>
        </w:rPr>
        <w:t xml:space="preserve">The program seeks to respond to this by supporting networks across the sector that influence positive change; be that through the support of strategic sector priorities identified in the JCSSS that have </w:t>
      </w:r>
      <w:r w:rsidR="00E61E39">
        <w:rPr>
          <w:lang w:val="en-AU"/>
        </w:rPr>
        <w:t xml:space="preserve">home-grown </w:t>
      </w:r>
      <w:r>
        <w:rPr>
          <w:lang w:val="en-AU"/>
        </w:rPr>
        <w:t xml:space="preserve">momentum; or through </w:t>
      </w:r>
      <w:r w:rsidR="004F54D5">
        <w:rPr>
          <w:lang w:val="en-AU"/>
        </w:rPr>
        <w:t xml:space="preserve">support for </w:t>
      </w:r>
      <w:r>
        <w:rPr>
          <w:lang w:val="en-AU"/>
        </w:rPr>
        <w:t>improved planning, reporting, monitoring, budgeting, communication and donor coordination</w:t>
      </w:r>
      <w:r w:rsidR="00E61E39">
        <w:rPr>
          <w:lang w:val="en-AU"/>
        </w:rPr>
        <w:t xml:space="preserve"> as well as strengthened support for the MJCS</w:t>
      </w:r>
      <w:r>
        <w:rPr>
          <w:lang w:val="en-AU"/>
        </w:rPr>
        <w:t>. In addition, the program is providing a suite of capacity development initiativ</w:t>
      </w:r>
      <w:r w:rsidR="00E61E39">
        <w:rPr>
          <w:lang w:val="en-AU"/>
        </w:rPr>
        <w:t>es that are strategic, evidence-</w:t>
      </w:r>
      <w:r>
        <w:rPr>
          <w:lang w:val="en-AU"/>
        </w:rPr>
        <w:t xml:space="preserve">based, problem solving and service delivery focused.  This approach continues to be relevant and appropriate. </w:t>
      </w:r>
    </w:p>
    <w:p w:rsidR="00E61E39" w:rsidRDefault="00E61E39" w:rsidP="00564F43">
      <w:pPr>
        <w:jc w:val="both"/>
        <w:rPr>
          <w:lang w:val="en-AU"/>
        </w:rPr>
      </w:pPr>
      <w:r>
        <w:rPr>
          <w:lang w:val="en-AU"/>
        </w:rPr>
        <w:t xml:space="preserve">In complement to working at the national and institutional levels, the program is designed to implement thematically targeted interventions to improve justice outcomes and responses for children, women and youth. These three sub-groups continue to represent a key proportion (although by no means all) of </w:t>
      </w:r>
      <w:r w:rsidR="004F54D5">
        <w:rPr>
          <w:lang w:val="en-AU"/>
        </w:rPr>
        <w:t xml:space="preserve">the </w:t>
      </w:r>
      <w:r w:rsidR="00E8112E">
        <w:rPr>
          <w:lang w:val="en-AU"/>
        </w:rPr>
        <w:t xml:space="preserve">groups </w:t>
      </w:r>
      <w:r>
        <w:rPr>
          <w:lang w:val="en-AU"/>
        </w:rPr>
        <w:t xml:space="preserve">who justifiably </w:t>
      </w:r>
      <w:r w:rsidR="004F54D5">
        <w:rPr>
          <w:lang w:val="en-AU"/>
        </w:rPr>
        <w:t>seek</w:t>
      </w:r>
      <w:r>
        <w:rPr>
          <w:lang w:val="en-AU"/>
        </w:rPr>
        <w:t xml:space="preserve"> a better service and response from the justice and community services sector in the protection and exercise of their rights and responsibilities as citizens of Vanuatu. The evidence base provided in support of the draft design </w:t>
      </w:r>
      <w:r>
        <w:rPr>
          <w:lang w:val="en-AU"/>
        </w:rPr>
        <w:lastRenderedPageBreak/>
        <w:t>for SRBJ</w:t>
      </w:r>
      <w:r>
        <w:rPr>
          <w:rStyle w:val="FootnoteReference"/>
          <w:lang w:val="en-AU"/>
        </w:rPr>
        <w:footnoteReference w:id="4"/>
      </w:r>
      <w:r>
        <w:rPr>
          <w:lang w:val="en-AU"/>
        </w:rPr>
        <w:t xml:space="preserve"> has not significantly shifted in the two years since design</w:t>
      </w:r>
      <w:r w:rsidR="00E8112E">
        <w:rPr>
          <w:lang w:val="en-AU"/>
        </w:rPr>
        <w:t xml:space="preserve">, and </w:t>
      </w:r>
      <w:r>
        <w:rPr>
          <w:lang w:val="en-AU"/>
        </w:rPr>
        <w:t xml:space="preserve">the overwhelming justification for targeted interventions to support these three groups </w:t>
      </w:r>
      <w:r w:rsidR="004007E9">
        <w:rPr>
          <w:lang w:val="en-AU"/>
        </w:rPr>
        <w:t xml:space="preserve">at </w:t>
      </w:r>
      <w:r>
        <w:rPr>
          <w:lang w:val="en-AU"/>
        </w:rPr>
        <w:t>the community</w:t>
      </w:r>
      <w:r w:rsidR="00E8112E">
        <w:rPr>
          <w:lang w:val="en-AU"/>
        </w:rPr>
        <w:t xml:space="preserve"> </w:t>
      </w:r>
      <w:r w:rsidR="004007E9">
        <w:rPr>
          <w:lang w:val="en-AU"/>
        </w:rPr>
        <w:t xml:space="preserve">level </w:t>
      </w:r>
      <w:r w:rsidR="00E8112E">
        <w:rPr>
          <w:lang w:val="en-AU"/>
        </w:rPr>
        <w:t>remains</w:t>
      </w:r>
      <w:r>
        <w:rPr>
          <w:lang w:val="en-AU"/>
        </w:rPr>
        <w:t>.</w:t>
      </w:r>
    </w:p>
    <w:p w:rsidR="00550553" w:rsidRDefault="004F54D5" w:rsidP="000E5465">
      <w:pPr>
        <w:spacing w:after="0"/>
        <w:jc w:val="both"/>
        <w:rPr>
          <w:lang w:val="en-AU"/>
        </w:rPr>
      </w:pPr>
      <w:r>
        <w:rPr>
          <w:lang w:val="en-AU"/>
        </w:rPr>
        <w:t>Accordingly, the focus and end-of-program-outcomes continue to remain relevant to the needs and context in Vanuatu. However the approach taken to achieve these end-of-program-outcomes may need to shift in certain areas to reflect opportunistic changes in the context, increased understanding of the relevant issues</w:t>
      </w:r>
      <w:r w:rsidR="00E8112E">
        <w:rPr>
          <w:lang w:val="en-AU"/>
        </w:rPr>
        <w:t>,</w:t>
      </w:r>
      <w:r>
        <w:rPr>
          <w:lang w:val="en-AU"/>
        </w:rPr>
        <w:t xml:space="preserve"> and response to identified challenges (this is dealt with in more detail in section </w:t>
      </w:r>
      <w:r w:rsidRPr="00F05F60">
        <w:rPr>
          <w:lang w:val="en-AU"/>
        </w:rPr>
        <w:t>2e</w:t>
      </w:r>
      <w:r w:rsidRPr="00711A28">
        <w:rPr>
          <w:lang w:val="en-AU"/>
        </w:rPr>
        <w:t xml:space="preserve"> </w:t>
      </w:r>
      <w:r w:rsidR="002C4809" w:rsidRPr="00711A28">
        <w:rPr>
          <w:lang w:val="en-AU"/>
        </w:rPr>
        <w:t>–</w:t>
      </w:r>
      <w:r w:rsidRPr="00711A28">
        <w:rPr>
          <w:lang w:val="en-AU"/>
        </w:rPr>
        <w:t xml:space="preserve"> </w:t>
      </w:r>
      <w:r w:rsidR="002C4809" w:rsidRPr="00711A28">
        <w:rPr>
          <w:lang w:val="en-AU"/>
        </w:rPr>
        <w:t>Variation to</w:t>
      </w:r>
      <w:r w:rsidRPr="00711A28">
        <w:rPr>
          <w:lang w:val="en-AU"/>
        </w:rPr>
        <w:t xml:space="preserve"> </w:t>
      </w:r>
      <w:r w:rsidR="00711A28">
        <w:rPr>
          <w:lang w:val="en-AU"/>
        </w:rPr>
        <w:t>the</w:t>
      </w:r>
      <w:r w:rsidRPr="00711A28">
        <w:rPr>
          <w:lang w:val="en-AU"/>
        </w:rPr>
        <w:t xml:space="preserve"> </w:t>
      </w:r>
      <w:proofErr w:type="spellStart"/>
      <w:r w:rsidRPr="00711A28">
        <w:rPr>
          <w:lang w:val="en-AU"/>
        </w:rPr>
        <w:t>Workplan</w:t>
      </w:r>
      <w:proofErr w:type="spellEnd"/>
      <w:r w:rsidRPr="00711A28">
        <w:rPr>
          <w:lang w:val="en-AU"/>
        </w:rPr>
        <w:t>).</w:t>
      </w:r>
    </w:p>
    <w:p w:rsidR="00C57D93" w:rsidRDefault="00C57D93" w:rsidP="00C02405">
      <w:pPr>
        <w:spacing w:after="0" w:line="240" w:lineRule="auto"/>
        <w:jc w:val="both"/>
        <w:rPr>
          <w:lang w:val="en-AU"/>
        </w:rPr>
      </w:pPr>
    </w:p>
    <w:p w:rsidR="00C02405" w:rsidRPr="00EE51DE" w:rsidRDefault="00C02405" w:rsidP="00C02405">
      <w:pPr>
        <w:spacing w:after="0" w:line="240" w:lineRule="auto"/>
        <w:jc w:val="both"/>
        <w:rPr>
          <w:lang w:val="en-AU"/>
        </w:rPr>
      </w:pPr>
    </w:p>
    <w:p w:rsidR="00C02405" w:rsidRPr="00376CEA" w:rsidRDefault="00870BC3" w:rsidP="00376CEA">
      <w:pPr>
        <w:pStyle w:val="Heading3"/>
      </w:pPr>
      <w:bookmarkStart w:id="6" w:name="_Toc411268938"/>
      <w:r>
        <w:t>Factors in the context which effect achievement of outcomes or implementation</w:t>
      </w:r>
      <w:bookmarkEnd w:id="6"/>
    </w:p>
    <w:p w:rsidR="00EA4DE7" w:rsidRPr="001664AC" w:rsidRDefault="001664AC" w:rsidP="000E5465">
      <w:pPr>
        <w:spacing w:after="0"/>
        <w:jc w:val="both"/>
        <w:rPr>
          <w:lang w:val="en-AU"/>
        </w:rPr>
      </w:pPr>
      <w:r>
        <w:rPr>
          <w:lang w:val="en-AU"/>
        </w:rPr>
        <w:t xml:space="preserve">The nature, breadth of purview and complexity of the policing, justice and community service sector is described at </w:t>
      </w:r>
      <w:r w:rsidR="00980A16">
        <w:rPr>
          <w:lang w:val="en-AU"/>
        </w:rPr>
        <w:t>section 2a)</w:t>
      </w:r>
      <w:r>
        <w:rPr>
          <w:lang w:val="en-AU"/>
        </w:rPr>
        <w:t xml:space="preserve"> of the </w:t>
      </w:r>
      <w:r w:rsidRPr="001664AC">
        <w:rPr>
          <w:i/>
          <w:lang w:val="en-AU"/>
        </w:rPr>
        <w:t>SRBJ Completion Report Stage 1</w:t>
      </w:r>
      <w:r w:rsidR="00711A28">
        <w:rPr>
          <w:i/>
          <w:lang w:val="en-AU"/>
        </w:rPr>
        <w:t xml:space="preserve"> – July 2014 </w:t>
      </w:r>
      <w:r w:rsidR="00711A28">
        <w:rPr>
          <w:lang w:val="en-AU"/>
        </w:rPr>
        <w:t>(Stage 1 Completion Report)</w:t>
      </w:r>
      <w:r>
        <w:rPr>
          <w:lang w:val="en-AU"/>
        </w:rPr>
        <w:t xml:space="preserve"> and </w:t>
      </w:r>
      <w:r w:rsidR="00531E5A">
        <w:rPr>
          <w:lang w:val="en-AU"/>
        </w:rPr>
        <w:t xml:space="preserve">that </w:t>
      </w:r>
      <w:r>
        <w:rPr>
          <w:lang w:val="en-AU"/>
        </w:rPr>
        <w:t>continues to represent the sector in which the program operates.</w:t>
      </w:r>
    </w:p>
    <w:p w:rsidR="00AA0644" w:rsidRDefault="00AA0644" w:rsidP="000E5465">
      <w:pPr>
        <w:pStyle w:val="Heading4"/>
        <w:spacing w:before="120"/>
        <w:rPr>
          <w:lang w:val="en-AU"/>
        </w:rPr>
      </w:pPr>
      <w:r w:rsidRPr="001664AC">
        <w:rPr>
          <w:lang w:val="en-AU"/>
        </w:rPr>
        <w:t>Constraints</w:t>
      </w:r>
    </w:p>
    <w:p w:rsidR="001664AC" w:rsidRDefault="00531E5A" w:rsidP="000E5465">
      <w:pPr>
        <w:spacing w:before="120" w:after="0"/>
        <w:jc w:val="both"/>
        <w:rPr>
          <w:lang w:val="en-AU"/>
        </w:rPr>
      </w:pPr>
      <w:r>
        <w:rPr>
          <w:lang w:val="en-AU"/>
        </w:rPr>
        <w:t>The constraints identified in the Stage 1 C</w:t>
      </w:r>
      <w:r w:rsidR="001664AC">
        <w:rPr>
          <w:lang w:val="en-AU"/>
        </w:rPr>
        <w:t xml:space="preserve">ompletion </w:t>
      </w:r>
      <w:r>
        <w:rPr>
          <w:lang w:val="en-AU"/>
        </w:rPr>
        <w:t>Report</w:t>
      </w:r>
      <w:r w:rsidR="001664AC">
        <w:rPr>
          <w:lang w:val="en-AU"/>
        </w:rPr>
        <w:t xml:space="preserve"> (summarised below)</w:t>
      </w:r>
      <w:r w:rsidR="001664AC">
        <w:rPr>
          <w:rStyle w:val="FootnoteReference"/>
          <w:lang w:val="en-AU"/>
        </w:rPr>
        <w:footnoteReference w:id="5"/>
      </w:r>
      <w:r w:rsidR="001664AC">
        <w:rPr>
          <w:lang w:val="en-AU"/>
        </w:rPr>
        <w:t xml:space="preserve"> continue to represent the overarching constraints for the program:</w:t>
      </w:r>
    </w:p>
    <w:p w:rsidR="00287F36" w:rsidRPr="001664AC" w:rsidRDefault="00287F36" w:rsidP="00287F36">
      <w:pPr>
        <w:spacing w:before="120" w:after="0" w:line="240" w:lineRule="auto"/>
        <w:jc w:val="both"/>
        <w:rPr>
          <w:color w:val="FF0000"/>
          <w:lang w:val="en-AU"/>
        </w:rPr>
      </w:pPr>
    </w:p>
    <w:p w:rsidR="001664AC" w:rsidRPr="00531E5A" w:rsidRDefault="001664AC" w:rsidP="007D2BBC">
      <w:pPr>
        <w:pStyle w:val="ListParagraph"/>
        <w:numPr>
          <w:ilvl w:val="0"/>
          <w:numId w:val="21"/>
        </w:numPr>
        <w:jc w:val="both"/>
        <w:rPr>
          <w:lang w:val="en-AU"/>
        </w:rPr>
      </w:pPr>
      <w:r w:rsidRPr="00531E5A">
        <w:rPr>
          <w:lang w:val="en-AU"/>
        </w:rPr>
        <w:t>Fluidity of the political context</w:t>
      </w:r>
      <w:r w:rsidR="005F3FC5">
        <w:rPr>
          <w:lang w:val="en-AU"/>
        </w:rPr>
        <w:t>.</w:t>
      </w:r>
    </w:p>
    <w:p w:rsidR="001664AC" w:rsidRPr="00531E5A" w:rsidRDefault="001664AC" w:rsidP="007D2BBC">
      <w:pPr>
        <w:pStyle w:val="ListParagraph"/>
        <w:numPr>
          <w:ilvl w:val="0"/>
          <w:numId w:val="21"/>
        </w:numPr>
        <w:jc w:val="both"/>
        <w:rPr>
          <w:lang w:val="en-AU"/>
        </w:rPr>
      </w:pPr>
      <w:r w:rsidRPr="00531E5A">
        <w:rPr>
          <w:lang w:val="en-AU"/>
        </w:rPr>
        <w:t>Leadership (</w:t>
      </w:r>
      <w:r w:rsidR="005F3FC5">
        <w:rPr>
          <w:lang w:val="en-AU"/>
        </w:rPr>
        <w:t>i</w:t>
      </w:r>
      <w:r w:rsidRPr="00531E5A">
        <w:rPr>
          <w:lang w:val="en-AU"/>
        </w:rPr>
        <w:t>s both an asset and a constraint</w:t>
      </w:r>
      <w:r w:rsidR="005F3FC5">
        <w:rPr>
          <w:lang w:val="en-AU"/>
        </w:rPr>
        <w:t xml:space="preserve"> across the sector</w:t>
      </w:r>
      <w:r w:rsidRPr="00531E5A">
        <w:rPr>
          <w:lang w:val="en-AU"/>
        </w:rPr>
        <w:t>)</w:t>
      </w:r>
      <w:r w:rsidR="005F3FC5">
        <w:rPr>
          <w:lang w:val="en-AU"/>
        </w:rPr>
        <w:t>.</w:t>
      </w:r>
    </w:p>
    <w:p w:rsidR="00AA0644" w:rsidRPr="00531E5A" w:rsidRDefault="00AA0644" w:rsidP="007D2BBC">
      <w:pPr>
        <w:pStyle w:val="ListParagraph"/>
        <w:numPr>
          <w:ilvl w:val="0"/>
          <w:numId w:val="21"/>
        </w:numPr>
        <w:jc w:val="both"/>
        <w:rPr>
          <w:lang w:val="en-AU"/>
        </w:rPr>
      </w:pPr>
      <w:r w:rsidRPr="00531E5A">
        <w:rPr>
          <w:lang w:val="en-AU"/>
        </w:rPr>
        <w:t>Inherent sensitivity of work</w:t>
      </w:r>
      <w:r w:rsidR="001664AC" w:rsidRPr="00531E5A">
        <w:rPr>
          <w:lang w:val="en-AU"/>
        </w:rPr>
        <w:t xml:space="preserve"> and the bilateral relationship</w:t>
      </w:r>
      <w:r w:rsidR="005F3FC5">
        <w:rPr>
          <w:lang w:val="en-AU"/>
        </w:rPr>
        <w:t>.</w:t>
      </w:r>
    </w:p>
    <w:p w:rsidR="00AA0644" w:rsidRPr="00531E5A" w:rsidRDefault="00AA0644" w:rsidP="007D2BBC">
      <w:pPr>
        <w:pStyle w:val="ListParagraph"/>
        <w:numPr>
          <w:ilvl w:val="0"/>
          <w:numId w:val="21"/>
        </w:numPr>
        <w:jc w:val="both"/>
        <w:rPr>
          <w:lang w:val="en-AU"/>
        </w:rPr>
      </w:pPr>
      <w:r w:rsidRPr="00531E5A">
        <w:rPr>
          <w:lang w:val="en-AU"/>
        </w:rPr>
        <w:t>Politics of aid</w:t>
      </w:r>
      <w:r w:rsidR="005F3FC5">
        <w:rPr>
          <w:lang w:val="en-AU"/>
        </w:rPr>
        <w:t>.</w:t>
      </w:r>
    </w:p>
    <w:p w:rsidR="00AA0644" w:rsidRPr="00531E5A" w:rsidRDefault="00AA0644" w:rsidP="007D2BBC">
      <w:pPr>
        <w:pStyle w:val="ListParagraph"/>
        <w:numPr>
          <w:ilvl w:val="0"/>
          <w:numId w:val="21"/>
        </w:numPr>
        <w:jc w:val="both"/>
        <w:rPr>
          <w:lang w:val="en-AU"/>
        </w:rPr>
      </w:pPr>
      <w:r w:rsidRPr="00531E5A">
        <w:rPr>
          <w:lang w:val="en-AU"/>
        </w:rPr>
        <w:t>Retention of lawyers</w:t>
      </w:r>
      <w:r w:rsidR="00531E5A" w:rsidRPr="00531E5A">
        <w:rPr>
          <w:lang w:val="en-AU"/>
        </w:rPr>
        <w:t xml:space="preserve"> within the public sector.</w:t>
      </w:r>
    </w:p>
    <w:p w:rsidR="00531E5A" w:rsidRDefault="00531E5A" w:rsidP="00531E5A">
      <w:pPr>
        <w:jc w:val="both"/>
        <w:rPr>
          <w:lang w:val="en-AU"/>
        </w:rPr>
      </w:pPr>
      <w:r w:rsidRPr="00287F36">
        <w:rPr>
          <w:lang w:val="en-AU"/>
        </w:rPr>
        <w:t xml:space="preserve">In addition, it is also of note that there has been a decline in </w:t>
      </w:r>
      <w:r w:rsidR="00BC6A70">
        <w:rPr>
          <w:lang w:val="en-AU"/>
        </w:rPr>
        <w:t xml:space="preserve">the size and scope </w:t>
      </w:r>
      <w:proofErr w:type="spellStart"/>
      <w:r w:rsidR="00BC6A70">
        <w:rPr>
          <w:lang w:val="en-AU"/>
        </w:rPr>
        <w:t>of</w:t>
      </w:r>
      <w:r w:rsidRPr="00287F36">
        <w:rPr>
          <w:lang w:val="en-AU"/>
        </w:rPr>
        <w:t>other</w:t>
      </w:r>
      <w:proofErr w:type="spellEnd"/>
      <w:r w:rsidRPr="00287F36">
        <w:rPr>
          <w:lang w:val="en-AU"/>
        </w:rPr>
        <w:t xml:space="preserve"> </w:t>
      </w:r>
      <w:r w:rsidR="005F3FC5">
        <w:rPr>
          <w:lang w:val="en-AU"/>
        </w:rPr>
        <w:t xml:space="preserve">programs and </w:t>
      </w:r>
      <w:r w:rsidRPr="00287F36">
        <w:rPr>
          <w:lang w:val="en-AU"/>
        </w:rPr>
        <w:t>development partners within or intersecting with the sector since the commencement of Stage 1</w:t>
      </w:r>
      <w:r w:rsidR="00711A28">
        <w:rPr>
          <w:lang w:val="en-AU"/>
        </w:rPr>
        <w:t xml:space="preserve"> in March 2012</w:t>
      </w:r>
      <w:r w:rsidRPr="00287F36">
        <w:rPr>
          <w:lang w:val="en-AU"/>
        </w:rPr>
        <w:t xml:space="preserve">. Such programs can have the potential to enhance, or strengthen the work of SRBJ. The scope of the Vanuatu Land Program (formerly </w:t>
      </w:r>
      <w:r w:rsidRPr="00287F36">
        <w:rPr>
          <w:i/>
          <w:lang w:val="en-AU"/>
        </w:rPr>
        <w:t xml:space="preserve">Mama </w:t>
      </w:r>
      <w:proofErr w:type="spellStart"/>
      <w:r w:rsidRPr="00287F36">
        <w:rPr>
          <w:i/>
          <w:lang w:val="en-AU"/>
        </w:rPr>
        <w:t>Graon</w:t>
      </w:r>
      <w:proofErr w:type="spellEnd"/>
      <w:r w:rsidRPr="00287F36">
        <w:rPr>
          <w:lang w:val="en-AU"/>
        </w:rPr>
        <w:t xml:space="preserve"> Program) has been significantly narrowed; the World Bank </w:t>
      </w:r>
      <w:r w:rsidR="005F3FC5">
        <w:rPr>
          <w:i/>
          <w:lang w:val="en-AU"/>
        </w:rPr>
        <w:t>Jastis</w:t>
      </w:r>
      <w:r w:rsidRPr="005F3FC5">
        <w:rPr>
          <w:i/>
          <w:lang w:val="en-AU"/>
        </w:rPr>
        <w:t xml:space="preserve"> Blong Evriwan</w:t>
      </w:r>
      <w:r w:rsidRPr="00287F36">
        <w:rPr>
          <w:lang w:val="en-AU"/>
        </w:rPr>
        <w:t xml:space="preserve"> Land Advisory Services initiative is in hibernation pending the identification of funding; the Governance Program </w:t>
      </w:r>
      <w:r w:rsidR="002F25FC">
        <w:rPr>
          <w:lang w:val="en-AU"/>
        </w:rPr>
        <w:t xml:space="preserve">at Wan </w:t>
      </w:r>
      <w:proofErr w:type="spellStart"/>
      <w:r w:rsidR="002F25FC">
        <w:rPr>
          <w:lang w:val="en-AU"/>
        </w:rPr>
        <w:t>Smolbag</w:t>
      </w:r>
      <w:proofErr w:type="spellEnd"/>
      <w:r w:rsidR="002F25FC" w:rsidRPr="00287F36">
        <w:rPr>
          <w:lang w:val="en-AU"/>
        </w:rPr>
        <w:t xml:space="preserve"> </w:t>
      </w:r>
      <w:r w:rsidRPr="00287F36">
        <w:rPr>
          <w:lang w:val="en-AU"/>
        </w:rPr>
        <w:t xml:space="preserve">has been </w:t>
      </w:r>
      <w:r w:rsidR="002F25FC">
        <w:rPr>
          <w:lang w:val="en-AU"/>
        </w:rPr>
        <w:t>deprioritised due to funding cuts</w:t>
      </w:r>
      <w:r w:rsidRPr="00287F36">
        <w:rPr>
          <w:lang w:val="en-AU"/>
        </w:rPr>
        <w:t>. UNICEF’s Child Protection scope has been narrowed to strengthen outcomes</w:t>
      </w:r>
      <w:r w:rsidR="002F25FC">
        <w:rPr>
          <w:lang w:val="en-AU"/>
        </w:rPr>
        <w:t>,</w:t>
      </w:r>
      <w:r w:rsidRPr="00287F36">
        <w:rPr>
          <w:lang w:val="en-AU"/>
        </w:rPr>
        <w:t xml:space="preserve"> and regional programs are</w:t>
      </w:r>
      <w:r w:rsidR="00BC6A70">
        <w:rPr>
          <w:lang w:val="en-AU"/>
        </w:rPr>
        <w:t xml:space="preserve"> generally</w:t>
      </w:r>
      <w:r w:rsidRPr="00287F36">
        <w:rPr>
          <w:lang w:val="en-AU"/>
        </w:rPr>
        <w:t xml:space="preserve"> less contextualised and innovative in nature </w:t>
      </w:r>
      <w:r w:rsidR="00BC6A70">
        <w:rPr>
          <w:lang w:val="en-AU"/>
        </w:rPr>
        <w:t xml:space="preserve">given the need to operate generically across a diverse region. </w:t>
      </w:r>
    </w:p>
    <w:p w:rsidR="00AA0644" w:rsidRDefault="00AA0644" w:rsidP="00A6372C">
      <w:pPr>
        <w:pStyle w:val="Heading4"/>
        <w:spacing w:before="0" w:after="240"/>
        <w:rPr>
          <w:lang w:val="en-AU"/>
        </w:rPr>
      </w:pPr>
      <w:r w:rsidRPr="00AA0644">
        <w:rPr>
          <w:lang w:val="en-AU"/>
        </w:rPr>
        <w:t>Opportunities</w:t>
      </w:r>
    </w:p>
    <w:p w:rsidR="00AA0644" w:rsidRPr="007C2C77" w:rsidRDefault="00AA0644" w:rsidP="00A6372C">
      <w:pPr>
        <w:spacing w:after="240"/>
        <w:jc w:val="both"/>
        <w:rPr>
          <w:lang w:val="en-AU"/>
        </w:rPr>
      </w:pPr>
      <w:r w:rsidRPr="007C2C77">
        <w:rPr>
          <w:lang w:val="en-AU"/>
        </w:rPr>
        <w:t xml:space="preserve">Leadership </w:t>
      </w:r>
      <w:r w:rsidR="00CE47EB" w:rsidRPr="007C2C77">
        <w:rPr>
          <w:lang w:val="en-AU"/>
        </w:rPr>
        <w:t xml:space="preserve">in certain areas </w:t>
      </w:r>
      <w:r w:rsidR="00287F36" w:rsidRPr="007C2C77">
        <w:rPr>
          <w:lang w:val="en-AU"/>
        </w:rPr>
        <w:t>continues to be a key opportunity within the sector.</w:t>
      </w:r>
      <w:r w:rsidR="00287F36" w:rsidRPr="00287F36">
        <w:rPr>
          <w:rStyle w:val="FootnoteReference"/>
          <w:lang w:val="en-AU"/>
        </w:rPr>
        <w:footnoteReference w:id="6"/>
      </w:r>
    </w:p>
    <w:p w:rsidR="00287F36" w:rsidRPr="00287F36" w:rsidRDefault="00287F36" w:rsidP="002C4809">
      <w:pPr>
        <w:jc w:val="both"/>
        <w:rPr>
          <w:lang w:val="en-AU"/>
        </w:rPr>
      </w:pPr>
      <w:r w:rsidRPr="00287F36">
        <w:rPr>
          <w:lang w:val="en-AU"/>
        </w:rPr>
        <w:lastRenderedPageBreak/>
        <w:t>In addition, there are other key opportunities that the program may be in a position to harness over stage 2:</w:t>
      </w:r>
    </w:p>
    <w:p w:rsidR="00AA0644" w:rsidRPr="00287F36" w:rsidRDefault="00287F36" w:rsidP="007D2BBC">
      <w:pPr>
        <w:pStyle w:val="ListParagraph"/>
        <w:numPr>
          <w:ilvl w:val="0"/>
          <w:numId w:val="22"/>
        </w:numPr>
        <w:jc w:val="both"/>
        <w:rPr>
          <w:lang w:val="en-AU"/>
        </w:rPr>
      </w:pPr>
      <w:r>
        <w:rPr>
          <w:lang w:val="en-AU"/>
        </w:rPr>
        <w:t>“</w:t>
      </w:r>
      <w:r w:rsidR="005F3FC5">
        <w:rPr>
          <w:lang w:val="en-AU"/>
        </w:rPr>
        <w:t>P</w:t>
      </w:r>
      <w:r w:rsidR="00AA0644" w:rsidRPr="00287F36">
        <w:rPr>
          <w:lang w:val="en-AU"/>
        </w:rPr>
        <w:t>ockets</w:t>
      </w:r>
      <w:r>
        <w:rPr>
          <w:lang w:val="en-AU"/>
        </w:rPr>
        <w:t>”</w:t>
      </w:r>
      <w:r w:rsidR="00445CC1">
        <w:rPr>
          <w:lang w:val="en-AU"/>
        </w:rPr>
        <w:t xml:space="preserve"> of collaboration</w:t>
      </w:r>
      <w:r w:rsidR="00711A28">
        <w:rPr>
          <w:lang w:val="en-AU"/>
        </w:rPr>
        <w:t xml:space="preserve"> exist and could be strengthened with support. This is </w:t>
      </w:r>
      <w:r w:rsidR="00445CC1">
        <w:rPr>
          <w:lang w:val="en-AU"/>
        </w:rPr>
        <w:t>demonstrated through responsiveness to monitoring, reporting, planning and finance support as well as the sharing of information</w:t>
      </w:r>
      <w:r w:rsidR="005F3FC5">
        <w:rPr>
          <w:lang w:val="en-AU"/>
        </w:rPr>
        <w:t xml:space="preserve"> and collaboration on case management and on investigations and prosecutions</w:t>
      </w:r>
      <w:r w:rsidR="00445CC1">
        <w:rPr>
          <w:lang w:val="en-AU"/>
        </w:rPr>
        <w:t>.</w:t>
      </w:r>
    </w:p>
    <w:p w:rsidR="00AA0644" w:rsidRPr="00445CC1" w:rsidRDefault="00AA0644" w:rsidP="007D2BBC">
      <w:pPr>
        <w:pStyle w:val="ListParagraph"/>
        <w:numPr>
          <w:ilvl w:val="0"/>
          <w:numId w:val="22"/>
        </w:numPr>
        <w:jc w:val="both"/>
        <w:rPr>
          <w:lang w:val="en-AU"/>
        </w:rPr>
      </w:pPr>
      <w:r w:rsidRPr="00445CC1">
        <w:rPr>
          <w:lang w:val="en-AU"/>
        </w:rPr>
        <w:t xml:space="preserve">Increased engagement </w:t>
      </w:r>
      <w:r w:rsidR="00445CC1">
        <w:rPr>
          <w:lang w:val="en-AU"/>
        </w:rPr>
        <w:t xml:space="preserve">of DWA </w:t>
      </w:r>
      <w:r w:rsidRPr="00445CC1">
        <w:rPr>
          <w:lang w:val="en-AU"/>
        </w:rPr>
        <w:t>with the program</w:t>
      </w:r>
      <w:r w:rsidR="00445CC1">
        <w:rPr>
          <w:lang w:val="en-AU"/>
        </w:rPr>
        <w:t xml:space="preserve"> through a direct request for support for mapping, piloting and implementation of aspects of the Family Protection Act 2008 and for support in the development of a National Gender Strategy. This provides an opportunity for strengthened work of the program with respect to both gender </w:t>
      </w:r>
      <w:r w:rsidR="005F3FC5">
        <w:rPr>
          <w:lang w:val="en-AU"/>
        </w:rPr>
        <w:t xml:space="preserve">more broadly </w:t>
      </w:r>
      <w:r w:rsidR="00445CC1">
        <w:rPr>
          <w:lang w:val="en-AU"/>
        </w:rPr>
        <w:t>and violence against women</w:t>
      </w:r>
      <w:r w:rsidR="005F3FC5">
        <w:rPr>
          <w:lang w:val="en-AU"/>
        </w:rPr>
        <w:t xml:space="preserve"> more specifically</w:t>
      </w:r>
      <w:r w:rsidR="002F25FC">
        <w:rPr>
          <w:lang w:val="en-AU"/>
        </w:rPr>
        <w:t>,</w:t>
      </w:r>
      <w:r w:rsidR="005F3FC5">
        <w:rPr>
          <w:lang w:val="en-AU"/>
        </w:rPr>
        <w:t xml:space="preserve"> although partnership with </w:t>
      </w:r>
      <w:r w:rsidR="00711A28">
        <w:rPr>
          <w:lang w:val="en-AU"/>
        </w:rPr>
        <w:t>GoV</w:t>
      </w:r>
      <w:r w:rsidR="005F3FC5">
        <w:rPr>
          <w:lang w:val="en-AU"/>
        </w:rPr>
        <w:t xml:space="preserve"> can also be challenging and convoluted</w:t>
      </w:r>
      <w:r w:rsidR="00445CC1">
        <w:rPr>
          <w:lang w:val="en-AU"/>
        </w:rPr>
        <w:t xml:space="preserve">. </w:t>
      </w:r>
    </w:p>
    <w:p w:rsidR="008E2153" w:rsidRPr="00445CC1" w:rsidRDefault="00445CC1" w:rsidP="007D2BBC">
      <w:pPr>
        <w:pStyle w:val="ListParagraph"/>
        <w:numPr>
          <w:ilvl w:val="0"/>
          <w:numId w:val="22"/>
        </w:numPr>
        <w:jc w:val="both"/>
        <w:rPr>
          <w:lang w:val="en-AU"/>
        </w:rPr>
      </w:pPr>
      <w:r>
        <w:rPr>
          <w:lang w:val="en-AU"/>
        </w:rPr>
        <w:t>Greater accessibility</w:t>
      </w:r>
      <w:r w:rsidR="00BC6A70">
        <w:rPr>
          <w:lang w:val="en-AU"/>
        </w:rPr>
        <w:t xml:space="preserve"> of the SRBJ advisers</w:t>
      </w:r>
      <w:r w:rsidR="00BC6A70">
        <w:rPr>
          <w:rStyle w:val="FootnoteReference"/>
          <w:lang w:val="en-AU"/>
        </w:rPr>
        <w:footnoteReference w:id="7"/>
      </w:r>
      <w:r>
        <w:rPr>
          <w:lang w:val="en-AU"/>
        </w:rPr>
        <w:t xml:space="preserve"> to the VPF since the commencement of Stage 2, </w:t>
      </w:r>
      <w:r w:rsidR="00711A28">
        <w:rPr>
          <w:lang w:val="en-AU"/>
        </w:rPr>
        <w:t>allowing</w:t>
      </w:r>
      <w:r>
        <w:rPr>
          <w:lang w:val="en-AU"/>
        </w:rPr>
        <w:t xml:space="preserve"> </w:t>
      </w:r>
      <w:r w:rsidR="00BC6A70">
        <w:rPr>
          <w:lang w:val="en-AU"/>
        </w:rPr>
        <w:t xml:space="preserve">the program </w:t>
      </w:r>
      <w:r>
        <w:rPr>
          <w:lang w:val="en-AU"/>
        </w:rPr>
        <w:t xml:space="preserve">to provide advice and support </w:t>
      </w:r>
      <w:r w:rsidR="005F3FC5">
        <w:rPr>
          <w:lang w:val="en-AU"/>
        </w:rPr>
        <w:t xml:space="preserve">to </w:t>
      </w:r>
      <w:r>
        <w:rPr>
          <w:lang w:val="en-AU"/>
        </w:rPr>
        <w:t xml:space="preserve">police in areas </w:t>
      </w:r>
      <w:r w:rsidR="005F3FC5">
        <w:rPr>
          <w:lang w:val="en-AU"/>
        </w:rPr>
        <w:t>of program strength</w:t>
      </w:r>
      <w:r>
        <w:rPr>
          <w:lang w:val="en-AU"/>
        </w:rPr>
        <w:t xml:space="preserve"> which will provide opportunity for a more holistic approach </w:t>
      </w:r>
      <w:r w:rsidR="005F3FC5">
        <w:rPr>
          <w:lang w:val="en-AU"/>
        </w:rPr>
        <w:t>across</w:t>
      </w:r>
      <w:r>
        <w:rPr>
          <w:lang w:val="en-AU"/>
        </w:rPr>
        <w:t xml:space="preserve"> the sector </w:t>
      </w:r>
      <w:r w:rsidR="00711A28">
        <w:rPr>
          <w:lang w:val="en-AU"/>
        </w:rPr>
        <w:t xml:space="preserve">particularly with respect </w:t>
      </w:r>
      <w:r>
        <w:rPr>
          <w:lang w:val="en-AU"/>
        </w:rPr>
        <w:t>to certain thematic or systemic challenges; for example the case and data management support; the investigations and prosecutions collaboration for greater efficiencies</w:t>
      </w:r>
      <w:r w:rsidR="002F25FC">
        <w:rPr>
          <w:lang w:val="en-AU"/>
        </w:rPr>
        <w:t>,</w:t>
      </w:r>
      <w:r>
        <w:rPr>
          <w:lang w:val="en-AU"/>
        </w:rPr>
        <w:t xml:space="preserve"> and support for the strategic planning of the WAN.</w:t>
      </w:r>
    </w:p>
    <w:p w:rsidR="008E2153" w:rsidRPr="00445CC1" w:rsidRDefault="005F3FC5" w:rsidP="007D2BBC">
      <w:pPr>
        <w:pStyle w:val="ListParagraph"/>
        <w:numPr>
          <w:ilvl w:val="0"/>
          <w:numId w:val="22"/>
        </w:numPr>
        <w:jc w:val="both"/>
        <w:rPr>
          <w:lang w:val="en-AU"/>
        </w:rPr>
      </w:pPr>
      <w:r>
        <w:rPr>
          <w:lang w:val="en-AU"/>
        </w:rPr>
        <w:t>Increased focus by</w:t>
      </w:r>
      <w:r w:rsidR="00445CC1">
        <w:rPr>
          <w:lang w:val="en-AU"/>
        </w:rPr>
        <w:t xml:space="preserve"> the GoV </w:t>
      </w:r>
      <w:r>
        <w:rPr>
          <w:lang w:val="en-AU"/>
        </w:rPr>
        <w:t>on</w:t>
      </w:r>
      <w:r w:rsidR="00445CC1">
        <w:rPr>
          <w:lang w:val="en-AU"/>
        </w:rPr>
        <w:t xml:space="preserve"> seeking external support for the Office of the Public Prosecutor provides a potential opportunity to strengthen the sector as a whole. The relative weakness of that office impacts on other agencies in the delivery of justice </w:t>
      </w:r>
      <w:r>
        <w:rPr>
          <w:lang w:val="en-AU"/>
        </w:rPr>
        <w:t>as well as</w:t>
      </w:r>
      <w:r w:rsidR="00445CC1">
        <w:rPr>
          <w:lang w:val="en-AU"/>
        </w:rPr>
        <w:t xml:space="preserve"> on </w:t>
      </w:r>
      <w:r>
        <w:rPr>
          <w:lang w:val="en-AU"/>
        </w:rPr>
        <w:t xml:space="preserve">justice </w:t>
      </w:r>
      <w:r w:rsidR="00445CC1">
        <w:rPr>
          <w:lang w:val="en-AU"/>
        </w:rPr>
        <w:t>outcomes to the community</w:t>
      </w:r>
      <w:r>
        <w:rPr>
          <w:lang w:val="en-AU"/>
        </w:rPr>
        <w:t xml:space="preserve"> more broadly</w:t>
      </w:r>
      <w:r w:rsidR="00445CC1">
        <w:rPr>
          <w:lang w:val="en-AU"/>
        </w:rPr>
        <w:t xml:space="preserve">. </w:t>
      </w:r>
      <w:r w:rsidR="001033E7">
        <w:rPr>
          <w:lang w:val="en-AU"/>
        </w:rPr>
        <w:t>If successful</w:t>
      </w:r>
      <w:r w:rsidR="002F25FC">
        <w:rPr>
          <w:lang w:val="en-AU"/>
        </w:rPr>
        <w:t>,</w:t>
      </w:r>
      <w:r w:rsidR="001033E7">
        <w:rPr>
          <w:lang w:val="en-AU"/>
        </w:rPr>
        <w:t xml:space="preserve"> this endeavour would have a very significant positive impact on both the PPO and on the criminal justice system.</w:t>
      </w:r>
    </w:p>
    <w:p w:rsidR="00F64F5D" w:rsidRPr="00445CC1" w:rsidRDefault="00F64F5D" w:rsidP="007D2BBC">
      <w:pPr>
        <w:pStyle w:val="ListParagraph"/>
        <w:numPr>
          <w:ilvl w:val="0"/>
          <w:numId w:val="22"/>
        </w:numPr>
        <w:jc w:val="both"/>
        <w:rPr>
          <w:lang w:val="en-AU"/>
        </w:rPr>
      </w:pPr>
      <w:r w:rsidRPr="00445CC1">
        <w:rPr>
          <w:lang w:val="en-AU"/>
        </w:rPr>
        <w:t>Recruitment of</w:t>
      </w:r>
      <w:r w:rsidR="00445CC1">
        <w:rPr>
          <w:lang w:val="en-AU"/>
        </w:rPr>
        <w:t xml:space="preserve"> a</w:t>
      </w:r>
      <w:r w:rsidRPr="00445CC1">
        <w:rPr>
          <w:lang w:val="en-AU"/>
        </w:rPr>
        <w:t xml:space="preserve"> finance officer to </w:t>
      </w:r>
      <w:r w:rsidR="005F3FC5">
        <w:rPr>
          <w:lang w:val="en-AU"/>
        </w:rPr>
        <w:t>MJCS</w:t>
      </w:r>
      <w:r w:rsidRPr="00445CC1">
        <w:rPr>
          <w:lang w:val="en-AU"/>
        </w:rPr>
        <w:t xml:space="preserve"> has increased capacity of </w:t>
      </w:r>
      <w:r w:rsidR="005F3FC5">
        <w:rPr>
          <w:lang w:val="en-AU"/>
        </w:rPr>
        <w:t>the Ministry</w:t>
      </w:r>
      <w:r w:rsidRPr="00445CC1">
        <w:rPr>
          <w:lang w:val="en-AU"/>
        </w:rPr>
        <w:t xml:space="preserve"> </w:t>
      </w:r>
      <w:r w:rsidR="00445CC1">
        <w:rPr>
          <w:lang w:val="en-AU"/>
        </w:rPr>
        <w:t>with respect to financial oversight and support to the sector.</w:t>
      </w:r>
    </w:p>
    <w:p w:rsidR="009E7977" w:rsidRPr="00445CC1" w:rsidRDefault="00445CC1" w:rsidP="007D2BBC">
      <w:pPr>
        <w:pStyle w:val="ListParagraph"/>
        <w:numPr>
          <w:ilvl w:val="0"/>
          <w:numId w:val="22"/>
        </w:numPr>
        <w:jc w:val="both"/>
        <w:rPr>
          <w:lang w:val="en-AU"/>
        </w:rPr>
      </w:pPr>
      <w:r>
        <w:rPr>
          <w:lang w:val="en-AU"/>
        </w:rPr>
        <w:t xml:space="preserve">There have been incremental moves to establishing the permanency of the Monitoring Officer within the structure of the MJCS, including transfer of the relevant post from </w:t>
      </w:r>
      <w:r w:rsidR="005F3FC5">
        <w:rPr>
          <w:lang w:val="en-AU"/>
        </w:rPr>
        <w:t>the Ministry of Lands which enhances sustainability of this support and demonstrates GoV recognition of the importance of the role.</w:t>
      </w:r>
    </w:p>
    <w:p w:rsidR="00287F36" w:rsidRDefault="00445CC1" w:rsidP="007D2BBC">
      <w:pPr>
        <w:pStyle w:val="ListParagraph"/>
        <w:numPr>
          <w:ilvl w:val="0"/>
          <w:numId w:val="22"/>
        </w:numPr>
        <w:jc w:val="both"/>
        <w:rPr>
          <w:lang w:val="en-AU"/>
        </w:rPr>
      </w:pPr>
      <w:r>
        <w:rPr>
          <w:lang w:val="en-AU"/>
        </w:rPr>
        <w:t xml:space="preserve">The </w:t>
      </w:r>
      <w:r w:rsidR="00CE78DC">
        <w:rPr>
          <w:lang w:val="en-AU"/>
        </w:rPr>
        <w:t>New Zealand</w:t>
      </w:r>
      <w:r>
        <w:rPr>
          <w:lang w:val="en-AU"/>
        </w:rPr>
        <w:t xml:space="preserve"> Government remains an active development partner within the sector providing support to the </w:t>
      </w:r>
      <w:r w:rsidR="001033E7">
        <w:rPr>
          <w:lang w:val="en-AU"/>
        </w:rPr>
        <w:t>Department of Corrections, the J</w:t>
      </w:r>
      <w:r>
        <w:rPr>
          <w:lang w:val="en-AU"/>
        </w:rPr>
        <w:t xml:space="preserve">udiciary and the </w:t>
      </w:r>
      <w:r w:rsidR="00CE78DC">
        <w:rPr>
          <w:lang w:val="en-AU"/>
        </w:rPr>
        <w:t xml:space="preserve">VPF. Support </w:t>
      </w:r>
      <w:r w:rsidR="005F3FC5">
        <w:rPr>
          <w:lang w:val="en-AU"/>
        </w:rPr>
        <w:t>to these three institutions</w:t>
      </w:r>
      <w:r w:rsidR="00CE78DC">
        <w:rPr>
          <w:lang w:val="en-AU"/>
        </w:rPr>
        <w:t xml:space="preserve"> has been collaborative and well harmonised with the sector-wide approach of SRBJ. It provides opportunity for mutual strengthening of interventions, for example</w:t>
      </w:r>
      <w:r w:rsidR="005F3FC5">
        <w:rPr>
          <w:lang w:val="en-AU"/>
        </w:rPr>
        <w:t>,</w:t>
      </w:r>
      <w:r w:rsidR="00CE78DC">
        <w:rPr>
          <w:lang w:val="en-AU"/>
        </w:rPr>
        <w:t xml:space="preserve"> through programs such as the NZ funded PPDVP which primarily provides support to the </w:t>
      </w:r>
      <w:r w:rsidR="00F05F60">
        <w:rPr>
          <w:lang w:val="en-AU"/>
        </w:rPr>
        <w:t>Family Protection Unit (</w:t>
      </w:r>
      <w:r w:rsidR="00CE78DC">
        <w:rPr>
          <w:lang w:val="en-AU"/>
        </w:rPr>
        <w:t>FPU</w:t>
      </w:r>
      <w:r w:rsidR="00F05F60">
        <w:rPr>
          <w:lang w:val="en-AU"/>
        </w:rPr>
        <w:t>) of the VPF</w:t>
      </w:r>
      <w:r w:rsidR="00CE78DC">
        <w:rPr>
          <w:lang w:val="en-AU"/>
        </w:rPr>
        <w:t xml:space="preserve"> in Vanuatu.</w:t>
      </w:r>
    </w:p>
    <w:p w:rsidR="00C57D93" w:rsidRPr="00445CC1" w:rsidRDefault="00C57D93" w:rsidP="00C57D93">
      <w:pPr>
        <w:pStyle w:val="ListParagraph"/>
        <w:ind w:left="360"/>
        <w:jc w:val="both"/>
        <w:rPr>
          <w:lang w:val="en-AU"/>
        </w:rPr>
      </w:pPr>
    </w:p>
    <w:p w:rsidR="008619BB" w:rsidRDefault="00870BC3" w:rsidP="00E9734A">
      <w:pPr>
        <w:pStyle w:val="Heading3"/>
      </w:pPr>
      <w:bookmarkStart w:id="7" w:name="_Toc411268939"/>
      <w:r>
        <w:lastRenderedPageBreak/>
        <w:t>Extent to which program may be effecting context</w:t>
      </w:r>
      <w:bookmarkEnd w:id="7"/>
    </w:p>
    <w:p w:rsidR="005F3FC5" w:rsidRDefault="005F3FC5" w:rsidP="005F3FC5">
      <w:pPr>
        <w:rPr>
          <w:lang w:val="en-AU"/>
        </w:rPr>
      </w:pPr>
      <w:r>
        <w:rPr>
          <w:lang w:val="en-AU"/>
        </w:rPr>
        <w:t>The program does not have any specific</w:t>
      </w:r>
      <w:r w:rsidR="004776D0">
        <w:rPr>
          <w:lang w:val="en-AU"/>
        </w:rPr>
        <w:t xml:space="preserve">ally targeted mechanism for measuring unexpected effects </w:t>
      </w:r>
      <w:r w:rsidR="002F25FC">
        <w:rPr>
          <w:lang w:val="en-AU"/>
        </w:rPr>
        <w:t xml:space="preserve">on context </w:t>
      </w:r>
      <w:r w:rsidR="004776D0">
        <w:rPr>
          <w:lang w:val="en-AU"/>
        </w:rPr>
        <w:t xml:space="preserve">although management and advisers are asked to reflect on this periodically. </w:t>
      </w:r>
    </w:p>
    <w:p w:rsidR="004776D0" w:rsidRDefault="004776D0" w:rsidP="005F3FC5">
      <w:pPr>
        <w:rPr>
          <w:lang w:val="en-AU"/>
        </w:rPr>
      </w:pPr>
      <w:r>
        <w:rPr>
          <w:lang w:val="en-AU"/>
        </w:rPr>
        <w:t>Unexpected effects noted during this reporting period are:</w:t>
      </w:r>
    </w:p>
    <w:p w:rsidR="004776D0" w:rsidRDefault="004776D0" w:rsidP="007D2BBC">
      <w:pPr>
        <w:pStyle w:val="ListParagraph"/>
        <w:numPr>
          <w:ilvl w:val="0"/>
          <w:numId w:val="23"/>
        </w:numPr>
        <w:jc w:val="both"/>
        <w:rPr>
          <w:lang w:val="en-AU"/>
        </w:rPr>
      </w:pPr>
      <w:r>
        <w:rPr>
          <w:lang w:val="en-AU"/>
        </w:rPr>
        <w:t xml:space="preserve">Support for the renovations of the Public Prosecutor’s Office, the Ombudsman’s Office and the Supreme Court Registry has resulted in an increased appetite across the board for infrastructure improvements which is not intended to be a particular focus of the program. SRBJ has responded to this by proposing support for a sector wide infrastructure needs assessment which would allow for a more strategic approach to responding to infrastructure needs. </w:t>
      </w:r>
      <w:r w:rsidR="0089078C">
        <w:rPr>
          <w:lang w:val="en-AU"/>
        </w:rPr>
        <w:t xml:space="preserve">This is on line with one of the JCSS strategies; is the focus of the Infrastructure Working Group and </w:t>
      </w:r>
      <w:r w:rsidR="001033E7">
        <w:rPr>
          <w:lang w:val="en-AU"/>
        </w:rPr>
        <w:t>has been taken up by the MJCS as an appropriate approach.</w:t>
      </w:r>
    </w:p>
    <w:p w:rsidR="004776D0" w:rsidRPr="004776D0" w:rsidRDefault="004776D0" w:rsidP="007D2BBC">
      <w:pPr>
        <w:pStyle w:val="ListParagraph"/>
        <w:numPr>
          <w:ilvl w:val="0"/>
          <w:numId w:val="23"/>
        </w:numPr>
        <w:jc w:val="both"/>
        <w:rPr>
          <w:lang w:val="en-AU"/>
        </w:rPr>
      </w:pPr>
      <w:r>
        <w:rPr>
          <w:lang w:val="en-AU"/>
        </w:rPr>
        <w:t>The presence of the program has in recent times altered the dynamic of the Heads of Agency Group meetings which are generally convened by the MJCS on a quarterly (or more frequent) basis. The HOAG meetings have previously been a forum for the discussion of issues, consultation and approval of certain proposed directions</w:t>
      </w:r>
      <w:r w:rsidR="001033E7">
        <w:rPr>
          <w:lang w:val="en-AU"/>
        </w:rPr>
        <w:t xml:space="preserve"> or initiatives</w:t>
      </w:r>
      <w:r>
        <w:rPr>
          <w:lang w:val="en-AU"/>
        </w:rPr>
        <w:t xml:space="preserve">. In recent times, the program has been invited to present information from certain advisers which has at times </w:t>
      </w:r>
      <w:r w:rsidR="00695E97">
        <w:rPr>
          <w:lang w:val="en-AU"/>
        </w:rPr>
        <w:t xml:space="preserve">filled </w:t>
      </w:r>
      <w:r>
        <w:rPr>
          <w:lang w:val="en-AU"/>
        </w:rPr>
        <w:t>the agenda</w:t>
      </w:r>
      <w:r w:rsidR="00695E97">
        <w:rPr>
          <w:lang w:val="en-AU"/>
        </w:rPr>
        <w:t>,</w:t>
      </w:r>
      <w:r>
        <w:rPr>
          <w:rStyle w:val="FootnoteReference"/>
          <w:lang w:val="en-AU"/>
        </w:rPr>
        <w:footnoteReference w:id="8"/>
      </w:r>
      <w:r>
        <w:rPr>
          <w:lang w:val="en-AU"/>
        </w:rPr>
        <w:t xml:space="preserve"> and the </w:t>
      </w:r>
      <w:r w:rsidR="00695E97">
        <w:rPr>
          <w:lang w:val="en-AU"/>
        </w:rPr>
        <w:t xml:space="preserve">meeting process </w:t>
      </w:r>
      <w:r>
        <w:rPr>
          <w:lang w:val="en-AU"/>
        </w:rPr>
        <w:t xml:space="preserve">has become </w:t>
      </w:r>
      <w:r w:rsidR="00964FFD">
        <w:rPr>
          <w:lang w:val="en-AU"/>
        </w:rPr>
        <w:t xml:space="preserve">balanced more towards </w:t>
      </w:r>
      <w:r>
        <w:rPr>
          <w:lang w:val="en-AU"/>
        </w:rPr>
        <w:t>presenting or “telling” rather than consulting</w:t>
      </w:r>
      <w:r w:rsidR="00695E97">
        <w:rPr>
          <w:lang w:val="en-AU"/>
        </w:rPr>
        <w:t>.</w:t>
      </w:r>
      <w:r>
        <w:rPr>
          <w:lang w:val="en-AU"/>
        </w:rPr>
        <w:t xml:space="preserve"> </w:t>
      </w:r>
      <w:r w:rsidR="00695E97">
        <w:rPr>
          <w:lang w:val="en-AU"/>
        </w:rPr>
        <w:t xml:space="preserve">This </w:t>
      </w:r>
      <w:r>
        <w:rPr>
          <w:lang w:val="en-AU"/>
        </w:rPr>
        <w:t>has in some instances felt like a lost opportunity. While the HOAG does provide an opportunity to consult and seek approval for program initiatives, the forum should remain primarily for the purpose of consultation and decision making for the sector</w:t>
      </w:r>
      <w:r w:rsidR="001033E7">
        <w:rPr>
          <w:lang w:val="en-AU"/>
        </w:rPr>
        <w:t xml:space="preserve">, with program matters only being one of </w:t>
      </w:r>
      <w:r w:rsidR="00964FFD">
        <w:rPr>
          <w:lang w:val="en-AU"/>
        </w:rPr>
        <w:t xml:space="preserve">several </w:t>
      </w:r>
      <w:r w:rsidR="001033E7">
        <w:rPr>
          <w:lang w:val="en-AU"/>
        </w:rPr>
        <w:t xml:space="preserve">issues to be </w:t>
      </w:r>
      <w:r w:rsidR="00756231">
        <w:rPr>
          <w:lang w:val="en-AU"/>
        </w:rPr>
        <w:t>considered</w:t>
      </w:r>
      <w:r w:rsidR="00964FFD">
        <w:rPr>
          <w:lang w:val="en-AU"/>
        </w:rPr>
        <w:t>, and only</w:t>
      </w:r>
      <w:r w:rsidR="00756231">
        <w:rPr>
          <w:lang w:val="en-AU"/>
        </w:rPr>
        <w:t xml:space="preserve"> as needed</w:t>
      </w:r>
      <w:r w:rsidR="002C66C3">
        <w:rPr>
          <w:lang w:val="en-AU"/>
        </w:rPr>
        <w:t>.</w:t>
      </w:r>
    </w:p>
    <w:p w:rsidR="00C37A9F" w:rsidRDefault="002C66C3" w:rsidP="007D2BBC">
      <w:pPr>
        <w:pStyle w:val="ListParagraph"/>
        <w:numPr>
          <w:ilvl w:val="0"/>
          <w:numId w:val="23"/>
        </w:numPr>
        <w:jc w:val="both"/>
        <w:rPr>
          <w:lang w:val="en-AU"/>
        </w:rPr>
      </w:pPr>
      <w:r>
        <w:rPr>
          <w:lang w:val="en-AU"/>
        </w:rPr>
        <w:t xml:space="preserve">In 2013 SRBJ met with TVET to discuss closer collaboration of the two programs with respect to violence against women with more programmatic responses to the issue, perhaps to be piloted in one province. As part of the discussions the </w:t>
      </w:r>
      <w:r w:rsidRPr="002C66C3">
        <w:rPr>
          <w:i/>
          <w:lang w:val="en-AU"/>
        </w:rPr>
        <w:t>Access to Justice: Pathways to Action for Women Experiencing Family Violence Case Study Research Report</w:t>
      </w:r>
      <w:r>
        <w:rPr>
          <w:lang w:val="en-AU"/>
        </w:rPr>
        <w:t xml:space="preserve"> </w:t>
      </w:r>
      <w:r w:rsidR="00F05F60">
        <w:rPr>
          <w:lang w:val="en-AU"/>
        </w:rPr>
        <w:t xml:space="preserve">(Case Study) </w:t>
      </w:r>
      <w:r>
        <w:rPr>
          <w:lang w:val="en-AU"/>
        </w:rPr>
        <w:t xml:space="preserve">was shared with TVET management. TVET had been </w:t>
      </w:r>
      <w:r w:rsidR="00756231">
        <w:rPr>
          <w:lang w:val="en-AU"/>
        </w:rPr>
        <w:t>dealing</w:t>
      </w:r>
      <w:r>
        <w:rPr>
          <w:lang w:val="en-AU"/>
        </w:rPr>
        <w:t xml:space="preserve"> with and responding to significant issues and evidence of violence against women as it came to its attention on a thoughtful case by case basis. However, the case study and </w:t>
      </w:r>
      <w:r w:rsidR="00756231">
        <w:rPr>
          <w:lang w:val="en-AU"/>
        </w:rPr>
        <w:t xml:space="preserve">ensuing </w:t>
      </w:r>
      <w:r>
        <w:rPr>
          <w:lang w:val="en-AU"/>
        </w:rPr>
        <w:t>discussions resulted in a notable</w:t>
      </w:r>
      <w:r w:rsidR="00756231">
        <w:rPr>
          <w:lang w:val="en-AU"/>
        </w:rPr>
        <w:t>,</w:t>
      </w:r>
      <w:r>
        <w:rPr>
          <w:lang w:val="en-AU"/>
        </w:rPr>
        <w:t xml:space="preserve"> more holistic and strategic approach to gender and the impact of gender based violence at a programmatic level since that time. </w:t>
      </w:r>
      <w:r w:rsidR="00F05F60">
        <w:rPr>
          <w:lang w:val="en-AU"/>
        </w:rPr>
        <w:t>W</w:t>
      </w:r>
      <w:r>
        <w:rPr>
          <w:lang w:val="en-AU"/>
        </w:rPr>
        <w:t xml:space="preserve">ith </w:t>
      </w:r>
      <w:r w:rsidR="00756231">
        <w:rPr>
          <w:lang w:val="en-AU"/>
        </w:rPr>
        <w:t xml:space="preserve">the </w:t>
      </w:r>
      <w:r>
        <w:rPr>
          <w:lang w:val="en-AU"/>
        </w:rPr>
        <w:t>mounting first hand evidence</w:t>
      </w:r>
      <w:r w:rsidR="00756231">
        <w:rPr>
          <w:lang w:val="en-AU"/>
        </w:rPr>
        <w:t xml:space="preserve"> available to TVET</w:t>
      </w:r>
      <w:r>
        <w:rPr>
          <w:lang w:val="en-AU"/>
        </w:rPr>
        <w:t xml:space="preserve">, </w:t>
      </w:r>
      <w:r w:rsidR="00F05F60">
        <w:rPr>
          <w:lang w:val="en-AU"/>
        </w:rPr>
        <w:t xml:space="preserve">the former Team Leader of TVET has confirmed that </w:t>
      </w:r>
      <w:r>
        <w:rPr>
          <w:lang w:val="en-AU"/>
        </w:rPr>
        <w:t xml:space="preserve">the Case Study had a catalytic effect in </w:t>
      </w:r>
      <w:r w:rsidR="00C220B7">
        <w:rPr>
          <w:lang w:val="en-AU"/>
        </w:rPr>
        <w:t>elevating</w:t>
      </w:r>
      <w:r>
        <w:rPr>
          <w:lang w:val="en-AU"/>
        </w:rPr>
        <w:t xml:space="preserve"> </w:t>
      </w:r>
      <w:r w:rsidR="00C220B7">
        <w:rPr>
          <w:lang w:val="en-AU"/>
        </w:rPr>
        <w:t xml:space="preserve">the </w:t>
      </w:r>
      <w:r w:rsidR="00756231">
        <w:rPr>
          <w:lang w:val="en-AU"/>
        </w:rPr>
        <w:t xml:space="preserve">issue to one requiring a </w:t>
      </w:r>
      <w:r w:rsidR="001F563C">
        <w:rPr>
          <w:lang w:val="en-AU"/>
        </w:rPr>
        <w:t xml:space="preserve">more focused, </w:t>
      </w:r>
      <w:r w:rsidR="00756231">
        <w:rPr>
          <w:lang w:val="en-AU"/>
        </w:rPr>
        <w:t>strategic,</w:t>
      </w:r>
      <w:r w:rsidR="001F563C">
        <w:rPr>
          <w:lang w:val="en-AU"/>
        </w:rPr>
        <w:t xml:space="preserve"> and</w:t>
      </w:r>
      <w:r>
        <w:rPr>
          <w:lang w:val="en-AU"/>
        </w:rPr>
        <w:t xml:space="preserve"> programmatic response. </w:t>
      </w:r>
    </w:p>
    <w:p w:rsidR="0089078C" w:rsidRPr="0089078C" w:rsidRDefault="0089078C" w:rsidP="0089078C">
      <w:pPr>
        <w:pStyle w:val="ListParagraph"/>
        <w:numPr>
          <w:ilvl w:val="0"/>
          <w:numId w:val="23"/>
        </w:numPr>
        <w:jc w:val="both"/>
        <w:rPr>
          <w:lang w:val="en-AU"/>
        </w:rPr>
      </w:pPr>
      <w:r w:rsidRPr="0089078C">
        <w:rPr>
          <w:lang w:val="en-AU"/>
        </w:rPr>
        <w:t xml:space="preserve">Partnership with the VAPP has brought about challenges and opportunities. There has been mutual influence between both components of the program. Issues across the sector are discussed with a greater awareness of the impact of policing on justice (and vice versa); similarly changes to some of the previous approaches to programming are occurring, for example the Program’s ability to engage effective short term technical assistance is being </w:t>
      </w:r>
      <w:r w:rsidRPr="0089078C">
        <w:rPr>
          <w:lang w:val="en-AU"/>
        </w:rPr>
        <w:lastRenderedPageBreak/>
        <w:t>utilised by the police to assist in the development of the strategic plan for the VPF. Similarly monitoring and evaluation are enhanced during stage 2 for both components of the program; data collection relating to the VAPP and VPF generally is particularly useful and the volume of data collected represents a different programming approach for VAPP which it is hoped will also provide positive impact on the VPF.</w:t>
      </w:r>
    </w:p>
    <w:p w:rsidR="002C4809" w:rsidRDefault="002C4809" w:rsidP="002C66C3">
      <w:pPr>
        <w:jc w:val="both"/>
        <w:rPr>
          <w:lang w:val="en-AU"/>
        </w:rPr>
      </w:pPr>
      <w:r w:rsidRPr="002C4809">
        <w:rPr>
          <w:lang w:val="en-AU"/>
        </w:rPr>
        <w:t xml:space="preserve">Contextual matters that pose a risk to the program are included in section </w:t>
      </w:r>
      <w:r w:rsidRPr="00F05F60">
        <w:rPr>
          <w:lang w:val="en-AU"/>
        </w:rPr>
        <w:t>5d</w:t>
      </w:r>
      <w:r w:rsidRPr="002C4809">
        <w:rPr>
          <w:lang w:val="en-AU"/>
        </w:rPr>
        <w:t xml:space="preserve"> – Risk Management.</w:t>
      </w:r>
    </w:p>
    <w:p w:rsidR="00171462" w:rsidRPr="002C4809" w:rsidRDefault="00171462" w:rsidP="002C66C3">
      <w:pPr>
        <w:jc w:val="both"/>
        <w:rPr>
          <w:lang w:val="en-AU"/>
        </w:rPr>
      </w:pPr>
    </w:p>
    <w:p w:rsidR="005337C9" w:rsidRPr="00870BC3" w:rsidRDefault="00870BC3" w:rsidP="00870BC3">
      <w:pPr>
        <w:pStyle w:val="Heading2"/>
      </w:pPr>
      <w:bookmarkStart w:id="8" w:name="_Toc411268940"/>
      <w:r w:rsidRPr="00870BC3">
        <w:t>Progress Towards End-of-Program-Outcomes</w:t>
      </w:r>
      <w:bookmarkEnd w:id="8"/>
    </w:p>
    <w:p w:rsidR="00514CF0" w:rsidRDefault="00514CF0" w:rsidP="00A327D2">
      <w:pPr>
        <w:spacing w:after="0" w:line="240" w:lineRule="auto"/>
        <w:jc w:val="both"/>
      </w:pPr>
    </w:p>
    <w:p w:rsidR="005337C9" w:rsidRDefault="00567C9E" w:rsidP="00E9734A">
      <w:pPr>
        <w:pStyle w:val="Heading3"/>
        <w:numPr>
          <w:ilvl w:val="0"/>
          <w:numId w:val="19"/>
        </w:numPr>
      </w:pPr>
      <w:bookmarkStart w:id="9" w:name="_Toc411268941"/>
      <w:r>
        <w:t>Defining Outcomes for the Program</w:t>
      </w:r>
      <w:bookmarkEnd w:id="9"/>
      <w:r w:rsidR="00870BC3" w:rsidRPr="00870BC3">
        <w:t xml:space="preserve"> </w:t>
      </w:r>
    </w:p>
    <w:p w:rsidR="00567C9E" w:rsidRDefault="00567C9E" w:rsidP="002C66C3">
      <w:pPr>
        <w:spacing w:after="0"/>
        <w:jc w:val="both"/>
      </w:pPr>
      <w:r>
        <w:t xml:space="preserve">On 1 July, SRBJ commenced Stage 2 of the program. The design of Stage 2 </w:t>
      </w:r>
      <w:r w:rsidR="009127D5">
        <w:t>was</w:t>
      </w:r>
      <w:r>
        <w:t xml:space="preserve"> part of the deliverables of Stage 1 of SRBJ. During </w:t>
      </w:r>
      <w:r w:rsidR="009127D5">
        <w:t>Stage 1</w:t>
      </w:r>
      <w:r>
        <w:t xml:space="preserve"> it was decided by DFAT that there were</w:t>
      </w:r>
      <w:r w:rsidR="00475ED4">
        <w:t xml:space="preserve"> both programmatic and c</w:t>
      </w:r>
      <w:r>
        <w:t>ost</w:t>
      </w:r>
      <w:r w:rsidR="00475ED4">
        <w:t xml:space="preserve"> benefits </w:t>
      </w:r>
      <w:r>
        <w:t>to be gained from the integration of the</w:t>
      </w:r>
      <w:r w:rsidR="002A6066">
        <w:t xml:space="preserve"> AFP-</w:t>
      </w:r>
      <w:r>
        <w:t xml:space="preserve">managed Vanuatu Australia Police </w:t>
      </w:r>
      <w:r w:rsidR="00D62687">
        <w:t>Project</w:t>
      </w:r>
      <w:r>
        <w:t xml:space="preserve"> (VAPP) and SRBJ under one integrated program, </w:t>
      </w:r>
      <w:r w:rsidR="009127D5">
        <w:t xml:space="preserve">now known as the </w:t>
      </w:r>
      <w:r>
        <w:t xml:space="preserve">Policing and Justice Support Program (Vanuatu) </w:t>
      </w:r>
      <w:r w:rsidR="002A6066">
        <w:t>(PJSPV)</w:t>
      </w:r>
      <w:r w:rsidR="009127D5">
        <w:t>.</w:t>
      </w:r>
      <w:r w:rsidR="002A6066">
        <w:t xml:space="preserve"> PJSPV</w:t>
      </w:r>
      <w:r w:rsidR="00786197">
        <w:t>,</w:t>
      </w:r>
      <w:r w:rsidR="002A6066">
        <w:t xml:space="preserve"> whilst</w:t>
      </w:r>
      <w:r w:rsidR="00786197">
        <w:t xml:space="preserve"> being</w:t>
      </w:r>
      <w:r w:rsidR="002A6066">
        <w:t xml:space="preserve"> </w:t>
      </w:r>
      <w:r w:rsidR="009127D5">
        <w:t xml:space="preserve">an </w:t>
      </w:r>
      <w:r w:rsidR="002A6066">
        <w:t xml:space="preserve">integrated </w:t>
      </w:r>
      <w:r w:rsidR="009127D5">
        <w:t>program</w:t>
      </w:r>
      <w:r w:rsidR="0000190E">
        <w:t>,</w:t>
      </w:r>
      <w:r w:rsidR="009127D5">
        <w:t xml:space="preserve"> </w:t>
      </w:r>
      <w:r w:rsidR="002A6066">
        <w:t>continues to be made up of two sub</w:t>
      </w:r>
      <w:r w:rsidR="00756231">
        <w:t>-</w:t>
      </w:r>
      <w:r w:rsidR="002A6066">
        <w:t>programs; one focussing on justice and community services and one focussing on police</w:t>
      </w:r>
      <w:r w:rsidR="00756231">
        <w:t>,</w:t>
      </w:r>
      <w:r w:rsidR="002A6066">
        <w:t xml:space="preserve"> </w:t>
      </w:r>
      <w:r w:rsidR="00824730">
        <w:t xml:space="preserve">but </w:t>
      </w:r>
      <w:r w:rsidR="002A6066">
        <w:t xml:space="preserve">with many shared and mutually supportive target outcomes. </w:t>
      </w:r>
    </w:p>
    <w:p w:rsidR="002A6066" w:rsidRDefault="002A6066" w:rsidP="002C66C3">
      <w:pPr>
        <w:spacing w:after="0"/>
        <w:jc w:val="both"/>
      </w:pPr>
    </w:p>
    <w:p w:rsidR="00CF0397" w:rsidRDefault="002A6066" w:rsidP="00567C9E">
      <w:pPr>
        <w:spacing w:after="0" w:line="240" w:lineRule="auto"/>
        <w:jc w:val="both"/>
      </w:pPr>
      <w:r>
        <w:t>The integrated design</w:t>
      </w:r>
      <w:r w:rsidR="009127D5">
        <w:t>, followed by</w:t>
      </w:r>
      <w:r>
        <w:t xml:space="preserve"> some refinement </w:t>
      </w:r>
      <w:r w:rsidR="009127D5">
        <w:t xml:space="preserve">of </w:t>
      </w:r>
      <w:r w:rsidR="00D62687">
        <w:t xml:space="preserve">the </w:t>
      </w:r>
      <w:r w:rsidR="009127D5">
        <w:t xml:space="preserve">wording </w:t>
      </w:r>
      <w:r w:rsidR="00824730">
        <w:t xml:space="preserve">of </w:t>
      </w:r>
      <w:r w:rsidR="009127D5">
        <w:t>outcomes</w:t>
      </w:r>
      <w:r w:rsidR="00824730">
        <w:rPr>
          <w:rStyle w:val="FootnoteReference"/>
        </w:rPr>
        <w:footnoteReference w:id="9"/>
      </w:r>
      <w:r w:rsidR="009127D5">
        <w:t xml:space="preserve"> has resulted in the definition of SRBJ</w:t>
      </w:r>
      <w:r w:rsidR="00D21D3E">
        <w:rPr>
          <w:i/>
        </w:rPr>
        <w:t>,</w:t>
      </w:r>
      <w:r w:rsidR="00FF2959">
        <w:t xml:space="preserve"> </w:t>
      </w:r>
      <w:r w:rsidR="00CF0397" w:rsidRPr="00CF0397">
        <w:t xml:space="preserve">Stage </w:t>
      </w:r>
      <w:r w:rsidR="00567C9E">
        <w:t>2</w:t>
      </w:r>
      <w:r w:rsidR="00D21D3E">
        <w:t>,</w:t>
      </w:r>
      <w:r w:rsidR="00CF0397" w:rsidRPr="00CF0397">
        <w:t xml:space="preserve"> outcomes</w:t>
      </w:r>
      <w:r w:rsidR="00D21D3E">
        <w:t xml:space="preserve"> </w:t>
      </w:r>
      <w:r w:rsidR="00824730">
        <w:t>- both</w:t>
      </w:r>
      <w:r w:rsidR="00D21D3E">
        <w:t xml:space="preserve"> end-</w:t>
      </w:r>
      <w:r w:rsidR="00ED5D49">
        <w:t>of</w:t>
      </w:r>
      <w:r w:rsidR="00D21D3E">
        <w:t>-the-</w:t>
      </w:r>
      <w:r w:rsidR="0034679D">
        <w:t xml:space="preserve">program </w:t>
      </w:r>
      <w:r w:rsidR="00ED5D49">
        <w:t xml:space="preserve">and intermediate </w:t>
      </w:r>
      <w:r w:rsidR="00824730">
        <w:t>-</w:t>
      </w:r>
      <w:r w:rsidR="009127D5">
        <w:t xml:space="preserve"> </w:t>
      </w:r>
      <w:r w:rsidR="00824730">
        <w:t>as</w:t>
      </w:r>
      <w:r w:rsidR="00ED5D49">
        <w:t xml:space="preserve"> set out below</w:t>
      </w:r>
      <w:r w:rsidR="00CF0397" w:rsidRPr="00CF0397">
        <w:t>:</w:t>
      </w:r>
    </w:p>
    <w:p w:rsidR="000E5465" w:rsidRDefault="000E5465">
      <w:pPr>
        <w:spacing w:after="0" w:line="240" w:lineRule="auto"/>
      </w:pPr>
      <w:r>
        <w:br w:type="page"/>
      </w:r>
    </w:p>
    <w:tbl>
      <w:tblPr>
        <w:tblStyle w:val="TableGrid"/>
        <w:tblW w:w="0" w:type="auto"/>
        <w:tblLook w:val="04A0" w:firstRow="1" w:lastRow="0" w:firstColumn="1" w:lastColumn="0" w:noHBand="0" w:noVBand="1"/>
      </w:tblPr>
      <w:tblGrid>
        <w:gridCol w:w="3379"/>
        <w:gridCol w:w="5484"/>
      </w:tblGrid>
      <w:tr w:rsidR="00CF0397" w:rsidRPr="00C51D8C">
        <w:tc>
          <w:tcPr>
            <w:tcW w:w="9242" w:type="dxa"/>
            <w:gridSpan w:val="2"/>
            <w:shd w:val="clear" w:color="auto" w:fill="D6E3BC" w:themeFill="accent3" w:themeFillTint="66"/>
          </w:tcPr>
          <w:p w:rsidR="00CF0397" w:rsidRPr="00FF2959" w:rsidRDefault="00CF0397" w:rsidP="00C51D8C">
            <w:pPr>
              <w:spacing w:after="0" w:line="240" w:lineRule="auto"/>
              <w:rPr>
                <w:b/>
                <w:sz w:val="20"/>
                <w:szCs w:val="20"/>
              </w:rPr>
            </w:pPr>
            <w:r w:rsidRPr="00FF2959">
              <w:rPr>
                <w:b/>
                <w:sz w:val="20"/>
                <w:szCs w:val="20"/>
              </w:rPr>
              <w:lastRenderedPageBreak/>
              <w:t xml:space="preserve">Component 1: </w:t>
            </w:r>
          </w:p>
        </w:tc>
      </w:tr>
      <w:tr w:rsidR="00C51D8C">
        <w:tc>
          <w:tcPr>
            <w:tcW w:w="3510" w:type="dxa"/>
            <w:vMerge w:val="restart"/>
            <w:shd w:val="clear" w:color="auto" w:fill="EAF1DD" w:themeFill="accent3" w:themeFillTint="33"/>
          </w:tcPr>
          <w:p w:rsidR="00C51D8C" w:rsidRPr="00FF2959" w:rsidRDefault="00C51D8C" w:rsidP="0048770A">
            <w:pPr>
              <w:spacing w:after="0" w:line="240" w:lineRule="auto"/>
              <w:rPr>
                <w:b/>
                <w:sz w:val="20"/>
                <w:szCs w:val="20"/>
              </w:rPr>
            </w:pPr>
            <w:r w:rsidRPr="00FF2959">
              <w:rPr>
                <w:b/>
                <w:sz w:val="20"/>
                <w:szCs w:val="20"/>
              </w:rPr>
              <w:t>End-of-Program-Outcome</w:t>
            </w:r>
          </w:p>
          <w:p w:rsidR="00C51D8C" w:rsidRPr="00FF2959" w:rsidRDefault="00C51D8C" w:rsidP="0048770A">
            <w:pPr>
              <w:spacing w:after="0" w:line="240" w:lineRule="auto"/>
              <w:rPr>
                <w:color w:val="FF0000"/>
                <w:sz w:val="20"/>
                <w:szCs w:val="20"/>
              </w:rPr>
            </w:pPr>
            <w:r w:rsidRPr="00FF2959">
              <w:rPr>
                <w:sz w:val="20"/>
                <w:szCs w:val="20"/>
              </w:rPr>
              <w:t>Networks within the VPF, justice and community services agencies influence positive change</w:t>
            </w:r>
          </w:p>
        </w:tc>
        <w:tc>
          <w:tcPr>
            <w:tcW w:w="5732" w:type="dxa"/>
          </w:tcPr>
          <w:p w:rsidR="00C51D8C" w:rsidRPr="00FF2959" w:rsidRDefault="00305A10" w:rsidP="00A877EA">
            <w:pPr>
              <w:spacing w:after="0" w:line="240" w:lineRule="auto"/>
              <w:rPr>
                <w:b/>
                <w:sz w:val="20"/>
                <w:szCs w:val="20"/>
              </w:rPr>
            </w:pPr>
            <w:r>
              <w:rPr>
                <w:b/>
                <w:sz w:val="20"/>
                <w:szCs w:val="20"/>
              </w:rPr>
              <w:t>Intermediate O</w:t>
            </w:r>
            <w:r w:rsidR="00C51D8C" w:rsidRPr="00FF2959">
              <w:rPr>
                <w:b/>
                <w:sz w:val="20"/>
                <w:szCs w:val="20"/>
              </w:rPr>
              <w:t>utcome 1.1</w:t>
            </w:r>
          </w:p>
          <w:p w:rsidR="00C51D8C" w:rsidRPr="00FF2959" w:rsidRDefault="00C51D8C" w:rsidP="00A877EA">
            <w:pPr>
              <w:spacing w:after="0" w:line="240" w:lineRule="auto"/>
              <w:rPr>
                <w:sz w:val="20"/>
                <w:szCs w:val="20"/>
              </w:rPr>
            </w:pPr>
            <w:r w:rsidRPr="00FF2959">
              <w:rPr>
                <w:sz w:val="20"/>
                <w:szCs w:val="20"/>
              </w:rPr>
              <w:t>VPF, MJCS, the judiciary, PSO, PPO, VLC, SLO, DCS</w:t>
            </w:r>
            <w:r w:rsidR="0089078C">
              <w:rPr>
                <w:sz w:val="20"/>
                <w:szCs w:val="20"/>
              </w:rPr>
              <w:t>, SPD</w:t>
            </w:r>
            <w:r w:rsidRPr="00FF2959">
              <w:rPr>
                <w:sz w:val="20"/>
                <w:szCs w:val="20"/>
              </w:rPr>
              <w:t xml:space="preserve"> and DWA are collaborating and sharing information more effectively to progress shared goals</w:t>
            </w:r>
          </w:p>
        </w:tc>
      </w:tr>
      <w:tr w:rsidR="00C51D8C">
        <w:tc>
          <w:tcPr>
            <w:tcW w:w="3510" w:type="dxa"/>
            <w:vMerge/>
            <w:shd w:val="clear" w:color="auto" w:fill="EAF1DD" w:themeFill="accent3" w:themeFillTint="33"/>
          </w:tcPr>
          <w:p w:rsidR="00C51D8C" w:rsidRDefault="00C51D8C" w:rsidP="00A877EA">
            <w:pPr>
              <w:spacing w:after="0" w:line="240" w:lineRule="auto"/>
              <w:rPr>
                <w:color w:val="FF0000"/>
              </w:rPr>
            </w:pPr>
          </w:p>
        </w:tc>
        <w:tc>
          <w:tcPr>
            <w:tcW w:w="5732" w:type="dxa"/>
          </w:tcPr>
          <w:p w:rsidR="00C51D8C" w:rsidRPr="00C51D8C" w:rsidRDefault="00C51D8C" w:rsidP="00A877EA">
            <w:pPr>
              <w:spacing w:after="0" w:line="240" w:lineRule="auto"/>
              <w:rPr>
                <w:b/>
                <w:sz w:val="20"/>
                <w:szCs w:val="20"/>
              </w:rPr>
            </w:pPr>
            <w:r w:rsidRPr="00C51D8C">
              <w:rPr>
                <w:b/>
                <w:sz w:val="20"/>
                <w:szCs w:val="20"/>
              </w:rPr>
              <w:t xml:space="preserve">Intermediate </w:t>
            </w:r>
            <w:r w:rsidR="00305A10">
              <w:rPr>
                <w:b/>
                <w:sz w:val="20"/>
                <w:szCs w:val="20"/>
              </w:rPr>
              <w:t>O</w:t>
            </w:r>
            <w:r w:rsidRPr="00C51D8C">
              <w:rPr>
                <w:b/>
                <w:sz w:val="20"/>
                <w:szCs w:val="20"/>
              </w:rPr>
              <w:t>utcome 1.2</w:t>
            </w:r>
          </w:p>
          <w:p w:rsidR="00C51D8C" w:rsidRPr="00C51D8C" w:rsidRDefault="00C51D8C" w:rsidP="00A877EA">
            <w:pPr>
              <w:spacing w:after="0" w:line="240" w:lineRule="auto"/>
              <w:rPr>
                <w:sz w:val="20"/>
                <w:szCs w:val="20"/>
              </w:rPr>
            </w:pPr>
            <w:r w:rsidRPr="00C51D8C">
              <w:rPr>
                <w:sz w:val="20"/>
                <w:szCs w:val="20"/>
              </w:rPr>
              <w:t>VPF, MJCS, the judiciary, PSO, PPO, VLC, SLO, DCS</w:t>
            </w:r>
            <w:r w:rsidR="0089078C">
              <w:rPr>
                <w:sz w:val="20"/>
                <w:szCs w:val="20"/>
              </w:rPr>
              <w:t>, SPD</w:t>
            </w:r>
            <w:r w:rsidRPr="00C51D8C">
              <w:rPr>
                <w:sz w:val="20"/>
                <w:szCs w:val="20"/>
              </w:rPr>
              <w:t xml:space="preserve"> and DWA are monitoring their progress</w:t>
            </w:r>
          </w:p>
        </w:tc>
      </w:tr>
      <w:tr w:rsidR="00C51D8C">
        <w:tc>
          <w:tcPr>
            <w:tcW w:w="3510" w:type="dxa"/>
            <w:vMerge/>
            <w:shd w:val="clear" w:color="auto" w:fill="EAF1DD" w:themeFill="accent3" w:themeFillTint="33"/>
          </w:tcPr>
          <w:p w:rsidR="00C51D8C" w:rsidRDefault="00C51D8C" w:rsidP="00A877EA">
            <w:pPr>
              <w:spacing w:after="0" w:line="240" w:lineRule="auto"/>
              <w:rPr>
                <w:color w:val="FF0000"/>
              </w:rPr>
            </w:pPr>
          </w:p>
        </w:tc>
        <w:tc>
          <w:tcPr>
            <w:tcW w:w="5732" w:type="dxa"/>
          </w:tcPr>
          <w:p w:rsidR="00C51D8C" w:rsidRPr="00C51D8C" w:rsidRDefault="00C51D8C" w:rsidP="00A877EA">
            <w:pPr>
              <w:spacing w:after="0" w:line="240" w:lineRule="auto"/>
              <w:rPr>
                <w:rFonts w:cstheme="minorHAnsi"/>
                <w:sz w:val="20"/>
                <w:szCs w:val="20"/>
              </w:rPr>
            </w:pPr>
            <w:r w:rsidRPr="00C51D8C">
              <w:rPr>
                <w:rFonts w:cstheme="minorHAnsi"/>
                <w:b/>
                <w:sz w:val="20"/>
                <w:szCs w:val="20"/>
              </w:rPr>
              <w:t xml:space="preserve">Intermediate Outcomes 1.3: </w:t>
            </w:r>
            <w:r w:rsidRPr="00C51D8C">
              <w:rPr>
                <w:rFonts w:cstheme="minorHAnsi"/>
                <w:sz w:val="20"/>
                <w:szCs w:val="20"/>
              </w:rPr>
              <w:t xml:space="preserve"> </w:t>
            </w:r>
          </w:p>
          <w:p w:rsidR="00C51D8C" w:rsidRPr="00C51D8C" w:rsidRDefault="00C51D8C" w:rsidP="00A877EA">
            <w:pPr>
              <w:spacing w:after="0" w:line="240" w:lineRule="auto"/>
              <w:rPr>
                <w:sz w:val="20"/>
                <w:szCs w:val="20"/>
              </w:rPr>
            </w:pPr>
            <w:r w:rsidRPr="00C51D8C">
              <w:rPr>
                <w:rFonts w:cstheme="minorHAnsi"/>
                <w:sz w:val="20"/>
                <w:szCs w:val="20"/>
              </w:rPr>
              <w:t xml:space="preserve">VPF, MJCS, the Judiciary, PSO, PPO, VLC, SLO, DCS, </w:t>
            </w:r>
            <w:r w:rsidR="0089078C">
              <w:rPr>
                <w:rFonts w:cstheme="minorHAnsi"/>
                <w:sz w:val="20"/>
                <w:szCs w:val="20"/>
              </w:rPr>
              <w:t xml:space="preserve">SPD and </w:t>
            </w:r>
            <w:r w:rsidRPr="00C51D8C">
              <w:rPr>
                <w:rFonts w:cstheme="minorHAnsi"/>
                <w:sz w:val="20"/>
                <w:szCs w:val="20"/>
              </w:rPr>
              <w:t>DWA communicate more effectively and consistently with the community and the rest of the government</w:t>
            </w:r>
          </w:p>
        </w:tc>
      </w:tr>
      <w:tr w:rsidR="00C51D8C">
        <w:tc>
          <w:tcPr>
            <w:tcW w:w="3510" w:type="dxa"/>
            <w:vMerge/>
            <w:shd w:val="clear" w:color="auto" w:fill="EAF1DD" w:themeFill="accent3" w:themeFillTint="33"/>
          </w:tcPr>
          <w:p w:rsidR="00C51D8C" w:rsidRDefault="00C51D8C" w:rsidP="00A877EA">
            <w:pPr>
              <w:spacing w:after="0" w:line="240" w:lineRule="auto"/>
              <w:rPr>
                <w:color w:val="FF0000"/>
              </w:rPr>
            </w:pPr>
          </w:p>
        </w:tc>
        <w:tc>
          <w:tcPr>
            <w:tcW w:w="5732" w:type="dxa"/>
          </w:tcPr>
          <w:p w:rsidR="00C51D8C" w:rsidRDefault="00C51D8C" w:rsidP="00C51D8C">
            <w:pPr>
              <w:spacing w:after="0" w:line="240" w:lineRule="auto"/>
              <w:rPr>
                <w:rFonts w:cstheme="minorHAnsi"/>
                <w:b/>
                <w:sz w:val="20"/>
                <w:szCs w:val="20"/>
              </w:rPr>
            </w:pPr>
            <w:r w:rsidRPr="001C247C">
              <w:rPr>
                <w:rFonts w:cstheme="minorHAnsi"/>
                <w:b/>
                <w:sz w:val="20"/>
                <w:szCs w:val="20"/>
              </w:rPr>
              <w:t>Intermediate Outcomes</w:t>
            </w:r>
            <w:r>
              <w:rPr>
                <w:rFonts w:cstheme="minorHAnsi"/>
                <w:b/>
                <w:sz w:val="20"/>
                <w:szCs w:val="20"/>
              </w:rPr>
              <w:t xml:space="preserve"> 1.4: </w:t>
            </w:r>
          </w:p>
          <w:p w:rsidR="00C51D8C" w:rsidRPr="00C51D8C" w:rsidRDefault="00C51D8C" w:rsidP="00C51D8C">
            <w:pPr>
              <w:spacing w:after="0" w:line="240" w:lineRule="auto"/>
              <w:rPr>
                <w:sz w:val="20"/>
                <w:szCs w:val="20"/>
              </w:rPr>
            </w:pPr>
            <w:r w:rsidRPr="000E634F">
              <w:rPr>
                <w:rFonts w:cstheme="minorHAnsi"/>
                <w:sz w:val="20"/>
                <w:szCs w:val="20"/>
              </w:rPr>
              <w:t>VPF, the Judiciary, PSO, PPO, and SLO make coordinated reductions in delays within the formal justice system</w:t>
            </w:r>
            <w:r>
              <w:rPr>
                <w:rFonts w:cstheme="minorHAnsi"/>
                <w:sz w:val="20"/>
                <w:szCs w:val="20"/>
              </w:rPr>
              <w:t>.</w:t>
            </w:r>
          </w:p>
        </w:tc>
      </w:tr>
      <w:tr w:rsidR="00C51D8C">
        <w:tc>
          <w:tcPr>
            <w:tcW w:w="3510" w:type="dxa"/>
            <w:vMerge/>
            <w:shd w:val="clear" w:color="auto" w:fill="EAF1DD" w:themeFill="accent3" w:themeFillTint="33"/>
          </w:tcPr>
          <w:p w:rsidR="00C51D8C" w:rsidRDefault="00C51D8C" w:rsidP="00A877EA">
            <w:pPr>
              <w:spacing w:after="0" w:line="240" w:lineRule="auto"/>
              <w:rPr>
                <w:color w:val="FF0000"/>
              </w:rPr>
            </w:pPr>
          </w:p>
        </w:tc>
        <w:tc>
          <w:tcPr>
            <w:tcW w:w="5732" w:type="dxa"/>
          </w:tcPr>
          <w:p w:rsidR="00C51D8C" w:rsidRDefault="00C51D8C" w:rsidP="00A877EA">
            <w:pPr>
              <w:spacing w:after="0" w:line="240" w:lineRule="auto"/>
              <w:rPr>
                <w:rFonts w:cstheme="minorHAnsi"/>
                <w:b/>
                <w:sz w:val="20"/>
                <w:szCs w:val="20"/>
              </w:rPr>
            </w:pPr>
            <w:r w:rsidRPr="001C247C">
              <w:rPr>
                <w:rFonts w:cstheme="minorHAnsi"/>
                <w:b/>
                <w:sz w:val="20"/>
                <w:szCs w:val="20"/>
              </w:rPr>
              <w:t>Intermediate Outcomes</w:t>
            </w:r>
            <w:r>
              <w:rPr>
                <w:rFonts w:cstheme="minorHAnsi"/>
                <w:b/>
                <w:sz w:val="20"/>
                <w:szCs w:val="20"/>
              </w:rPr>
              <w:t xml:space="preserve"> 1.5: </w:t>
            </w:r>
          </w:p>
          <w:p w:rsidR="00C51D8C" w:rsidRPr="00C51D8C" w:rsidRDefault="00C51D8C" w:rsidP="00A877EA">
            <w:pPr>
              <w:spacing w:after="0" w:line="240" w:lineRule="auto"/>
              <w:rPr>
                <w:sz w:val="20"/>
                <w:szCs w:val="20"/>
              </w:rPr>
            </w:pPr>
            <w:r w:rsidRPr="008B01B6">
              <w:rPr>
                <w:rFonts w:cstheme="minorHAnsi"/>
                <w:sz w:val="20"/>
                <w:szCs w:val="20"/>
              </w:rPr>
              <w:t>VPF and MJCS are better able to manage their finances</w:t>
            </w:r>
          </w:p>
        </w:tc>
      </w:tr>
      <w:tr w:rsidR="00FF2959" w:rsidRPr="00FF2959">
        <w:tc>
          <w:tcPr>
            <w:tcW w:w="9242" w:type="dxa"/>
            <w:gridSpan w:val="2"/>
            <w:shd w:val="clear" w:color="auto" w:fill="D6E3BC" w:themeFill="accent3" w:themeFillTint="66"/>
          </w:tcPr>
          <w:p w:rsidR="00FF2959" w:rsidRPr="00FF2959" w:rsidRDefault="00FF2959" w:rsidP="00A877EA">
            <w:pPr>
              <w:spacing w:after="0" w:line="240" w:lineRule="auto"/>
              <w:rPr>
                <w:b/>
              </w:rPr>
            </w:pPr>
            <w:r w:rsidRPr="00FF2959">
              <w:rPr>
                <w:b/>
              </w:rPr>
              <w:t>Component 2:</w:t>
            </w:r>
          </w:p>
        </w:tc>
      </w:tr>
      <w:tr w:rsidR="00415708">
        <w:tc>
          <w:tcPr>
            <w:tcW w:w="3510" w:type="dxa"/>
            <w:vMerge w:val="restart"/>
            <w:shd w:val="clear" w:color="auto" w:fill="EAF1DD" w:themeFill="accent3" w:themeFillTint="33"/>
          </w:tcPr>
          <w:p w:rsidR="00415708" w:rsidRPr="000F153C" w:rsidRDefault="00415708" w:rsidP="00415708">
            <w:pPr>
              <w:spacing w:after="0"/>
              <w:rPr>
                <w:rFonts w:cstheme="minorHAnsi"/>
                <w:b/>
                <w:sz w:val="20"/>
                <w:szCs w:val="20"/>
              </w:rPr>
            </w:pPr>
            <w:r w:rsidRPr="00721900">
              <w:rPr>
                <w:rFonts w:cstheme="minorHAnsi"/>
                <w:b/>
                <w:sz w:val="20"/>
                <w:szCs w:val="20"/>
              </w:rPr>
              <w:t>End-of-Program Outcome</w:t>
            </w:r>
            <w:r>
              <w:rPr>
                <w:rFonts w:cstheme="minorHAnsi"/>
                <w:b/>
                <w:sz w:val="20"/>
                <w:szCs w:val="20"/>
              </w:rPr>
              <w:t>:</w:t>
            </w:r>
          </w:p>
          <w:p w:rsidR="00415708" w:rsidRDefault="00415708" w:rsidP="00415708">
            <w:pPr>
              <w:spacing w:after="0" w:line="240" w:lineRule="auto"/>
              <w:rPr>
                <w:color w:val="FF0000"/>
              </w:rPr>
            </w:pPr>
            <w:r w:rsidRPr="006556EC">
              <w:rPr>
                <w:sz w:val="20"/>
                <w:szCs w:val="16"/>
              </w:rPr>
              <w:t>The VPF and justice and community services agencies demonstrate improved service delivery to women, children and youth.</w:t>
            </w:r>
          </w:p>
        </w:tc>
        <w:tc>
          <w:tcPr>
            <w:tcW w:w="5732" w:type="dxa"/>
            <w:shd w:val="clear" w:color="auto" w:fill="auto"/>
          </w:tcPr>
          <w:p w:rsidR="00415708" w:rsidRPr="00415708" w:rsidRDefault="00415708" w:rsidP="00415708">
            <w:pPr>
              <w:spacing w:after="0" w:line="240" w:lineRule="auto"/>
              <w:rPr>
                <w:rFonts w:cstheme="minorHAnsi"/>
                <w:b/>
                <w:sz w:val="20"/>
                <w:szCs w:val="20"/>
              </w:rPr>
            </w:pPr>
            <w:r w:rsidRPr="00415708">
              <w:rPr>
                <w:rFonts w:cstheme="minorHAnsi"/>
                <w:b/>
                <w:sz w:val="20"/>
                <w:szCs w:val="20"/>
              </w:rPr>
              <w:t>Intermediate Outcome 2.1:</w:t>
            </w:r>
          </w:p>
          <w:p w:rsidR="00415708" w:rsidRPr="00FF2959" w:rsidRDefault="00415708" w:rsidP="00415708">
            <w:pPr>
              <w:spacing w:after="0" w:line="240" w:lineRule="auto"/>
              <w:rPr>
                <w:rFonts w:cstheme="minorHAnsi"/>
                <w:b/>
                <w:sz w:val="20"/>
                <w:szCs w:val="20"/>
              </w:rPr>
            </w:pPr>
            <w:r w:rsidRPr="00FF2959">
              <w:rPr>
                <w:rFonts w:cstheme="minorHAnsi"/>
                <w:sz w:val="20"/>
                <w:szCs w:val="20"/>
              </w:rPr>
              <w:t xml:space="preserve">PSO, </w:t>
            </w:r>
            <w:r w:rsidR="00A11741">
              <w:rPr>
                <w:rFonts w:cstheme="minorHAnsi"/>
                <w:sz w:val="20"/>
                <w:szCs w:val="20"/>
              </w:rPr>
              <w:t xml:space="preserve">SPD, </w:t>
            </w:r>
            <w:r w:rsidRPr="00FF2959">
              <w:rPr>
                <w:rFonts w:cstheme="minorHAnsi"/>
                <w:sz w:val="20"/>
                <w:szCs w:val="20"/>
              </w:rPr>
              <w:t>PPO, VLC, SLO develop and implement effective workforce planning and HR development strategy</w:t>
            </w:r>
          </w:p>
        </w:tc>
      </w:tr>
      <w:tr w:rsidR="00FF2959">
        <w:tc>
          <w:tcPr>
            <w:tcW w:w="3510" w:type="dxa"/>
            <w:vMerge/>
            <w:shd w:val="clear" w:color="auto" w:fill="EAF1DD" w:themeFill="accent3" w:themeFillTint="33"/>
          </w:tcPr>
          <w:p w:rsidR="00FF2959" w:rsidRDefault="00FF2959" w:rsidP="00D21D3E">
            <w:pPr>
              <w:spacing w:after="0" w:line="240" w:lineRule="auto"/>
              <w:rPr>
                <w:color w:val="FF0000"/>
              </w:rPr>
            </w:pPr>
          </w:p>
        </w:tc>
        <w:tc>
          <w:tcPr>
            <w:tcW w:w="5732" w:type="dxa"/>
            <w:shd w:val="clear" w:color="auto" w:fill="auto"/>
          </w:tcPr>
          <w:p w:rsidR="00FF2959" w:rsidRPr="00415708" w:rsidRDefault="00FF2959" w:rsidP="00D21D3E">
            <w:pPr>
              <w:spacing w:after="0" w:line="240" w:lineRule="auto"/>
              <w:rPr>
                <w:rFonts w:cstheme="minorHAnsi"/>
                <w:b/>
                <w:sz w:val="20"/>
                <w:szCs w:val="20"/>
              </w:rPr>
            </w:pPr>
            <w:r w:rsidRPr="00415708">
              <w:rPr>
                <w:rFonts w:cstheme="minorHAnsi"/>
                <w:b/>
                <w:sz w:val="20"/>
                <w:szCs w:val="20"/>
              </w:rPr>
              <w:t xml:space="preserve">Intermediate Outcome 2.2: </w:t>
            </w:r>
          </w:p>
          <w:p w:rsidR="00FF2959" w:rsidRPr="00FF2959" w:rsidRDefault="00FF2959" w:rsidP="00D21D3E">
            <w:pPr>
              <w:spacing w:after="0" w:line="240" w:lineRule="auto"/>
              <w:rPr>
                <w:color w:val="FF0000"/>
              </w:rPr>
            </w:pPr>
            <w:r w:rsidRPr="00415708">
              <w:rPr>
                <w:rFonts w:cstheme="minorHAnsi"/>
                <w:sz w:val="20"/>
                <w:szCs w:val="20"/>
              </w:rPr>
              <w:t>Women's professional partic</w:t>
            </w:r>
            <w:r w:rsidRPr="00786197">
              <w:rPr>
                <w:rFonts w:cstheme="minorHAnsi"/>
                <w:sz w:val="20"/>
                <w:szCs w:val="20"/>
              </w:rPr>
              <w:t>ipat</w:t>
            </w:r>
            <w:r w:rsidRPr="00415708">
              <w:rPr>
                <w:rFonts w:cstheme="minorHAnsi"/>
                <w:sz w:val="20"/>
                <w:szCs w:val="20"/>
              </w:rPr>
              <w:t>ion in the JCSS and VPF is enhanced</w:t>
            </w:r>
          </w:p>
        </w:tc>
      </w:tr>
      <w:tr w:rsidR="00FF2959">
        <w:tc>
          <w:tcPr>
            <w:tcW w:w="3510" w:type="dxa"/>
            <w:vMerge/>
            <w:shd w:val="clear" w:color="auto" w:fill="EAF1DD" w:themeFill="accent3" w:themeFillTint="33"/>
          </w:tcPr>
          <w:p w:rsidR="00FF2959" w:rsidRDefault="00FF2959" w:rsidP="00D21D3E">
            <w:pPr>
              <w:spacing w:after="0" w:line="240" w:lineRule="auto"/>
              <w:rPr>
                <w:color w:val="FF0000"/>
              </w:rPr>
            </w:pPr>
          </w:p>
        </w:tc>
        <w:tc>
          <w:tcPr>
            <w:tcW w:w="5732" w:type="dxa"/>
            <w:shd w:val="clear" w:color="auto" w:fill="auto"/>
          </w:tcPr>
          <w:p w:rsidR="00FF2959" w:rsidRPr="00FF2959" w:rsidRDefault="00FF2959" w:rsidP="00D21D3E">
            <w:pPr>
              <w:spacing w:after="0" w:line="240" w:lineRule="auto"/>
              <w:rPr>
                <w:rFonts w:cstheme="minorHAnsi"/>
                <w:b/>
                <w:sz w:val="20"/>
                <w:szCs w:val="20"/>
              </w:rPr>
            </w:pPr>
            <w:r w:rsidRPr="00FF2959">
              <w:rPr>
                <w:rFonts w:cstheme="minorHAnsi"/>
                <w:b/>
                <w:sz w:val="20"/>
                <w:szCs w:val="20"/>
              </w:rPr>
              <w:t xml:space="preserve">Intermediate Outcome 2.6: </w:t>
            </w:r>
          </w:p>
          <w:p w:rsidR="00FF2959" w:rsidRPr="00FF2959" w:rsidRDefault="00FF2959" w:rsidP="00D21D3E">
            <w:pPr>
              <w:spacing w:after="0" w:line="240" w:lineRule="auto"/>
              <w:rPr>
                <w:color w:val="FF0000"/>
              </w:rPr>
            </w:pPr>
            <w:r w:rsidRPr="00FF2959">
              <w:rPr>
                <w:rFonts w:cstheme="minorHAnsi"/>
                <w:sz w:val="20"/>
                <w:szCs w:val="20"/>
                <w:lang w:val="en-US"/>
              </w:rPr>
              <w:t>Work systems and practices in targeted agencies are strengthened and contribute to  demonstrable improvements in service delivery</w:t>
            </w:r>
          </w:p>
        </w:tc>
      </w:tr>
      <w:tr w:rsidR="00415708" w:rsidRPr="00415708">
        <w:tc>
          <w:tcPr>
            <w:tcW w:w="9242" w:type="dxa"/>
            <w:gridSpan w:val="2"/>
            <w:shd w:val="clear" w:color="auto" w:fill="D6E3BC" w:themeFill="accent3" w:themeFillTint="66"/>
          </w:tcPr>
          <w:p w:rsidR="00415708" w:rsidRPr="00415708" w:rsidRDefault="00415708" w:rsidP="00D21D3E">
            <w:pPr>
              <w:spacing w:after="0" w:line="240" w:lineRule="auto"/>
              <w:rPr>
                <w:b/>
              </w:rPr>
            </w:pPr>
            <w:r w:rsidRPr="00415708">
              <w:rPr>
                <w:b/>
              </w:rPr>
              <w:t>Component 3:</w:t>
            </w:r>
          </w:p>
        </w:tc>
      </w:tr>
      <w:tr w:rsidR="00AD0800" w:rsidRPr="00ED5D49">
        <w:tc>
          <w:tcPr>
            <w:tcW w:w="3510" w:type="dxa"/>
            <w:vMerge w:val="restart"/>
            <w:shd w:val="clear" w:color="auto" w:fill="EAF1DD" w:themeFill="accent3" w:themeFillTint="33"/>
          </w:tcPr>
          <w:p w:rsidR="00AD0800" w:rsidRDefault="00AD0800" w:rsidP="00D21D3E">
            <w:pPr>
              <w:spacing w:after="0" w:line="240" w:lineRule="auto"/>
              <w:rPr>
                <w:rFonts w:asciiTheme="majorHAnsi" w:hAnsiTheme="majorHAnsi" w:cstheme="majorHAnsi"/>
                <w:b/>
                <w:sz w:val="20"/>
                <w:szCs w:val="20"/>
              </w:rPr>
            </w:pPr>
            <w:r w:rsidRPr="00ED5D49">
              <w:rPr>
                <w:rFonts w:asciiTheme="majorHAnsi" w:hAnsiTheme="majorHAnsi" w:cstheme="majorHAnsi"/>
                <w:b/>
                <w:sz w:val="20"/>
                <w:szCs w:val="20"/>
              </w:rPr>
              <w:t>End-of-Program-Outcomes:</w:t>
            </w:r>
          </w:p>
          <w:p w:rsidR="00AD0800" w:rsidRPr="00ED5D49" w:rsidRDefault="00AD0800" w:rsidP="00D21D3E">
            <w:pPr>
              <w:spacing w:after="0" w:line="240" w:lineRule="auto"/>
              <w:rPr>
                <w:rFonts w:asciiTheme="majorHAnsi" w:hAnsiTheme="majorHAnsi" w:cstheme="majorHAnsi"/>
                <w:b/>
                <w:sz w:val="20"/>
                <w:szCs w:val="20"/>
              </w:rPr>
            </w:pPr>
          </w:p>
          <w:p w:rsidR="00AD0800" w:rsidRDefault="00AD0800" w:rsidP="007D2BBC">
            <w:pPr>
              <w:pStyle w:val="ListParagraph"/>
              <w:numPr>
                <w:ilvl w:val="0"/>
                <w:numId w:val="7"/>
              </w:numPr>
              <w:spacing w:after="0" w:line="240" w:lineRule="auto"/>
              <w:contextualSpacing/>
              <w:rPr>
                <w:rFonts w:asciiTheme="majorHAnsi" w:hAnsiTheme="majorHAnsi" w:cstheme="majorHAnsi"/>
                <w:sz w:val="20"/>
                <w:szCs w:val="20"/>
              </w:rPr>
            </w:pPr>
            <w:r w:rsidRPr="00ED5D49">
              <w:rPr>
                <w:rFonts w:asciiTheme="majorHAnsi" w:hAnsiTheme="majorHAnsi" w:cstheme="majorHAnsi"/>
                <w:sz w:val="20"/>
                <w:szCs w:val="20"/>
              </w:rPr>
              <w:t>The VPF and justice and community services agencies use evidence to support improved responses to the needs of women, children, and youth</w:t>
            </w:r>
          </w:p>
          <w:p w:rsidR="00AD0800" w:rsidRPr="00ED5D49" w:rsidRDefault="00AD0800" w:rsidP="00ED5D49">
            <w:pPr>
              <w:pStyle w:val="ListParagraph"/>
              <w:spacing w:after="0" w:line="240" w:lineRule="auto"/>
              <w:ind w:left="360"/>
              <w:contextualSpacing/>
              <w:rPr>
                <w:rFonts w:asciiTheme="majorHAnsi" w:hAnsiTheme="majorHAnsi" w:cstheme="majorHAnsi"/>
                <w:sz w:val="20"/>
                <w:szCs w:val="20"/>
              </w:rPr>
            </w:pPr>
          </w:p>
          <w:p w:rsidR="00AD0800" w:rsidRPr="00ED5D49" w:rsidRDefault="00AD0800" w:rsidP="007D2BBC">
            <w:pPr>
              <w:pStyle w:val="ListParagraph"/>
              <w:numPr>
                <w:ilvl w:val="0"/>
                <w:numId w:val="7"/>
              </w:numPr>
              <w:spacing w:after="0" w:line="240" w:lineRule="auto"/>
              <w:rPr>
                <w:rFonts w:asciiTheme="majorHAnsi" w:hAnsiTheme="majorHAnsi" w:cstheme="majorHAnsi"/>
                <w:b/>
                <w:sz w:val="20"/>
                <w:szCs w:val="20"/>
              </w:rPr>
            </w:pPr>
            <w:r w:rsidRPr="00ED5D49">
              <w:rPr>
                <w:rFonts w:asciiTheme="majorHAnsi" w:hAnsiTheme="majorHAnsi" w:cstheme="majorHAnsi"/>
                <w:sz w:val="20"/>
                <w:szCs w:val="20"/>
              </w:rPr>
              <w:t>The VPF and justice and community services agencies implement targeted initiatives that deliver better services to women, children, and youth</w:t>
            </w:r>
          </w:p>
        </w:tc>
        <w:tc>
          <w:tcPr>
            <w:tcW w:w="5732" w:type="dxa"/>
            <w:shd w:val="clear" w:color="auto" w:fill="auto"/>
          </w:tcPr>
          <w:p w:rsidR="00AD0800" w:rsidRDefault="00AD0800" w:rsidP="00D21D3E">
            <w:pPr>
              <w:spacing w:after="0" w:line="240" w:lineRule="auto"/>
              <w:rPr>
                <w:rFonts w:cstheme="minorHAnsi"/>
                <w:sz w:val="20"/>
                <w:szCs w:val="20"/>
              </w:rPr>
            </w:pPr>
            <w:r>
              <w:rPr>
                <w:rFonts w:cstheme="minorHAnsi"/>
                <w:b/>
                <w:sz w:val="20"/>
                <w:szCs w:val="20"/>
              </w:rPr>
              <w:t xml:space="preserve">Intermediate Outcome </w:t>
            </w:r>
            <w:r w:rsidRPr="00331935">
              <w:rPr>
                <w:rFonts w:cstheme="minorHAnsi"/>
                <w:b/>
                <w:sz w:val="20"/>
                <w:szCs w:val="20"/>
              </w:rPr>
              <w:t>3.1:</w:t>
            </w:r>
            <w:r w:rsidRPr="008B01B6">
              <w:rPr>
                <w:rFonts w:cstheme="minorHAnsi"/>
                <w:sz w:val="20"/>
                <w:szCs w:val="20"/>
              </w:rPr>
              <w:t xml:space="preserve"> </w:t>
            </w:r>
          </w:p>
          <w:p w:rsidR="00AD0800" w:rsidRDefault="00AD0800" w:rsidP="00D21D3E">
            <w:pPr>
              <w:spacing w:after="0" w:line="240" w:lineRule="auto"/>
              <w:rPr>
                <w:rFonts w:asciiTheme="majorHAnsi" w:hAnsiTheme="majorHAnsi" w:cstheme="majorHAnsi"/>
                <w:b/>
                <w:sz w:val="20"/>
                <w:szCs w:val="20"/>
              </w:rPr>
            </w:pPr>
            <w:r w:rsidRPr="008B01B6">
              <w:rPr>
                <w:rFonts w:cstheme="minorHAnsi"/>
                <w:sz w:val="20"/>
                <w:szCs w:val="20"/>
              </w:rPr>
              <w:t>Decisions about appropriate interface between police</w:t>
            </w:r>
            <w:r>
              <w:rPr>
                <w:rFonts w:cstheme="minorHAnsi"/>
                <w:sz w:val="20"/>
                <w:szCs w:val="20"/>
              </w:rPr>
              <w:t>, formal justice</w:t>
            </w:r>
            <w:r w:rsidRPr="008B01B6">
              <w:rPr>
                <w:rFonts w:cstheme="minorHAnsi"/>
                <w:sz w:val="20"/>
                <w:szCs w:val="20"/>
              </w:rPr>
              <w:t xml:space="preserve"> and kastom, in relation to working with women, children and youth, informed by evidence based</w:t>
            </w:r>
            <w:r>
              <w:rPr>
                <w:rFonts w:cstheme="minorHAnsi"/>
                <w:sz w:val="20"/>
                <w:szCs w:val="20"/>
              </w:rPr>
              <w:t xml:space="preserve"> </w:t>
            </w:r>
            <w:r w:rsidRPr="008B01B6">
              <w:rPr>
                <w:rFonts w:cstheme="minorHAnsi"/>
                <w:sz w:val="20"/>
                <w:szCs w:val="20"/>
              </w:rPr>
              <w:t>research.</w:t>
            </w:r>
          </w:p>
        </w:tc>
      </w:tr>
      <w:tr w:rsidR="00AD0800" w:rsidRPr="00ED5D49">
        <w:tc>
          <w:tcPr>
            <w:tcW w:w="3510" w:type="dxa"/>
            <w:vMerge/>
            <w:shd w:val="clear" w:color="auto" w:fill="EAF1DD" w:themeFill="accent3" w:themeFillTint="33"/>
          </w:tcPr>
          <w:p w:rsidR="00AD0800" w:rsidRPr="00ED5D49" w:rsidRDefault="00AD0800" w:rsidP="007D2BBC">
            <w:pPr>
              <w:pStyle w:val="ListParagraph"/>
              <w:numPr>
                <w:ilvl w:val="0"/>
                <w:numId w:val="7"/>
              </w:numPr>
              <w:spacing w:after="0" w:line="240" w:lineRule="auto"/>
              <w:rPr>
                <w:rFonts w:asciiTheme="majorHAnsi" w:hAnsiTheme="majorHAnsi" w:cstheme="majorHAnsi"/>
                <w:sz w:val="20"/>
                <w:szCs w:val="20"/>
              </w:rPr>
            </w:pPr>
          </w:p>
        </w:tc>
        <w:tc>
          <w:tcPr>
            <w:tcW w:w="5732" w:type="dxa"/>
            <w:shd w:val="clear" w:color="auto" w:fill="auto"/>
          </w:tcPr>
          <w:p w:rsidR="00AD0800" w:rsidRPr="00ED5D49" w:rsidRDefault="00AD0800" w:rsidP="00D21D3E">
            <w:pPr>
              <w:spacing w:after="0" w:line="240" w:lineRule="auto"/>
              <w:rPr>
                <w:rFonts w:asciiTheme="majorHAnsi" w:hAnsiTheme="majorHAnsi" w:cstheme="majorHAnsi"/>
                <w:sz w:val="20"/>
                <w:szCs w:val="20"/>
              </w:rPr>
            </w:pPr>
            <w:r>
              <w:rPr>
                <w:rFonts w:asciiTheme="majorHAnsi" w:hAnsiTheme="majorHAnsi" w:cstheme="majorHAnsi"/>
                <w:b/>
                <w:sz w:val="20"/>
                <w:szCs w:val="20"/>
              </w:rPr>
              <w:t>Intermediate Outcome 3.2</w:t>
            </w:r>
            <w:r w:rsidRPr="00ED5D49">
              <w:rPr>
                <w:rFonts w:asciiTheme="majorHAnsi" w:hAnsiTheme="majorHAnsi" w:cstheme="majorHAnsi"/>
                <w:sz w:val="20"/>
                <w:szCs w:val="20"/>
              </w:rPr>
              <w:t>:</w:t>
            </w:r>
          </w:p>
          <w:p w:rsidR="00AD0800" w:rsidRPr="00ED5D49" w:rsidRDefault="00AD0800" w:rsidP="00D21D3E">
            <w:pPr>
              <w:spacing w:after="0" w:line="240" w:lineRule="auto"/>
              <w:rPr>
                <w:rFonts w:asciiTheme="majorHAnsi" w:hAnsiTheme="majorHAnsi" w:cstheme="majorHAnsi"/>
                <w:sz w:val="20"/>
                <w:szCs w:val="20"/>
              </w:rPr>
            </w:pPr>
            <w:r w:rsidRPr="00ED5D49">
              <w:rPr>
                <w:rFonts w:asciiTheme="majorHAnsi" w:hAnsiTheme="majorHAnsi" w:cstheme="majorHAnsi"/>
                <w:sz w:val="20"/>
                <w:szCs w:val="20"/>
              </w:rPr>
              <w:t>Government and non-government partners are supported to implement agreed programming on child protection</w:t>
            </w:r>
          </w:p>
        </w:tc>
      </w:tr>
      <w:tr w:rsidR="00AD0800" w:rsidRPr="00ED5D49">
        <w:tc>
          <w:tcPr>
            <w:tcW w:w="3510" w:type="dxa"/>
            <w:vMerge/>
          </w:tcPr>
          <w:p w:rsidR="00AD0800" w:rsidRPr="00ED5D49" w:rsidRDefault="00AD0800" w:rsidP="00D21D3E">
            <w:pPr>
              <w:spacing w:after="0" w:line="240" w:lineRule="auto"/>
              <w:rPr>
                <w:rFonts w:asciiTheme="majorHAnsi" w:hAnsiTheme="majorHAnsi" w:cstheme="majorHAnsi"/>
                <w:sz w:val="20"/>
                <w:szCs w:val="20"/>
              </w:rPr>
            </w:pPr>
          </w:p>
        </w:tc>
        <w:tc>
          <w:tcPr>
            <w:tcW w:w="5732" w:type="dxa"/>
          </w:tcPr>
          <w:p w:rsidR="00AD0800" w:rsidRDefault="00AD0800" w:rsidP="00ED5D49">
            <w:pPr>
              <w:spacing w:after="0" w:line="240" w:lineRule="auto"/>
              <w:contextualSpacing/>
              <w:rPr>
                <w:rFonts w:asciiTheme="majorHAnsi" w:hAnsiTheme="majorHAnsi" w:cstheme="majorHAnsi"/>
                <w:sz w:val="20"/>
                <w:szCs w:val="20"/>
              </w:rPr>
            </w:pPr>
            <w:r>
              <w:rPr>
                <w:rFonts w:asciiTheme="majorHAnsi" w:hAnsiTheme="majorHAnsi" w:cstheme="majorHAnsi"/>
                <w:b/>
                <w:sz w:val="20"/>
                <w:szCs w:val="20"/>
              </w:rPr>
              <w:t>Intermediate Outcome 3.3</w:t>
            </w:r>
            <w:r w:rsidR="00A11741">
              <w:rPr>
                <w:rFonts w:asciiTheme="majorHAnsi" w:hAnsiTheme="majorHAnsi" w:cstheme="majorHAnsi"/>
                <w:b/>
                <w:sz w:val="20"/>
                <w:szCs w:val="20"/>
              </w:rPr>
              <w:t xml:space="preserve"> (a)</w:t>
            </w:r>
          </w:p>
          <w:p w:rsidR="00AD0800" w:rsidRPr="00ED5D49" w:rsidRDefault="00A11741" w:rsidP="00A11741">
            <w:pPr>
              <w:tabs>
                <w:tab w:val="left" w:pos="8364"/>
              </w:tabs>
              <w:spacing w:after="0" w:line="240" w:lineRule="auto"/>
              <w:ind w:left="34"/>
              <w:contextualSpacing/>
              <w:rPr>
                <w:rFonts w:asciiTheme="majorHAnsi" w:hAnsiTheme="majorHAnsi" w:cstheme="majorHAnsi"/>
                <w:sz w:val="20"/>
                <w:szCs w:val="20"/>
              </w:rPr>
            </w:pPr>
            <w:r w:rsidRPr="00A11741">
              <w:rPr>
                <w:sz w:val="20"/>
                <w:szCs w:val="20"/>
                <w:lang w:val="en-AU"/>
              </w:rPr>
              <w:t>The network of</w:t>
            </w:r>
            <w:r w:rsidRPr="00A11741">
              <w:rPr>
                <w:b/>
                <w:sz w:val="20"/>
                <w:szCs w:val="20"/>
                <w:lang w:val="en-AU"/>
              </w:rPr>
              <w:t xml:space="preserve"> </w:t>
            </w:r>
            <w:r w:rsidRPr="00A11741">
              <w:rPr>
                <w:sz w:val="20"/>
                <w:szCs w:val="20"/>
                <w:lang w:val="en-AU"/>
              </w:rPr>
              <w:t>institutions and practices supporting women experiencing family violence is extended and strengthened.</w:t>
            </w:r>
          </w:p>
        </w:tc>
      </w:tr>
      <w:tr w:rsidR="00AD0800" w:rsidRPr="00ED5D49">
        <w:tc>
          <w:tcPr>
            <w:tcW w:w="3510" w:type="dxa"/>
            <w:vMerge/>
          </w:tcPr>
          <w:p w:rsidR="00AD0800" w:rsidRPr="00ED5D49" w:rsidRDefault="00AD0800" w:rsidP="00D21D3E">
            <w:pPr>
              <w:spacing w:after="0" w:line="240" w:lineRule="auto"/>
              <w:rPr>
                <w:rFonts w:asciiTheme="majorHAnsi" w:hAnsiTheme="majorHAnsi" w:cstheme="majorHAnsi"/>
                <w:sz w:val="20"/>
                <w:szCs w:val="20"/>
              </w:rPr>
            </w:pPr>
          </w:p>
        </w:tc>
        <w:tc>
          <w:tcPr>
            <w:tcW w:w="5732" w:type="dxa"/>
          </w:tcPr>
          <w:p w:rsidR="00AD0800" w:rsidRDefault="00A11741" w:rsidP="00ED5D49">
            <w:pPr>
              <w:spacing w:after="0" w:line="240" w:lineRule="auto"/>
              <w:contextualSpacing/>
              <w:rPr>
                <w:rFonts w:asciiTheme="majorHAnsi" w:hAnsiTheme="majorHAnsi" w:cstheme="majorHAnsi"/>
                <w:b/>
                <w:sz w:val="20"/>
                <w:szCs w:val="20"/>
              </w:rPr>
            </w:pPr>
            <w:r>
              <w:rPr>
                <w:rFonts w:asciiTheme="majorHAnsi" w:hAnsiTheme="majorHAnsi" w:cstheme="majorHAnsi"/>
                <w:b/>
                <w:sz w:val="20"/>
                <w:szCs w:val="20"/>
              </w:rPr>
              <w:t>Intermediate Outcome 3.3 (b)</w:t>
            </w:r>
          </w:p>
          <w:p w:rsidR="00AD0800" w:rsidRPr="00ED5D49" w:rsidRDefault="00A11741" w:rsidP="00A11741">
            <w:pPr>
              <w:pStyle w:val="ListParagraph"/>
              <w:tabs>
                <w:tab w:val="left" w:pos="8364"/>
              </w:tabs>
              <w:spacing w:after="0"/>
              <w:ind w:left="0"/>
              <w:rPr>
                <w:rFonts w:asciiTheme="majorHAnsi" w:hAnsiTheme="majorHAnsi" w:cstheme="majorHAnsi"/>
                <w:sz w:val="20"/>
                <w:szCs w:val="20"/>
              </w:rPr>
            </w:pPr>
            <w:r w:rsidRPr="00A11741">
              <w:rPr>
                <w:sz w:val="20"/>
                <w:szCs w:val="20"/>
              </w:rPr>
              <w:t xml:space="preserve">Targeted justice sector agencies as well as local level actors are responding more effectively and consistently to women experiencing family violence </w:t>
            </w:r>
          </w:p>
        </w:tc>
      </w:tr>
      <w:tr w:rsidR="00A11741" w:rsidRPr="00415708" w:rsidTr="00286A72">
        <w:trPr>
          <w:trHeight w:val="1524"/>
        </w:trPr>
        <w:tc>
          <w:tcPr>
            <w:tcW w:w="3510" w:type="dxa"/>
            <w:vMerge/>
          </w:tcPr>
          <w:p w:rsidR="00A11741" w:rsidRPr="00415708" w:rsidRDefault="00A11741" w:rsidP="00D21D3E">
            <w:pPr>
              <w:spacing w:after="0" w:line="240" w:lineRule="auto"/>
            </w:pPr>
          </w:p>
        </w:tc>
        <w:tc>
          <w:tcPr>
            <w:tcW w:w="5732" w:type="dxa"/>
          </w:tcPr>
          <w:p w:rsidR="00A11741" w:rsidRDefault="00A11741" w:rsidP="00A11741">
            <w:pPr>
              <w:tabs>
                <w:tab w:val="left" w:pos="8364"/>
              </w:tabs>
              <w:spacing w:after="0" w:line="240" w:lineRule="auto"/>
              <w:contextualSpacing/>
              <w:rPr>
                <w:b/>
                <w:sz w:val="20"/>
                <w:szCs w:val="20"/>
              </w:rPr>
            </w:pPr>
            <w:r w:rsidRPr="00A11741">
              <w:rPr>
                <w:b/>
                <w:sz w:val="20"/>
                <w:szCs w:val="20"/>
              </w:rPr>
              <w:t xml:space="preserve">Intermediate Outcome 3.4 </w:t>
            </w:r>
          </w:p>
          <w:p w:rsidR="00A11741" w:rsidRDefault="00A11741" w:rsidP="00A11741">
            <w:pPr>
              <w:tabs>
                <w:tab w:val="left" w:pos="8364"/>
              </w:tabs>
              <w:spacing w:after="0" w:line="240" w:lineRule="auto"/>
              <w:contextualSpacing/>
              <w:rPr>
                <w:sz w:val="20"/>
                <w:szCs w:val="20"/>
              </w:rPr>
            </w:pPr>
            <w:r>
              <w:rPr>
                <w:sz w:val="20"/>
                <w:szCs w:val="20"/>
              </w:rPr>
              <w:t>Targeted j</w:t>
            </w:r>
            <w:r w:rsidRPr="00A11741">
              <w:rPr>
                <w:sz w:val="20"/>
                <w:szCs w:val="20"/>
              </w:rPr>
              <w:t xml:space="preserve">ustice sector agencies and the </w:t>
            </w:r>
            <w:proofErr w:type="spellStart"/>
            <w:r w:rsidRPr="00A11741">
              <w:rPr>
                <w:sz w:val="20"/>
                <w:szCs w:val="20"/>
              </w:rPr>
              <w:t>Blacksands</w:t>
            </w:r>
            <w:proofErr w:type="spellEnd"/>
            <w:r w:rsidRPr="00A11741">
              <w:rPr>
                <w:sz w:val="20"/>
                <w:szCs w:val="20"/>
              </w:rPr>
              <w:t xml:space="preserve"> community</w:t>
            </w:r>
            <w:r w:rsidRPr="00A11741">
              <w:rPr>
                <w:sz w:val="20"/>
                <w:szCs w:val="20"/>
              </w:rPr>
              <w:br/>
              <w:t>representatives respond more effectively, appropriately and collaboratively to juvenile justice issues in the pilot location</w:t>
            </w:r>
          </w:p>
          <w:p w:rsidR="00A11741" w:rsidRPr="00415708" w:rsidRDefault="00A11741" w:rsidP="00A11741">
            <w:pPr>
              <w:tabs>
                <w:tab w:val="left" w:pos="8364"/>
              </w:tabs>
              <w:spacing w:after="0" w:line="240" w:lineRule="auto"/>
              <w:contextualSpacing/>
            </w:pPr>
          </w:p>
        </w:tc>
      </w:tr>
    </w:tbl>
    <w:p w:rsidR="00AD0800" w:rsidRDefault="00AD0800" w:rsidP="00A877EA">
      <w:pPr>
        <w:spacing w:after="0" w:line="240" w:lineRule="auto"/>
      </w:pPr>
    </w:p>
    <w:p w:rsidR="00477805" w:rsidRDefault="00D62687" w:rsidP="00D62687">
      <w:pPr>
        <w:spacing w:after="0"/>
        <w:jc w:val="both"/>
      </w:pPr>
      <w:r>
        <w:t>T</w:t>
      </w:r>
      <w:r w:rsidR="001A2B67">
        <w:t>he six months of the reporting period</w:t>
      </w:r>
      <w:r w:rsidR="00477805">
        <w:t xml:space="preserve"> (July to December 2014) were also the</w:t>
      </w:r>
      <w:r w:rsidR="001A2B67">
        <w:t xml:space="preserve"> first six months of a new program</w:t>
      </w:r>
      <w:r>
        <w:t>. As a consequence</w:t>
      </w:r>
      <w:r w:rsidR="001A2B67">
        <w:t xml:space="preserve"> </w:t>
      </w:r>
      <w:r w:rsidR="00475ED4">
        <w:t>there were</w:t>
      </w:r>
      <w:r w:rsidR="00477805">
        <w:t xml:space="preserve"> a</w:t>
      </w:r>
      <w:r w:rsidR="001A2B67">
        <w:t xml:space="preserve"> significant number of additional administrative </w:t>
      </w:r>
      <w:r w:rsidR="001A2B67">
        <w:lastRenderedPageBreak/>
        <w:t xml:space="preserve">and managerial </w:t>
      </w:r>
      <w:r w:rsidR="00477805">
        <w:t>obligations</w:t>
      </w:r>
      <w:r w:rsidR="00FE0C31">
        <w:t xml:space="preserve"> to complete</w:t>
      </w:r>
      <w:r w:rsidR="001A2B67">
        <w:t xml:space="preserve"> related to the establishment of a new program</w:t>
      </w:r>
      <w:r w:rsidR="001A2B67">
        <w:rPr>
          <w:rStyle w:val="FootnoteReference"/>
        </w:rPr>
        <w:footnoteReference w:id="10"/>
      </w:r>
      <w:r w:rsidR="001A2B67">
        <w:t xml:space="preserve"> in addition to the delivery of planned outputs under the program</w:t>
      </w:r>
      <w:r>
        <w:t>. Notwithstanding</w:t>
      </w:r>
      <w:r w:rsidR="004007E9">
        <w:t xml:space="preserve"> these realities</w:t>
      </w:r>
      <w:r w:rsidR="001A2B67">
        <w:t xml:space="preserve">, </w:t>
      </w:r>
      <w:r w:rsidR="00FE0C31">
        <w:t xml:space="preserve">the </w:t>
      </w:r>
      <w:r w:rsidR="001A2B67">
        <w:t xml:space="preserve">progress towards achieving outcomes is on track. </w:t>
      </w:r>
      <w:r w:rsidR="00756231">
        <w:t xml:space="preserve">There has been delay with respect to delivery of some outputs which is provided in more detail in section </w:t>
      </w:r>
      <w:r w:rsidR="00796729" w:rsidRPr="004206ED">
        <w:t>2e</w:t>
      </w:r>
      <w:r w:rsidR="00756231">
        <w:t xml:space="preserve"> – Variations to </w:t>
      </w:r>
      <w:proofErr w:type="spellStart"/>
      <w:r w:rsidR="00756231">
        <w:t>Workplan</w:t>
      </w:r>
      <w:proofErr w:type="spellEnd"/>
      <w:r w:rsidR="00756231">
        <w:t>, but none of which at this point threaten potential achievement of intermediate and end-of-program outcomes.</w:t>
      </w:r>
      <w:r w:rsidR="00756231">
        <w:rPr>
          <w:rStyle w:val="FootnoteReference"/>
        </w:rPr>
        <w:footnoteReference w:id="11"/>
      </w:r>
    </w:p>
    <w:p w:rsidR="00477805" w:rsidRDefault="00477805" w:rsidP="00D62687">
      <w:pPr>
        <w:spacing w:after="0"/>
        <w:jc w:val="both"/>
        <w:sectPr w:rsidR="00477805" w:rsidSect="002E18CB">
          <w:footerReference w:type="first" r:id="rId17"/>
          <w:pgSz w:w="11906" w:h="16838"/>
          <w:pgMar w:top="1440" w:right="1983" w:bottom="1440" w:left="1276" w:header="708" w:footer="708" w:gutter="0"/>
          <w:cols w:space="708"/>
          <w:docGrid w:linePitch="360"/>
        </w:sectPr>
      </w:pPr>
    </w:p>
    <w:p w:rsidR="008D62C0" w:rsidRDefault="008D62C0" w:rsidP="00E9734A">
      <w:pPr>
        <w:pStyle w:val="Heading3"/>
      </w:pPr>
      <w:bookmarkStart w:id="10" w:name="_Toc411268942"/>
      <w:r>
        <w:lastRenderedPageBreak/>
        <w:t>Summary of Key Achievements</w:t>
      </w:r>
      <w:bookmarkEnd w:id="10"/>
    </w:p>
    <w:p w:rsidR="00AD0800" w:rsidRDefault="0031651B" w:rsidP="00A877EA">
      <w:pPr>
        <w:spacing w:after="0" w:line="240" w:lineRule="auto"/>
      </w:pPr>
      <w:r w:rsidRPr="0031651B">
        <w:t xml:space="preserve">Summary of </w:t>
      </w:r>
      <w:r w:rsidR="00D21D3E">
        <w:t xml:space="preserve">key </w:t>
      </w:r>
      <w:r w:rsidRPr="0031651B">
        <w:t xml:space="preserve">achievements against </w:t>
      </w:r>
      <w:r w:rsidR="00756231">
        <w:t>intermediate</w:t>
      </w:r>
      <w:r w:rsidR="00786197">
        <w:t xml:space="preserve"> </w:t>
      </w:r>
      <w:r w:rsidRPr="0031651B">
        <w:t>outcomes for the reporting period July to December 2014 are set out in the table below:</w:t>
      </w:r>
    </w:p>
    <w:tbl>
      <w:tblPr>
        <w:tblStyle w:val="TableGrid"/>
        <w:tblW w:w="13716" w:type="dxa"/>
        <w:tblLook w:val="04A0" w:firstRow="1" w:lastRow="0" w:firstColumn="1" w:lastColumn="0" w:noHBand="0" w:noVBand="1"/>
      </w:tblPr>
      <w:tblGrid>
        <w:gridCol w:w="4621"/>
        <w:gridCol w:w="9095"/>
      </w:tblGrid>
      <w:tr w:rsidR="00AD0800">
        <w:tc>
          <w:tcPr>
            <w:tcW w:w="13716" w:type="dxa"/>
            <w:gridSpan w:val="2"/>
            <w:shd w:val="clear" w:color="auto" w:fill="D6E3BC" w:themeFill="accent3" w:themeFillTint="66"/>
          </w:tcPr>
          <w:p w:rsidR="00AD0800" w:rsidRDefault="00AD0800" w:rsidP="00AD0800">
            <w:pPr>
              <w:spacing w:after="0" w:line="240" w:lineRule="auto"/>
              <w:rPr>
                <w:b/>
                <w:sz w:val="20"/>
                <w:szCs w:val="20"/>
              </w:rPr>
            </w:pPr>
            <w:r w:rsidRPr="00FF2959">
              <w:rPr>
                <w:b/>
                <w:sz w:val="20"/>
                <w:szCs w:val="20"/>
              </w:rPr>
              <w:t>Component 1: End-of-Program-Outcome</w:t>
            </w:r>
          </w:p>
          <w:p w:rsidR="00AD0800" w:rsidRDefault="00AD0800" w:rsidP="00AD0800">
            <w:pPr>
              <w:spacing w:after="0" w:line="240" w:lineRule="auto"/>
            </w:pPr>
            <w:r w:rsidRPr="00FF2959">
              <w:rPr>
                <w:sz w:val="20"/>
                <w:szCs w:val="20"/>
              </w:rPr>
              <w:t>Networks within the VPF, justice and community services agencies influence positive change</w:t>
            </w:r>
          </w:p>
        </w:tc>
      </w:tr>
      <w:tr w:rsidR="00AD0800" w:rsidRPr="006F272C">
        <w:tc>
          <w:tcPr>
            <w:tcW w:w="4621" w:type="dxa"/>
          </w:tcPr>
          <w:p w:rsidR="00AD0800" w:rsidRPr="006F272C" w:rsidRDefault="00AD0800" w:rsidP="00AD0800">
            <w:pPr>
              <w:spacing w:after="0" w:line="240" w:lineRule="auto"/>
              <w:rPr>
                <w:b/>
                <w:sz w:val="20"/>
                <w:szCs w:val="20"/>
              </w:rPr>
            </w:pPr>
            <w:r w:rsidRPr="006F272C">
              <w:rPr>
                <w:b/>
                <w:sz w:val="20"/>
                <w:szCs w:val="20"/>
              </w:rPr>
              <w:t>Intermediate outcome 1.1</w:t>
            </w:r>
          </w:p>
          <w:p w:rsidR="00AD0800" w:rsidRPr="006F272C" w:rsidRDefault="00AD0800" w:rsidP="00AD0800">
            <w:pPr>
              <w:spacing w:after="0" w:line="240" w:lineRule="auto"/>
              <w:rPr>
                <w:sz w:val="20"/>
                <w:szCs w:val="20"/>
              </w:rPr>
            </w:pPr>
            <w:r w:rsidRPr="006F272C">
              <w:rPr>
                <w:sz w:val="20"/>
                <w:szCs w:val="20"/>
              </w:rPr>
              <w:t>VPF, MJCS, the judiciary, PSO, PPO, VLC, SLO, DCS</w:t>
            </w:r>
            <w:r w:rsidR="00A11741">
              <w:rPr>
                <w:sz w:val="20"/>
                <w:szCs w:val="20"/>
              </w:rPr>
              <w:t>, SPD</w:t>
            </w:r>
            <w:r w:rsidRPr="006F272C">
              <w:rPr>
                <w:sz w:val="20"/>
                <w:szCs w:val="20"/>
              </w:rPr>
              <w:t xml:space="preserve"> and DWA are collaborating and sharing information more effectively to progress shared goals</w:t>
            </w:r>
          </w:p>
        </w:tc>
        <w:tc>
          <w:tcPr>
            <w:tcW w:w="9095" w:type="dxa"/>
          </w:tcPr>
          <w:p w:rsidR="00AD0800" w:rsidRPr="006F272C" w:rsidRDefault="00786197" w:rsidP="007D2BBC">
            <w:pPr>
              <w:pStyle w:val="ListParagraph"/>
              <w:numPr>
                <w:ilvl w:val="0"/>
                <w:numId w:val="7"/>
              </w:numPr>
              <w:spacing w:after="0"/>
              <w:rPr>
                <w:sz w:val="20"/>
                <w:szCs w:val="20"/>
              </w:rPr>
            </w:pPr>
            <w:r w:rsidRPr="006F272C">
              <w:rPr>
                <w:sz w:val="20"/>
                <w:szCs w:val="20"/>
              </w:rPr>
              <w:t xml:space="preserve">The </w:t>
            </w:r>
            <w:r w:rsidR="00F22123" w:rsidRPr="00305A10">
              <w:rPr>
                <w:b/>
                <w:sz w:val="20"/>
                <w:szCs w:val="20"/>
              </w:rPr>
              <w:t>MJCS</w:t>
            </w:r>
            <w:r w:rsidRPr="00305A10">
              <w:rPr>
                <w:b/>
                <w:sz w:val="20"/>
                <w:szCs w:val="20"/>
              </w:rPr>
              <w:t xml:space="preserve"> website</w:t>
            </w:r>
            <w:r w:rsidRPr="006F272C">
              <w:rPr>
                <w:sz w:val="20"/>
                <w:szCs w:val="20"/>
              </w:rPr>
              <w:t xml:space="preserve"> was launched </w:t>
            </w:r>
            <w:r w:rsidR="00D11673" w:rsidRPr="006F272C">
              <w:rPr>
                <w:sz w:val="20"/>
                <w:szCs w:val="20"/>
              </w:rPr>
              <w:t xml:space="preserve">in August 2014 and provides </w:t>
            </w:r>
            <w:r w:rsidRPr="006F272C">
              <w:rPr>
                <w:sz w:val="20"/>
                <w:szCs w:val="20"/>
              </w:rPr>
              <w:t>a</w:t>
            </w:r>
            <w:r w:rsidR="00D11673" w:rsidRPr="006F272C">
              <w:rPr>
                <w:sz w:val="20"/>
                <w:szCs w:val="20"/>
              </w:rPr>
              <w:t>n easily accessible</w:t>
            </w:r>
            <w:r w:rsidRPr="006F272C">
              <w:rPr>
                <w:sz w:val="20"/>
                <w:szCs w:val="20"/>
              </w:rPr>
              <w:t xml:space="preserve"> platform for sharing of sector wide information</w:t>
            </w:r>
            <w:r w:rsidR="003214C1">
              <w:rPr>
                <w:sz w:val="20"/>
                <w:szCs w:val="20"/>
              </w:rPr>
              <w:t>.</w:t>
            </w:r>
          </w:p>
          <w:p w:rsidR="00786197" w:rsidRDefault="00786197" w:rsidP="007D2BBC">
            <w:pPr>
              <w:pStyle w:val="ListParagraph"/>
              <w:numPr>
                <w:ilvl w:val="0"/>
                <w:numId w:val="7"/>
              </w:numPr>
              <w:spacing w:after="0"/>
              <w:rPr>
                <w:sz w:val="20"/>
                <w:szCs w:val="20"/>
              </w:rPr>
            </w:pPr>
            <w:r w:rsidRPr="006F272C">
              <w:rPr>
                <w:sz w:val="20"/>
                <w:szCs w:val="20"/>
              </w:rPr>
              <w:t xml:space="preserve">MJCS </w:t>
            </w:r>
            <w:r w:rsidR="00796729">
              <w:rPr>
                <w:sz w:val="20"/>
                <w:szCs w:val="20"/>
              </w:rPr>
              <w:t>has</w:t>
            </w:r>
            <w:r w:rsidRPr="006F272C">
              <w:rPr>
                <w:sz w:val="20"/>
                <w:szCs w:val="20"/>
              </w:rPr>
              <w:t xml:space="preserve"> </w:t>
            </w:r>
            <w:r w:rsidR="00D11673" w:rsidRPr="006F272C">
              <w:rPr>
                <w:sz w:val="20"/>
                <w:szCs w:val="20"/>
              </w:rPr>
              <w:t>commenced provision of</w:t>
            </w:r>
            <w:r w:rsidRPr="006F272C">
              <w:rPr>
                <w:sz w:val="20"/>
                <w:szCs w:val="20"/>
              </w:rPr>
              <w:t xml:space="preserve"> a </w:t>
            </w:r>
            <w:r w:rsidRPr="00305A10">
              <w:rPr>
                <w:b/>
                <w:sz w:val="20"/>
                <w:szCs w:val="20"/>
              </w:rPr>
              <w:t>monthly newsletter</w:t>
            </w:r>
            <w:r w:rsidRPr="006F272C">
              <w:rPr>
                <w:sz w:val="20"/>
                <w:szCs w:val="20"/>
              </w:rPr>
              <w:t xml:space="preserve"> </w:t>
            </w:r>
            <w:r w:rsidR="00D11673" w:rsidRPr="006F272C">
              <w:rPr>
                <w:sz w:val="20"/>
                <w:szCs w:val="20"/>
              </w:rPr>
              <w:t>which allows for the sharing of good news, challenges, data and monthly activities across the sector. There have been five monthly newsletters to date</w:t>
            </w:r>
            <w:r w:rsidR="00D00358">
              <w:rPr>
                <w:sz w:val="20"/>
                <w:szCs w:val="20"/>
              </w:rPr>
              <w:t>.</w:t>
            </w:r>
            <w:r w:rsidR="00325751">
              <w:rPr>
                <w:sz w:val="20"/>
                <w:szCs w:val="20"/>
              </w:rPr>
              <w:t xml:space="preserve"> Agencies contributing to the newsletter has tripled between August and December 2014 from 7 to 22. The newsletter is disseminated to 150 recipients representing 29 different government and non-government agencies and others.</w:t>
            </w:r>
          </w:p>
          <w:p w:rsidR="005670D1" w:rsidRDefault="00796729" w:rsidP="007D2BBC">
            <w:pPr>
              <w:pStyle w:val="ListParagraph"/>
              <w:numPr>
                <w:ilvl w:val="0"/>
                <w:numId w:val="7"/>
              </w:numPr>
              <w:spacing w:after="0"/>
              <w:rPr>
                <w:sz w:val="20"/>
                <w:szCs w:val="20"/>
              </w:rPr>
            </w:pPr>
            <w:r w:rsidRPr="00796729">
              <w:rPr>
                <w:b/>
                <w:sz w:val="20"/>
                <w:szCs w:val="20"/>
              </w:rPr>
              <w:t>Support for JCSSS</w:t>
            </w:r>
            <w:r w:rsidRPr="00796729">
              <w:rPr>
                <w:sz w:val="20"/>
                <w:szCs w:val="20"/>
              </w:rPr>
              <w:t xml:space="preserve"> for </w:t>
            </w:r>
            <w:r w:rsidR="009114E9" w:rsidRPr="00796729">
              <w:rPr>
                <w:sz w:val="20"/>
                <w:szCs w:val="20"/>
              </w:rPr>
              <w:t>the period from July to December 2014</w:t>
            </w:r>
            <w:r w:rsidR="005670D1">
              <w:rPr>
                <w:sz w:val="20"/>
                <w:szCs w:val="20"/>
              </w:rPr>
              <w:t xml:space="preserve"> was concerned primarily with</w:t>
            </w:r>
            <w:r w:rsidR="009114E9" w:rsidRPr="00796729">
              <w:rPr>
                <w:sz w:val="20"/>
                <w:szCs w:val="20"/>
              </w:rPr>
              <w:t xml:space="preserve"> providing </w:t>
            </w:r>
            <w:r w:rsidR="005670D1">
              <w:rPr>
                <w:sz w:val="20"/>
                <w:szCs w:val="20"/>
              </w:rPr>
              <w:t xml:space="preserve">(a) </w:t>
            </w:r>
            <w:r w:rsidR="009114E9" w:rsidRPr="00796729">
              <w:rPr>
                <w:sz w:val="20"/>
                <w:szCs w:val="20"/>
              </w:rPr>
              <w:t xml:space="preserve">advice to </w:t>
            </w:r>
            <w:r w:rsidRPr="00796729">
              <w:rPr>
                <w:sz w:val="20"/>
                <w:szCs w:val="20"/>
              </w:rPr>
              <w:t>Director General</w:t>
            </w:r>
            <w:r w:rsidR="009114E9" w:rsidRPr="00796729">
              <w:rPr>
                <w:sz w:val="20"/>
                <w:szCs w:val="20"/>
              </w:rPr>
              <w:t xml:space="preserve"> about the status and way forward for </w:t>
            </w:r>
            <w:r w:rsidRPr="00796729">
              <w:rPr>
                <w:sz w:val="20"/>
                <w:szCs w:val="20"/>
              </w:rPr>
              <w:t>working groups</w:t>
            </w:r>
            <w:r w:rsidR="009114E9" w:rsidRPr="00796729">
              <w:rPr>
                <w:sz w:val="20"/>
                <w:szCs w:val="20"/>
              </w:rPr>
              <w:t xml:space="preserve">; </w:t>
            </w:r>
            <w:r w:rsidRPr="00796729">
              <w:rPr>
                <w:sz w:val="20"/>
                <w:szCs w:val="20"/>
              </w:rPr>
              <w:t xml:space="preserve">and </w:t>
            </w:r>
            <w:r w:rsidR="005670D1">
              <w:rPr>
                <w:sz w:val="20"/>
                <w:szCs w:val="20"/>
              </w:rPr>
              <w:t>(</w:t>
            </w:r>
            <w:r w:rsidR="009114E9" w:rsidRPr="00796729">
              <w:rPr>
                <w:sz w:val="20"/>
                <w:szCs w:val="20"/>
              </w:rPr>
              <w:t xml:space="preserve">b) facilitation support for a number of meetings called by </w:t>
            </w:r>
            <w:r w:rsidRPr="00796729">
              <w:rPr>
                <w:sz w:val="20"/>
                <w:szCs w:val="20"/>
              </w:rPr>
              <w:t xml:space="preserve">the Director General with Working Group </w:t>
            </w:r>
            <w:r w:rsidR="009114E9" w:rsidRPr="00796729">
              <w:rPr>
                <w:sz w:val="20"/>
                <w:szCs w:val="20"/>
              </w:rPr>
              <w:t xml:space="preserve">facilitators. </w:t>
            </w:r>
          </w:p>
          <w:p w:rsidR="00D00358" w:rsidRPr="009114E9" w:rsidRDefault="009114E9" w:rsidP="007D2BBC">
            <w:pPr>
              <w:pStyle w:val="ListParagraph"/>
              <w:numPr>
                <w:ilvl w:val="0"/>
                <w:numId w:val="7"/>
              </w:numPr>
              <w:spacing w:after="0"/>
              <w:rPr>
                <w:sz w:val="20"/>
                <w:szCs w:val="20"/>
              </w:rPr>
            </w:pPr>
            <w:r w:rsidRPr="00796729">
              <w:rPr>
                <w:sz w:val="20"/>
                <w:szCs w:val="20"/>
              </w:rPr>
              <w:t>Overall the energy, activity and focus of Working Groups has decreased, although for 3 (of the 8) an alternative mechanism has been established that provides a channel of resources and energy to address core parts of the three strategies</w:t>
            </w:r>
          </w:p>
        </w:tc>
      </w:tr>
      <w:tr w:rsidR="00AD0800" w:rsidRPr="006F272C">
        <w:tc>
          <w:tcPr>
            <w:tcW w:w="4621" w:type="dxa"/>
          </w:tcPr>
          <w:p w:rsidR="00AD0800" w:rsidRPr="006F272C" w:rsidRDefault="00AD0800" w:rsidP="00AD0800">
            <w:pPr>
              <w:spacing w:after="0" w:line="240" w:lineRule="auto"/>
              <w:rPr>
                <w:b/>
                <w:sz w:val="20"/>
                <w:szCs w:val="20"/>
              </w:rPr>
            </w:pPr>
            <w:r w:rsidRPr="006F272C">
              <w:rPr>
                <w:b/>
                <w:sz w:val="20"/>
                <w:szCs w:val="20"/>
              </w:rPr>
              <w:t>Intermediate outcome 1.2</w:t>
            </w:r>
          </w:p>
          <w:p w:rsidR="00AD0800" w:rsidRPr="006F272C" w:rsidRDefault="00AD0800" w:rsidP="00AD0800">
            <w:pPr>
              <w:spacing w:after="0" w:line="240" w:lineRule="auto"/>
              <w:rPr>
                <w:sz w:val="20"/>
                <w:szCs w:val="20"/>
              </w:rPr>
            </w:pPr>
            <w:r w:rsidRPr="006F272C">
              <w:rPr>
                <w:sz w:val="20"/>
                <w:szCs w:val="20"/>
              </w:rPr>
              <w:t>VPF, MJCS, the judiciary, PSO, PPO, VLC, SLO, DCS</w:t>
            </w:r>
            <w:r w:rsidR="00A11741">
              <w:rPr>
                <w:sz w:val="20"/>
                <w:szCs w:val="20"/>
              </w:rPr>
              <w:t>, SPD</w:t>
            </w:r>
            <w:r w:rsidRPr="006F272C">
              <w:rPr>
                <w:sz w:val="20"/>
                <w:szCs w:val="20"/>
              </w:rPr>
              <w:t xml:space="preserve"> and DWA are monitoring their progress</w:t>
            </w:r>
          </w:p>
        </w:tc>
        <w:tc>
          <w:tcPr>
            <w:tcW w:w="9095" w:type="dxa"/>
          </w:tcPr>
          <w:p w:rsidR="00FE1E1A" w:rsidRPr="006F272C" w:rsidRDefault="000E3D9F" w:rsidP="007D2BBC">
            <w:pPr>
              <w:pStyle w:val="ListParagraph"/>
              <w:numPr>
                <w:ilvl w:val="0"/>
                <w:numId w:val="8"/>
              </w:numPr>
              <w:spacing w:after="0"/>
              <w:rPr>
                <w:sz w:val="20"/>
                <w:szCs w:val="20"/>
              </w:rPr>
            </w:pPr>
            <w:r w:rsidRPr="006F272C">
              <w:rPr>
                <w:sz w:val="20"/>
                <w:szCs w:val="20"/>
              </w:rPr>
              <w:t>In</w:t>
            </w:r>
            <w:r w:rsidR="00D11673" w:rsidRPr="006F272C">
              <w:rPr>
                <w:sz w:val="20"/>
                <w:szCs w:val="20"/>
              </w:rPr>
              <w:t xml:space="preserve"> December the Monitoring Officer supported by the M&amp;E Specialist and Adviser, completed an achievable </w:t>
            </w:r>
            <w:r w:rsidRPr="00305A10">
              <w:rPr>
                <w:b/>
                <w:sz w:val="20"/>
                <w:szCs w:val="20"/>
              </w:rPr>
              <w:t xml:space="preserve">draft </w:t>
            </w:r>
            <w:r w:rsidR="00D11673" w:rsidRPr="00305A10">
              <w:rPr>
                <w:b/>
                <w:sz w:val="20"/>
                <w:szCs w:val="20"/>
              </w:rPr>
              <w:t>sector wide monitoring and evaluation plan</w:t>
            </w:r>
            <w:r w:rsidR="008F6BF1">
              <w:rPr>
                <w:rStyle w:val="FootnoteReference"/>
                <w:b/>
                <w:sz w:val="20"/>
                <w:szCs w:val="20"/>
              </w:rPr>
              <w:footnoteReference w:id="12"/>
            </w:r>
            <w:r w:rsidRPr="006F272C">
              <w:rPr>
                <w:sz w:val="20"/>
                <w:szCs w:val="20"/>
              </w:rPr>
              <w:t xml:space="preserve"> which is being reviewed by the Specialist for presentation to the HOAG for approval at its next meeting in March</w:t>
            </w:r>
            <w:r w:rsidR="008F6BF1">
              <w:rPr>
                <w:sz w:val="20"/>
                <w:szCs w:val="20"/>
              </w:rPr>
              <w:t>.</w:t>
            </w:r>
            <w:r w:rsidR="00796729">
              <w:rPr>
                <w:sz w:val="20"/>
                <w:szCs w:val="20"/>
              </w:rPr>
              <w:t xml:space="preserve"> This</w:t>
            </w:r>
            <w:r w:rsidR="00F67DD3">
              <w:rPr>
                <w:sz w:val="20"/>
                <w:szCs w:val="20"/>
              </w:rPr>
              <w:t xml:space="preserve"> provides a framework for the sector and its agencies to measure its/their progress</w:t>
            </w:r>
            <w:r w:rsidRPr="006F272C">
              <w:rPr>
                <w:sz w:val="20"/>
                <w:szCs w:val="20"/>
              </w:rPr>
              <w:t>.</w:t>
            </w:r>
            <w:r w:rsidR="00F67DD3">
              <w:rPr>
                <w:sz w:val="20"/>
                <w:szCs w:val="20"/>
              </w:rPr>
              <w:t xml:space="preserve"> The</w:t>
            </w:r>
            <w:r w:rsidR="00F67DD3" w:rsidRPr="006F272C">
              <w:rPr>
                <w:sz w:val="20"/>
                <w:szCs w:val="20"/>
              </w:rPr>
              <w:t xml:space="preserve"> sector M&amp;E Plan was presented to the HOAG in December 2014 and will be circulate</w:t>
            </w:r>
            <w:r w:rsidR="00796729">
              <w:rPr>
                <w:sz w:val="20"/>
                <w:szCs w:val="20"/>
              </w:rPr>
              <w:t>d</w:t>
            </w:r>
            <w:r w:rsidR="00F67DD3" w:rsidRPr="006F272C">
              <w:rPr>
                <w:sz w:val="20"/>
                <w:szCs w:val="20"/>
              </w:rPr>
              <w:t xml:space="preserve"> </w:t>
            </w:r>
            <w:r w:rsidR="00796729">
              <w:rPr>
                <w:sz w:val="20"/>
                <w:szCs w:val="20"/>
              </w:rPr>
              <w:t>in the first quarter of</w:t>
            </w:r>
            <w:r w:rsidR="00F67DD3" w:rsidRPr="006F272C">
              <w:rPr>
                <w:sz w:val="20"/>
                <w:szCs w:val="20"/>
              </w:rPr>
              <w:t xml:space="preserve"> 2015.</w:t>
            </w:r>
            <w:r w:rsidR="008F6BF1" w:rsidRPr="006F272C" w:rsidDel="008F6BF1">
              <w:rPr>
                <w:sz w:val="20"/>
                <w:szCs w:val="20"/>
              </w:rPr>
              <w:t xml:space="preserve"> </w:t>
            </w:r>
            <w:r w:rsidR="00FE1E1A" w:rsidRPr="006F272C">
              <w:rPr>
                <w:sz w:val="20"/>
                <w:szCs w:val="20"/>
              </w:rPr>
              <w:t xml:space="preserve">Monitoring Officer </w:t>
            </w:r>
            <w:r w:rsidR="00BE3D39" w:rsidRPr="006F272C">
              <w:rPr>
                <w:sz w:val="20"/>
                <w:szCs w:val="20"/>
              </w:rPr>
              <w:t>has assisted</w:t>
            </w:r>
            <w:r w:rsidR="00FE1E1A" w:rsidRPr="006F272C">
              <w:rPr>
                <w:sz w:val="20"/>
                <w:szCs w:val="20"/>
              </w:rPr>
              <w:t xml:space="preserve"> the </w:t>
            </w:r>
            <w:r w:rsidR="00F67DD3">
              <w:rPr>
                <w:sz w:val="20"/>
                <w:szCs w:val="20"/>
              </w:rPr>
              <w:t>heads of agencies</w:t>
            </w:r>
            <w:r w:rsidR="00FE1E1A" w:rsidRPr="006F272C">
              <w:rPr>
                <w:sz w:val="20"/>
                <w:szCs w:val="20"/>
              </w:rPr>
              <w:t xml:space="preserve"> annually to develop their </w:t>
            </w:r>
            <w:r w:rsidR="00305A10">
              <w:rPr>
                <w:b/>
                <w:sz w:val="20"/>
                <w:szCs w:val="20"/>
              </w:rPr>
              <w:t>KPI</w:t>
            </w:r>
            <w:r w:rsidR="00FE1E1A" w:rsidRPr="00305A10">
              <w:rPr>
                <w:b/>
                <w:sz w:val="20"/>
                <w:szCs w:val="20"/>
              </w:rPr>
              <w:t>s</w:t>
            </w:r>
            <w:r w:rsidR="00FE1E1A" w:rsidRPr="006F272C">
              <w:rPr>
                <w:sz w:val="20"/>
                <w:szCs w:val="20"/>
              </w:rPr>
              <w:t xml:space="preserve"> against their agency budgets. This is included annually in the budget narratives </w:t>
            </w:r>
            <w:r w:rsidR="00F67DD3">
              <w:rPr>
                <w:sz w:val="20"/>
                <w:szCs w:val="20"/>
              </w:rPr>
              <w:t>and</w:t>
            </w:r>
            <w:r w:rsidR="00FE1E1A" w:rsidRPr="006F272C">
              <w:rPr>
                <w:sz w:val="20"/>
                <w:szCs w:val="20"/>
              </w:rPr>
              <w:t xml:space="preserve"> must be reported on. </w:t>
            </w:r>
          </w:p>
          <w:p w:rsidR="00FE1E1A" w:rsidRPr="006F272C" w:rsidRDefault="00FE1E1A" w:rsidP="007D2BBC">
            <w:pPr>
              <w:pStyle w:val="ListParagraph"/>
              <w:numPr>
                <w:ilvl w:val="0"/>
                <w:numId w:val="8"/>
              </w:numPr>
              <w:spacing w:after="0"/>
              <w:rPr>
                <w:sz w:val="20"/>
                <w:szCs w:val="20"/>
              </w:rPr>
            </w:pPr>
            <w:r w:rsidRPr="00305A10">
              <w:rPr>
                <w:b/>
                <w:sz w:val="20"/>
                <w:szCs w:val="20"/>
              </w:rPr>
              <w:t xml:space="preserve">In 2014, 8 out of the 12 agencies </w:t>
            </w:r>
            <w:r w:rsidR="008F6BF1">
              <w:rPr>
                <w:b/>
                <w:sz w:val="20"/>
                <w:szCs w:val="20"/>
              </w:rPr>
              <w:t>contributed to the 2013</w:t>
            </w:r>
            <w:r w:rsidR="008F6BF1" w:rsidRPr="00305A10">
              <w:rPr>
                <w:b/>
                <w:sz w:val="20"/>
                <w:szCs w:val="20"/>
              </w:rPr>
              <w:t xml:space="preserve"> </w:t>
            </w:r>
            <w:r w:rsidRPr="00305A10">
              <w:rPr>
                <w:b/>
                <w:sz w:val="20"/>
                <w:szCs w:val="20"/>
              </w:rPr>
              <w:t xml:space="preserve">Annual </w:t>
            </w:r>
            <w:r w:rsidR="008F6BF1">
              <w:rPr>
                <w:b/>
                <w:sz w:val="20"/>
                <w:szCs w:val="20"/>
              </w:rPr>
              <w:t xml:space="preserve">Development </w:t>
            </w:r>
            <w:r w:rsidRPr="00305A10">
              <w:rPr>
                <w:b/>
                <w:sz w:val="20"/>
                <w:szCs w:val="20"/>
              </w:rPr>
              <w:t>Report</w:t>
            </w:r>
            <w:r w:rsidRPr="006F272C">
              <w:rPr>
                <w:sz w:val="20"/>
                <w:szCs w:val="20"/>
              </w:rPr>
              <w:t xml:space="preserve"> that was included in the Sector Report to PMO. Th</w:t>
            </w:r>
            <w:r w:rsidR="00BF7E34">
              <w:rPr>
                <w:sz w:val="20"/>
                <w:szCs w:val="20"/>
              </w:rPr>
              <w:t>r</w:t>
            </w:r>
            <w:r w:rsidRPr="006F272C">
              <w:rPr>
                <w:sz w:val="20"/>
                <w:szCs w:val="20"/>
              </w:rPr>
              <w:t xml:space="preserve">ough this processes agencies became increasingly aware that there is a link between Budget Narratives, KPIs and reporting. </w:t>
            </w:r>
            <w:r w:rsidR="004007E9">
              <w:rPr>
                <w:sz w:val="20"/>
                <w:szCs w:val="20"/>
              </w:rPr>
              <w:t xml:space="preserve">The need to report on </w:t>
            </w:r>
            <w:r w:rsidRPr="006F272C">
              <w:rPr>
                <w:sz w:val="20"/>
                <w:szCs w:val="20"/>
              </w:rPr>
              <w:t xml:space="preserve">KPIs in business plans highlighted </w:t>
            </w:r>
            <w:r w:rsidR="004007E9">
              <w:rPr>
                <w:sz w:val="20"/>
                <w:szCs w:val="20"/>
              </w:rPr>
              <w:t xml:space="preserve">the fact </w:t>
            </w:r>
            <w:r w:rsidRPr="006F272C">
              <w:rPr>
                <w:sz w:val="20"/>
                <w:szCs w:val="20"/>
              </w:rPr>
              <w:t xml:space="preserve">that </w:t>
            </w:r>
            <w:r w:rsidR="004007E9">
              <w:rPr>
                <w:sz w:val="20"/>
                <w:szCs w:val="20"/>
              </w:rPr>
              <w:t>some</w:t>
            </w:r>
            <w:r w:rsidRPr="006F272C">
              <w:rPr>
                <w:sz w:val="20"/>
                <w:szCs w:val="20"/>
              </w:rPr>
              <w:t xml:space="preserve"> KPIs were not achievable</w:t>
            </w:r>
            <w:r w:rsidR="004007E9">
              <w:rPr>
                <w:sz w:val="20"/>
                <w:szCs w:val="20"/>
              </w:rPr>
              <w:t>,</w:t>
            </w:r>
            <w:r w:rsidRPr="006F272C">
              <w:rPr>
                <w:sz w:val="20"/>
                <w:szCs w:val="20"/>
              </w:rPr>
              <w:t xml:space="preserve"> </w:t>
            </w:r>
            <w:r w:rsidR="004007E9">
              <w:rPr>
                <w:sz w:val="20"/>
                <w:szCs w:val="20"/>
              </w:rPr>
              <w:t>but had been identified as</w:t>
            </w:r>
            <w:r w:rsidRPr="006F272C">
              <w:rPr>
                <w:sz w:val="20"/>
                <w:szCs w:val="20"/>
              </w:rPr>
              <w:t xml:space="preserve"> performance failure</w:t>
            </w:r>
            <w:r w:rsidR="004007E9">
              <w:rPr>
                <w:sz w:val="20"/>
                <w:szCs w:val="20"/>
              </w:rPr>
              <w:t>s</w:t>
            </w:r>
            <w:r w:rsidRPr="006F272C">
              <w:rPr>
                <w:sz w:val="20"/>
                <w:szCs w:val="20"/>
              </w:rPr>
              <w:t xml:space="preserve">. </w:t>
            </w:r>
            <w:r w:rsidR="008F6BF1" w:rsidRPr="000E5465">
              <w:rPr>
                <w:sz w:val="20"/>
                <w:szCs w:val="20"/>
              </w:rPr>
              <w:t>In the 2011 only the State Law Office contributed to the Annual Development Report</w:t>
            </w:r>
            <w:r w:rsidR="009675B4">
              <w:rPr>
                <w:sz w:val="20"/>
                <w:szCs w:val="20"/>
              </w:rPr>
              <w:t xml:space="preserve"> and in </w:t>
            </w:r>
            <w:r w:rsidR="009675B4">
              <w:rPr>
                <w:sz w:val="20"/>
                <w:szCs w:val="20"/>
              </w:rPr>
              <w:lastRenderedPageBreak/>
              <w:t>2012 6 agencies contributed to the Report.</w:t>
            </w:r>
          </w:p>
          <w:p w:rsidR="00F67DD3" w:rsidRPr="006F272C" w:rsidRDefault="00811AB7" w:rsidP="007D2BBC">
            <w:pPr>
              <w:pStyle w:val="ListParagraph"/>
              <w:numPr>
                <w:ilvl w:val="0"/>
                <w:numId w:val="8"/>
              </w:numPr>
              <w:spacing w:after="0"/>
              <w:rPr>
                <w:sz w:val="20"/>
                <w:szCs w:val="20"/>
              </w:rPr>
            </w:pPr>
            <w:r>
              <w:rPr>
                <w:sz w:val="20"/>
                <w:szCs w:val="20"/>
              </w:rPr>
              <w:t>H</w:t>
            </w:r>
            <w:r w:rsidR="00F67DD3">
              <w:rPr>
                <w:sz w:val="20"/>
                <w:szCs w:val="20"/>
              </w:rPr>
              <w:t>eads of agencies</w:t>
            </w:r>
            <w:r w:rsidR="00F67DD3" w:rsidRPr="006F272C">
              <w:rPr>
                <w:sz w:val="20"/>
                <w:szCs w:val="20"/>
              </w:rPr>
              <w:t xml:space="preserve"> </w:t>
            </w:r>
            <w:r>
              <w:rPr>
                <w:sz w:val="20"/>
                <w:szCs w:val="20"/>
              </w:rPr>
              <w:t>are being</w:t>
            </w:r>
            <w:r w:rsidR="00F67DD3" w:rsidRPr="006F272C">
              <w:rPr>
                <w:sz w:val="20"/>
                <w:szCs w:val="20"/>
              </w:rPr>
              <w:t xml:space="preserve"> supported </w:t>
            </w:r>
            <w:r>
              <w:rPr>
                <w:sz w:val="20"/>
                <w:szCs w:val="20"/>
              </w:rPr>
              <w:t>in</w:t>
            </w:r>
            <w:r w:rsidRPr="006F272C">
              <w:rPr>
                <w:sz w:val="20"/>
                <w:szCs w:val="20"/>
              </w:rPr>
              <w:t xml:space="preserve"> </w:t>
            </w:r>
            <w:r w:rsidR="00F67DD3" w:rsidRPr="006F272C">
              <w:rPr>
                <w:sz w:val="20"/>
                <w:szCs w:val="20"/>
              </w:rPr>
              <w:t>complet</w:t>
            </w:r>
            <w:r>
              <w:rPr>
                <w:sz w:val="20"/>
                <w:szCs w:val="20"/>
              </w:rPr>
              <w:t>ing</w:t>
            </w:r>
            <w:r w:rsidR="00F67DD3" w:rsidRPr="006F272C">
              <w:rPr>
                <w:sz w:val="20"/>
                <w:szCs w:val="20"/>
              </w:rPr>
              <w:t xml:space="preserve"> and finalis</w:t>
            </w:r>
            <w:r>
              <w:rPr>
                <w:sz w:val="20"/>
                <w:szCs w:val="20"/>
              </w:rPr>
              <w:t>ing</w:t>
            </w:r>
            <w:r w:rsidR="00F67DD3" w:rsidRPr="006F272C">
              <w:rPr>
                <w:sz w:val="20"/>
                <w:szCs w:val="20"/>
              </w:rPr>
              <w:t xml:space="preserve"> the MJCS Annual Report that collates a summary of whole </w:t>
            </w:r>
            <w:r>
              <w:rPr>
                <w:sz w:val="20"/>
                <w:szCs w:val="20"/>
              </w:rPr>
              <w:t xml:space="preserve">of </w:t>
            </w:r>
            <w:r w:rsidR="00F67DD3" w:rsidRPr="006F272C">
              <w:rPr>
                <w:sz w:val="20"/>
                <w:szCs w:val="20"/>
              </w:rPr>
              <w:t xml:space="preserve">sector reporting </w:t>
            </w:r>
            <w:r w:rsidR="00F67DD3">
              <w:rPr>
                <w:sz w:val="20"/>
                <w:szCs w:val="20"/>
              </w:rPr>
              <w:t>for</w:t>
            </w:r>
            <w:r w:rsidR="00F67DD3" w:rsidRPr="006F272C">
              <w:rPr>
                <w:sz w:val="20"/>
                <w:szCs w:val="20"/>
              </w:rPr>
              <w:t xml:space="preserve"> the PMO</w:t>
            </w:r>
            <w:r>
              <w:rPr>
                <w:sz w:val="20"/>
                <w:szCs w:val="20"/>
              </w:rPr>
              <w:t xml:space="preserve"> (available in early 2015)</w:t>
            </w:r>
            <w:r w:rsidR="00F67DD3" w:rsidRPr="006F272C">
              <w:rPr>
                <w:sz w:val="20"/>
                <w:szCs w:val="20"/>
              </w:rPr>
              <w:t>.</w:t>
            </w:r>
          </w:p>
          <w:p w:rsidR="00FE1E1A" w:rsidRDefault="00FE1E1A" w:rsidP="007D2BBC">
            <w:pPr>
              <w:pStyle w:val="ListParagraph"/>
              <w:numPr>
                <w:ilvl w:val="0"/>
                <w:numId w:val="8"/>
              </w:numPr>
              <w:spacing w:after="0"/>
              <w:rPr>
                <w:sz w:val="20"/>
                <w:szCs w:val="20"/>
              </w:rPr>
            </w:pPr>
            <w:r w:rsidRPr="006F272C">
              <w:rPr>
                <w:sz w:val="20"/>
                <w:szCs w:val="20"/>
              </w:rPr>
              <w:t xml:space="preserve">The </w:t>
            </w:r>
            <w:r w:rsidRPr="00305A10">
              <w:rPr>
                <w:b/>
                <w:sz w:val="20"/>
                <w:szCs w:val="20"/>
              </w:rPr>
              <w:t>heads of agencies have increasingly shown their support</w:t>
            </w:r>
            <w:r w:rsidRPr="006F272C">
              <w:rPr>
                <w:sz w:val="20"/>
                <w:szCs w:val="20"/>
              </w:rPr>
              <w:t xml:space="preserve"> for this work and </w:t>
            </w:r>
            <w:r w:rsidR="00811AB7">
              <w:rPr>
                <w:sz w:val="20"/>
                <w:szCs w:val="20"/>
              </w:rPr>
              <w:t xml:space="preserve">have identified </w:t>
            </w:r>
            <w:r w:rsidRPr="006F272C">
              <w:rPr>
                <w:sz w:val="20"/>
                <w:szCs w:val="20"/>
              </w:rPr>
              <w:t xml:space="preserve">that it provides them with valuable management information. </w:t>
            </w:r>
          </w:p>
          <w:p w:rsidR="00471DBF" w:rsidRPr="00A638F4" w:rsidRDefault="00D00358" w:rsidP="007D2BBC">
            <w:pPr>
              <w:pStyle w:val="ListParagraph"/>
              <w:numPr>
                <w:ilvl w:val="0"/>
                <w:numId w:val="8"/>
              </w:numPr>
              <w:spacing w:after="0"/>
              <w:rPr>
                <w:sz w:val="20"/>
                <w:szCs w:val="20"/>
              </w:rPr>
            </w:pPr>
            <w:r>
              <w:rPr>
                <w:sz w:val="20"/>
                <w:szCs w:val="20"/>
              </w:rPr>
              <w:t xml:space="preserve">SPD, Judiciary (SC &amp; MC) and SLO (Document tracking and litigation systems) now have </w:t>
            </w:r>
            <w:r w:rsidRPr="00305A10">
              <w:rPr>
                <w:b/>
                <w:sz w:val="20"/>
                <w:szCs w:val="20"/>
              </w:rPr>
              <w:t xml:space="preserve">systems that </w:t>
            </w:r>
            <w:r w:rsidRPr="005670D1">
              <w:rPr>
                <w:b/>
                <w:i/>
                <w:sz w:val="20"/>
                <w:szCs w:val="20"/>
              </w:rPr>
              <w:t>can</w:t>
            </w:r>
            <w:r w:rsidRPr="00305A10">
              <w:rPr>
                <w:b/>
                <w:sz w:val="20"/>
                <w:szCs w:val="20"/>
              </w:rPr>
              <w:t xml:space="preserve"> support M&amp;E</w:t>
            </w:r>
            <w:r>
              <w:rPr>
                <w:sz w:val="20"/>
                <w:szCs w:val="20"/>
              </w:rPr>
              <w:t>.</w:t>
            </w:r>
          </w:p>
        </w:tc>
      </w:tr>
      <w:tr w:rsidR="00AD0800" w:rsidRPr="006F272C">
        <w:tc>
          <w:tcPr>
            <w:tcW w:w="4621" w:type="dxa"/>
          </w:tcPr>
          <w:p w:rsidR="00AD0800" w:rsidRPr="006F272C" w:rsidRDefault="00AD0800" w:rsidP="00AD0800">
            <w:pPr>
              <w:spacing w:after="0" w:line="240" w:lineRule="auto"/>
              <w:rPr>
                <w:rFonts w:cstheme="minorHAnsi"/>
                <w:sz w:val="20"/>
                <w:szCs w:val="20"/>
              </w:rPr>
            </w:pPr>
            <w:r w:rsidRPr="006F272C">
              <w:rPr>
                <w:rFonts w:cstheme="minorHAnsi"/>
                <w:b/>
                <w:sz w:val="20"/>
                <w:szCs w:val="20"/>
              </w:rPr>
              <w:lastRenderedPageBreak/>
              <w:t xml:space="preserve">Intermediate Outcomes 1.3: </w:t>
            </w:r>
            <w:r w:rsidRPr="006F272C">
              <w:rPr>
                <w:rFonts w:cstheme="minorHAnsi"/>
                <w:sz w:val="20"/>
                <w:szCs w:val="20"/>
              </w:rPr>
              <w:t xml:space="preserve"> </w:t>
            </w:r>
          </w:p>
          <w:p w:rsidR="00AD0800" w:rsidRPr="006F272C" w:rsidRDefault="00AD0800" w:rsidP="00AD0800">
            <w:pPr>
              <w:spacing w:after="0" w:line="240" w:lineRule="auto"/>
              <w:rPr>
                <w:sz w:val="20"/>
                <w:szCs w:val="20"/>
              </w:rPr>
            </w:pPr>
            <w:r w:rsidRPr="006F272C">
              <w:rPr>
                <w:rFonts w:cstheme="minorHAnsi"/>
                <w:sz w:val="20"/>
                <w:szCs w:val="20"/>
              </w:rPr>
              <w:t xml:space="preserve">VPF, MJCS, the Judiciary, PSO, PPO, VLC, SLO, DCS, </w:t>
            </w:r>
            <w:r w:rsidR="00A11741">
              <w:rPr>
                <w:rFonts w:cstheme="minorHAnsi"/>
                <w:sz w:val="20"/>
                <w:szCs w:val="20"/>
              </w:rPr>
              <w:t xml:space="preserve">SPD and </w:t>
            </w:r>
            <w:r w:rsidRPr="006F272C">
              <w:rPr>
                <w:rFonts w:cstheme="minorHAnsi"/>
                <w:sz w:val="20"/>
                <w:szCs w:val="20"/>
              </w:rPr>
              <w:t>DWA communicate more effectively and consistently with the community and the rest of the government</w:t>
            </w:r>
          </w:p>
        </w:tc>
        <w:tc>
          <w:tcPr>
            <w:tcW w:w="9095" w:type="dxa"/>
          </w:tcPr>
          <w:p w:rsidR="008F6BDD" w:rsidRDefault="00F22123" w:rsidP="005670D1">
            <w:pPr>
              <w:pStyle w:val="ListParagraph"/>
              <w:numPr>
                <w:ilvl w:val="0"/>
                <w:numId w:val="11"/>
              </w:numPr>
              <w:spacing w:after="0"/>
              <w:rPr>
                <w:sz w:val="20"/>
                <w:szCs w:val="20"/>
              </w:rPr>
            </w:pPr>
            <w:r>
              <w:rPr>
                <w:sz w:val="20"/>
                <w:szCs w:val="20"/>
              </w:rPr>
              <w:t xml:space="preserve">Agencies are increasingly providing </w:t>
            </w:r>
            <w:r w:rsidRPr="00305A10">
              <w:rPr>
                <w:b/>
                <w:sz w:val="20"/>
                <w:szCs w:val="20"/>
              </w:rPr>
              <w:t>regular contributions to the monthly JCSS Newsletter</w:t>
            </w:r>
            <w:r w:rsidR="004C0979">
              <w:rPr>
                <w:sz w:val="20"/>
                <w:szCs w:val="20"/>
              </w:rPr>
              <w:t xml:space="preserve"> which is shared with government and the sector and is accessible on the MJCS website</w:t>
            </w:r>
            <w:r>
              <w:rPr>
                <w:sz w:val="20"/>
                <w:szCs w:val="20"/>
              </w:rPr>
              <w:t>.</w:t>
            </w:r>
            <w:r w:rsidR="00662348">
              <w:rPr>
                <w:sz w:val="20"/>
                <w:szCs w:val="20"/>
              </w:rPr>
              <w:t xml:space="preserve"> </w:t>
            </w:r>
          </w:p>
          <w:p w:rsidR="00F67DD3" w:rsidRPr="00F67DD3" w:rsidRDefault="00662348" w:rsidP="005670D1">
            <w:pPr>
              <w:pStyle w:val="ListParagraph"/>
              <w:numPr>
                <w:ilvl w:val="0"/>
                <w:numId w:val="11"/>
              </w:numPr>
              <w:spacing w:after="0"/>
              <w:rPr>
                <w:sz w:val="20"/>
                <w:szCs w:val="20"/>
              </w:rPr>
            </w:pPr>
            <w:r>
              <w:rPr>
                <w:sz w:val="20"/>
                <w:szCs w:val="20"/>
              </w:rPr>
              <w:t>SRBJ supports the harmonisation of effort in thematic areas relating to child protection and violence against women</w:t>
            </w:r>
            <w:r w:rsidR="005670D1">
              <w:rPr>
                <w:sz w:val="20"/>
                <w:szCs w:val="20"/>
              </w:rPr>
              <w:t>,</w:t>
            </w:r>
            <w:r>
              <w:rPr>
                <w:sz w:val="20"/>
                <w:szCs w:val="20"/>
              </w:rPr>
              <w:t xml:space="preserve"> in particular</w:t>
            </w:r>
            <w:r w:rsidR="005670D1">
              <w:rPr>
                <w:sz w:val="20"/>
                <w:szCs w:val="20"/>
              </w:rPr>
              <w:t>,</w:t>
            </w:r>
            <w:r>
              <w:rPr>
                <w:sz w:val="20"/>
                <w:szCs w:val="20"/>
              </w:rPr>
              <w:t xml:space="preserve"> and provides information wherever possible to stakeholders operating in these fields. Advisors within agencies support strengthened communications with other agencies </w:t>
            </w:r>
            <w:r w:rsidR="005670D1">
              <w:rPr>
                <w:sz w:val="20"/>
                <w:szCs w:val="20"/>
              </w:rPr>
              <w:t>to strengthen</w:t>
            </w:r>
            <w:r>
              <w:rPr>
                <w:sz w:val="20"/>
                <w:szCs w:val="20"/>
              </w:rPr>
              <w:t xml:space="preserve"> effective operation of the justice system; for example between the courts and the SPD and PSO; between SPD and VPF; between PSO and PPO. The case management working group when it does meet provides a valuable forum for the exchange of information and for communication. </w:t>
            </w:r>
            <w:r w:rsidR="00DF03AF" w:rsidRPr="000E5465">
              <w:rPr>
                <w:sz w:val="20"/>
                <w:szCs w:val="20"/>
              </w:rPr>
              <w:t>This working group did not meet during the reporting period</w:t>
            </w:r>
            <w:r w:rsidR="00DF03AF">
              <w:rPr>
                <w:sz w:val="20"/>
                <w:szCs w:val="20"/>
              </w:rPr>
              <w:t>.</w:t>
            </w:r>
          </w:p>
        </w:tc>
      </w:tr>
      <w:tr w:rsidR="00AD0800" w:rsidRPr="006F272C">
        <w:tc>
          <w:tcPr>
            <w:tcW w:w="4621" w:type="dxa"/>
          </w:tcPr>
          <w:p w:rsidR="00AD0800" w:rsidRPr="006F272C" w:rsidRDefault="00AD0800" w:rsidP="00AD0800">
            <w:pPr>
              <w:spacing w:after="0" w:line="240" w:lineRule="auto"/>
              <w:rPr>
                <w:rFonts w:cstheme="minorHAnsi"/>
                <w:b/>
                <w:sz w:val="20"/>
                <w:szCs w:val="20"/>
              </w:rPr>
            </w:pPr>
            <w:r w:rsidRPr="006F272C">
              <w:rPr>
                <w:rFonts w:cstheme="minorHAnsi"/>
                <w:b/>
                <w:sz w:val="20"/>
                <w:szCs w:val="20"/>
              </w:rPr>
              <w:t xml:space="preserve">Intermediate Outcomes 1.4: </w:t>
            </w:r>
          </w:p>
          <w:p w:rsidR="00AD0800" w:rsidRPr="006F272C" w:rsidRDefault="00AD0800" w:rsidP="00AD0800">
            <w:pPr>
              <w:spacing w:after="0" w:line="240" w:lineRule="auto"/>
              <w:rPr>
                <w:sz w:val="20"/>
                <w:szCs w:val="20"/>
              </w:rPr>
            </w:pPr>
            <w:r w:rsidRPr="006F272C">
              <w:rPr>
                <w:rFonts w:cstheme="minorHAnsi"/>
                <w:sz w:val="20"/>
                <w:szCs w:val="20"/>
              </w:rPr>
              <w:t xml:space="preserve">VPF, the Judiciary, PSO, PPO, </w:t>
            </w:r>
            <w:r w:rsidR="00A11741">
              <w:rPr>
                <w:rFonts w:cstheme="minorHAnsi"/>
                <w:sz w:val="20"/>
                <w:szCs w:val="20"/>
              </w:rPr>
              <w:t xml:space="preserve">SPD </w:t>
            </w:r>
            <w:r w:rsidRPr="006F272C">
              <w:rPr>
                <w:rFonts w:cstheme="minorHAnsi"/>
                <w:sz w:val="20"/>
                <w:szCs w:val="20"/>
              </w:rPr>
              <w:t>and SLO make coordinated reductions in delays within the formal justice system.</w:t>
            </w:r>
          </w:p>
        </w:tc>
        <w:tc>
          <w:tcPr>
            <w:tcW w:w="9095" w:type="dxa"/>
          </w:tcPr>
          <w:p w:rsidR="00AD0800" w:rsidRPr="006F272C" w:rsidRDefault="006F272C" w:rsidP="007D2BBC">
            <w:pPr>
              <w:pStyle w:val="ListParagraph"/>
              <w:numPr>
                <w:ilvl w:val="0"/>
                <w:numId w:val="10"/>
              </w:numPr>
              <w:spacing w:after="0"/>
              <w:rPr>
                <w:sz w:val="20"/>
                <w:szCs w:val="20"/>
              </w:rPr>
            </w:pPr>
            <w:r w:rsidRPr="006F272C">
              <w:rPr>
                <w:sz w:val="20"/>
                <w:szCs w:val="20"/>
              </w:rPr>
              <w:t xml:space="preserve">There have been </w:t>
            </w:r>
            <w:r w:rsidRPr="00305A10">
              <w:rPr>
                <w:b/>
                <w:sz w:val="20"/>
                <w:szCs w:val="20"/>
              </w:rPr>
              <w:t>improvements in data quality</w:t>
            </w:r>
            <w:r w:rsidRPr="006F272C">
              <w:rPr>
                <w:sz w:val="20"/>
                <w:szCs w:val="20"/>
              </w:rPr>
              <w:t xml:space="preserve"> in the Judiciary (SC and MC), SPD, SLO, </w:t>
            </w:r>
            <w:r w:rsidR="00811AB7">
              <w:rPr>
                <w:sz w:val="20"/>
                <w:szCs w:val="20"/>
              </w:rPr>
              <w:t xml:space="preserve">and </w:t>
            </w:r>
            <w:r w:rsidRPr="006F272C">
              <w:rPr>
                <w:sz w:val="20"/>
                <w:szCs w:val="20"/>
              </w:rPr>
              <w:t>VPF</w:t>
            </w:r>
            <w:r w:rsidR="00F67DD3">
              <w:rPr>
                <w:sz w:val="20"/>
                <w:szCs w:val="20"/>
              </w:rPr>
              <w:t xml:space="preserve">. Reliable data is </w:t>
            </w:r>
            <w:r w:rsidR="00811AB7">
              <w:rPr>
                <w:sz w:val="20"/>
                <w:szCs w:val="20"/>
              </w:rPr>
              <w:t xml:space="preserve">a </w:t>
            </w:r>
            <w:r w:rsidRPr="006F272C">
              <w:rPr>
                <w:sz w:val="20"/>
                <w:szCs w:val="20"/>
              </w:rPr>
              <w:t>precursor to</w:t>
            </w:r>
            <w:r w:rsidR="00F67DD3">
              <w:rPr>
                <w:sz w:val="20"/>
                <w:szCs w:val="20"/>
              </w:rPr>
              <w:t xml:space="preserve"> being able to target interventions to reduce</w:t>
            </w:r>
            <w:r w:rsidRPr="006F272C">
              <w:rPr>
                <w:sz w:val="20"/>
                <w:szCs w:val="20"/>
              </w:rPr>
              <w:t xml:space="preserve"> delay</w:t>
            </w:r>
            <w:r w:rsidR="004C0979">
              <w:rPr>
                <w:sz w:val="20"/>
                <w:szCs w:val="20"/>
              </w:rPr>
              <w:t>.</w:t>
            </w:r>
            <w:r w:rsidRPr="006F272C">
              <w:rPr>
                <w:sz w:val="20"/>
                <w:szCs w:val="20"/>
              </w:rPr>
              <w:t xml:space="preserve"> </w:t>
            </w:r>
            <w:r w:rsidR="00D00358">
              <w:rPr>
                <w:sz w:val="20"/>
                <w:szCs w:val="20"/>
              </w:rPr>
              <w:t xml:space="preserve">PPO and VPF continue to have great difficulty in understanding where cases are up to and length of time for cases to progress through the system with extent of backlog </w:t>
            </w:r>
            <w:r w:rsidR="004C0979" w:rsidRPr="006F272C">
              <w:rPr>
                <w:sz w:val="20"/>
                <w:szCs w:val="20"/>
              </w:rPr>
              <w:t xml:space="preserve">(see </w:t>
            </w:r>
            <w:r w:rsidR="004C0979" w:rsidRPr="003B66C0">
              <w:rPr>
                <w:sz w:val="20"/>
                <w:szCs w:val="20"/>
              </w:rPr>
              <w:t xml:space="preserve">Data Quality Assessment in Annex </w:t>
            </w:r>
            <w:r w:rsidR="003B66C0">
              <w:rPr>
                <w:sz w:val="20"/>
                <w:szCs w:val="20"/>
              </w:rPr>
              <w:t>1</w:t>
            </w:r>
            <w:r w:rsidR="004C0979" w:rsidRPr="003B66C0">
              <w:rPr>
                <w:sz w:val="20"/>
                <w:szCs w:val="20"/>
              </w:rPr>
              <w:t>).</w:t>
            </w:r>
          </w:p>
          <w:p w:rsidR="006F272C" w:rsidRDefault="006F272C" w:rsidP="007D2BBC">
            <w:pPr>
              <w:pStyle w:val="ListParagraph"/>
              <w:numPr>
                <w:ilvl w:val="0"/>
                <w:numId w:val="10"/>
              </w:numPr>
              <w:spacing w:after="0"/>
              <w:rPr>
                <w:sz w:val="20"/>
                <w:szCs w:val="20"/>
              </w:rPr>
            </w:pPr>
            <w:r w:rsidRPr="006F272C">
              <w:rPr>
                <w:sz w:val="20"/>
                <w:szCs w:val="20"/>
              </w:rPr>
              <w:t xml:space="preserve">There </w:t>
            </w:r>
            <w:r w:rsidR="00662348">
              <w:rPr>
                <w:sz w:val="20"/>
                <w:szCs w:val="20"/>
              </w:rPr>
              <w:t>are promising signs of a move towards the</w:t>
            </w:r>
            <w:r w:rsidRPr="006F272C">
              <w:rPr>
                <w:sz w:val="20"/>
                <w:szCs w:val="20"/>
              </w:rPr>
              <w:t xml:space="preserve"> </w:t>
            </w:r>
            <w:r w:rsidR="00662348">
              <w:rPr>
                <w:b/>
                <w:sz w:val="20"/>
                <w:szCs w:val="20"/>
              </w:rPr>
              <w:t>reduction</w:t>
            </w:r>
            <w:r w:rsidRPr="001A58D1">
              <w:rPr>
                <w:b/>
                <w:sz w:val="20"/>
                <w:szCs w:val="20"/>
              </w:rPr>
              <w:t xml:space="preserve"> in </w:t>
            </w:r>
            <w:r w:rsidR="00662348">
              <w:rPr>
                <w:b/>
                <w:sz w:val="20"/>
                <w:szCs w:val="20"/>
              </w:rPr>
              <w:t>the</w:t>
            </w:r>
            <w:r w:rsidRPr="001A58D1">
              <w:rPr>
                <w:b/>
                <w:sz w:val="20"/>
                <w:szCs w:val="20"/>
              </w:rPr>
              <w:t xml:space="preserve"> </w:t>
            </w:r>
            <w:r w:rsidR="004C0979" w:rsidRPr="001A58D1">
              <w:rPr>
                <w:b/>
                <w:sz w:val="20"/>
                <w:szCs w:val="20"/>
              </w:rPr>
              <w:t>length of time taken to draft charges</w:t>
            </w:r>
            <w:r w:rsidR="00662348">
              <w:rPr>
                <w:b/>
                <w:sz w:val="20"/>
                <w:szCs w:val="20"/>
              </w:rPr>
              <w:t xml:space="preserve"> at SPD </w:t>
            </w:r>
            <w:r w:rsidR="00662348">
              <w:rPr>
                <w:sz w:val="20"/>
                <w:szCs w:val="20"/>
              </w:rPr>
              <w:t>if the current trends can be maintained</w:t>
            </w:r>
            <w:r w:rsidR="004C0979">
              <w:rPr>
                <w:sz w:val="20"/>
                <w:szCs w:val="20"/>
              </w:rPr>
              <w:t xml:space="preserve"> (See intermediate outcome 2.6 below).</w:t>
            </w:r>
          </w:p>
          <w:p w:rsidR="006F272C" w:rsidRDefault="006F272C" w:rsidP="007D2BBC">
            <w:pPr>
              <w:pStyle w:val="ListParagraph"/>
              <w:numPr>
                <w:ilvl w:val="0"/>
                <w:numId w:val="10"/>
              </w:numPr>
              <w:spacing w:after="0"/>
              <w:rPr>
                <w:sz w:val="20"/>
                <w:szCs w:val="20"/>
              </w:rPr>
            </w:pPr>
            <w:r>
              <w:rPr>
                <w:sz w:val="20"/>
                <w:szCs w:val="20"/>
              </w:rPr>
              <w:t xml:space="preserve">Introduction at </w:t>
            </w:r>
            <w:r w:rsidRPr="001A58D1">
              <w:rPr>
                <w:b/>
                <w:sz w:val="20"/>
                <w:szCs w:val="20"/>
              </w:rPr>
              <w:t>SPD of a Case Tracking System</w:t>
            </w:r>
            <w:r>
              <w:rPr>
                <w:sz w:val="20"/>
                <w:szCs w:val="20"/>
              </w:rPr>
              <w:t xml:space="preserve"> built by OGCIO which went live during January 2015 and now contains all the case records previously held in excel spreadsheets</w:t>
            </w:r>
            <w:r w:rsidR="004C0979">
              <w:rPr>
                <w:sz w:val="20"/>
                <w:szCs w:val="20"/>
              </w:rPr>
              <w:t xml:space="preserve"> –will provide a management tool for the further targeted reductions in delay</w:t>
            </w:r>
            <w:r>
              <w:rPr>
                <w:sz w:val="20"/>
                <w:szCs w:val="20"/>
              </w:rPr>
              <w:t>.</w:t>
            </w:r>
          </w:p>
          <w:p w:rsidR="006F272C" w:rsidRDefault="004C0979" w:rsidP="007D2BBC">
            <w:pPr>
              <w:pStyle w:val="ListParagraph"/>
              <w:numPr>
                <w:ilvl w:val="0"/>
                <w:numId w:val="10"/>
              </w:numPr>
              <w:spacing w:after="0"/>
              <w:rPr>
                <w:sz w:val="20"/>
                <w:szCs w:val="20"/>
              </w:rPr>
            </w:pPr>
            <w:r>
              <w:rPr>
                <w:sz w:val="20"/>
                <w:szCs w:val="20"/>
              </w:rPr>
              <w:t xml:space="preserve">Between July and December there </w:t>
            </w:r>
            <w:r w:rsidR="00811AB7">
              <w:rPr>
                <w:sz w:val="20"/>
                <w:szCs w:val="20"/>
              </w:rPr>
              <w:t>was</w:t>
            </w:r>
            <w:r>
              <w:rPr>
                <w:sz w:val="20"/>
                <w:szCs w:val="20"/>
              </w:rPr>
              <w:t xml:space="preserve"> an</w:t>
            </w:r>
            <w:r w:rsidR="006F272C">
              <w:rPr>
                <w:sz w:val="20"/>
                <w:szCs w:val="20"/>
              </w:rPr>
              <w:t xml:space="preserve"> </w:t>
            </w:r>
            <w:r w:rsidR="006F272C" w:rsidRPr="001A58D1">
              <w:rPr>
                <w:b/>
                <w:sz w:val="20"/>
                <w:szCs w:val="20"/>
              </w:rPr>
              <w:t xml:space="preserve">evaluation, </w:t>
            </w:r>
            <w:r w:rsidRPr="001A58D1">
              <w:rPr>
                <w:b/>
                <w:sz w:val="20"/>
                <w:szCs w:val="20"/>
              </w:rPr>
              <w:t>selection and finalisation of c</w:t>
            </w:r>
            <w:r w:rsidR="006F272C" w:rsidRPr="001A58D1">
              <w:rPr>
                <w:b/>
                <w:sz w:val="20"/>
                <w:szCs w:val="20"/>
              </w:rPr>
              <w:t>ontract</w:t>
            </w:r>
            <w:r w:rsidR="006F272C">
              <w:rPr>
                <w:sz w:val="20"/>
                <w:szCs w:val="20"/>
              </w:rPr>
              <w:t xml:space="preserve"> with a service provider for the development of a </w:t>
            </w:r>
            <w:r w:rsidR="005F2266">
              <w:rPr>
                <w:b/>
                <w:sz w:val="20"/>
                <w:szCs w:val="20"/>
              </w:rPr>
              <w:t>Court</w:t>
            </w:r>
            <w:r w:rsidR="008F6BDD">
              <w:rPr>
                <w:b/>
                <w:sz w:val="20"/>
                <w:szCs w:val="20"/>
              </w:rPr>
              <w:t>s Case</w:t>
            </w:r>
            <w:r w:rsidR="005F2266" w:rsidRPr="001A58D1">
              <w:rPr>
                <w:b/>
                <w:sz w:val="20"/>
                <w:szCs w:val="20"/>
              </w:rPr>
              <w:t xml:space="preserve"> </w:t>
            </w:r>
            <w:r w:rsidR="006F272C" w:rsidRPr="001A58D1">
              <w:rPr>
                <w:b/>
                <w:sz w:val="20"/>
                <w:szCs w:val="20"/>
              </w:rPr>
              <w:t>Management System</w:t>
            </w:r>
            <w:r w:rsidR="006F272C">
              <w:rPr>
                <w:sz w:val="20"/>
                <w:szCs w:val="20"/>
              </w:rPr>
              <w:t xml:space="preserve"> which will provide a system capable of good analysis of locations and causes of delay. </w:t>
            </w:r>
            <w:r w:rsidR="005F2266">
              <w:rPr>
                <w:sz w:val="20"/>
                <w:szCs w:val="20"/>
              </w:rPr>
              <w:t xml:space="preserve">Implementation </w:t>
            </w:r>
            <w:r w:rsidR="006F272C">
              <w:rPr>
                <w:sz w:val="20"/>
                <w:szCs w:val="20"/>
              </w:rPr>
              <w:t xml:space="preserve">of the system is due to commence </w:t>
            </w:r>
            <w:r w:rsidR="008F6BDD">
              <w:rPr>
                <w:sz w:val="20"/>
                <w:szCs w:val="20"/>
              </w:rPr>
              <w:t>23</w:t>
            </w:r>
            <w:r w:rsidR="006F272C">
              <w:rPr>
                <w:sz w:val="20"/>
                <w:szCs w:val="20"/>
              </w:rPr>
              <w:t xml:space="preserve"> February 2015. </w:t>
            </w:r>
          </w:p>
          <w:p w:rsidR="006F272C" w:rsidRDefault="006F272C" w:rsidP="007D2BBC">
            <w:pPr>
              <w:pStyle w:val="ListParagraph"/>
              <w:numPr>
                <w:ilvl w:val="0"/>
                <w:numId w:val="10"/>
              </w:numPr>
              <w:spacing w:after="0"/>
              <w:rPr>
                <w:sz w:val="20"/>
                <w:szCs w:val="20"/>
              </w:rPr>
            </w:pPr>
            <w:r>
              <w:rPr>
                <w:sz w:val="20"/>
                <w:szCs w:val="20"/>
              </w:rPr>
              <w:t xml:space="preserve">CDMA has also provided an </w:t>
            </w:r>
            <w:r w:rsidRPr="00796729">
              <w:rPr>
                <w:b/>
                <w:sz w:val="20"/>
                <w:szCs w:val="20"/>
              </w:rPr>
              <w:t>end of year summary of the SC and MC performance for 2014</w:t>
            </w:r>
            <w:r>
              <w:rPr>
                <w:sz w:val="20"/>
                <w:szCs w:val="20"/>
              </w:rPr>
              <w:t xml:space="preserve"> which identifies areas of possible management focus for the courts in increasing their efficiency.</w:t>
            </w:r>
          </w:p>
          <w:p w:rsidR="002A7FF4" w:rsidRDefault="002A7FF4" w:rsidP="007D2BBC">
            <w:pPr>
              <w:pStyle w:val="ListParagraph"/>
              <w:numPr>
                <w:ilvl w:val="0"/>
                <w:numId w:val="10"/>
              </w:numPr>
              <w:spacing w:after="0"/>
              <w:rPr>
                <w:sz w:val="20"/>
                <w:szCs w:val="20"/>
              </w:rPr>
            </w:pPr>
            <w:r>
              <w:rPr>
                <w:sz w:val="20"/>
                <w:szCs w:val="20"/>
              </w:rPr>
              <w:lastRenderedPageBreak/>
              <w:t xml:space="preserve">CDMA &amp; VAPP Adviser have supported the development of the </w:t>
            </w:r>
            <w:r w:rsidRPr="001A58D1">
              <w:rPr>
                <w:b/>
                <w:sz w:val="20"/>
                <w:szCs w:val="20"/>
              </w:rPr>
              <w:t>requirements</w:t>
            </w:r>
            <w:r>
              <w:rPr>
                <w:sz w:val="20"/>
                <w:szCs w:val="20"/>
              </w:rPr>
              <w:t xml:space="preserve"> for a future </w:t>
            </w:r>
            <w:r w:rsidRPr="001A58D1">
              <w:rPr>
                <w:b/>
                <w:sz w:val="20"/>
                <w:szCs w:val="20"/>
              </w:rPr>
              <w:t xml:space="preserve">VPF Information Management System </w:t>
            </w:r>
            <w:r>
              <w:rPr>
                <w:sz w:val="20"/>
                <w:szCs w:val="20"/>
              </w:rPr>
              <w:t>which can be t</w:t>
            </w:r>
            <w:r w:rsidR="004C0979">
              <w:rPr>
                <w:sz w:val="20"/>
                <w:szCs w:val="20"/>
              </w:rPr>
              <w:t>endered in the same way as the C</w:t>
            </w:r>
            <w:r>
              <w:rPr>
                <w:sz w:val="20"/>
                <w:szCs w:val="20"/>
              </w:rPr>
              <w:t>ourts Case Management System</w:t>
            </w:r>
            <w:r w:rsidR="004C0979">
              <w:rPr>
                <w:sz w:val="20"/>
                <w:szCs w:val="20"/>
              </w:rPr>
              <w:t xml:space="preserve"> next reporting period</w:t>
            </w:r>
            <w:r>
              <w:rPr>
                <w:sz w:val="20"/>
                <w:szCs w:val="20"/>
              </w:rPr>
              <w:t>.</w:t>
            </w:r>
          </w:p>
          <w:p w:rsidR="002A7FF4" w:rsidRDefault="002A7FF4" w:rsidP="007D2BBC">
            <w:pPr>
              <w:pStyle w:val="ListParagraph"/>
              <w:numPr>
                <w:ilvl w:val="0"/>
                <w:numId w:val="10"/>
              </w:numPr>
              <w:spacing w:after="0"/>
              <w:rPr>
                <w:sz w:val="20"/>
                <w:szCs w:val="20"/>
              </w:rPr>
            </w:pPr>
            <w:r w:rsidRPr="001A58D1">
              <w:rPr>
                <w:b/>
                <w:sz w:val="20"/>
                <w:szCs w:val="20"/>
              </w:rPr>
              <w:t>SLO have issued a tender for a Case Management System</w:t>
            </w:r>
            <w:r>
              <w:rPr>
                <w:sz w:val="20"/>
                <w:szCs w:val="20"/>
              </w:rPr>
              <w:t xml:space="preserve"> for their litigation team who report directly to the Solicitor General – </w:t>
            </w:r>
            <w:r w:rsidR="00811AB7">
              <w:rPr>
                <w:sz w:val="20"/>
                <w:szCs w:val="20"/>
              </w:rPr>
              <w:t>e</w:t>
            </w:r>
            <w:r>
              <w:rPr>
                <w:sz w:val="20"/>
                <w:szCs w:val="20"/>
              </w:rPr>
              <w:t>valuation of the system is due in February 2015.</w:t>
            </w:r>
          </w:p>
          <w:p w:rsidR="00761E05" w:rsidRDefault="00761E05" w:rsidP="007D2BBC">
            <w:pPr>
              <w:pStyle w:val="ListParagraph"/>
              <w:numPr>
                <w:ilvl w:val="0"/>
                <w:numId w:val="10"/>
              </w:numPr>
              <w:spacing w:after="0"/>
              <w:rPr>
                <w:sz w:val="20"/>
                <w:szCs w:val="20"/>
              </w:rPr>
            </w:pPr>
            <w:r>
              <w:rPr>
                <w:sz w:val="20"/>
                <w:szCs w:val="20"/>
              </w:rPr>
              <w:t>Introduction of the Rapid Charge System for VPF (See intermediate outcome 2.3 below for more detail)</w:t>
            </w:r>
          </w:p>
          <w:p w:rsidR="00DF4666" w:rsidRPr="006F272C" w:rsidRDefault="00DF4666" w:rsidP="007D2BBC">
            <w:pPr>
              <w:pStyle w:val="ListParagraph"/>
              <w:numPr>
                <w:ilvl w:val="0"/>
                <w:numId w:val="10"/>
              </w:numPr>
              <w:spacing w:after="0"/>
              <w:rPr>
                <w:sz w:val="20"/>
                <w:szCs w:val="20"/>
              </w:rPr>
            </w:pPr>
            <w:r>
              <w:rPr>
                <w:sz w:val="20"/>
                <w:szCs w:val="20"/>
              </w:rPr>
              <w:t xml:space="preserve">Assistance to the </w:t>
            </w:r>
            <w:r w:rsidRPr="00DF4666">
              <w:rPr>
                <w:b/>
                <w:sz w:val="20"/>
                <w:szCs w:val="20"/>
              </w:rPr>
              <w:t>Supreme Court in the targeted reduction of its long term reserved judgments</w:t>
            </w:r>
            <w:r>
              <w:rPr>
                <w:sz w:val="20"/>
                <w:szCs w:val="20"/>
              </w:rPr>
              <w:t xml:space="preserve"> provided in November resulting in </w:t>
            </w:r>
            <w:r w:rsidR="00796729">
              <w:rPr>
                <w:sz w:val="20"/>
                <w:szCs w:val="20"/>
              </w:rPr>
              <w:t xml:space="preserve">the completion of approximately 13 </w:t>
            </w:r>
            <w:r>
              <w:rPr>
                <w:sz w:val="20"/>
                <w:szCs w:val="20"/>
              </w:rPr>
              <w:t>judgments.</w:t>
            </w:r>
          </w:p>
        </w:tc>
      </w:tr>
      <w:tr w:rsidR="006F272C" w:rsidRPr="006F272C">
        <w:tc>
          <w:tcPr>
            <w:tcW w:w="4621" w:type="dxa"/>
          </w:tcPr>
          <w:p w:rsidR="00AD0800" w:rsidRPr="006F272C" w:rsidRDefault="00AD0800" w:rsidP="00AD0800">
            <w:pPr>
              <w:spacing w:after="0" w:line="240" w:lineRule="auto"/>
              <w:rPr>
                <w:rFonts w:cstheme="minorHAnsi"/>
                <w:b/>
                <w:sz w:val="20"/>
                <w:szCs w:val="20"/>
              </w:rPr>
            </w:pPr>
            <w:r w:rsidRPr="006F272C">
              <w:rPr>
                <w:rFonts w:cstheme="minorHAnsi"/>
                <w:b/>
                <w:sz w:val="20"/>
                <w:szCs w:val="20"/>
              </w:rPr>
              <w:lastRenderedPageBreak/>
              <w:t xml:space="preserve">Intermediate Outcomes 1.5: </w:t>
            </w:r>
          </w:p>
          <w:p w:rsidR="00AD0800" w:rsidRPr="006F272C" w:rsidRDefault="00AD0800" w:rsidP="00AD0800">
            <w:pPr>
              <w:spacing w:after="0" w:line="240" w:lineRule="auto"/>
              <w:rPr>
                <w:sz w:val="20"/>
                <w:szCs w:val="20"/>
              </w:rPr>
            </w:pPr>
            <w:r w:rsidRPr="006F272C">
              <w:rPr>
                <w:rFonts w:cstheme="minorHAnsi"/>
                <w:sz w:val="20"/>
                <w:szCs w:val="20"/>
              </w:rPr>
              <w:t>VPF and MJCS are better able to manage their finances</w:t>
            </w:r>
          </w:p>
        </w:tc>
        <w:tc>
          <w:tcPr>
            <w:tcW w:w="9095" w:type="dxa"/>
          </w:tcPr>
          <w:p w:rsidR="00FE0C31" w:rsidRPr="00A638F4" w:rsidRDefault="00FE0C31" w:rsidP="007D2BBC">
            <w:pPr>
              <w:pStyle w:val="ListParagraph"/>
              <w:numPr>
                <w:ilvl w:val="0"/>
                <w:numId w:val="9"/>
              </w:numPr>
              <w:spacing w:after="0"/>
              <w:rPr>
                <w:sz w:val="20"/>
                <w:szCs w:val="20"/>
              </w:rPr>
            </w:pPr>
            <w:r w:rsidRPr="00A638F4">
              <w:rPr>
                <w:sz w:val="20"/>
                <w:szCs w:val="20"/>
              </w:rPr>
              <w:t xml:space="preserve">Participation of finance officers across the sector in an </w:t>
            </w:r>
            <w:r w:rsidRPr="008F6BDD">
              <w:rPr>
                <w:b/>
                <w:sz w:val="20"/>
                <w:szCs w:val="20"/>
              </w:rPr>
              <w:t>MFEM delivered finance training</w:t>
            </w:r>
            <w:r w:rsidRPr="00A638F4">
              <w:rPr>
                <w:sz w:val="20"/>
                <w:szCs w:val="20"/>
              </w:rPr>
              <w:t xml:space="preserve"> </w:t>
            </w:r>
            <w:r w:rsidR="004C0979" w:rsidRPr="00A638F4">
              <w:rPr>
                <w:sz w:val="20"/>
                <w:szCs w:val="20"/>
              </w:rPr>
              <w:t xml:space="preserve">which </w:t>
            </w:r>
            <w:r w:rsidR="00370AB5">
              <w:rPr>
                <w:sz w:val="20"/>
                <w:szCs w:val="20"/>
              </w:rPr>
              <w:t>was intended to bring the awareness and knowledge of officers about the requirements of the public financial system up to date. This first step</w:t>
            </w:r>
            <w:r w:rsidR="004C0979" w:rsidRPr="00A638F4">
              <w:rPr>
                <w:sz w:val="20"/>
                <w:szCs w:val="20"/>
              </w:rPr>
              <w:t xml:space="preserve"> will be followed by </w:t>
            </w:r>
            <w:r w:rsidR="00370AB5">
              <w:rPr>
                <w:sz w:val="20"/>
                <w:szCs w:val="20"/>
              </w:rPr>
              <w:t xml:space="preserve">further IT development, and </w:t>
            </w:r>
            <w:r w:rsidR="004C0979" w:rsidRPr="00A638F4">
              <w:rPr>
                <w:sz w:val="20"/>
                <w:szCs w:val="20"/>
              </w:rPr>
              <w:t>the establishment of a mentoring arrangement with MFEM in the next reporting period to support application of the training.</w:t>
            </w:r>
          </w:p>
          <w:p w:rsidR="00AD0800" w:rsidRPr="006F272C" w:rsidRDefault="006119FC" w:rsidP="007D2BBC">
            <w:pPr>
              <w:pStyle w:val="ListParagraph"/>
              <w:numPr>
                <w:ilvl w:val="0"/>
                <w:numId w:val="9"/>
              </w:numPr>
              <w:spacing w:after="0"/>
              <w:rPr>
                <w:sz w:val="20"/>
                <w:szCs w:val="20"/>
              </w:rPr>
            </w:pPr>
            <w:r w:rsidRPr="00A638F4">
              <w:rPr>
                <w:sz w:val="20"/>
                <w:szCs w:val="20"/>
              </w:rPr>
              <w:t xml:space="preserve">Inherent capacity of the MJCS to manage finances has increased through the recruitment of a new </w:t>
            </w:r>
            <w:r w:rsidRPr="006F272C">
              <w:rPr>
                <w:sz w:val="20"/>
                <w:szCs w:val="20"/>
              </w:rPr>
              <w:t>financial officer but this is without any specific targeted support from SRBJ.</w:t>
            </w:r>
          </w:p>
        </w:tc>
      </w:tr>
      <w:tr w:rsidR="006F272C" w:rsidRPr="006F272C">
        <w:tc>
          <w:tcPr>
            <w:tcW w:w="13716" w:type="dxa"/>
            <w:gridSpan w:val="2"/>
            <w:shd w:val="clear" w:color="auto" w:fill="D6E3BC" w:themeFill="accent3" w:themeFillTint="66"/>
          </w:tcPr>
          <w:p w:rsidR="00AD0800" w:rsidRPr="006F272C" w:rsidRDefault="00AD0800" w:rsidP="00AD0800">
            <w:pPr>
              <w:spacing w:after="0"/>
              <w:rPr>
                <w:rFonts w:cstheme="minorHAnsi"/>
                <w:b/>
                <w:sz w:val="20"/>
                <w:szCs w:val="20"/>
              </w:rPr>
            </w:pPr>
            <w:r w:rsidRPr="006F272C">
              <w:rPr>
                <w:b/>
                <w:sz w:val="20"/>
                <w:szCs w:val="20"/>
              </w:rPr>
              <w:t>Component 2</w:t>
            </w:r>
            <w:r w:rsidRPr="006F272C">
              <w:rPr>
                <w:sz w:val="20"/>
                <w:szCs w:val="20"/>
              </w:rPr>
              <w:t xml:space="preserve">: </w:t>
            </w:r>
            <w:r w:rsidRPr="006F272C">
              <w:rPr>
                <w:rFonts w:cstheme="minorHAnsi"/>
                <w:b/>
                <w:sz w:val="20"/>
                <w:szCs w:val="20"/>
              </w:rPr>
              <w:t>End-of-Program Outcome:</w:t>
            </w:r>
          </w:p>
          <w:p w:rsidR="00AD0800" w:rsidRPr="006F272C" w:rsidRDefault="00AD0800" w:rsidP="00AD0800">
            <w:pPr>
              <w:spacing w:after="0"/>
              <w:rPr>
                <w:sz w:val="20"/>
                <w:szCs w:val="20"/>
              </w:rPr>
            </w:pPr>
            <w:r w:rsidRPr="006F272C">
              <w:rPr>
                <w:sz w:val="20"/>
                <w:szCs w:val="20"/>
              </w:rPr>
              <w:t>The VPF and justice and community services agencies demonstrate improved service delivery to women, children and youth.</w:t>
            </w:r>
          </w:p>
        </w:tc>
      </w:tr>
      <w:tr w:rsidR="006F272C" w:rsidRPr="006F272C">
        <w:tc>
          <w:tcPr>
            <w:tcW w:w="4621" w:type="dxa"/>
          </w:tcPr>
          <w:p w:rsidR="00AD0800" w:rsidRPr="006F272C" w:rsidRDefault="00AD0800" w:rsidP="00AD0800">
            <w:pPr>
              <w:spacing w:after="0" w:line="240" w:lineRule="auto"/>
              <w:rPr>
                <w:rFonts w:cstheme="minorHAnsi"/>
                <w:b/>
                <w:sz w:val="20"/>
                <w:szCs w:val="20"/>
              </w:rPr>
            </w:pPr>
            <w:r w:rsidRPr="006F272C">
              <w:rPr>
                <w:rFonts w:cstheme="minorHAnsi"/>
                <w:b/>
                <w:sz w:val="20"/>
                <w:szCs w:val="20"/>
              </w:rPr>
              <w:t>Intermediate Outcome 2.1:</w:t>
            </w:r>
          </w:p>
          <w:p w:rsidR="00AD0800" w:rsidRPr="006F272C" w:rsidRDefault="00AD0800" w:rsidP="00AD0800">
            <w:pPr>
              <w:spacing w:after="0" w:line="240" w:lineRule="auto"/>
              <w:rPr>
                <w:sz w:val="20"/>
                <w:szCs w:val="20"/>
              </w:rPr>
            </w:pPr>
            <w:r w:rsidRPr="00D22FAE">
              <w:rPr>
                <w:rFonts w:cstheme="minorHAnsi"/>
                <w:sz w:val="20"/>
                <w:szCs w:val="20"/>
              </w:rPr>
              <w:t>PSO, PPO, VLC, SLO</w:t>
            </w:r>
            <w:r w:rsidR="00A11741">
              <w:rPr>
                <w:rFonts w:cstheme="minorHAnsi"/>
                <w:sz w:val="20"/>
                <w:szCs w:val="20"/>
              </w:rPr>
              <w:t xml:space="preserve"> and SPD</w:t>
            </w:r>
            <w:r w:rsidRPr="00D22FAE">
              <w:rPr>
                <w:rFonts w:cstheme="minorHAnsi"/>
                <w:sz w:val="20"/>
                <w:szCs w:val="20"/>
              </w:rPr>
              <w:t xml:space="preserve"> develop and implement effective workforce planning and HR development strategy</w:t>
            </w:r>
          </w:p>
        </w:tc>
        <w:tc>
          <w:tcPr>
            <w:tcW w:w="9095" w:type="dxa"/>
          </w:tcPr>
          <w:p w:rsidR="00E821C3" w:rsidRDefault="00E821C3" w:rsidP="0074396A">
            <w:pPr>
              <w:spacing w:after="0"/>
              <w:rPr>
                <w:sz w:val="20"/>
                <w:szCs w:val="20"/>
              </w:rPr>
            </w:pPr>
            <w:r>
              <w:rPr>
                <w:sz w:val="20"/>
                <w:szCs w:val="20"/>
              </w:rPr>
              <w:t xml:space="preserve">The following summary is arranged according to the multi-level framework used to organise the capacity development strategy, and the Strategy numbering as defined in the JCS CD Strategy 2014-2016. </w:t>
            </w:r>
          </w:p>
          <w:p w:rsidR="00662348" w:rsidRPr="00662348" w:rsidRDefault="00662348" w:rsidP="0074396A">
            <w:pPr>
              <w:spacing w:after="0"/>
              <w:rPr>
                <w:sz w:val="20"/>
                <w:szCs w:val="20"/>
              </w:rPr>
            </w:pPr>
          </w:p>
          <w:p w:rsidR="0074396A" w:rsidRPr="0074396A" w:rsidRDefault="0074396A" w:rsidP="0074396A">
            <w:pPr>
              <w:spacing w:after="0"/>
              <w:rPr>
                <w:b/>
                <w:sz w:val="20"/>
                <w:szCs w:val="20"/>
              </w:rPr>
            </w:pPr>
            <w:r w:rsidRPr="0074396A">
              <w:rPr>
                <w:b/>
                <w:sz w:val="20"/>
                <w:szCs w:val="20"/>
              </w:rPr>
              <w:t>A. Level 1: Individual job-related skills and knowledge</w:t>
            </w:r>
          </w:p>
          <w:p w:rsidR="0074396A" w:rsidRDefault="0074396A" w:rsidP="0074396A">
            <w:pPr>
              <w:spacing w:after="0"/>
              <w:rPr>
                <w:sz w:val="20"/>
                <w:szCs w:val="20"/>
              </w:rPr>
            </w:pPr>
            <w:proofErr w:type="spellStart"/>
            <w:r w:rsidRPr="0074396A">
              <w:rPr>
                <w:sz w:val="20"/>
                <w:szCs w:val="20"/>
              </w:rPr>
              <w:t>i</w:t>
            </w:r>
            <w:proofErr w:type="spellEnd"/>
            <w:r w:rsidRPr="0074396A">
              <w:rPr>
                <w:sz w:val="20"/>
                <w:szCs w:val="20"/>
              </w:rPr>
              <w:t xml:space="preserve">) </w:t>
            </w:r>
            <w:r w:rsidR="008F6BDD">
              <w:rPr>
                <w:sz w:val="20"/>
                <w:szCs w:val="20"/>
              </w:rPr>
              <w:t>A</w:t>
            </w:r>
            <w:r w:rsidRPr="0074396A">
              <w:rPr>
                <w:sz w:val="20"/>
                <w:szCs w:val="20"/>
              </w:rPr>
              <w:t xml:space="preserve"> series of capacity assessment workshops with officers in </w:t>
            </w:r>
            <w:r w:rsidR="00E821C3">
              <w:rPr>
                <w:sz w:val="20"/>
                <w:szCs w:val="20"/>
              </w:rPr>
              <w:t xml:space="preserve">VPF </w:t>
            </w:r>
            <w:r w:rsidRPr="0074396A">
              <w:rPr>
                <w:sz w:val="20"/>
                <w:szCs w:val="20"/>
              </w:rPr>
              <w:t>Southern Command</w:t>
            </w:r>
            <w:r w:rsidR="008F6BDD">
              <w:rPr>
                <w:sz w:val="20"/>
                <w:szCs w:val="20"/>
              </w:rPr>
              <w:t xml:space="preserve"> has commenced</w:t>
            </w:r>
            <w:r w:rsidRPr="0074396A">
              <w:rPr>
                <w:sz w:val="20"/>
                <w:szCs w:val="20"/>
              </w:rPr>
              <w:t>. [To be completed in March 2015].</w:t>
            </w:r>
          </w:p>
          <w:p w:rsidR="0074396A" w:rsidRPr="0074396A" w:rsidRDefault="0074396A" w:rsidP="0074396A">
            <w:pPr>
              <w:spacing w:after="0"/>
              <w:rPr>
                <w:sz w:val="20"/>
                <w:szCs w:val="20"/>
              </w:rPr>
            </w:pPr>
          </w:p>
          <w:p w:rsidR="0074396A" w:rsidRPr="0074396A" w:rsidRDefault="0074396A" w:rsidP="0074396A">
            <w:pPr>
              <w:spacing w:after="0"/>
              <w:rPr>
                <w:b/>
                <w:sz w:val="20"/>
                <w:szCs w:val="20"/>
              </w:rPr>
            </w:pPr>
            <w:r w:rsidRPr="0074396A">
              <w:rPr>
                <w:b/>
                <w:sz w:val="20"/>
                <w:szCs w:val="20"/>
              </w:rPr>
              <w:t>B. Level 2: Professional and technical sub-groups</w:t>
            </w:r>
          </w:p>
          <w:p w:rsidR="0074396A" w:rsidRPr="0074396A" w:rsidRDefault="0074396A" w:rsidP="0074396A">
            <w:pPr>
              <w:spacing w:after="0"/>
              <w:rPr>
                <w:sz w:val="20"/>
                <w:szCs w:val="20"/>
              </w:rPr>
            </w:pPr>
            <w:proofErr w:type="spellStart"/>
            <w:r w:rsidRPr="0074396A">
              <w:rPr>
                <w:sz w:val="20"/>
                <w:szCs w:val="20"/>
              </w:rPr>
              <w:t>i</w:t>
            </w:r>
            <w:proofErr w:type="spellEnd"/>
            <w:r w:rsidRPr="0074396A">
              <w:rPr>
                <w:sz w:val="20"/>
                <w:szCs w:val="20"/>
              </w:rPr>
              <w:t xml:space="preserve">) </w:t>
            </w:r>
            <w:r w:rsidR="008F6BDD">
              <w:rPr>
                <w:sz w:val="20"/>
                <w:szCs w:val="20"/>
              </w:rPr>
              <w:t>T</w:t>
            </w:r>
            <w:r w:rsidR="00811AB7">
              <w:rPr>
                <w:sz w:val="20"/>
                <w:szCs w:val="20"/>
              </w:rPr>
              <w:t>wo five-</w:t>
            </w:r>
            <w:r w:rsidRPr="0074396A">
              <w:rPr>
                <w:sz w:val="20"/>
                <w:szCs w:val="20"/>
              </w:rPr>
              <w:t>day legal advocacy courses (intermediate and advanced) in December, through the Victorian Bar Association</w:t>
            </w:r>
            <w:r w:rsidR="008F6BDD">
              <w:rPr>
                <w:sz w:val="20"/>
                <w:szCs w:val="20"/>
              </w:rPr>
              <w:t xml:space="preserve"> were planned and delivered to lawyers and police prosecutors in the public sector</w:t>
            </w:r>
            <w:r w:rsidR="004637C2">
              <w:rPr>
                <w:sz w:val="20"/>
                <w:szCs w:val="20"/>
              </w:rPr>
              <w:t xml:space="preserve"> (Strategy 4.3)</w:t>
            </w:r>
            <w:r w:rsidRPr="0074396A">
              <w:rPr>
                <w:sz w:val="20"/>
                <w:szCs w:val="20"/>
              </w:rPr>
              <w:t xml:space="preserve">. </w:t>
            </w:r>
          </w:p>
          <w:p w:rsidR="0074396A" w:rsidRPr="0074396A" w:rsidRDefault="0074396A" w:rsidP="0074396A">
            <w:pPr>
              <w:spacing w:after="0"/>
              <w:rPr>
                <w:sz w:val="20"/>
                <w:szCs w:val="20"/>
              </w:rPr>
            </w:pPr>
            <w:r w:rsidRPr="0074396A">
              <w:rPr>
                <w:sz w:val="20"/>
                <w:szCs w:val="20"/>
              </w:rPr>
              <w:t xml:space="preserve">ii) </w:t>
            </w:r>
            <w:r w:rsidR="004637C2">
              <w:rPr>
                <w:sz w:val="20"/>
                <w:szCs w:val="20"/>
              </w:rPr>
              <w:t>F</w:t>
            </w:r>
            <w:r w:rsidR="00885CD3">
              <w:rPr>
                <w:sz w:val="20"/>
                <w:szCs w:val="20"/>
              </w:rPr>
              <w:t>ive</w:t>
            </w:r>
            <w:r w:rsidRPr="0074396A">
              <w:rPr>
                <w:sz w:val="20"/>
                <w:szCs w:val="20"/>
              </w:rPr>
              <w:t xml:space="preserve"> days of training for finance officers</w:t>
            </w:r>
            <w:r w:rsidR="004637C2">
              <w:rPr>
                <w:sz w:val="20"/>
                <w:szCs w:val="20"/>
              </w:rPr>
              <w:t xml:space="preserve"> was prepared and delivered\</w:t>
            </w:r>
            <w:r w:rsidRPr="0074396A">
              <w:rPr>
                <w:sz w:val="20"/>
                <w:szCs w:val="20"/>
              </w:rPr>
              <w:t xml:space="preserve"> through the Ministry of Finance in August</w:t>
            </w:r>
            <w:r w:rsidR="00370AB5">
              <w:rPr>
                <w:sz w:val="20"/>
                <w:szCs w:val="20"/>
              </w:rPr>
              <w:t xml:space="preserve"> (as noted in 1.5)</w:t>
            </w:r>
            <w:r w:rsidR="004637C2">
              <w:rPr>
                <w:sz w:val="20"/>
                <w:szCs w:val="20"/>
              </w:rPr>
              <w:t xml:space="preserve"> (Strategy 4.4)</w:t>
            </w:r>
            <w:r w:rsidRPr="0074396A">
              <w:rPr>
                <w:sz w:val="20"/>
                <w:szCs w:val="20"/>
              </w:rPr>
              <w:t xml:space="preserve">.  </w:t>
            </w:r>
          </w:p>
          <w:p w:rsidR="0074396A" w:rsidRDefault="0074396A" w:rsidP="0074396A">
            <w:pPr>
              <w:spacing w:after="0"/>
              <w:rPr>
                <w:sz w:val="20"/>
                <w:szCs w:val="20"/>
              </w:rPr>
            </w:pPr>
            <w:r w:rsidRPr="0074396A">
              <w:rPr>
                <w:sz w:val="20"/>
                <w:szCs w:val="20"/>
              </w:rPr>
              <w:t xml:space="preserve">iii) Progress has included planning, organization and customization of a delivery of the Human Resource Management Fundamentals course by </w:t>
            </w:r>
            <w:r w:rsidR="00AF320F">
              <w:rPr>
                <w:sz w:val="20"/>
                <w:szCs w:val="20"/>
              </w:rPr>
              <w:t xml:space="preserve">the </w:t>
            </w:r>
            <w:r w:rsidRPr="0074396A">
              <w:rPr>
                <w:sz w:val="20"/>
                <w:szCs w:val="20"/>
              </w:rPr>
              <w:t xml:space="preserve">Solomon Islands </w:t>
            </w:r>
            <w:r w:rsidR="00AF320F">
              <w:rPr>
                <w:sz w:val="20"/>
                <w:szCs w:val="20"/>
              </w:rPr>
              <w:t xml:space="preserve">Institute of Public Administration and </w:t>
            </w:r>
            <w:r w:rsidR="00AF320F">
              <w:rPr>
                <w:sz w:val="20"/>
                <w:szCs w:val="20"/>
              </w:rPr>
              <w:lastRenderedPageBreak/>
              <w:t>Management</w:t>
            </w:r>
            <w:r w:rsidR="00AF320F" w:rsidRPr="0074396A">
              <w:rPr>
                <w:sz w:val="20"/>
                <w:szCs w:val="20"/>
              </w:rPr>
              <w:t xml:space="preserve"> </w:t>
            </w:r>
            <w:r w:rsidRPr="0074396A">
              <w:rPr>
                <w:sz w:val="20"/>
                <w:szCs w:val="20"/>
              </w:rPr>
              <w:t>between October and December</w:t>
            </w:r>
            <w:r w:rsidR="00370AB5">
              <w:rPr>
                <w:sz w:val="20"/>
                <w:szCs w:val="20"/>
              </w:rPr>
              <w:t>, supported by PSC</w:t>
            </w:r>
            <w:r w:rsidRPr="0074396A">
              <w:rPr>
                <w:sz w:val="20"/>
                <w:szCs w:val="20"/>
              </w:rPr>
              <w:t xml:space="preserve">. </w:t>
            </w:r>
            <w:r w:rsidR="004637C2">
              <w:rPr>
                <w:sz w:val="20"/>
                <w:szCs w:val="20"/>
              </w:rPr>
              <w:t>(</w:t>
            </w:r>
            <w:r w:rsidR="004637C2" w:rsidRPr="0074396A">
              <w:rPr>
                <w:sz w:val="20"/>
                <w:szCs w:val="20"/>
              </w:rPr>
              <w:t>Strategy 4.5</w:t>
            </w:r>
            <w:r w:rsidR="004637C2">
              <w:rPr>
                <w:sz w:val="20"/>
                <w:szCs w:val="20"/>
              </w:rPr>
              <w:t>)</w:t>
            </w:r>
          </w:p>
          <w:p w:rsidR="0074396A" w:rsidRPr="0074396A" w:rsidRDefault="0074396A" w:rsidP="0074396A">
            <w:pPr>
              <w:spacing w:after="0"/>
              <w:rPr>
                <w:sz w:val="20"/>
                <w:szCs w:val="20"/>
              </w:rPr>
            </w:pPr>
          </w:p>
          <w:p w:rsidR="0074396A" w:rsidRPr="0074396A" w:rsidRDefault="0074396A" w:rsidP="0074396A">
            <w:pPr>
              <w:spacing w:after="0"/>
              <w:rPr>
                <w:b/>
                <w:sz w:val="20"/>
                <w:szCs w:val="20"/>
              </w:rPr>
            </w:pPr>
            <w:r w:rsidRPr="0074396A">
              <w:rPr>
                <w:b/>
                <w:sz w:val="20"/>
                <w:szCs w:val="20"/>
              </w:rPr>
              <w:t>B. Level 3: Agency</w:t>
            </w:r>
          </w:p>
          <w:p w:rsidR="0074396A" w:rsidRPr="0074396A" w:rsidRDefault="0074396A" w:rsidP="0074396A">
            <w:pPr>
              <w:spacing w:after="0"/>
              <w:rPr>
                <w:sz w:val="20"/>
                <w:szCs w:val="20"/>
              </w:rPr>
            </w:pPr>
            <w:proofErr w:type="spellStart"/>
            <w:r w:rsidRPr="0074396A">
              <w:rPr>
                <w:sz w:val="20"/>
                <w:szCs w:val="20"/>
              </w:rPr>
              <w:t>i</w:t>
            </w:r>
            <w:proofErr w:type="spellEnd"/>
            <w:r w:rsidRPr="0074396A">
              <w:rPr>
                <w:sz w:val="20"/>
                <w:szCs w:val="20"/>
              </w:rPr>
              <w:t>) Progress has been made to pilot the approach in SPD</w:t>
            </w:r>
            <w:r w:rsidR="00370AB5">
              <w:rPr>
                <w:sz w:val="20"/>
                <w:szCs w:val="20"/>
              </w:rPr>
              <w:t xml:space="preserve"> that has integrated a number of improvement initiatives (refer 1.2, 1.4)</w:t>
            </w:r>
            <w:r w:rsidRPr="0074396A">
              <w:rPr>
                <w:sz w:val="20"/>
                <w:szCs w:val="20"/>
              </w:rPr>
              <w:t xml:space="preserve">, and to scope and set up for the recruitment of </w:t>
            </w:r>
            <w:r w:rsidR="00E821C3">
              <w:rPr>
                <w:sz w:val="20"/>
                <w:szCs w:val="20"/>
              </w:rPr>
              <w:t xml:space="preserve">a </w:t>
            </w:r>
            <w:r w:rsidRPr="0074396A">
              <w:rPr>
                <w:sz w:val="20"/>
                <w:szCs w:val="20"/>
              </w:rPr>
              <w:t>HR</w:t>
            </w:r>
            <w:r w:rsidR="00765C81">
              <w:rPr>
                <w:sz w:val="20"/>
                <w:szCs w:val="20"/>
              </w:rPr>
              <w:t xml:space="preserve"> </w:t>
            </w:r>
            <w:r w:rsidRPr="0074396A">
              <w:rPr>
                <w:sz w:val="20"/>
                <w:szCs w:val="20"/>
              </w:rPr>
              <w:t>M</w:t>
            </w:r>
            <w:r w:rsidR="00765C81">
              <w:rPr>
                <w:sz w:val="20"/>
                <w:szCs w:val="20"/>
              </w:rPr>
              <w:t>anagement</w:t>
            </w:r>
            <w:r w:rsidR="004637C2">
              <w:rPr>
                <w:sz w:val="20"/>
                <w:szCs w:val="20"/>
              </w:rPr>
              <w:t xml:space="preserve"> Adviser (Strategy 4.6)</w:t>
            </w:r>
          </w:p>
          <w:p w:rsidR="0074396A" w:rsidRDefault="0074396A" w:rsidP="0074396A">
            <w:pPr>
              <w:spacing w:after="0"/>
              <w:rPr>
                <w:sz w:val="20"/>
                <w:szCs w:val="20"/>
              </w:rPr>
            </w:pPr>
            <w:r w:rsidRPr="0074396A">
              <w:rPr>
                <w:sz w:val="20"/>
                <w:szCs w:val="20"/>
              </w:rPr>
              <w:t>ii) Progress has been made through completion of a structural review, design of new roles and MJCS have secured endorsement and finance approval for recruitment of key roles (some funded by SRBJ)</w:t>
            </w:r>
            <w:r w:rsidR="00683A07">
              <w:rPr>
                <w:sz w:val="20"/>
                <w:szCs w:val="20"/>
              </w:rPr>
              <w:t xml:space="preserve"> (Strategy 4.7)</w:t>
            </w:r>
            <w:r w:rsidRPr="0074396A">
              <w:rPr>
                <w:sz w:val="20"/>
                <w:szCs w:val="20"/>
              </w:rPr>
              <w:t>.</w:t>
            </w:r>
          </w:p>
          <w:p w:rsidR="0074396A" w:rsidRPr="0074396A" w:rsidRDefault="0074396A" w:rsidP="0074396A">
            <w:pPr>
              <w:spacing w:after="0"/>
              <w:rPr>
                <w:sz w:val="20"/>
                <w:szCs w:val="20"/>
              </w:rPr>
            </w:pPr>
          </w:p>
          <w:p w:rsidR="0074396A" w:rsidRDefault="0074396A" w:rsidP="0074396A">
            <w:pPr>
              <w:spacing w:after="0"/>
              <w:rPr>
                <w:b/>
                <w:sz w:val="20"/>
                <w:szCs w:val="20"/>
              </w:rPr>
            </w:pPr>
            <w:r w:rsidRPr="0074396A">
              <w:rPr>
                <w:b/>
                <w:sz w:val="20"/>
                <w:szCs w:val="20"/>
              </w:rPr>
              <w:t>C. Level 4: Cross sector</w:t>
            </w:r>
          </w:p>
          <w:p w:rsidR="00683A07" w:rsidRPr="00683A07" w:rsidRDefault="00683A07" w:rsidP="0074396A">
            <w:pPr>
              <w:spacing w:after="0"/>
              <w:rPr>
                <w:sz w:val="20"/>
                <w:szCs w:val="20"/>
              </w:rPr>
            </w:pPr>
            <w:r>
              <w:rPr>
                <w:sz w:val="20"/>
                <w:szCs w:val="20"/>
              </w:rPr>
              <w:t>Progress has included:</w:t>
            </w:r>
          </w:p>
          <w:p w:rsidR="0074396A" w:rsidRPr="0074396A" w:rsidRDefault="0074396A" w:rsidP="0074396A">
            <w:pPr>
              <w:spacing w:after="0"/>
              <w:rPr>
                <w:sz w:val="20"/>
                <w:szCs w:val="20"/>
              </w:rPr>
            </w:pPr>
            <w:proofErr w:type="spellStart"/>
            <w:r w:rsidRPr="0074396A">
              <w:rPr>
                <w:sz w:val="20"/>
                <w:szCs w:val="20"/>
              </w:rPr>
              <w:t>i</w:t>
            </w:r>
            <w:proofErr w:type="spellEnd"/>
            <w:r w:rsidRPr="0074396A">
              <w:rPr>
                <w:sz w:val="20"/>
                <w:szCs w:val="20"/>
              </w:rPr>
              <w:t xml:space="preserve">) </w:t>
            </w:r>
            <w:r w:rsidR="00683A07">
              <w:rPr>
                <w:sz w:val="20"/>
                <w:szCs w:val="20"/>
              </w:rPr>
              <w:t>C</w:t>
            </w:r>
            <w:r w:rsidRPr="0074396A">
              <w:rPr>
                <w:sz w:val="20"/>
                <w:szCs w:val="20"/>
              </w:rPr>
              <w:t>ompletion of the collaborative design for the Women’s Mentoring Program r</w:t>
            </w:r>
            <w:r w:rsidR="00683A07">
              <w:rPr>
                <w:sz w:val="20"/>
                <w:szCs w:val="20"/>
              </w:rPr>
              <w:t>eady for implementation in 2015 – this was done prior to this reporting period (Strategy 4.8)</w:t>
            </w:r>
          </w:p>
          <w:p w:rsidR="0074396A" w:rsidRPr="0074396A" w:rsidRDefault="0074396A" w:rsidP="0074396A">
            <w:pPr>
              <w:spacing w:after="0"/>
              <w:rPr>
                <w:sz w:val="20"/>
                <w:szCs w:val="20"/>
              </w:rPr>
            </w:pPr>
            <w:r w:rsidRPr="0074396A">
              <w:rPr>
                <w:sz w:val="20"/>
                <w:szCs w:val="20"/>
              </w:rPr>
              <w:t xml:space="preserve">ii) </w:t>
            </w:r>
            <w:r w:rsidR="00683A07">
              <w:rPr>
                <w:sz w:val="20"/>
                <w:szCs w:val="20"/>
              </w:rPr>
              <w:t>R</w:t>
            </w:r>
            <w:r w:rsidRPr="0074396A">
              <w:rPr>
                <w:sz w:val="20"/>
                <w:szCs w:val="20"/>
              </w:rPr>
              <w:t>eassessment of JCSSS Working Groups (Pathway 11)</w:t>
            </w:r>
          </w:p>
          <w:p w:rsidR="0074396A" w:rsidRPr="0074396A" w:rsidRDefault="0074396A" w:rsidP="0074396A">
            <w:pPr>
              <w:spacing w:after="0"/>
              <w:rPr>
                <w:sz w:val="20"/>
                <w:szCs w:val="20"/>
              </w:rPr>
            </w:pPr>
            <w:r w:rsidRPr="0074396A">
              <w:rPr>
                <w:sz w:val="20"/>
                <w:szCs w:val="20"/>
              </w:rPr>
              <w:t xml:space="preserve">iii) </w:t>
            </w:r>
            <w:r w:rsidR="00683A07">
              <w:rPr>
                <w:sz w:val="20"/>
                <w:szCs w:val="20"/>
              </w:rPr>
              <w:t>S</w:t>
            </w:r>
            <w:r w:rsidRPr="0074396A">
              <w:rPr>
                <w:sz w:val="20"/>
                <w:szCs w:val="20"/>
              </w:rPr>
              <w:t>upport for leadership of change through the institutional strengthening pilot with SPD (Pathway 10)</w:t>
            </w:r>
          </w:p>
          <w:p w:rsidR="001A6E2F" w:rsidRDefault="001A6E2F" w:rsidP="00662348">
            <w:pPr>
              <w:spacing w:after="0"/>
              <w:rPr>
                <w:b/>
                <w:sz w:val="20"/>
                <w:szCs w:val="20"/>
              </w:rPr>
            </w:pPr>
          </w:p>
          <w:p w:rsidR="001A6E2F" w:rsidRPr="00662348" w:rsidRDefault="00E821C3" w:rsidP="00662348">
            <w:pPr>
              <w:spacing w:after="0"/>
              <w:rPr>
                <w:sz w:val="20"/>
                <w:szCs w:val="20"/>
              </w:rPr>
            </w:pPr>
            <w:r>
              <w:rPr>
                <w:b/>
                <w:sz w:val="20"/>
                <w:szCs w:val="20"/>
              </w:rPr>
              <w:t>An important enabling ac</w:t>
            </w:r>
            <w:r w:rsidR="007F1DBB">
              <w:rPr>
                <w:b/>
                <w:sz w:val="20"/>
                <w:szCs w:val="20"/>
              </w:rPr>
              <w:t>tivity relevant to the sustainability of this outcome</w:t>
            </w:r>
            <w:r>
              <w:rPr>
                <w:b/>
                <w:sz w:val="20"/>
                <w:szCs w:val="20"/>
              </w:rPr>
              <w:t xml:space="preserve"> </w:t>
            </w:r>
            <w:r w:rsidR="0058189C" w:rsidRPr="00662348">
              <w:rPr>
                <w:sz w:val="20"/>
                <w:szCs w:val="20"/>
              </w:rPr>
              <w:t>is the facilitation by CD&amp;L Adviser of a service provider agreement between Solomon Islands</w:t>
            </w:r>
            <w:r w:rsidR="00662348">
              <w:rPr>
                <w:sz w:val="20"/>
                <w:szCs w:val="20"/>
              </w:rPr>
              <w:t xml:space="preserve"> Institute of Public Administration and Management (IPAM) and the Vanuatu Institute of Public Administration and Management (VIPAM)</w:t>
            </w:r>
            <w:r w:rsidR="0058189C" w:rsidRPr="00662348">
              <w:rPr>
                <w:sz w:val="20"/>
                <w:szCs w:val="20"/>
              </w:rPr>
              <w:t xml:space="preserve"> </w:t>
            </w:r>
            <w:r w:rsidR="00662348">
              <w:rPr>
                <w:sz w:val="20"/>
                <w:szCs w:val="20"/>
              </w:rPr>
              <w:t>a</w:t>
            </w:r>
            <w:r w:rsidR="0058189C" w:rsidRPr="00662348">
              <w:rPr>
                <w:sz w:val="20"/>
                <w:szCs w:val="20"/>
              </w:rPr>
              <w:t>nd MJCS to secure learning and development services in key development areas: HR</w:t>
            </w:r>
            <w:r w:rsidR="00D272A5">
              <w:rPr>
                <w:sz w:val="20"/>
                <w:szCs w:val="20"/>
              </w:rPr>
              <w:t xml:space="preserve"> </w:t>
            </w:r>
            <w:r w:rsidR="0058189C" w:rsidRPr="00662348">
              <w:rPr>
                <w:sz w:val="20"/>
                <w:szCs w:val="20"/>
              </w:rPr>
              <w:t>M</w:t>
            </w:r>
            <w:r w:rsidR="00D272A5">
              <w:rPr>
                <w:sz w:val="20"/>
                <w:szCs w:val="20"/>
              </w:rPr>
              <w:t>anagement</w:t>
            </w:r>
            <w:r w:rsidR="0058189C" w:rsidRPr="00662348">
              <w:rPr>
                <w:sz w:val="20"/>
                <w:szCs w:val="20"/>
              </w:rPr>
              <w:t xml:space="preserve">, Leadership and Supervision. The first initiative was successfully delivered in October to December 2014: Human Resource Management Fundamentals with high proportion of nominees successfully completing requirements and graduating (graduates: nominees = 27:34 = 79%). The agreement is yet to be finalized in a COM endorsed MOU. The arrangement offers long-term developmental benefits to VIPAM, which helps to address </w:t>
            </w:r>
            <w:r w:rsidR="00D272A5">
              <w:rPr>
                <w:sz w:val="20"/>
                <w:szCs w:val="20"/>
              </w:rPr>
              <w:t xml:space="preserve">a </w:t>
            </w:r>
            <w:r w:rsidR="0058189C" w:rsidRPr="00662348">
              <w:rPr>
                <w:sz w:val="20"/>
                <w:szCs w:val="20"/>
              </w:rPr>
              <w:t>need for sustainable access to high quality learning and development services.</w:t>
            </w:r>
          </w:p>
          <w:p w:rsidR="00E821C3" w:rsidRPr="00E62896" w:rsidRDefault="00E821C3" w:rsidP="00E62896">
            <w:pPr>
              <w:spacing w:after="0"/>
              <w:rPr>
                <w:color w:val="FF0000"/>
                <w:sz w:val="20"/>
                <w:szCs w:val="20"/>
              </w:rPr>
            </w:pPr>
          </w:p>
        </w:tc>
      </w:tr>
      <w:tr w:rsidR="006F272C" w:rsidRPr="006F272C">
        <w:tc>
          <w:tcPr>
            <w:tcW w:w="4621" w:type="dxa"/>
          </w:tcPr>
          <w:p w:rsidR="00AD0800" w:rsidRPr="006F272C" w:rsidRDefault="00AD0800" w:rsidP="00AD0800">
            <w:pPr>
              <w:spacing w:after="0" w:line="240" w:lineRule="auto"/>
              <w:rPr>
                <w:rFonts w:cstheme="minorHAnsi"/>
                <w:b/>
                <w:sz w:val="20"/>
                <w:szCs w:val="20"/>
              </w:rPr>
            </w:pPr>
            <w:r w:rsidRPr="006F272C">
              <w:rPr>
                <w:rFonts w:cstheme="minorHAnsi"/>
                <w:b/>
                <w:sz w:val="20"/>
                <w:szCs w:val="20"/>
              </w:rPr>
              <w:lastRenderedPageBreak/>
              <w:t xml:space="preserve">Intermediate Outcome 2.2: </w:t>
            </w:r>
          </w:p>
          <w:p w:rsidR="00AD0800" w:rsidRPr="006F272C" w:rsidRDefault="00AD0800" w:rsidP="00AD0800">
            <w:pPr>
              <w:spacing w:after="0" w:line="240" w:lineRule="auto"/>
              <w:rPr>
                <w:sz w:val="20"/>
                <w:szCs w:val="20"/>
              </w:rPr>
            </w:pPr>
            <w:r w:rsidRPr="00A638F4">
              <w:rPr>
                <w:rFonts w:cstheme="minorHAnsi"/>
                <w:sz w:val="20"/>
                <w:szCs w:val="20"/>
              </w:rPr>
              <w:t>Women's professional participation in the JCSS and VPF is enhanced</w:t>
            </w:r>
          </w:p>
        </w:tc>
        <w:tc>
          <w:tcPr>
            <w:tcW w:w="9095" w:type="dxa"/>
          </w:tcPr>
          <w:p w:rsidR="00E62896" w:rsidRPr="00E62896" w:rsidRDefault="00E62896" w:rsidP="007D2BBC">
            <w:pPr>
              <w:pStyle w:val="ListParagraph"/>
              <w:numPr>
                <w:ilvl w:val="0"/>
                <w:numId w:val="35"/>
              </w:numPr>
              <w:spacing w:after="0"/>
              <w:rPr>
                <w:sz w:val="20"/>
                <w:szCs w:val="20"/>
              </w:rPr>
            </w:pPr>
            <w:r w:rsidRPr="00E62896">
              <w:rPr>
                <w:b/>
                <w:sz w:val="20"/>
                <w:szCs w:val="20"/>
              </w:rPr>
              <w:t>Completion of a collaborative process with women representatives from across the sector to scope and design a Women’s Mentoring Program</w:t>
            </w:r>
            <w:r w:rsidRPr="00E62896">
              <w:rPr>
                <w:sz w:val="20"/>
                <w:szCs w:val="20"/>
              </w:rPr>
              <w:t xml:space="preserve">. Implementation will commence early in 2015 with the assistance of the Workplace Learning Adviser. </w:t>
            </w:r>
          </w:p>
          <w:p w:rsidR="00AD0800" w:rsidRDefault="00E62896" w:rsidP="007D2BBC">
            <w:pPr>
              <w:pStyle w:val="ListParagraph"/>
              <w:numPr>
                <w:ilvl w:val="0"/>
                <w:numId w:val="35"/>
              </w:numPr>
              <w:spacing w:after="0"/>
              <w:rPr>
                <w:sz w:val="20"/>
                <w:szCs w:val="20"/>
              </w:rPr>
            </w:pPr>
            <w:r w:rsidRPr="00E62896">
              <w:rPr>
                <w:b/>
                <w:sz w:val="20"/>
                <w:szCs w:val="20"/>
              </w:rPr>
              <w:t xml:space="preserve">Design advice was provided to the WAN committee, and facilitation support was provided </w:t>
            </w:r>
            <w:r w:rsidR="00DC0A87">
              <w:rPr>
                <w:b/>
                <w:sz w:val="20"/>
                <w:szCs w:val="20"/>
              </w:rPr>
              <w:t xml:space="preserve">by CD&amp;L </w:t>
            </w:r>
            <w:r w:rsidR="00DC0A87">
              <w:rPr>
                <w:b/>
                <w:sz w:val="20"/>
                <w:szCs w:val="20"/>
              </w:rPr>
              <w:lastRenderedPageBreak/>
              <w:t xml:space="preserve">Adviser </w:t>
            </w:r>
            <w:r w:rsidR="00D51BA3">
              <w:rPr>
                <w:b/>
                <w:sz w:val="20"/>
                <w:szCs w:val="20"/>
              </w:rPr>
              <w:t>for</w:t>
            </w:r>
            <w:r w:rsidR="00D51BA3" w:rsidRPr="00E62896">
              <w:rPr>
                <w:b/>
                <w:sz w:val="20"/>
                <w:szCs w:val="20"/>
              </w:rPr>
              <w:t xml:space="preserve"> </w:t>
            </w:r>
            <w:r w:rsidRPr="00E62896">
              <w:rPr>
                <w:b/>
                <w:sz w:val="20"/>
                <w:szCs w:val="20"/>
              </w:rPr>
              <w:t>the 3-day WAN conference in December</w:t>
            </w:r>
            <w:r w:rsidRPr="00E62896">
              <w:rPr>
                <w:sz w:val="20"/>
                <w:szCs w:val="20"/>
              </w:rPr>
              <w:t xml:space="preserve">. Once endorsed by the Commissioner of Police, the strategy will form the basis of development support </w:t>
            </w:r>
            <w:r w:rsidR="00683A07">
              <w:rPr>
                <w:sz w:val="20"/>
                <w:szCs w:val="20"/>
              </w:rPr>
              <w:t>from</w:t>
            </w:r>
            <w:r w:rsidRPr="00E62896">
              <w:rPr>
                <w:sz w:val="20"/>
                <w:szCs w:val="20"/>
              </w:rPr>
              <w:t xml:space="preserve"> PJSPV to enhance the participation of women in a broader range of policing and leadership roles.</w:t>
            </w:r>
          </w:p>
          <w:p w:rsidR="00471DBF" w:rsidRPr="00471DBF" w:rsidRDefault="00E62896" w:rsidP="007D2BBC">
            <w:pPr>
              <w:pStyle w:val="ListParagraph"/>
              <w:numPr>
                <w:ilvl w:val="0"/>
                <w:numId w:val="35"/>
              </w:numPr>
              <w:spacing w:after="0"/>
              <w:rPr>
                <w:sz w:val="20"/>
                <w:szCs w:val="20"/>
              </w:rPr>
            </w:pPr>
            <w:r w:rsidRPr="00471DBF">
              <w:rPr>
                <w:sz w:val="20"/>
                <w:szCs w:val="20"/>
              </w:rPr>
              <w:t xml:space="preserve">Provision of </w:t>
            </w:r>
            <w:r w:rsidRPr="00471DBF">
              <w:rPr>
                <w:b/>
                <w:sz w:val="20"/>
                <w:szCs w:val="20"/>
              </w:rPr>
              <w:t>advisory support to Professional Standards Unit</w:t>
            </w:r>
            <w:r w:rsidRPr="00471DBF">
              <w:rPr>
                <w:sz w:val="20"/>
                <w:szCs w:val="20"/>
              </w:rPr>
              <w:t xml:space="preserve"> to progress key areas of institutional strengthening</w:t>
            </w:r>
            <w:r w:rsidR="00683A07">
              <w:rPr>
                <w:sz w:val="20"/>
                <w:szCs w:val="20"/>
              </w:rPr>
              <w:t xml:space="preserve"> which has yi</w:t>
            </w:r>
            <w:r w:rsidR="00471DBF" w:rsidRPr="00471DBF">
              <w:rPr>
                <w:sz w:val="20"/>
                <w:szCs w:val="20"/>
              </w:rPr>
              <w:t xml:space="preserve">elded three development priorities </w:t>
            </w:r>
            <w:r w:rsidR="00683A07">
              <w:rPr>
                <w:sz w:val="20"/>
                <w:szCs w:val="20"/>
              </w:rPr>
              <w:t>which are being / will be supported by SRBJ and VAPP</w:t>
            </w:r>
            <w:r w:rsidR="00DF03AF">
              <w:rPr>
                <w:sz w:val="20"/>
                <w:szCs w:val="20"/>
              </w:rPr>
              <w:t xml:space="preserve">. Strengthening of the PSU is part of the general support for the police but may have an indirect impact on women with respect to significant breach </w:t>
            </w:r>
            <w:r w:rsidR="000E5465">
              <w:rPr>
                <w:sz w:val="20"/>
                <w:szCs w:val="20"/>
              </w:rPr>
              <w:t xml:space="preserve">of </w:t>
            </w:r>
            <w:r w:rsidR="00DF03AF">
              <w:rPr>
                <w:sz w:val="20"/>
                <w:szCs w:val="20"/>
              </w:rPr>
              <w:t>professional standards where they relate to female colleagues</w:t>
            </w:r>
            <w:r w:rsidR="00683A07">
              <w:rPr>
                <w:sz w:val="20"/>
                <w:szCs w:val="20"/>
              </w:rPr>
              <w:t>.</w:t>
            </w:r>
          </w:p>
          <w:p w:rsidR="00E62896" w:rsidRPr="00E62896" w:rsidRDefault="00E62896" w:rsidP="00DF03AF">
            <w:pPr>
              <w:pStyle w:val="ListParagraph"/>
              <w:numPr>
                <w:ilvl w:val="0"/>
                <w:numId w:val="35"/>
              </w:numPr>
              <w:spacing w:after="0"/>
              <w:rPr>
                <w:sz w:val="20"/>
                <w:szCs w:val="20"/>
              </w:rPr>
            </w:pPr>
            <w:r w:rsidRPr="00471DBF">
              <w:rPr>
                <w:sz w:val="20"/>
                <w:szCs w:val="20"/>
              </w:rPr>
              <w:t xml:space="preserve">Provision of </w:t>
            </w:r>
            <w:r w:rsidRPr="00471DBF">
              <w:rPr>
                <w:b/>
                <w:sz w:val="20"/>
                <w:szCs w:val="20"/>
              </w:rPr>
              <w:t>facilitative, diagnostic and interpretive support to Southern Command officers to undertake a capacity assessment process</w:t>
            </w:r>
            <w:r w:rsidRPr="00471DBF">
              <w:rPr>
                <w:sz w:val="20"/>
                <w:szCs w:val="20"/>
              </w:rPr>
              <w:t xml:space="preserve"> as a means of establishing an evidence-based approach to professional development.</w:t>
            </w:r>
            <w:r w:rsidR="00471DBF" w:rsidRPr="00471DBF">
              <w:rPr>
                <w:sz w:val="20"/>
                <w:szCs w:val="20"/>
              </w:rPr>
              <w:t xml:space="preserve"> The work is intended to achieve three aims: 1) to provide an evidence base for planning for training and development 2) to provide data to establish a framework to support the work of the CSU in career development and 3) to offer senior staff an idea of how skills assessment can be undertaken.</w:t>
            </w:r>
            <w:r w:rsidR="00DF03AF">
              <w:rPr>
                <w:sz w:val="20"/>
                <w:szCs w:val="20"/>
              </w:rPr>
              <w:t xml:space="preserve"> This support is intended to underpin the capacity development approach for the VPF cognisant of any special measures that might be required to strengthen access to capacity development opportunities for female officers as a pathway to greater professional participation in the force.</w:t>
            </w:r>
          </w:p>
        </w:tc>
      </w:tr>
      <w:tr w:rsidR="006F272C" w:rsidRPr="006F272C">
        <w:tc>
          <w:tcPr>
            <w:tcW w:w="4621" w:type="dxa"/>
          </w:tcPr>
          <w:p w:rsidR="00AD0800" w:rsidRPr="006F272C" w:rsidRDefault="00AD0800" w:rsidP="00AD0800">
            <w:pPr>
              <w:spacing w:after="0" w:line="240" w:lineRule="auto"/>
              <w:rPr>
                <w:rFonts w:cstheme="minorHAnsi"/>
                <w:b/>
                <w:sz w:val="20"/>
                <w:szCs w:val="20"/>
              </w:rPr>
            </w:pPr>
            <w:r w:rsidRPr="006F272C">
              <w:rPr>
                <w:rFonts w:cstheme="minorHAnsi"/>
                <w:b/>
                <w:sz w:val="20"/>
                <w:szCs w:val="20"/>
              </w:rPr>
              <w:lastRenderedPageBreak/>
              <w:t xml:space="preserve">Intermediate Outcome 2.6: </w:t>
            </w:r>
          </w:p>
          <w:p w:rsidR="00AD0800" w:rsidRPr="006F272C" w:rsidRDefault="00AD0800" w:rsidP="00AD0800">
            <w:pPr>
              <w:spacing w:after="0" w:line="240" w:lineRule="auto"/>
              <w:rPr>
                <w:sz w:val="20"/>
                <w:szCs w:val="20"/>
              </w:rPr>
            </w:pPr>
            <w:r w:rsidRPr="006F272C">
              <w:rPr>
                <w:rFonts w:cstheme="minorHAnsi"/>
                <w:sz w:val="20"/>
                <w:szCs w:val="20"/>
                <w:lang w:val="en-US"/>
              </w:rPr>
              <w:t>Work systems and practices in targeted agencies are strengthened and contribute to</w:t>
            </w:r>
            <w:r w:rsidR="00F6675F">
              <w:rPr>
                <w:rFonts w:cstheme="minorHAnsi"/>
                <w:sz w:val="20"/>
                <w:szCs w:val="20"/>
                <w:lang w:val="en-US"/>
              </w:rPr>
              <w:t xml:space="preserve"> </w:t>
            </w:r>
            <w:r w:rsidRPr="006F272C">
              <w:rPr>
                <w:rFonts w:cstheme="minorHAnsi"/>
                <w:sz w:val="20"/>
                <w:szCs w:val="20"/>
                <w:lang w:val="en-US"/>
              </w:rPr>
              <w:t>demonstrable improvements in service delivery</w:t>
            </w:r>
          </w:p>
        </w:tc>
        <w:tc>
          <w:tcPr>
            <w:tcW w:w="9095" w:type="dxa"/>
          </w:tcPr>
          <w:p w:rsidR="00F6675F" w:rsidRDefault="00E821C3" w:rsidP="00F6675F">
            <w:pPr>
              <w:pStyle w:val="ListParagraph"/>
              <w:spacing w:after="0"/>
              <w:ind w:left="0"/>
              <w:rPr>
                <w:b/>
                <w:sz w:val="20"/>
                <w:szCs w:val="20"/>
              </w:rPr>
            </w:pPr>
            <w:r>
              <w:rPr>
                <w:b/>
                <w:sz w:val="20"/>
                <w:szCs w:val="20"/>
              </w:rPr>
              <w:t xml:space="preserve">General progress across the </w:t>
            </w:r>
            <w:r w:rsidR="00F6675F" w:rsidRPr="00F515DF">
              <w:rPr>
                <w:b/>
                <w:sz w:val="20"/>
                <w:szCs w:val="20"/>
              </w:rPr>
              <w:t>Sector</w:t>
            </w:r>
          </w:p>
          <w:p w:rsidR="00F6675F" w:rsidRPr="00F6675F" w:rsidRDefault="00F6675F" w:rsidP="007D2BBC">
            <w:pPr>
              <w:pStyle w:val="ListParagraph"/>
              <w:numPr>
                <w:ilvl w:val="0"/>
                <w:numId w:val="15"/>
              </w:numPr>
              <w:spacing w:after="0"/>
              <w:rPr>
                <w:sz w:val="20"/>
                <w:szCs w:val="20"/>
              </w:rPr>
            </w:pPr>
            <w:r w:rsidRPr="00F6675F">
              <w:rPr>
                <w:b/>
                <w:sz w:val="20"/>
                <w:szCs w:val="20"/>
              </w:rPr>
              <w:t>Completion of sector wide capacity development strategy and implementation plan</w:t>
            </w:r>
            <w:r w:rsidRPr="00F6675F">
              <w:rPr>
                <w:sz w:val="20"/>
                <w:szCs w:val="20"/>
              </w:rPr>
              <w:t xml:space="preserve">: </w:t>
            </w:r>
            <w:r w:rsidR="00A0604C">
              <w:rPr>
                <w:sz w:val="20"/>
                <w:szCs w:val="20"/>
              </w:rPr>
              <w:t xml:space="preserve">The </w:t>
            </w:r>
            <w:r w:rsidRPr="00F6675F">
              <w:rPr>
                <w:sz w:val="20"/>
                <w:szCs w:val="20"/>
              </w:rPr>
              <w:t>Justice and Community Services Sector Capacity Development Strategy 2014-2016</w:t>
            </w:r>
            <w:r w:rsidR="00A0604C">
              <w:rPr>
                <w:sz w:val="20"/>
                <w:szCs w:val="20"/>
              </w:rPr>
              <w:t xml:space="preserve"> was finalised in September 2014</w:t>
            </w:r>
            <w:r w:rsidRPr="00F6675F">
              <w:rPr>
                <w:sz w:val="20"/>
                <w:szCs w:val="20"/>
              </w:rPr>
              <w:t xml:space="preserve">. HOAG endorsement was secured and the content and relevance to individual agencies has been discussed in detail with most Agency leaders. </w:t>
            </w:r>
          </w:p>
          <w:p w:rsidR="00F6675F" w:rsidRPr="00F6675F" w:rsidRDefault="00F6675F" w:rsidP="007D2BBC">
            <w:pPr>
              <w:pStyle w:val="ListParagraph"/>
              <w:numPr>
                <w:ilvl w:val="0"/>
                <w:numId w:val="15"/>
              </w:numPr>
              <w:spacing w:after="0" w:line="259" w:lineRule="auto"/>
              <w:rPr>
                <w:sz w:val="20"/>
                <w:szCs w:val="20"/>
              </w:rPr>
            </w:pPr>
            <w:r w:rsidRPr="00F6675F">
              <w:rPr>
                <w:b/>
                <w:sz w:val="20"/>
                <w:szCs w:val="20"/>
              </w:rPr>
              <w:t>Commenced implementation of targeted capacity development initiatives</w:t>
            </w:r>
            <w:r w:rsidRPr="00F6675F">
              <w:rPr>
                <w:sz w:val="20"/>
                <w:szCs w:val="20"/>
              </w:rPr>
              <w:t xml:space="preserve"> per the JCSS CD Strategy</w:t>
            </w:r>
            <w:r w:rsidR="00A0604C">
              <w:rPr>
                <w:sz w:val="20"/>
                <w:szCs w:val="20"/>
              </w:rPr>
              <w:t xml:space="preserve"> as described in 2.1 above</w:t>
            </w:r>
            <w:r w:rsidRPr="00F6675F">
              <w:rPr>
                <w:sz w:val="20"/>
                <w:szCs w:val="20"/>
              </w:rPr>
              <w:t xml:space="preserve">: </w:t>
            </w:r>
          </w:p>
          <w:p w:rsidR="00F6675F" w:rsidRPr="00F6675F" w:rsidRDefault="00F6675F" w:rsidP="007D2BBC">
            <w:pPr>
              <w:pStyle w:val="ListParagraph"/>
              <w:numPr>
                <w:ilvl w:val="0"/>
                <w:numId w:val="33"/>
              </w:numPr>
              <w:spacing w:after="0" w:line="259" w:lineRule="auto"/>
              <w:contextualSpacing/>
              <w:rPr>
                <w:sz w:val="20"/>
                <w:szCs w:val="20"/>
              </w:rPr>
            </w:pPr>
            <w:r w:rsidRPr="00F6675F">
              <w:rPr>
                <w:sz w:val="20"/>
                <w:szCs w:val="20"/>
              </w:rPr>
              <w:t xml:space="preserve">Commenced program of professional and technical development in finance, legal and human resource management using government, regional and international providers. </w:t>
            </w:r>
          </w:p>
          <w:p w:rsidR="00F6675F" w:rsidRPr="00F6675F" w:rsidRDefault="00F6675F" w:rsidP="007D2BBC">
            <w:pPr>
              <w:pStyle w:val="ListParagraph"/>
              <w:numPr>
                <w:ilvl w:val="0"/>
                <w:numId w:val="33"/>
              </w:numPr>
              <w:spacing w:after="160" w:line="259" w:lineRule="auto"/>
              <w:contextualSpacing/>
              <w:rPr>
                <w:sz w:val="20"/>
                <w:szCs w:val="20"/>
              </w:rPr>
            </w:pPr>
            <w:r w:rsidRPr="00F6675F">
              <w:rPr>
                <w:sz w:val="20"/>
                <w:szCs w:val="20"/>
              </w:rPr>
              <w:t>Completion of design for Women in Leadership Mentoring Program ready for implementation in 2015.</w:t>
            </w:r>
          </w:p>
          <w:p w:rsidR="00F6675F" w:rsidRPr="00F6675F" w:rsidRDefault="00F6675F" w:rsidP="007D2BBC">
            <w:pPr>
              <w:pStyle w:val="ListParagraph"/>
              <w:numPr>
                <w:ilvl w:val="0"/>
                <w:numId w:val="33"/>
              </w:numPr>
              <w:spacing w:after="0"/>
              <w:rPr>
                <w:sz w:val="20"/>
                <w:szCs w:val="20"/>
              </w:rPr>
            </w:pPr>
            <w:r w:rsidRPr="00F6675F">
              <w:rPr>
                <w:sz w:val="20"/>
                <w:szCs w:val="20"/>
              </w:rPr>
              <w:t xml:space="preserve">Commencement of pilot in </w:t>
            </w:r>
            <w:r w:rsidR="003B66C0">
              <w:rPr>
                <w:sz w:val="20"/>
                <w:szCs w:val="20"/>
              </w:rPr>
              <w:t xml:space="preserve">SPD </w:t>
            </w:r>
            <w:r w:rsidR="003B66C0" w:rsidRPr="00F6675F">
              <w:rPr>
                <w:sz w:val="20"/>
                <w:szCs w:val="20"/>
              </w:rPr>
              <w:t>for</w:t>
            </w:r>
            <w:r w:rsidRPr="00F6675F">
              <w:rPr>
                <w:sz w:val="20"/>
                <w:szCs w:val="20"/>
              </w:rPr>
              <w:t xml:space="preserve"> Institutional Strengthening process using a multi-disciplinary team based approach and leadership coaching</w:t>
            </w:r>
            <w:r w:rsidR="007F1DBB">
              <w:rPr>
                <w:sz w:val="20"/>
                <w:szCs w:val="20"/>
              </w:rPr>
              <w:t xml:space="preserve"> as described below</w:t>
            </w:r>
            <w:r w:rsidRPr="00F6675F">
              <w:rPr>
                <w:sz w:val="20"/>
                <w:szCs w:val="20"/>
              </w:rPr>
              <w:t xml:space="preserve">. </w:t>
            </w:r>
          </w:p>
          <w:p w:rsidR="00AD4628" w:rsidRDefault="00F6675F" w:rsidP="007D2BBC">
            <w:pPr>
              <w:pStyle w:val="ListParagraph"/>
              <w:numPr>
                <w:ilvl w:val="0"/>
                <w:numId w:val="34"/>
              </w:numPr>
              <w:spacing w:after="0"/>
              <w:rPr>
                <w:sz w:val="20"/>
                <w:szCs w:val="20"/>
              </w:rPr>
            </w:pPr>
            <w:r w:rsidRPr="00AD4628">
              <w:rPr>
                <w:b/>
                <w:sz w:val="20"/>
                <w:szCs w:val="20"/>
              </w:rPr>
              <w:t>Finalisation of structural and functional review in MJCS</w:t>
            </w:r>
            <w:r w:rsidR="00AD4628">
              <w:rPr>
                <w:sz w:val="20"/>
                <w:szCs w:val="20"/>
              </w:rPr>
              <w:t>, including job design and job descriptions</w:t>
            </w:r>
            <w:r w:rsidRPr="00AD4628">
              <w:rPr>
                <w:sz w:val="20"/>
                <w:szCs w:val="20"/>
              </w:rPr>
              <w:t xml:space="preserve">, </w:t>
            </w:r>
            <w:r w:rsidR="00A0604C" w:rsidRPr="00AD4628">
              <w:rPr>
                <w:sz w:val="20"/>
                <w:szCs w:val="20"/>
              </w:rPr>
              <w:t xml:space="preserve">by the CD&amp;L Adviser </w:t>
            </w:r>
            <w:r w:rsidRPr="00AD4628">
              <w:rPr>
                <w:sz w:val="20"/>
                <w:szCs w:val="20"/>
              </w:rPr>
              <w:t xml:space="preserve">working in close partnership with DG, </w:t>
            </w:r>
            <w:r w:rsidR="00AD4628">
              <w:rPr>
                <w:sz w:val="20"/>
                <w:szCs w:val="20"/>
              </w:rPr>
              <w:t>Executive Officer</w:t>
            </w:r>
            <w:r w:rsidRPr="00AD4628">
              <w:rPr>
                <w:sz w:val="20"/>
                <w:szCs w:val="20"/>
              </w:rPr>
              <w:t xml:space="preserve"> and </w:t>
            </w:r>
            <w:r w:rsidR="00AD4628">
              <w:rPr>
                <w:sz w:val="20"/>
                <w:szCs w:val="20"/>
              </w:rPr>
              <w:t>Human Resources Officer</w:t>
            </w:r>
            <w:r w:rsidRPr="00AD4628">
              <w:rPr>
                <w:sz w:val="20"/>
                <w:szCs w:val="20"/>
              </w:rPr>
              <w:t xml:space="preserve"> to create the sector “support hub”</w:t>
            </w:r>
            <w:r w:rsidR="00E821C3" w:rsidRPr="00AD4628">
              <w:rPr>
                <w:sz w:val="20"/>
                <w:szCs w:val="20"/>
              </w:rPr>
              <w:t xml:space="preserve">. </w:t>
            </w:r>
            <w:r w:rsidR="00AD4628">
              <w:rPr>
                <w:sz w:val="20"/>
                <w:szCs w:val="20"/>
              </w:rPr>
              <w:t>This has been approved by PSC.</w:t>
            </w:r>
          </w:p>
          <w:p w:rsidR="00471DBF" w:rsidRPr="00AD4628" w:rsidRDefault="00471DBF" w:rsidP="007D2BBC">
            <w:pPr>
              <w:pStyle w:val="ListParagraph"/>
              <w:numPr>
                <w:ilvl w:val="0"/>
                <w:numId w:val="34"/>
              </w:numPr>
              <w:spacing w:after="0"/>
              <w:rPr>
                <w:sz w:val="20"/>
                <w:szCs w:val="20"/>
              </w:rPr>
            </w:pPr>
            <w:r w:rsidRPr="00AD4628">
              <w:rPr>
                <w:b/>
                <w:sz w:val="20"/>
                <w:szCs w:val="20"/>
              </w:rPr>
              <w:lastRenderedPageBreak/>
              <w:t>Improve Agency performance through targeted institutional strengthening projects</w:t>
            </w:r>
            <w:r w:rsidR="00AD4628">
              <w:rPr>
                <w:b/>
                <w:sz w:val="20"/>
                <w:szCs w:val="20"/>
              </w:rPr>
              <w:t xml:space="preserve"> </w:t>
            </w:r>
            <w:r w:rsidR="00AD4628">
              <w:rPr>
                <w:sz w:val="20"/>
                <w:szCs w:val="20"/>
              </w:rPr>
              <w:t>(strategy 4.6)</w:t>
            </w:r>
            <w:r w:rsidRPr="00AD4628">
              <w:rPr>
                <w:sz w:val="20"/>
                <w:szCs w:val="20"/>
              </w:rPr>
              <w:t xml:space="preserve">. </w:t>
            </w:r>
          </w:p>
          <w:p w:rsidR="00471DBF" w:rsidRPr="00471DBF" w:rsidRDefault="00471DBF" w:rsidP="00471DBF">
            <w:pPr>
              <w:spacing w:after="0"/>
              <w:ind w:left="360"/>
              <w:rPr>
                <w:sz w:val="20"/>
                <w:szCs w:val="20"/>
              </w:rPr>
            </w:pPr>
            <w:r w:rsidRPr="00471DBF">
              <w:rPr>
                <w:sz w:val="20"/>
                <w:szCs w:val="20"/>
              </w:rPr>
              <w:t xml:space="preserve">a. Progress has been made to </w:t>
            </w:r>
            <w:r w:rsidR="00A0604C">
              <w:rPr>
                <w:sz w:val="20"/>
                <w:szCs w:val="20"/>
              </w:rPr>
              <w:t>strengthen SPD’s service delivery capacity through multiple development initiatives as described below.</w:t>
            </w:r>
          </w:p>
          <w:p w:rsidR="00471DBF" w:rsidRPr="00471DBF" w:rsidRDefault="00471DBF" w:rsidP="00471DBF">
            <w:pPr>
              <w:spacing w:after="0"/>
              <w:ind w:left="360"/>
              <w:rPr>
                <w:sz w:val="20"/>
                <w:szCs w:val="20"/>
              </w:rPr>
            </w:pPr>
            <w:r w:rsidRPr="00471DBF">
              <w:rPr>
                <w:sz w:val="20"/>
                <w:szCs w:val="20"/>
              </w:rPr>
              <w:t>b. During training provided to HR officers from across the sector, a diagnostic survey of HRM factors was completed by participants. This diagnostic data will be available to the new HRM adviser when recruited</w:t>
            </w:r>
            <w:r w:rsidR="00AD4628">
              <w:rPr>
                <w:sz w:val="20"/>
                <w:szCs w:val="20"/>
              </w:rPr>
              <w:t xml:space="preserve"> and supports the work undertaken during the capacity assessment of Stage 1</w:t>
            </w:r>
            <w:r w:rsidRPr="00471DBF">
              <w:rPr>
                <w:sz w:val="20"/>
                <w:szCs w:val="20"/>
              </w:rPr>
              <w:t xml:space="preserve">. </w:t>
            </w:r>
          </w:p>
          <w:p w:rsidR="00471DBF" w:rsidRPr="00E04DB7" w:rsidRDefault="00471DBF" w:rsidP="00E04DB7">
            <w:pPr>
              <w:spacing w:after="0"/>
              <w:rPr>
                <w:sz w:val="20"/>
                <w:szCs w:val="20"/>
              </w:rPr>
            </w:pPr>
          </w:p>
          <w:p w:rsidR="004C0979" w:rsidRDefault="00A0604C" w:rsidP="003214C1">
            <w:pPr>
              <w:pStyle w:val="ListParagraph"/>
              <w:spacing w:after="0"/>
              <w:ind w:left="0"/>
              <w:rPr>
                <w:b/>
                <w:sz w:val="20"/>
                <w:szCs w:val="20"/>
              </w:rPr>
            </w:pPr>
            <w:r>
              <w:rPr>
                <w:b/>
                <w:sz w:val="20"/>
                <w:szCs w:val="20"/>
              </w:rPr>
              <w:t xml:space="preserve">Special case: </w:t>
            </w:r>
            <w:r w:rsidR="00460F5E" w:rsidRPr="00471DBF">
              <w:rPr>
                <w:b/>
                <w:sz w:val="20"/>
                <w:szCs w:val="20"/>
              </w:rPr>
              <w:t>SPD</w:t>
            </w:r>
          </w:p>
          <w:p w:rsidR="001A6E2F" w:rsidRPr="00E04DB7" w:rsidRDefault="0058189C" w:rsidP="00E04DB7">
            <w:pPr>
              <w:pStyle w:val="ListParagraph"/>
              <w:numPr>
                <w:ilvl w:val="0"/>
                <w:numId w:val="43"/>
              </w:numPr>
              <w:spacing w:after="0"/>
              <w:rPr>
                <w:b/>
                <w:sz w:val="20"/>
                <w:szCs w:val="20"/>
              </w:rPr>
            </w:pPr>
            <w:r w:rsidRPr="00E04DB7">
              <w:rPr>
                <w:sz w:val="20"/>
                <w:szCs w:val="20"/>
              </w:rPr>
              <w:t>SPD has been engaged in an institutional strengthening</w:t>
            </w:r>
            <w:r w:rsidR="00A0604C">
              <w:rPr>
                <w:b/>
                <w:sz w:val="20"/>
                <w:szCs w:val="20"/>
              </w:rPr>
              <w:t xml:space="preserve"> </w:t>
            </w:r>
            <w:r w:rsidR="00A0604C" w:rsidRPr="00471DBF">
              <w:rPr>
                <w:sz w:val="20"/>
                <w:szCs w:val="20"/>
              </w:rPr>
              <w:t>pilot</w:t>
            </w:r>
            <w:r w:rsidR="00A0604C">
              <w:rPr>
                <w:sz w:val="20"/>
                <w:szCs w:val="20"/>
              </w:rPr>
              <w:t>,</w:t>
            </w:r>
            <w:r w:rsidR="00A0604C" w:rsidRPr="00471DBF">
              <w:rPr>
                <w:sz w:val="20"/>
                <w:szCs w:val="20"/>
              </w:rPr>
              <w:t xml:space="preserve"> which is leading to improvements in case management practice, workload management practice, workload allocation, reduction in processing time and rationalization of process steps.</w:t>
            </w:r>
            <w:r w:rsidR="007F1DBB">
              <w:rPr>
                <w:sz w:val="20"/>
                <w:szCs w:val="20"/>
              </w:rPr>
              <w:t xml:space="preserve"> </w:t>
            </w:r>
            <w:r w:rsidR="00AD4628">
              <w:rPr>
                <w:sz w:val="20"/>
                <w:szCs w:val="20"/>
              </w:rPr>
              <w:t>T</w:t>
            </w:r>
            <w:r w:rsidR="002F4FBD">
              <w:rPr>
                <w:sz w:val="20"/>
                <w:szCs w:val="20"/>
              </w:rPr>
              <w:t>he approach has involved various people in a range of ways – SPD, C&amp;DM, CD&amp;L Advisers as well as MJCS Monitoring Officer and Executive Officer.</w:t>
            </w:r>
          </w:p>
          <w:p w:rsidR="001A6E2F" w:rsidRPr="00E04DB7" w:rsidRDefault="0058189C" w:rsidP="00E04DB7">
            <w:pPr>
              <w:pStyle w:val="ListParagraph"/>
              <w:numPr>
                <w:ilvl w:val="0"/>
                <w:numId w:val="43"/>
              </w:numPr>
              <w:spacing w:after="0"/>
              <w:rPr>
                <w:sz w:val="20"/>
                <w:szCs w:val="20"/>
              </w:rPr>
            </w:pPr>
            <w:r w:rsidRPr="00E04DB7">
              <w:rPr>
                <w:sz w:val="20"/>
                <w:szCs w:val="20"/>
              </w:rPr>
              <w:t>Improvement</w:t>
            </w:r>
            <w:r w:rsidR="00D51BA3" w:rsidRPr="00D51BA3">
              <w:rPr>
                <w:sz w:val="20"/>
                <w:szCs w:val="20"/>
              </w:rPr>
              <w:t xml:space="preserve"> has focussed on </w:t>
            </w:r>
            <w:r w:rsidR="002F4FBD">
              <w:rPr>
                <w:sz w:val="20"/>
                <w:szCs w:val="20"/>
              </w:rPr>
              <w:t>4</w:t>
            </w:r>
            <w:r w:rsidRPr="00E04DB7">
              <w:rPr>
                <w:sz w:val="20"/>
                <w:szCs w:val="20"/>
              </w:rPr>
              <w:t xml:space="preserve"> key areas: (</w:t>
            </w:r>
            <w:proofErr w:type="spellStart"/>
            <w:r w:rsidRPr="00E04DB7">
              <w:rPr>
                <w:sz w:val="20"/>
                <w:szCs w:val="20"/>
              </w:rPr>
              <w:t>i</w:t>
            </w:r>
            <w:proofErr w:type="spellEnd"/>
            <w:r w:rsidRPr="00E04DB7">
              <w:rPr>
                <w:sz w:val="20"/>
                <w:szCs w:val="20"/>
              </w:rPr>
              <w:t xml:space="preserve">) Improvement in the </w:t>
            </w:r>
            <w:r w:rsidRPr="00AD4628">
              <w:rPr>
                <w:b/>
                <w:sz w:val="20"/>
                <w:szCs w:val="20"/>
              </w:rPr>
              <w:t>speed and efficiency</w:t>
            </w:r>
            <w:r w:rsidRPr="00E04DB7">
              <w:rPr>
                <w:sz w:val="20"/>
                <w:szCs w:val="20"/>
              </w:rPr>
              <w:t xml:space="preserve"> through which ca</w:t>
            </w:r>
            <w:r w:rsidR="002F4FBD" w:rsidRPr="002F4FBD">
              <w:rPr>
                <w:sz w:val="20"/>
                <w:szCs w:val="20"/>
              </w:rPr>
              <w:t xml:space="preserve">ses are managed </w:t>
            </w:r>
            <w:r w:rsidR="000B724E">
              <w:rPr>
                <w:sz w:val="20"/>
                <w:szCs w:val="20"/>
              </w:rPr>
              <w:t xml:space="preserve">and processed </w:t>
            </w:r>
            <w:r w:rsidR="002F4FBD" w:rsidRPr="002F4FBD">
              <w:rPr>
                <w:sz w:val="20"/>
                <w:szCs w:val="20"/>
              </w:rPr>
              <w:t>through SPD. Critical enabling activities include</w:t>
            </w:r>
            <w:r w:rsidRPr="00E04DB7">
              <w:rPr>
                <w:sz w:val="20"/>
                <w:szCs w:val="20"/>
              </w:rPr>
              <w:t xml:space="preserve"> the development of improved case </w:t>
            </w:r>
            <w:r w:rsidR="00D51BA3" w:rsidRPr="00D51BA3">
              <w:rPr>
                <w:sz w:val="20"/>
                <w:szCs w:val="20"/>
              </w:rPr>
              <w:t>tracking</w:t>
            </w:r>
            <w:r w:rsidRPr="00E04DB7">
              <w:rPr>
                <w:sz w:val="20"/>
                <w:szCs w:val="20"/>
              </w:rPr>
              <w:t xml:space="preserve"> and management systems</w:t>
            </w:r>
            <w:r w:rsidR="000B724E">
              <w:rPr>
                <w:sz w:val="20"/>
                <w:szCs w:val="20"/>
              </w:rPr>
              <w:t>, procedural improvements</w:t>
            </w:r>
            <w:r w:rsidR="002F4FBD">
              <w:rPr>
                <w:sz w:val="20"/>
                <w:szCs w:val="20"/>
              </w:rPr>
              <w:t xml:space="preserve"> and skills development for Police Prosecutors</w:t>
            </w:r>
            <w:r w:rsidRPr="00E04DB7">
              <w:rPr>
                <w:sz w:val="20"/>
                <w:szCs w:val="20"/>
              </w:rPr>
              <w:t xml:space="preserve"> (ii) </w:t>
            </w:r>
            <w:r w:rsidR="002F4FBD" w:rsidRPr="00AD4628">
              <w:rPr>
                <w:b/>
                <w:sz w:val="20"/>
                <w:szCs w:val="20"/>
              </w:rPr>
              <w:t>Improvement in key stakeholder interfaces</w:t>
            </w:r>
            <w:r w:rsidR="002F4FBD">
              <w:rPr>
                <w:sz w:val="20"/>
                <w:szCs w:val="20"/>
              </w:rPr>
              <w:t xml:space="preserve"> </w:t>
            </w:r>
            <w:r w:rsidR="00D51BA3">
              <w:rPr>
                <w:sz w:val="20"/>
                <w:szCs w:val="20"/>
              </w:rPr>
              <w:t xml:space="preserve">with </w:t>
            </w:r>
            <w:r w:rsidRPr="00E04DB7">
              <w:rPr>
                <w:sz w:val="20"/>
                <w:szCs w:val="20"/>
              </w:rPr>
              <w:t>PPO</w:t>
            </w:r>
            <w:r w:rsidR="00D51BA3">
              <w:rPr>
                <w:sz w:val="20"/>
                <w:szCs w:val="20"/>
              </w:rPr>
              <w:t xml:space="preserve"> and VPF</w:t>
            </w:r>
            <w:r w:rsidRPr="00E04DB7">
              <w:rPr>
                <w:sz w:val="20"/>
                <w:szCs w:val="20"/>
              </w:rPr>
              <w:t xml:space="preserve"> (iii) </w:t>
            </w:r>
            <w:r w:rsidR="007F1DBB">
              <w:rPr>
                <w:sz w:val="20"/>
                <w:szCs w:val="20"/>
              </w:rPr>
              <w:t xml:space="preserve">Establishment of an </w:t>
            </w:r>
            <w:r w:rsidR="00D51BA3" w:rsidRPr="00AD4628">
              <w:rPr>
                <w:b/>
                <w:sz w:val="20"/>
                <w:szCs w:val="20"/>
              </w:rPr>
              <w:t xml:space="preserve">SPD </w:t>
            </w:r>
            <w:r w:rsidR="007F1DBB" w:rsidRPr="00AD4628">
              <w:rPr>
                <w:b/>
                <w:sz w:val="20"/>
                <w:szCs w:val="20"/>
              </w:rPr>
              <w:t>M&amp;E framework addressing specific operational monitors to track improvements</w:t>
            </w:r>
            <w:r w:rsidR="007F1DBB">
              <w:rPr>
                <w:sz w:val="20"/>
                <w:szCs w:val="20"/>
              </w:rPr>
              <w:t xml:space="preserve"> (iv) </w:t>
            </w:r>
            <w:r w:rsidR="007F1DBB" w:rsidRPr="00AD4628">
              <w:rPr>
                <w:b/>
                <w:sz w:val="20"/>
                <w:szCs w:val="20"/>
              </w:rPr>
              <w:t>Engagement in leadership development</w:t>
            </w:r>
            <w:r w:rsidR="007F1DBB">
              <w:rPr>
                <w:sz w:val="20"/>
                <w:szCs w:val="20"/>
              </w:rPr>
              <w:t xml:space="preserve"> as a part of the process to support leader-driven change. </w:t>
            </w:r>
          </w:p>
          <w:p w:rsidR="008E1896" w:rsidRPr="00471DBF" w:rsidRDefault="00761E05" w:rsidP="007D2BBC">
            <w:pPr>
              <w:pStyle w:val="ListParagraph"/>
              <w:numPr>
                <w:ilvl w:val="0"/>
                <w:numId w:val="15"/>
              </w:numPr>
              <w:spacing w:after="0"/>
              <w:rPr>
                <w:sz w:val="20"/>
                <w:szCs w:val="20"/>
              </w:rPr>
            </w:pPr>
            <w:r w:rsidRPr="00471DBF">
              <w:rPr>
                <w:sz w:val="20"/>
                <w:szCs w:val="20"/>
              </w:rPr>
              <w:t xml:space="preserve">Introduction of the </w:t>
            </w:r>
            <w:r w:rsidRPr="00471DBF">
              <w:rPr>
                <w:b/>
                <w:sz w:val="20"/>
                <w:szCs w:val="20"/>
              </w:rPr>
              <w:t>S</w:t>
            </w:r>
            <w:r w:rsidR="002C20C0" w:rsidRPr="00471DBF">
              <w:rPr>
                <w:b/>
                <w:sz w:val="20"/>
                <w:szCs w:val="20"/>
              </w:rPr>
              <w:t>PD Case Tracking System</w:t>
            </w:r>
            <w:r w:rsidR="002C20C0" w:rsidRPr="00471DBF">
              <w:rPr>
                <w:sz w:val="20"/>
                <w:szCs w:val="20"/>
              </w:rPr>
              <w:t xml:space="preserve"> (SPCTS) - u</w:t>
            </w:r>
            <w:r w:rsidRPr="00471DBF">
              <w:rPr>
                <w:sz w:val="20"/>
                <w:szCs w:val="20"/>
              </w:rPr>
              <w:t xml:space="preserve">ntil December 2014, SPD has been using an excel spreadsheet to register and update the progress of cases within its office. The accuracy of the information within the spreadsheet has been inconsistent and trying to extract any useful data from spreadsheet has been labour intensive and time consuming. The SPCTS was developed by the OGCIO in conjunction with </w:t>
            </w:r>
            <w:r w:rsidR="002C20C0" w:rsidRPr="00471DBF">
              <w:rPr>
                <w:sz w:val="20"/>
                <w:szCs w:val="20"/>
              </w:rPr>
              <w:t>the</w:t>
            </w:r>
            <w:r w:rsidRPr="00471DBF">
              <w:rPr>
                <w:sz w:val="20"/>
                <w:szCs w:val="20"/>
              </w:rPr>
              <w:t xml:space="preserve"> Case and Data Management Advisor and the SPD Advis</w:t>
            </w:r>
            <w:r w:rsidR="00CB4703">
              <w:rPr>
                <w:sz w:val="20"/>
                <w:szCs w:val="20"/>
              </w:rPr>
              <w:t>e</w:t>
            </w:r>
            <w:r w:rsidRPr="00471DBF">
              <w:rPr>
                <w:sz w:val="20"/>
                <w:szCs w:val="20"/>
              </w:rPr>
              <w:t>r. The SPCTS allows the SPD OIC to quickly determine; the time taken to draft charge/s for new cases, the case load of each prosecutor and type of crimes being reported to the SPD. Due to its design, new data entered into the SPCTS will be significantly more accurate than that entered into the old case register.  The SPCTS can be accessed on-line, which provides scope for investigators to track the movement of their cases. Plans are underway to see whether the SPCTS could be introduced into the outer provinces during 2015.</w:t>
            </w:r>
          </w:p>
          <w:p w:rsidR="00761E05" w:rsidRPr="00471DBF" w:rsidRDefault="00761E05" w:rsidP="007D2BBC">
            <w:pPr>
              <w:pStyle w:val="ListParagraph"/>
              <w:numPr>
                <w:ilvl w:val="0"/>
                <w:numId w:val="15"/>
              </w:numPr>
              <w:spacing w:after="0"/>
              <w:rPr>
                <w:sz w:val="20"/>
                <w:szCs w:val="20"/>
              </w:rPr>
            </w:pPr>
            <w:r w:rsidRPr="00471DBF">
              <w:rPr>
                <w:sz w:val="20"/>
                <w:szCs w:val="20"/>
              </w:rPr>
              <w:t xml:space="preserve">Development of the </w:t>
            </w:r>
            <w:r w:rsidRPr="00471DBF">
              <w:rPr>
                <w:b/>
                <w:sz w:val="20"/>
                <w:szCs w:val="20"/>
              </w:rPr>
              <w:t>Rapid Charge System</w:t>
            </w:r>
            <w:r w:rsidRPr="00471DBF">
              <w:rPr>
                <w:sz w:val="20"/>
                <w:szCs w:val="20"/>
              </w:rPr>
              <w:t xml:space="preserve"> (RCS) within the VPF</w:t>
            </w:r>
            <w:r w:rsidR="00305A10" w:rsidRPr="00471DBF">
              <w:rPr>
                <w:sz w:val="20"/>
                <w:szCs w:val="20"/>
              </w:rPr>
              <w:t xml:space="preserve"> - t</w:t>
            </w:r>
            <w:r w:rsidRPr="00471DBF">
              <w:rPr>
                <w:sz w:val="20"/>
                <w:szCs w:val="20"/>
              </w:rPr>
              <w:t xml:space="preserve">he Adviser SPD has been working closely with the VAPP Advisor – Investigations, Community Engagement and Systems and Processes, to support the introduction of a Rapid Charge System. A significant cause of delay within the justice system </w:t>
            </w:r>
            <w:r w:rsidRPr="00471DBF">
              <w:rPr>
                <w:sz w:val="20"/>
                <w:szCs w:val="20"/>
              </w:rPr>
              <w:lastRenderedPageBreak/>
              <w:t>is the inefficient manner in which offenders are brought before the Magistrates’ Court. Currently the m</w:t>
            </w:r>
            <w:r w:rsidR="00305A10" w:rsidRPr="00471DBF">
              <w:rPr>
                <w:sz w:val="20"/>
                <w:szCs w:val="20"/>
              </w:rPr>
              <w:t>ajority of offenders are summon</w:t>
            </w:r>
            <w:r w:rsidRPr="00471DBF">
              <w:rPr>
                <w:sz w:val="20"/>
                <w:szCs w:val="20"/>
              </w:rPr>
              <w:t xml:space="preserve">ed to court, requiring SPD staff to try and locate offenders and serve court documents before an upcoming plea date. The RCS will encourage </w:t>
            </w:r>
            <w:r w:rsidRPr="00471DBF">
              <w:rPr>
                <w:i/>
                <w:sz w:val="20"/>
                <w:szCs w:val="20"/>
              </w:rPr>
              <w:t>investigators</w:t>
            </w:r>
            <w:r w:rsidRPr="00471DBF">
              <w:rPr>
                <w:sz w:val="20"/>
                <w:szCs w:val="20"/>
              </w:rPr>
              <w:t xml:space="preserve"> to draft charges (currently done by SPD) and bail offenders to an upcoming plea date, reducing the workload of SPD staff and increasing attendance rates at court. The SPD Adviser has developed five charge templates for offences that represent approximately 20-30% of the case load of the </w:t>
            </w:r>
            <w:r w:rsidRPr="003B66C0">
              <w:rPr>
                <w:sz w:val="20"/>
                <w:szCs w:val="20"/>
              </w:rPr>
              <w:t xml:space="preserve">SPD (See annex </w:t>
            </w:r>
            <w:r w:rsidR="003B66C0" w:rsidRPr="003B66C0">
              <w:rPr>
                <w:sz w:val="20"/>
                <w:szCs w:val="20"/>
              </w:rPr>
              <w:t>3</w:t>
            </w:r>
            <w:r w:rsidRPr="003B66C0">
              <w:rPr>
                <w:sz w:val="20"/>
                <w:szCs w:val="20"/>
              </w:rPr>
              <w:t>). The</w:t>
            </w:r>
            <w:r w:rsidRPr="00471DBF">
              <w:rPr>
                <w:sz w:val="20"/>
                <w:szCs w:val="20"/>
              </w:rPr>
              <w:t xml:space="preserve"> RCS is to be introduced in 2015, subject to approval by the senior management within the VPF.   </w:t>
            </w:r>
          </w:p>
          <w:p w:rsidR="00761E05" w:rsidRPr="00471DBF" w:rsidRDefault="00305A10" w:rsidP="007D2BBC">
            <w:pPr>
              <w:pStyle w:val="ListParagraph"/>
              <w:numPr>
                <w:ilvl w:val="0"/>
                <w:numId w:val="15"/>
              </w:numPr>
              <w:spacing w:after="0"/>
              <w:contextualSpacing/>
              <w:rPr>
                <w:rFonts w:asciiTheme="majorHAnsi" w:hAnsiTheme="majorHAnsi" w:cstheme="majorHAnsi"/>
                <w:sz w:val="20"/>
                <w:szCs w:val="20"/>
              </w:rPr>
            </w:pPr>
            <w:r w:rsidRPr="00471DBF">
              <w:rPr>
                <w:rFonts w:asciiTheme="majorHAnsi" w:hAnsiTheme="majorHAnsi" w:cstheme="majorHAnsi"/>
                <w:b/>
                <w:sz w:val="20"/>
                <w:szCs w:val="20"/>
              </w:rPr>
              <w:t>Reductions in time taken to draft charges</w:t>
            </w:r>
            <w:r w:rsidRPr="00471DBF">
              <w:rPr>
                <w:rFonts w:asciiTheme="majorHAnsi" w:hAnsiTheme="majorHAnsi" w:cstheme="majorHAnsi"/>
                <w:sz w:val="20"/>
                <w:szCs w:val="20"/>
              </w:rPr>
              <w:t xml:space="preserve"> - D</w:t>
            </w:r>
            <w:r w:rsidR="00761E05" w:rsidRPr="00471DBF">
              <w:rPr>
                <w:rFonts w:asciiTheme="majorHAnsi" w:hAnsiTheme="majorHAnsi" w:cstheme="majorHAnsi"/>
                <w:sz w:val="20"/>
                <w:szCs w:val="20"/>
              </w:rPr>
              <w:t>uring 2014 it took approximately 67 days to draft charge/s for 75% of cases. In 2013 it took approximately 257 days to draft charge/s for 75% of cases (Source, SPCTS 2/1/2015). This represents a significant reduction in the time it takes from when a file has been delivered to the SPD, for the matter to then be listed at court and ready for prosecution</w:t>
            </w:r>
          </w:p>
          <w:p w:rsidR="00443277" w:rsidRPr="00471DBF" w:rsidRDefault="00443277" w:rsidP="007D2BBC">
            <w:pPr>
              <w:pStyle w:val="ListParagraph"/>
              <w:numPr>
                <w:ilvl w:val="0"/>
                <w:numId w:val="15"/>
              </w:numPr>
              <w:spacing w:after="0"/>
              <w:contextualSpacing/>
              <w:rPr>
                <w:sz w:val="20"/>
                <w:szCs w:val="20"/>
              </w:rPr>
            </w:pPr>
            <w:r w:rsidRPr="00471DBF">
              <w:rPr>
                <w:sz w:val="20"/>
                <w:szCs w:val="20"/>
              </w:rPr>
              <w:t xml:space="preserve">Agreement in place between the OIC of SPD and Public Prosecutor that </w:t>
            </w:r>
            <w:r w:rsidRPr="00471DBF">
              <w:rPr>
                <w:b/>
                <w:sz w:val="20"/>
                <w:szCs w:val="20"/>
              </w:rPr>
              <w:t>SPD only draft charges for matters that begin and end their life in the Magistrates’ Court</w:t>
            </w:r>
            <w:r w:rsidRPr="00471DBF">
              <w:rPr>
                <w:sz w:val="20"/>
                <w:szCs w:val="20"/>
              </w:rPr>
              <w:t>. More serious cases (Supreme Court matters) are now managed from beginning to end by the Public Prosecutor’s Office, providing consistency for police investigators and victims of crime.</w:t>
            </w:r>
          </w:p>
          <w:p w:rsidR="00443277" w:rsidRPr="00471DBF" w:rsidRDefault="00443277" w:rsidP="007D2BBC">
            <w:pPr>
              <w:pStyle w:val="ListParagraph"/>
              <w:numPr>
                <w:ilvl w:val="0"/>
                <w:numId w:val="15"/>
              </w:numPr>
              <w:spacing w:after="0"/>
              <w:contextualSpacing/>
              <w:rPr>
                <w:sz w:val="20"/>
                <w:szCs w:val="20"/>
              </w:rPr>
            </w:pPr>
            <w:r w:rsidRPr="00471DBF">
              <w:rPr>
                <w:sz w:val="20"/>
                <w:szCs w:val="20"/>
              </w:rPr>
              <w:t xml:space="preserve">Agreement in place between the OIC of SPD and Public Prosecutor that </w:t>
            </w:r>
            <w:r w:rsidRPr="00471DBF">
              <w:rPr>
                <w:b/>
                <w:sz w:val="20"/>
                <w:szCs w:val="20"/>
              </w:rPr>
              <w:t>SPD will now list their own cases in the Magistrates’ Court.</w:t>
            </w:r>
            <w:r w:rsidRPr="00471DBF">
              <w:rPr>
                <w:sz w:val="20"/>
                <w:szCs w:val="20"/>
              </w:rPr>
              <w:t xml:space="preserve"> Previously this was done by PPO office and required all SPD files to be forwarded to the PPO office for listing and then returned to the SPD. The system was inefficient and caused duplication of reporting</w:t>
            </w:r>
          </w:p>
          <w:p w:rsidR="004C0979" w:rsidRPr="00471DBF" w:rsidRDefault="00443277" w:rsidP="007D2BBC">
            <w:pPr>
              <w:pStyle w:val="ListParagraph"/>
              <w:numPr>
                <w:ilvl w:val="0"/>
                <w:numId w:val="15"/>
              </w:numPr>
              <w:spacing w:after="0"/>
              <w:contextualSpacing/>
              <w:rPr>
                <w:sz w:val="20"/>
                <w:szCs w:val="20"/>
              </w:rPr>
            </w:pPr>
            <w:r w:rsidRPr="00471DBF">
              <w:rPr>
                <w:sz w:val="20"/>
                <w:szCs w:val="20"/>
              </w:rPr>
              <w:t xml:space="preserve">In the second half of the 2014, the SPD introduced both </w:t>
            </w:r>
            <w:r w:rsidRPr="00471DBF">
              <w:rPr>
                <w:b/>
                <w:sz w:val="20"/>
                <w:szCs w:val="20"/>
              </w:rPr>
              <w:t>Warrant and Process Serving spreadsheets</w:t>
            </w:r>
            <w:r w:rsidRPr="00471DBF">
              <w:rPr>
                <w:sz w:val="20"/>
                <w:szCs w:val="20"/>
              </w:rPr>
              <w:t xml:space="preserve">. They provide an electronic register of the court documents that SPD staff have attempted to serve. This information has previously never been recorded and provides useful background information to SPD staff tasked with serving documents and executing warrants.    </w:t>
            </w:r>
          </w:p>
          <w:p w:rsidR="001A58D1" w:rsidRPr="00A638F4" w:rsidRDefault="00443277" w:rsidP="007D2BBC">
            <w:pPr>
              <w:pStyle w:val="ListParagraph"/>
              <w:numPr>
                <w:ilvl w:val="0"/>
                <w:numId w:val="15"/>
              </w:numPr>
              <w:spacing w:after="0"/>
              <w:rPr>
                <w:rFonts w:asciiTheme="majorHAnsi" w:hAnsiTheme="majorHAnsi" w:cstheme="majorHAnsi"/>
                <w:sz w:val="20"/>
                <w:szCs w:val="20"/>
              </w:rPr>
            </w:pPr>
            <w:r w:rsidRPr="00471DBF">
              <w:rPr>
                <w:rFonts w:eastAsia="Times New Roman" w:cs="Times New Roman Bold"/>
                <w:sz w:val="20"/>
                <w:szCs w:val="20"/>
                <w:lang w:eastAsia="fr-FR"/>
              </w:rPr>
              <w:t xml:space="preserve">The prosecutors within SPD have the </w:t>
            </w:r>
            <w:r w:rsidRPr="00471DBF">
              <w:rPr>
                <w:rFonts w:eastAsia="Times New Roman" w:cs="Times New Roman Bold"/>
                <w:b/>
                <w:sz w:val="20"/>
                <w:szCs w:val="20"/>
                <w:lang w:eastAsia="fr-FR"/>
              </w:rPr>
              <w:t>confidence to lead evidence, cross-examine witnesses, make legal submissions and tender exhibits</w:t>
            </w:r>
            <w:r w:rsidRPr="00471DBF">
              <w:rPr>
                <w:rFonts w:eastAsia="Times New Roman" w:cs="Times New Roman Bold"/>
                <w:sz w:val="20"/>
                <w:szCs w:val="20"/>
                <w:lang w:eastAsia="fr-FR"/>
              </w:rPr>
              <w:t xml:space="preserve">. </w:t>
            </w:r>
            <w:r w:rsidR="00305A10" w:rsidRPr="00471DBF">
              <w:rPr>
                <w:rFonts w:eastAsia="Times New Roman" w:cs="Times New Roman Bold"/>
                <w:sz w:val="20"/>
                <w:szCs w:val="20"/>
                <w:lang w:eastAsia="fr-FR"/>
              </w:rPr>
              <w:t>A</w:t>
            </w:r>
            <w:r w:rsidRPr="00471DBF">
              <w:rPr>
                <w:rFonts w:eastAsia="Times New Roman" w:cs="Times New Roman Bold"/>
                <w:sz w:val="20"/>
                <w:szCs w:val="20"/>
                <w:lang w:eastAsia="fr-FR"/>
              </w:rPr>
              <w:t>dvocacy skills and confidence</w:t>
            </w:r>
            <w:r w:rsidR="00305A10" w:rsidRPr="00471DBF">
              <w:rPr>
                <w:rFonts w:eastAsia="Times New Roman" w:cs="Times New Roman Bold"/>
                <w:sz w:val="20"/>
                <w:szCs w:val="20"/>
                <w:lang w:eastAsia="fr-FR"/>
              </w:rPr>
              <w:t xml:space="preserve"> of state prosecutors has</w:t>
            </w:r>
            <w:r w:rsidRPr="00471DBF">
              <w:rPr>
                <w:rFonts w:eastAsia="Times New Roman" w:cs="Times New Roman Bold"/>
                <w:sz w:val="20"/>
                <w:szCs w:val="20"/>
                <w:lang w:eastAsia="fr-FR"/>
              </w:rPr>
              <w:t xml:space="preserve"> improved markedly </w:t>
            </w:r>
            <w:r w:rsidR="00305A10" w:rsidRPr="00471DBF">
              <w:rPr>
                <w:rFonts w:eastAsia="Times New Roman" w:cs="Times New Roman Bold"/>
                <w:sz w:val="20"/>
                <w:szCs w:val="20"/>
                <w:lang w:eastAsia="fr-FR"/>
              </w:rPr>
              <w:t xml:space="preserve">over Stage 1 SRBJ </w:t>
            </w:r>
            <w:r w:rsidRPr="00471DBF">
              <w:rPr>
                <w:rFonts w:eastAsia="Times New Roman" w:cs="Times New Roman Bold"/>
                <w:sz w:val="20"/>
                <w:szCs w:val="20"/>
                <w:lang w:eastAsia="fr-FR"/>
              </w:rPr>
              <w:t xml:space="preserve">and this was clearly demonstrated by their performance at the Bar Readers course in December 2014. </w:t>
            </w:r>
            <w:r w:rsidR="00AE3838">
              <w:rPr>
                <w:rFonts w:eastAsia="Times New Roman" w:cs="Times New Roman Bold"/>
                <w:sz w:val="20"/>
                <w:szCs w:val="20"/>
                <w:lang w:eastAsia="fr-FR"/>
              </w:rPr>
              <w:t xml:space="preserve">The facilitators of the Advocacy Skills Course provided feedback </w:t>
            </w:r>
            <w:r w:rsidR="000E5465">
              <w:rPr>
                <w:rFonts w:eastAsia="Times New Roman" w:cs="Times New Roman Bold"/>
                <w:sz w:val="20"/>
                <w:szCs w:val="20"/>
                <w:lang w:eastAsia="fr-FR"/>
              </w:rPr>
              <w:t>t</w:t>
            </w:r>
            <w:r w:rsidR="00AE3838">
              <w:rPr>
                <w:rFonts w:eastAsia="Times New Roman" w:cs="Times New Roman Bold"/>
                <w:sz w:val="20"/>
                <w:szCs w:val="20"/>
                <w:lang w:eastAsia="fr-FR"/>
              </w:rPr>
              <w:t>hat the SPD were some of the best performers during the two-week course.</w:t>
            </w:r>
          </w:p>
          <w:p w:rsidR="00A638F4" w:rsidRDefault="00AD4628" w:rsidP="007D2BBC">
            <w:pPr>
              <w:pStyle w:val="ListParagraph"/>
              <w:numPr>
                <w:ilvl w:val="0"/>
                <w:numId w:val="15"/>
              </w:numPr>
              <w:spacing w:after="0"/>
              <w:rPr>
                <w:rFonts w:asciiTheme="majorHAnsi" w:hAnsiTheme="majorHAnsi" w:cstheme="majorHAnsi"/>
                <w:sz w:val="20"/>
                <w:szCs w:val="20"/>
              </w:rPr>
            </w:pPr>
            <w:r>
              <w:rPr>
                <w:rFonts w:asciiTheme="majorHAnsi" w:hAnsiTheme="majorHAnsi" w:cstheme="majorHAnsi"/>
                <w:sz w:val="20"/>
                <w:szCs w:val="20"/>
              </w:rPr>
              <w:t>As a result of the case and data management support to the courts, the courts have been able to review their performance for 2014. This data provided evidence</w:t>
            </w:r>
            <w:r w:rsidR="00A638F4">
              <w:rPr>
                <w:rFonts w:asciiTheme="majorHAnsi" w:hAnsiTheme="majorHAnsi" w:cstheme="majorHAnsi"/>
                <w:sz w:val="20"/>
                <w:szCs w:val="20"/>
              </w:rPr>
              <w:t xml:space="preserve"> of a large number of matters</w:t>
            </w:r>
            <w:r w:rsidR="009114E9">
              <w:rPr>
                <w:rFonts w:asciiTheme="majorHAnsi" w:hAnsiTheme="majorHAnsi" w:cstheme="majorHAnsi"/>
                <w:sz w:val="20"/>
                <w:szCs w:val="20"/>
              </w:rPr>
              <w:t xml:space="preserve"> </w:t>
            </w:r>
            <w:r w:rsidR="00A6635E">
              <w:rPr>
                <w:rFonts w:asciiTheme="majorHAnsi" w:hAnsiTheme="majorHAnsi" w:cstheme="majorHAnsi"/>
                <w:sz w:val="20"/>
                <w:szCs w:val="20"/>
              </w:rPr>
              <w:t xml:space="preserve">not proceeding in </w:t>
            </w:r>
            <w:r w:rsidR="009114E9">
              <w:rPr>
                <w:rFonts w:asciiTheme="majorHAnsi" w:hAnsiTheme="majorHAnsi" w:cstheme="majorHAnsi"/>
                <w:sz w:val="20"/>
                <w:szCs w:val="20"/>
              </w:rPr>
              <w:t>the Magistrates</w:t>
            </w:r>
            <w:r w:rsidR="00CB4703">
              <w:rPr>
                <w:rFonts w:asciiTheme="majorHAnsi" w:hAnsiTheme="majorHAnsi" w:cstheme="majorHAnsi"/>
                <w:sz w:val="20"/>
                <w:szCs w:val="20"/>
              </w:rPr>
              <w:t>’</w:t>
            </w:r>
            <w:r w:rsidR="009114E9">
              <w:rPr>
                <w:rFonts w:asciiTheme="majorHAnsi" w:hAnsiTheme="majorHAnsi" w:cstheme="majorHAnsi"/>
                <w:sz w:val="20"/>
                <w:szCs w:val="20"/>
              </w:rPr>
              <w:t xml:space="preserve"> Court for want of prosecution (these could be non-attendance by prosecutors, </w:t>
            </w:r>
            <w:r w:rsidR="009114E9">
              <w:rPr>
                <w:rFonts w:asciiTheme="majorHAnsi" w:hAnsiTheme="majorHAnsi" w:cstheme="majorHAnsi"/>
                <w:sz w:val="20"/>
                <w:szCs w:val="20"/>
              </w:rPr>
              <w:lastRenderedPageBreak/>
              <w:t xml:space="preserve">withdrawal of case by SPD because summons not served, insufficient evidence to continue or inappropriate to continue) – new codes will be used in </w:t>
            </w:r>
            <w:r w:rsidR="00A6635E">
              <w:rPr>
                <w:rFonts w:asciiTheme="majorHAnsi" w:hAnsiTheme="majorHAnsi" w:cstheme="majorHAnsi"/>
                <w:sz w:val="20"/>
                <w:szCs w:val="20"/>
              </w:rPr>
              <w:t xml:space="preserve">the </w:t>
            </w:r>
            <w:r w:rsidR="009114E9">
              <w:rPr>
                <w:rFonts w:asciiTheme="majorHAnsi" w:hAnsiTheme="majorHAnsi" w:cstheme="majorHAnsi"/>
                <w:sz w:val="20"/>
                <w:szCs w:val="20"/>
              </w:rPr>
              <w:t>next reporting period to clarify the cause of the high numbers of cases that appear to be withdrawn for want of prosecution</w:t>
            </w:r>
            <w:r w:rsidR="00A6635E">
              <w:rPr>
                <w:rFonts w:asciiTheme="majorHAnsi" w:hAnsiTheme="majorHAnsi" w:cstheme="majorHAnsi"/>
                <w:sz w:val="20"/>
                <w:szCs w:val="20"/>
              </w:rPr>
              <w:t xml:space="preserve">, </w:t>
            </w:r>
            <w:r w:rsidR="00796729">
              <w:rPr>
                <w:rFonts w:asciiTheme="majorHAnsi" w:hAnsiTheme="majorHAnsi" w:cstheme="majorHAnsi"/>
                <w:sz w:val="20"/>
                <w:szCs w:val="20"/>
              </w:rPr>
              <w:t>so as to be able to appropriately target support</w:t>
            </w:r>
            <w:r w:rsidR="00AE3838">
              <w:rPr>
                <w:rFonts w:asciiTheme="majorHAnsi" w:hAnsiTheme="majorHAnsi" w:cstheme="majorHAnsi"/>
                <w:sz w:val="20"/>
                <w:szCs w:val="20"/>
              </w:rPr>
              <w:t xml:space="preserve"> and track improvements through the reduction of the number of cases that do not proceed on the basis of prosecutorial non-attendance, in particular</w:t>
            </w:r>
            <w:r w:rsidR="009114E9">
              <w:rPr>
                <w:rFonts w:asciiTheme="majorHAnsi" w:hAnsiTheme="majorHAnsi" w:cstheme="majorHAnsi"/>
                <w:sz w:val="20"/>
                <w:szCs w:val="20"/>
              </w:rPr>
              <w:t xml:space="preserve">. </w:t>
            </w:r>
          </w:p>
          <w:p w:rsidR="000B724E" w:rsidRPr="00471DBF" w:rsidRDefault="000B724E" w:rsidP="007D2BBC">
            <w:pPr>
              <w:pStyle w:val="ListParagraph"/>
              <w:numPr>
                <w:ilvl w:val="0"/>
                <w:numId w:val="15"/>
              </w:numPr>
              <w:spacing w:after="0"/>
              <w:rPr>
                <w:rFonts w:asciiTheme="majorHAnsi" w:hAnsiTheme="majorHAnsi" w:cstheme="majorHAnsi"/>
                <w:sz w:val="20"/>
                <w:szCs w:val="20"/>
              </w:rPr>
            </w:pPr>
            <w:r>
              <w:rPr>
                <w:rFonts w:asciiTheme="majorHAnsi" w:hAnsiTheme="majorHAnsi" w:cstheme="majorHAnsi"/>
                <w:sz w:val="20"/>
                <w:szCs w:val="20"/>
              </w:rPr>
              <w:t xml:space="preserve">Police prosecutors from SPD participated in Legal Advocacy Skills courses with coaches from Victorian Bar Association as part of the JCSS CD Strategy (refer 2.1). A total of 13 prosecutors graduated from the intermediate course and 5 from the advanced course. </w:t>
            </w:r>
          </w:p>
          <w:p w:rsidR="004C0979" w:rsidRPr="004C0979" w:rsidRDefault="004C0979" w:rsidP="003214C1">
            <w:pPr>
              <w:pStyle w:val="ListParagraph"/>
              <w:spacing w:after="0"/>
              <w:ind w:left="360"/>
              <w:contextualSpacing/>
              <w:rPr>
                <w:sz w:val="20"/>
                <w:szCs w:val="20"/>
              </w:rPr>
            </w:pPr>
          </w:p>
          <w:p w:rsidR="00305A10" w:rsidRDefault="00460F5E" w:rsidP="003214C1">
            <w:pPr>
              <w:spacing w:after="0"/>
              <w:rPr>
                <w:b/>
                <w:sz w:val="20"/>
                <w:szCs w:val="20"/>
              </w:rPr>
            </w:pPr>
            <w:r w:rsidRPr="00460F5E">
              <w:rPr>
                <w:b/>
                <w:sz w:val="20"/>
                <w:szCs w:val="20"/>
              </w:rPr>
              <w:t xml:space="preserve">PSO </w:t>
            </w:r>
          </w:p>
          <w:p w:rsidR="001A58D1" w:rsidRDefault="001A58D1" w:rsidP="007D2BBC">
            <w:pPr>
              <w:pStyle w:val="ListParagraph"/>
              <w:numPr>
                <w:ilvl w:val="0"/>
                <w:numId w:val="15"/>
              </w:numPr>
              <w:spacing w:after="0"/>
              <w:rPr>
                <w:sz w:val="20"/>
                <w:szCs w:val="20"/>
              </w:rPr>
            </w:pPr>
            <w:r w:rsidRPr="001A58D1">
              <w:rPr>
                <w:b/>
                <w:sz w:val="20"/>
                <w:szCs w:val="20"/>
              </w:rPr>
              <w:t>Public defence lawyers have demonstrated i</w:t>
            </w:r>
            <w:r w:rsidR="00F22123" w:rsidRPr="001A58D1">
              <w:rPr>
                <w:b/>
                <w:sz w:val="20"/>
                <w:szCs w:val="20"/>
              </w:rPr>
              <w:t xml:space="preserve">ncreased competency in trials and </w:t>
            </w:r>
            <w:r w:rsidR="002D23A7">
              <w:rPr>
                <w:b/>
                <w:sz w:val="20"/>
                <w:szCs w:val="20"/>
              </w:rPr>
              <w:t>C</w:t>
            </w:r>
            <w:r w:rsidR="00F22123" w:rsidRPr="001A58D1">
              <w:rPr>
                <w:b/>
                <w:sz w:val="20"/>
                <w:szCs w:val="20"/>
              </w:rPr>
              <w:t xml:space="preserve">ourt of </w:t>
            </w:r>
            <w:r w:rsidR="002D23A7">
              <w:rPr>
                <w:b/>
                <w:sz w:val="20"/>
                <w:szCs w:val="20"/>
              </w:rPr>
              <w:t>A</w:t>
            </w:r>
            <w:r w:rsidR="00F22123" w:rsidRPr="001A58D1">
              <w:rPr>
                <w:b/>
                <w:sz w:val="20"/>
                <w:szCs w:val="20"/>
              </w:rPr>
              <w:t>ppeal</w:t>
            </w:r>
            <w:r w:rsidR="002D23A7">
              <w:rPr>
                <w:b/>
                <w:sz w:val="20"/>
                <w:szCs w:val="20"/>
              </w:rPr>
              <w:t xml:space="preserve"> cases</w:t>
            </w:r>
            <w:r>
              <w:rPr>
                <w:sz w:val="20"/>
                <w:szCs w:val="20"/>
              </w:rPr>
              <w:t xml:space="preserve">. </w:t>
            </w:r>
            <w:r w:rsidRPr="00460F5E">
              <w:rPr>
                <w:sz w:val="20"/>
                <w:szCs w:val="20"/>
              </w:rPr>
              <w:t xml:space="preserve">Prior to 2012, only 2 out of 9 PSO lawyers had Court of Appeal experience. </w:t>
            </w:r>
            <w:r w:rsidRPr="001A58D1">
              <w:rPr>
                <w:sz w:val="20"/>
                <w:szCs w:val="20"/>
              </w:rPr>
              <w:t>Since late 2012, with adviser assistance, 5 lawyers have made their first appearance in the Court of Appeal.</w:t>
            </w:r>
            <w:r w:rsidRPr="00460F5E">
              <w:rPr>
                <w:sz w:val="20"/>
                <w:szCs w:val="20"/>
              </w:rPr>
              <w:t xml:space="preserve"> This is a substantial improvement in competency. In the last 6 months, </w:t>
            </w:r>
            <w:r w:rsidR="002D23A7">
              <w:rPr>
                <w:sz w:val="20"/>
                <w:szCs w:val="20"/>
              </w:rPr>
              <w:t>adviser</w:t>
            </w:r>
            <w:r w:rsidR="002D23A7" w:rsidRPr="00460F5E">
              <w:rPr>
                <w:sz w:val="20"/>
                <w:szCs w:val="20"/>
              </w:rPr>
              <w:t xml:space="preserve"> </w:t>
            </w:r>
            <w:r w:rsidRPr="00460F5E">
              <w:rPr>
                <w:sz w:val="20"/>
                <w:szCs w:val="20"/>
              </w:rPr>
              <w:t xml:space="preserve">assistance in the preparation </w:t>
            </w:r>
            <w:r w:rsidR="00314DC7">
              <w:rPr>
                <w:sz w:val="20"/>
                <w:szCs w:val="20"/>
              </w:rPr>
              <w:t xml:space="preserve">of Court of Appeal submissions - </w:t>
            </w:r>
            <w:r w:rsidRPr="00460F5E">
              <w:rPr>
                <w:sz w:val="20"/>
                <w:szCs w:val="20"/>
              </w:rPr>
              <w:t xml:space="preserve"> one civil matter and a complex criminal matter</w:t>
            </w:r>
            <w:r w:rsidR="00314DC7">
              <w:rPr>
                <w:sz w:val="20"/>
                <w:szCs w:val="20"/>
              </w:rPr>
              <w:t xml:space="preserve"> </w:t>
            </w:r>
            <w:r w:rsidR="002D23A7">
              <w:rPr>
                <w:sz w:val="20"/>
                <w:szCs w:val="20"/>
              </w:rPr>
              <w:t xml:space="preserve"> - </w:t>
            </w:r>
            <w:r w:rsidR="00314DC7">
              <w:rPr>
                <w:sz w:val="20"/>
                <w:szCs w:val="20"/>
              </w:rPr>
              <w:t>has been provided</w:t>
            </w:r>
            <w:r w:rsidRPr="00460F5E">
              <w:rPr>
                <w:sz w:val="20"/>
                <w:szCs w:val="20"/>
              </w:rPr>
              <w:t xml:space="preserve">. During the reporting period two intermediate lawyers conducted their first Supreme Court criminal trials. </w:t>
            </w:r>
            <w:r w:rsidR="002D23A7">
              <w:rPr>
                <w:sz w:val="20"/>
                <w:szCs w:val="20"/>
              </w:rPr>
              <w:t>T</w:t>
            </w:r>
            <w:r w:rsidRPr="00460F5E">
              <w:rPr>
                <w:sz w:val="20"/>
                <w:szCs w:val="20"/>
              </w:rPr>
              <w:t xml:space="preserve">elephone advice </w:t>
            </w:r>
            <w:r w:rsidR="002D23A7">
              <w:rPr>
                <w:sz w:val="20"/>
                <w:szCs w:val="20"/>
              </w:rPr>
              <w:t xml:space="preserve">was provided </w:t>
            </w:r>
            <w:r w:rsidRPr="00460F5E">
              <w:rPr>
                <w:sz w:val="20"/>
                <w:szCs w:val="20"/>
              </w:rPr>
              <w:t xml:space="preserve">to both lawyers throughout the trials, which were conducted in the provinces. </w:t>
            </w:r>
            <w:r w:rsidR="002D23A7">
              <w:rPr>
                <w:sz w:val="20"/>
                <w:szCs w:val="20"/>
              </w:rPr>
              <w:t>With adviser assistance, o</w:t>
            </w:r>
            <w:r w:rsidRPr="00460F5E">
              <w:rPr>
                <w:sz w:val="20"/>
                <w:szCs w:val="20"/>
              </w:rPr>
              <w:t>ne intermediate lawyer conduct</w:t>
            </w:r>
            <w:r w:rsidR="002D23A7">
              <w:rPr>
                <w:sz w:val="20"/>
                <w:szCs w:val="20"/>
              </w:rPr>
              <w:t>ed</w:t>
            </w:r>
            <w:r w:rsidRPr="00460F5E">
              <w:rPr>
                <w:sz w:val="20"/>
                <w:szCs w:val="20"/>
              </w:rPr>
              <w:t xml:space="preserve"> a difficult ‘fitness to plead’ application.</w:t>
            </w:r>
            <w:r>
              <w:rPr>
                <w:sz w:val="20"/>
                <w:szCs w:val="20"/>
              </w:rPr>
              <w:t xml:space="preserve"> Two</w:t>
            </w:r>
            <w:r w:rsidRPr="001A58D1">
              <w:rPr>
                <w:sz w:val="20"/>
                <w:szCs w:val="20"/>
              </w:rPr>
              <w:t xml:space="preserve"> junior lawyers conduct</w:t>
            </w:r>
            <w:r w:rsidR="002D23A7">
              <w:rPr>
                <w:sz w:val="20"/>
                <w:szCs w:val="20"/>
              </w:rPr>
              <w:t>ed</w:t>
            </w:r>
            <w:r w:rsidRPr="001A58D1">
              <w:rPr>
                <w:sz w:val="20"/>
                <w:szCs w:val="20"/>
              </w:rPr>
              <w:t xml:space="preserve"> their first Supreme Court bail applications and pleas in mitigation. </w:t>
            </w:r>
            <w:r>
              <w:rPr>
                <w:sz w:val="20"/>
                <w:szCs w:val="20"/>
              </w:rPr>
              <w:t>Two</w:t>
            </w:r>
            <w:r w:rsidRPr="001A58D1">
              <w:rPr>
                <w:sz w:val="20"/>
                <w:szCs w:val="20"/>
              </w:rPr>
              <w:t xml:space="preserve"> new lawyers have received intensive mentoring before </w:t>
            </w:r>
            <w:r w:rsidR="002D23A7">
              <w:rPr>
                <w:sz w:val="20"/>
                <w:szCs w:val="20"/>
              </w:rPr>
              <w:t>being</w:t>
            </w:r>
            <w:r w:rsidRPr="001A58D1">
              <w:rPr>
                <w:sz w:val="20"/>
                <w:szCs w:val="20"/>
              </w:rPr>
              <w:t xml:space="preserve"> posted to </w:t>
            </w:r>
            <w:r w:rsidR="00A6372C">
              <w:rPr>
                <w:sz w:val="20"/>
                <w:szCs w:val="20"/>
              </w:rPr>
              <w:t xml:space="preserve">provincial offices </w:t>
            </w:r>
            <w:r w:rsidR="002D23A7">
              <w:rPr>
                <w:sz w:val="20"/>
                <w:szCs w:val="20"/>
              </w:rPr>
              <w:t>in 2015</w:t>
            </w:r>
            <w:r w:rsidRPr="001A58D1">
              <w:rPr>
                <w:sz w:val="20"/>
                <w:szCs w:val="20"/>
              </w:rPr>
              <w:t>.</w:t>
            </w:r>
            <w:r w:rsidR="00314DC7">
              <w:rPr>
                <w:sz w:val="20"/>
                <w:szCs w:val="20"/>
              </w:rPr>
              <w:t xml:space="preserve"> A combination of CLE training, close mentoring, </w:t>
            </w:r>
            <w:r w:rsidR="002D23A7">
              <w:rPr>
                <w:sz w:val="20"/>
                <w:szCs w:val="20"/>
              </w:rPr>
              <w:t xml:space="preserve">and the </w:t>
            </w:r>
            <w:r w:rsidR="00314DC7">
              <w:rPr>
                <w:sz w:val="20"/>
                <w:szCs w:val="20"/>
              </w:rPr>
              <w:t xml:space="preserve">assistance of the </w:t>
            </w:r>
            <w:r w:rsidR="002D23A7">
              <w:rPr>
                <w:sz w:val="20"/>
                <w:szCs w:val="20"/>
              </w:rPr>
              <w:t xml:space="preserve">Lawyer </w:t>
            </w:r>
            <w:r w:rsidR="00314DC7">
              <w:rPr>
                <w:sz w:val="20"/>
                <w:szCs w:val="20"/>
              </w:rPr>
              <w:t>Handbook has resulted in improved trial and appeal performance by PSO lawyers.</w:t>
            </w:r>
          </w:p>
          <w:p w:rsidR="00314DC7" w:rsidRPr="001A58D1" w:rsidRDefault="00314DC7" w:rsidP="007D2BBC">
            <w:pPr>
              <w:pStyle w:val="ListParagraph"/>
              <w:numPr>
                <w:ilvl w:val="0"/>
                <w:numId w:val="15"/>
              </w:numPr>
              <w:spacing w:after="0"/>
              <w:rPr>
                <w:sz w:val="20"/>
                <w:szCs w:val="20"/>
              </w:rPr>
            </w:pPr>
            <w:r>
              <w:rPr>
                <w:b/>
                <w:sz w:val="20"/>
                <w:szCs w:val="20"/>
              </w:rPr>
              <w:t xml:space="preserve">Engagement of junior and intermediate lawyers </w:t>
            </w:r>
            <w:r>
              <w:rPr>
                <w:sz w:val="20"/>
                <w:szCs w:val="20"/>
              </w:rPr>
              <w:t>has been excellent.</w:t>
            </w:r>
          </w:p>
          <w:p w:rsidR="001A58D1" w:rsidRPr="001A58D1" w:rsidRDefault="00460F5E" w:rsidP="007D2BBC">
            <w:pPr>
              <w:pStyle w:val="ListParagraph"/>
              <w:numPr>
                <w:ilvl w:val="0"/>
                <w:numId w:val="15"/>
              </w:numPr>
              <w:spacing w:after="0"/>
              <w:jc w:val="both"/>
              <w:outlineLvl w:val="1"/>
              <w:rPr>
                <w:rFonts w:eastAsia="Times New Roman" w:cs="Times New Roman Bold"/>
                <w:sz w:val="20"/>
                <w:szCs w:val="20"/>
                <w:lang w:eastAsia="fr-FR"/>
              </w:rPr>
            </w:pPr>
            <w:bookmarkStart w:id="11" w:name="_Toc411268614"/>
            <w:bookmarkStart w:id="12" w:name="_Toc411268943"/>
            <w:bookmarkStart w:id="13" w:name="_Toc409447455"/>
            <w:bookmarkStart w:id="14" w:name="_Toc409470866"/>
            <w:bookmarkStart w:id="15" w:name="_Toc409900297"/>
            <w:r w:rsidRPr="001A58D1">
              <w:rPr>
                <w:sz w:val="20"/>
                <w:szCs w:val="20"/>
              </w:rPr>
              <w:t>PSO capacity to assist clients improved following the recruitment of 2 new lawyers</w:t>
            </w:r>
            <w:r w:rsidR="002D23A7">
              <w:rPr>
                <w:sz w:val="20"/>
                <w:szCs w:val="20"/>
              </w:rPr>
              <w:t xml:space="preserve"> (independent of SRBJ)</w:t>
            </w:r>
            <w:r w:rsidRPr="001A58D1">
              <w:rPr>
                <w:sz w:val="20"/>
                <w:szCs w:val="20"/>
              </w:rPr>
              <w:t xml:space="preserve">. After an extended induction in Port Vila the new lawyers will be posted to the </w:t>
            </w:r>
            <w:proofErr w:type="spellStart"/>
            <w:r w:rsidRPr="001A58D1">
              <w:rPr>
                <w:sz w:val="20"/>
                <w:szCs w:val="20"/>
              </w:rPr>
              <w:t>Tanna</w:t>
            </w:r>
            <w:proofErr w:type="spellEnd"/>
            <w:r w:rsidRPr="001A58D1">
              <w:rPr>
                <w:sz w:val="20"/>
                <w:szCs w:val="20"/>
              </w:rPr>
              <w:t xml:space="preserve"> and Malekula offices in 2015. The </w:t>
            </w:r>
            <w:r w:rsidRPr="001A58D1">
              <w:rPr>
                <w:b/>
                <w:sz w:val="20"/>
                <w:szCs w:val="20"/>
              </w:rPr>
              <w:t xml:space="preserve">recently recruited second lawyer in the Santo office has greatly assisted service delivery in the </w:t>
            </w:r>
            <w:r w:rsidR="00AE3838">
              <w:rPr>
                <w:b/>
                <w:sz w:val="20"/>
                <w:szCs w:val="20"/>
              </w:rPr>
              <w:t>N</w:t>
            </w:r>
            <w:r w:rsidRPr="001A58D1">
              <w:rPr>
                <w:b/>
                <w:sz w:val="20"/>
                <w:szCs w:val="20"/>
              </w:rPr>
              <w:t>orthern provinces</w:t>
            </w:r>
            <w:r w:rsidRPr="001A58D1">
              <w:rPr>
                <w:sz w:val="20"/>
                <w:szCs w:val="20"/>
              </w:rPr>
              <w:t>.</w:t>
            </w:r>
            <w:bookmarkEnd w:id="11"/>
            <w:bookmarkEnd w:id="12"/>
            <w:r w:rsidR="001A58D1" w:rsidRPr="001A58D1">
              <w:rPr>
                <w:sz w:val="20"/>
                <w:szCs w:val="20"/>
              </w:rPr>
              <w:t xml:space="preserve"> </w:t>
            </w:r>
            <w:bookmarkEnd w:id="13"/>
            <w:bookmarkEnd w:id="14"/>
            <w:bookmarkEnd w:id="15"/>
            <w:r w:rsidR="003173A8">
              <w:rPr>
                <w:sz w:val="20"/>
                <w:szCs w:val="20"/>
              </w:rPr>
              <w:t>Since the second lawyer has been posted in Santo he has taken on 163 cases of which 30 have been closed, 132 are still active (being 22 criminal cases; 109 civil Cases and 1 advice). During the Legal Advocacy Skills Training Course this lawyer was identified as being a very talented junior lawyer. The lawyers presence in Santo also means that the office is attended when the more senior lawyer is on tour or comes to Port Vila for Court of Appeal hearings.</w:t>
            </w:r>
          </w:p>
          <w:p w:rsidR="00460F5E" w:rsidRPr="001A58D1" w:rsidRDefault="001A58D1" w:rsidP="007D2BBC">
            <w:pPr>
              <w:pStyle w:val="ListParagraph"/>
              <w:numPr>
                <w:ilvl w:val="0"/>
                <w:numId w:val="15"/>
              </w:numPr>
              <w:spacing w:after="0"/>
              <w:jc w:val="both"/>
              <w:outlineLvl w:val="1"/>
              <w:rPr>
                <w:rFonts w:eastAsia="Times New Roman" w:cs="Times New Roman Bold"/>
                <w:sz w:val="20"/>
                <w:szCs w:val="20"/>
                <w:lang w:eastAsia="fr-FR"/>
              </w:rPr>
            </w:pPr>
            <w:bookmarkStart w:id="16" w:name="_Toc409447456"/>
            <w:bookmarkStart w:id="17" w:name="_Toc409470867"/>
            <w:bookmarkStart w:id="18" w:name="_Toc409900298"/>
            <w:bookmarkStart w:id="19" w:name="_Toc411268615"/>
            <w:bookmarkStart w:id="20" w:name="_Toc411268944"/>
            <w:r>
              <w:rPr>
                <w:sz w:val="20"/>
                <w:szCs w:val="20"/>
              </w:rPr>
              <w:lastRenderedPageBreak/>
              <w:t>P</w:t>
            </w:r>
            <w:r w:rsidR="00460F5E" w:rsidRPr="001A58D1">
              <w:rPr>
                <w:sz w:val="20"/>
                <w:szCs w:val="20"/>
              </w:rPr>
              <w:t>ractical progress</w:t>
            </w:r>
            <w:r>
              <w:rPr>
                <w:sz w:val="20"/>
                <w:szCs w:val="20"/>
              </w:rPr>
              <w:t xml:space="preserve"> has been made with respect to the </w:t>
            </w:r>
            <w:r w:rsidRPr="001A58D1">
              <w:rPr>
                <w:b/>
                <w:sz w:val="20"/>
                <w:szCs w:val="20"/>
              </w:rPr>
              <w:t xml:space="preserve">management of conflict </w:t>
            </w:r>
            <w:r w:rsidR="001B0A03">
              <w:rPr>
                <w:b/>
                <w:sz w:val="20"/>
                <w:szCs w:val="20"/>
              </w:rPr>
              <w:t>of interest between</w:t>
            </w:r>
            <w:r w:rsidRPr="001A58D1">
              <w:rPr>
                <w:b/>
                <w:sz w:val="20"/>
                <w:szCs w:val="20"/>
              </w:rPr>
              <w:t xml:space="preserve"> PSO</w:t>
            </w:r>
            <w:r w:rsidR="001B0A03">
              <w:rPr>
                <w:b/>
                <w:sz w:val="20"/>
                <w:szCs w:val="20"/>
              </w:rPr>
              <w:t xml:space="preserve"> clients</w:t>
            </w:r>
            <w:r w:rsidR="00460F5E" w:rsidRPr="001A58D1">
              <w:rPr>
                <w:sz w:val="20"/>
                <w:szCs w:val="20"/>
              </w:rPr>
              <w:t xml:space="preserve"> in the effective conduct of a recent criminal trial in Santo involving 3 co-accused. This is the first time in recent years the office has dealt with such a situation, and it provides a good example of a best practice approach in future cases.</w:t>
            </w:r>
            <w:bookmarkEnd w:id="16"/>
            <w:bookmarkEnd w:id="17"/>
            <w:bookmarkEnd w:id="18"/>
            <w:bookmarkEnd w:id="19"/>
            <w:bookmarkEnd w:id="20"/>
          </w:p>
          <w:p w:rsidR="00314DC7" w:rsidRPr="00314DC7" w:rsidRDefault="00314DC7" w:rsidP="007D2BBC">
            <w:pPr>
              <w:pStyle w:val="ListParagraph"/>
              <w:numPr>
                <w:ilvl w:val="0"/>
                <w:numId w:val="15"/>
              </w:numPr>
              <w:spacing w:after="0"/>
              <w:rPr>
                <w:sz w:val="20"/>
                <w:szCs w:val="20"/>
              </w:rPr>
            </w:pPr>
            <w:r w:rsidRPr="00314DC7">
              <w:rPr>
                <w:b/>
                <w:sz w:val="20"/>
                <w:szCs w:val="20"/>
              </w:rPr>
              <w:t xml:space="preserve">PSO </w:t>
            </w:r>
            <w:r w:rsidR="001B0A03">
              <w:rPr>
                <w:b/>
                <w:sz w:val="20"/>
                <w:szCs w:val="20"/>
              </w:rPr>
              <w:t>Lawyer H</w:t>
            </w:r>
            <w:r w:rsidRPr="00314DC7">
              <w:rPr>
                <w:b/>
                <w:sz w:val="20"/>
                <w:szCs w:val="20"/>
              </w:rPr>
              <w:t>andbook completed for publication in 2015</w:t>
            </w:r>
            <w:r>
              <w:rPr>
                <w:sz w:val="20"/>
                <w:szCs w:val="20"/>
              </w:rPr>
              <w:t xml:space="preserve"> – feedback from PSO and others has been encouraging.</w:t>
            </w:r>
          </w:p>
          <w:p w:rsidR="000B724E" w:rsidRDefault="00460F5E" w:rsidP="007D2BBC">
            <w:pPr>
              <w:pStyle w:val="ListParagraph"/>
              <w:numPr>
                <w:ilvl w:val="0"/>
                <w:numId w:val="15"/>
              </w:numPr>
              <w:spacing w:after="0"/>
              <w:rPr>
                <w:sz w:val="20"/>
                <w:szCs w:val="20"/>
              </w:rPr>
            </w:pPr>
            <w:r w:rsidRPr="001A58D1">
              <w:rPr>
                <w:b/>
                <w:sz w:val="20"/>
                <w:szCs w:val="20"/>
              </w:rPr>
              <w:t>Continuing legal education</w:t>
            </w:r>
            <w:r w:rsidRPr="00460F5E">
              <w:rPr>
                <w:sz w:val="20"/>
                <w:szCs w:val="20"/>
              </w:rPr>
              <w:t xml:space="preserve"> was conducted on various topics including: alternative charges, representative charges, the duty to cross examine, prosecution duties to call witnesses and make disclosure, and motor vehicle insurance policies. </w:t>
            </w:r>
          </w:p>
          <w:p w:rsidR="00460F5E" w:rsidRPr="00460F5E" w:rsidRDefault="00460F5E" w:rsidP="007D2BBC">
            <w:pPr>
              <w:pStyle w:val="ListParagraph"/>
              <w:numPr>
                <w:ilvl w:val="0"/>
                <w:numId w:val="15"/>
              </w:numPr>
              <w:spacing w:after="0"/>
              <w:rPr>
                <w:sz w:val="20"/>
                <w:szCs w:val="20"/>
              </w:rPr>
            </w:pPr>
            <w:r w:rsidRPr="00460F5E">
              <w:rPr>
                <w:sz w:val="20"/>
                <w:szCs w:val="20"/>
              </w:rPr>
              <w:t xml:space="preserve">PSO legal officers attended the </w:t>
            </w:r>
            <w:r w:rsidR="000B724E">
              <w:rPr>
                <w:sz w:val="20"/>
                <w:szCs w:val="20"/>
              </w:rPr>
              <w:t xml:space="preserve">Legal Advocacy Skills courses with </w:t>
            </w:r>
            <w:r w:rsidRPr="00460F5E">
              <w:rPr>
                <w:sz w:val="20"/>
                <w:szCs w:val="20"/>
              </w:rPr>
              <w:t>Vic</w:t>
            </w:r>
            <w:r w:rsidR="000B724E">
              <w:rPr>
                <w:sz w:val="20"/>
                <w:szCs w:val="20"/>
              </w:rPr>
              <w:t>torian</w:t>
            </w:r>
            <w:r w:rsidRPr="00460F5E">
              <w:rPr>
                <w:sz w:val="20"/>
                <w:szCs w:val="20"/>
              </w:rPr>
              <w:t xml:space="preserve"> Bar</w:t>
            </w:r>
            <w:r w:rsidR="000B724E">
              <w:rPr>
                <w:sz w:val="20"/>
                <w:szCs w:val="20"/>
              </w:rPr>
              <w:t xml:space="preserve"> Association</w:t>
            </w:r>
            <w:r w:rsidRPr="00460F5E">
              <w:rPr>
                <w:sz w:val="20"/>
                <w:szCs w:val="20"/>
              </w:rPr>
              <w:t xml:space="preserve"> in December 2014 for intensive advocacy training</w:t>
            </w:r>
            <w:r w:rsidR="000B724E">
              <w:rPr>
                <w:sz w:val="20"/>
                <w:szCs w:val="20"/>
              </w:rPr>
              <w:t xml:space="preserve"> as part of the JCSS CD Strategy</w:t>
            </w:r>
            <w:r w:rsidRPr="00460F5E">
              <w:rPr>
                <w:sz w:val="20"/>
                <w:szCs w:val="20"/>
              </w:rPr>
              <w:t>.</w:t>
            </w:r>
            <w:r w:rsidR="000B724E">
              <w:rPr>
                <w:sz w:val="20"/>
                <w:szCs w:val="20"/>
              </w:rPr>
              <w:t xml:space="preserve"> A total of 7 officers graduated from the inte</w:t>
            </w:r>
            <w:r w:rsidR="003B66C0">
              <w:rPr>
                <w:sz w:val="20"/>
                <w:szCs w:val="20"/>
              </w:rPr>
              <w:t>rmediate course and 5 from the a</w:t>
            </w:r>
            <w:r w:rsidR="000B724E">
              <w:rPr>
                <w:sz w:val="20"/>
                <w:szCs w:val="20"/>
              </w:rPr>
              <w:t>dvanced course</w:t>
            </w:r>
            <w:r w:rsidR="00047A57">
              <w:rPr>
                <w:sz w:val="20"/>
                <w:szCs w:val="20"/>
              </w:rPr>
              <w:t xml:space="preserve"> from a total of 10 lawyers within that office</w:t>
            </w:r>
            <w:r w:rsidR="000B724E">
              <w:rPr>
                <w:sz w:val="20"/>
                <w:szCs w:val="20"/>
              </w:rPr>
              <w:t xml:space="preserve">. </w:t>
            </w:r>
          </w:p>
          <w:p w:rsidR="00460F5E" w:rsidRDefault="00F97053" w:rsidP="007D2BBC">
            <w:pPr>
              <w:pStyle w:val="ListParagraph"/>
              <w:numPr>
                <w:ilvl w:val="0"/>
                <w:numId w:val="15"/>
              </w:numPr>
              <w:spacing w:after="0"/>
              <w:rPr>
                <w:sz w:val="20"/>
                <w:szCs w:val="20"/>
              </w:rPr>
            </w:pPr>
            <w:r>
              <w:rPr>
                <w:sz w:val="20"/>
                <w:szCs w:val="20"/>
              </w:rPr>
              <w:t>T</w:t>
            </w:r>
            <w:r w:rsidR="001B0A03">
              <w:rPr>
                <w:sz w:val="20"/>
                <w:szCs w:val="20"/>
              </w:rPr>
              <w:t>hree</w:t>
            </w:r>
            <w:r w:rsidR="00460F5E" w:rsidRPr="00305A10">
              <w:rPr>
                <w:sz w:val="20"/>
                <w:szCs w:val="20"/>
              </w:rPr>
              <w:t xml:space="preserve"> administrative staff attended </w:t>
            </w:r>
            <w:r w:rsidR="000B724E">
              <w:rPr>
                <w:sz w:val="20"/>
                <w:szCs w:val="20"/>
              </w:rPr>
              <w:t>the H</w:t>
            </w:r>
            <w:r>
              <w:rPr>
                <w:sz w:val="20"/>
                <w:szCs w:val="20"/>
              </w:rPr>
              <w:t xml:space="preserve">uman </w:t>
            </w:r>
            <w:r w:rsidR="000B724E">
              <w:rPr>
                <w:sz w:val="20"/>
                <w:szCs w:val="20"/>
              </w:rPr>
              <w:t>R</w:t>
            </w:r>
            <w:r>
              <w:rPr>
                <w:sz w:val="20"/>
                <w:szCs w:val="20"/>
              </w:rPr>
              <w:t xml:space="preserve">esource </w:t>
            </w:r>
            <w:r w:rsidR="000B724E">
              <w:rPr>
                <w:sz w:val="20"/>
                <w:szCs w:val="20"/>
              </w:rPr>
              <w:t>M</w:t>
            </w:r>
            <w:r>
              <w:rPr>
                <w:sz w:val="20"/>
                <w:szCs w:val="20"/>
              </w:rPr>
              <w:t>anagement</w:t>
            </w:r>
            <w:r w:rsidR="00460F5E" w:rsidRPr="00305A10">
              <w:rPr>
                <w:sz w:val="20"/>
                <w:szCs w:val="20"/>
              </w:rPr>
              <w:t xml:space="preserve"> </w:t>
            </w:r>
            <w:r w:rsidR="000B724E">
              <w:rPr>
                <w:sz w:val="20"/>
                <w:szCs w:val="20"/>
              </w:rPr>
              <w:t xml:space="preserve">Fundamentals </w:t>
            </w:r>
            <w:r w:rsidR="00460F5E" w:rsidRPr="00305A10">
              <w:rPr>
                <w:sz w:val="20"/>
                <w:szCs w:val="20"/>
              </w:rPr>
              <w:t>training</w:t>
            </w:r>
            <w:r w:rsidR="001B0A03">
              <w:rPr>
                <w:sz w:val="20"/>
                <w:szCs w:val="20"/>
              </w:rPr>
              <w:t xml:space="preserve"> </w:t>
            </w:r>
            <w:r w:rsidR="000B724E">
              <w:rPr>
                <w:sz w:val="20"/>
                <w:szCs w:val="20"/>
              </w:rPr>
              <w:t xml:space="preserve">delivered by Solomon Islands IPAM as part of the JCSS CD Strategy. </w:t>
            </w:r>
          </w:p>
          <w:p w:rsidR="00E15E6F" w:rsidRDefault="00E15E6F" w:rsidP="003214C1">
            <w:pPr>
              <w:spacing w:after="0"/>
              <w:rPr>
                <w:sz w:val="20"/>
                <w:szCs w:val="20"/>
              </w:rPr>
            </w:pPr>
          </w:p>
          <w:p w:rsidR="00E15E6F" w:rsidRPr="00E15E6F" w:rsidRDefault="00E15E6F" w:rsidP="003214C1">
            <w:pPr>
              <w:spacing w:after="0"/>
              <w:rPr>
                <w:b/>
                <w:sz w:val="20"/>
                <w:szCs w:val="20"/>
              </w:rPr>
            </w:pPr>
            <w:r w:rsidRPr="00E15E6F">
              <w:rPr>
                <w:b/>
                <w:sz w:val="20"/>
                <w:szCs w:val="20"/>
              </w:rPr>
              <w:t>Law Student internship program (LSIP)</w:t>
            </w:r>
          </w:p>
          <w:p w:rsidR="00E15E6F" w:rsidRDefault="00E15E6F" w:rsidP="007D2BBC">
            <w:pPr>
              <w:pStyle w:val="ListParagraph"/>
              <w:numPr>
                <w:ilvl w:val="0"/>
                <w:numId w:val="15"/>
              </w:numPr>
              <w:spacing w:after="0"/>
              <w:rPr>
                <w:sz w:val="20"/>
                <w:szCs w:val="20"/>
              </w:rPr>
            </w:pPr>
            <w:r>
              <w:rPr>
                <w:sz w:val="20"/>
                <w:szCs w:val="20"/>
              </w:rPr>
              <w:t xml:space="preserve">During the reporting period LSIP had its third intake of </w:t>
            </w:r>
            <w:r w:rsidR="00F97053">
              <w:rPr>
                <w:sz w:val="20"/>
                <w:szCs w:val="20"/>
              </w:rPr>
              <w:t xml:space="preserve">18 </w:t>
            </w:r>
            <w:r>
              <w:rPr>
                <w:sz w:val="20"/>
                <w:szCs w:val="20"/>
              </w:rPr>
              <w:t xml:space="preserve">students and a total of 50 students have successfully completed the LSIP (60% female, and 40% non </w:t>
            </w:r>
            <w:proofErr w:type="spellStart"/>
            <w:r>
              <w:rPr>
                <w:sz w:val="20"/>
                <w:szCs w:val="20"/>
              </w:rPr>
              <w:t>ni</w:t>
            </w:r>
            <w:proofErr w:type="spellEnd"/>
            <w:r>
              <w:rPr>
                <w:sz w:val="20"/>
                <w:szCs w:val="20"/>
              </w:rPr>
              <w:t>-Vanuatu)</w:t>
            </w:r>
          </w:p>
          <w:p w:rsidR="00E15E6F" w:rsidRDefault="00E15E6F" w:rsidP="007D2BBC">
            <w:pPr>
              <w:pStyle w:val="ListParagraph"/>
              <w:numPr>
                <w:ilvl w:val="0"/>
                <w:numId w:val="15"/>
              </w:numPr>
              <w:spacing w:after="0"/>
              <w:rPr>
                <w:sz w:val="20"/>
                <w:szCs w:val="20"/>
              </w:rPr>
            </w:pPr>
            <w:r>
              <w:rPr>
                <w:sz w:val="20"/>
                <w:szCs w:val="20"/>
              </w:rPr>
              <w:t>There are 14 host of</w:t>
            </w:r>
            <w:r w:rsidR="00314DC7">
              <w:rPr>
                <w:sz w:val="20"/>
                <w:szCs w:val="20"/>
              </w:rPr>
              <w:t>fices participating in the LSIP, with potential for three new host offices. There is also increased level of interest by students in LSIP.</w:t>
            </w:r>
          </w:p>
          <w:p w:rsidR="00E15E6F" w:rsidRPr="00E15E6F" w:rsidRDefault="00835762" w:rsidP="007D2BBC">
            <w:pPr>
              <w:pStyle w:val="ListParagraph"/>
              <w:numPr>
                <w:ilvl w:val="0"/>
                <w:numId w:val="15"/>
              </w:numPr>
              <w:spacing w:after="0"/>
              <w:rPr>
                <w:sz w:val="20"/>
                <w:szCs w:val="20"/>
              </w:rPr>
            </w:pPr>
            <w:r>
              <w:rPr>
                <w:sz w:val="20"/>
                <w:szCs w:val="20"/>
              </w:rPr>
              <w:t>Eight former interns have secured employment in the legal profession in Vanuatu in the last six months which is a credit to the program as providing a valuable stepping stone between study and employment being one of the intended outcomes of the program.</w:t>
            </w:r>
          </w:p>
          <w:p w:rsidR="001A58D1" w:rsidRDefault="001A58D1" w:rsidP="003214C1">
            <w:pPr>
              <w:pStyle w:val="ListParagraph"/>
              <w:spacing w:after="0"/>
              <w:ind w:left="360"/>
              <w:rPr>
                <w:sz w:val="20"/>
                <w:szCs w:val="20"/>
              </w:rPr>
            </w:pPr>
          </w:p>
          <w:p w:rsidR="00F515DF" w:rsidRPr="00F515DF" w:rsidRDefault="00F515DF" w:rsidP="003214C1">
            <w:pPr>
              <w:spacing w:after="0"/>
              <w:contextualSpacing/>
              <w:rPr>
                <w:b/>
                <w:sz w:val="20"/>
                <w:szCs w:val="20"/>
              </w:rPr>
            </w:pPr>
            <w:r w:rsidRPr="00F515DF">
              <w:rPr>
                <w:b/>
                <w:sz w:val="20"/>
                <w:szCs w:val="20"/>
              </w:rPr>
              <w:t>Systems improvement for service delivery</w:t>
            </w:r>
          </w:p>
          <w:p w:rsidR="008E1896" w:rsidRPr="00D00358" w:rsidRDefault="00645B1E" w:rsidP="003B66C0">
            <w:pPr>
              <w:pStyle w:val="ListParagraph"/>
              <w:numPr>
                <w:ilvl w:val="0"/>
                <w:numId w:val="15"/>
              </w:numPr>
              <w:spacing w:after="0"/>
              <w:rPr>
                <w:sz w:val="20"/>
                <w:szCs w:val="20"/>
              </w:rPr>
            </w:pPr>
            <w:r>
              <w:rPr>
                <w:sz w:val="20"/>
                <w:szCs w:val="20"/>
              </w:rPr>
              <w:t>Stage</w:t>
            </w:r>
            <w:r w:rsidR="009E7977">
              <w:rPr>
                <w:sz w:val="20"/>
                <w:szCs w:val="20"/>
              </w:rPr>
              <w:t xml:space="preserve"> 1 assessment (Mid 2014) and repea</w:t>
            </w:r>
            <w:r w:rsidR="0077056F">
              <w:rPr>
                <w:sz w:val="20"/>
                <w:szCs w:val="20"/>
              </w:rPr>
              <w:t xml:space="preserve">t assessment Jan 2015 </w:t>
            </w:r>
            <w:r w:rsidR="0077056F" w:rsidRPr="003B66C0">
              <w:rPr>
                <w:sz w:val="20"/>
                <w:szCs w:val="20"/>
              </w:rPr>
              <w:t>of CDMA (see Annex</w:t>
            </w:r>
            <w:r w:rsidR="003B66C0" w:rsidRPr="003B66C0">
              <w:rPr>
                <w:sz w:val="20"/>
                <w:szCs w:val="20"/>
              </w:rPr>
              <w:t xml:space="preserve"> 4</w:t>
            </w:r>
            <w:r w:rsidR="0077056F" w:rsidRPr="003B66C0">
              <w:rPr>
                <w:sz w:val="20"/>
                <w:szCs w:val="20"/>
              </w:rPr>
              <w:t>) provides</w:t>
            </w:r>
            <w:r w:rsidR="0077056F">
              <w:rPr>
                <w:sz w:val="20"/>
                <w:szCs w:val="20"/>
              </w:rPr>
              <w:t xml:space="preserve"> good overview of capacity for systems to currently support enhanced service delivery.</w:t>
            </w:r>
            <w:r w:rsidR="008E1896">
              <w:rPr>
                <w:color w:val="FF0000"/>
                <w:sz w:val="20"/>
                <w:szCs w:val="20"/>
              </w:rPr>
              <w:t xml:space="preserve"> </w:t>
            </w:r>
          </w:p>
        </w:tc>
      </w:tr>
      <w:tr w:rsidR="006F272C" w:rsidRPr="006F272C">
        <w:tc>
          <w:tcPr>
            <w:tcW w:w="13716" w:type="dxa"/>
            <w:gridSpan w:val="2"/>
            <w:shd w:val="clear" w:color="auto" w:fill="D6E3BC" w:themeFill="accent3" w:themeFillTint="66"/>
          </w:tcPr>
          <w:p w:rsidR="00D21D3E" w:rsidRPr="006F272C" w:rsidRDefault="00D21D3E" w:rsidP="00D21D3E">
            <w:pPr>
              <w:spacing w:after="0" w:line="240" w:lineRule="auto"/>
              <w:rPr>
                <w:rFonts w:asciiTheme="majorHAnsi" w:hAnsiTheme="majorHAnsi" w:cstheme="majorHAnsi"/>
                <w:b/>
                <w:sz w:val="20"/>
                <w:szCs w:val="20"/>
              </w:rPr>
            </w:pPr>
            <w:r w:rsidRPr="006F272C">
              <w:rPr>
                <w:rFonts w:asciiTheme="majorHAnsi" w:hAnsiTheme="majorHAnsi" w:cstheme="majorHAnsi"/>
                <w:b/>
                <w:sz w:val="20"/>
                <w:szCs w:val="20"/>
              </w:rPr>
              <w:lastRenderedPageBreak/>
              <w:t>Component 3: End-of-Program-Outcomes:</w:t>
            </w:r>
          </w:p>
          <w:p w:rsidR="00D21D3E" w:rsidRPr="006F272C" w:rsidRDefault="00D21D3E" w:rsidP="007D2BBC">
            <w:pPr>
              <w:pStyle w:val="ListParagraph"/>
              <w:numPr>
                <w:ilvl w:val="0"/>
                <w:numId w:val="7"/>
              </w:numPr>
              <w:spacing w:after="0" w:line="240" w:lineRule="auto"/>
              <w:contextualSpacing/>
              <w:rPr>
                <w:rFonts w:asciiTheme="majorHAnsi" w:hAnsiTheme="majorHAnsi" w:cstheme="majorHAnsi"/>
                <w:sz w:val="20"/>
                <w:szCs w:val="20"/>
              </w:rPr>
            </w:pPr>
            <w:r w:rsidRPr="006F272C">
              <w:rPr>
                <w:rFonts w:asciiTheme="majorHAnsi" w:hAnsiTheme="majorHAnsi" w:cstheme="majorHAnsi"/>
                <w:sz w:val="20"/>
                <w:szCs w:val="20"/>
              </w:rPr>
              <w:t>The VPF and justice and community services agencies use evidence to support improved responses to the needs of women, children, and youth</w:t>
            </w:r>
          </w:p>
          <w:p w:rsidR="00D21D3E" w:rsidRPr="006F272C" w:rsidRDefault="00D21D3E" w:rsidP="007D2BBC">
            <w:pPr>
              <w:pStyle w:val="ListParagraph"/>
              <w:numPr>
                <w:ilvl w:val="0"/>
                <w:numId w:val="7"/>
              </w:numPr>
              <w:spacing w:after="0" w:line="240" w:lineRule="auto"/>
              <w:rPr>
                <w:sz w:val="20"/>
                <w:szCs w:val="20"/>
              </w:rPr>
            </w:pPr>
            <w:r w:rsidRPr="006F272C">
              <w:rPr>
                <w:rFonts w:asciiTheme="majorHAnsi" w:hAnsiTheme="majorHAnsi" w:cstheme="majorHAnsi"/>
                <w:sz w:val="20"/>
                <w:szCs w:val="20"/>
              </w:rPr>
              <w:t>The VPF and justice and community services agencies implement targeted initiatives that deliver better services to women, children, and youth</w:t>
            </w:r>
          </w:p>
        </w:tc>
      </w:tr>
      <w:tr w:rsidR="006F272C" w:rsidRPr="006F272C">
        <w:tc>
          <w:tcPr>
            <w:tcW w:w="4621" w:type="dxa"/>
          </w:tcPr>
          <w:p w:rsidR="00D21D3E" w:rsidRPr="006F272C" w:rsidRDefault="00D21D3E" w:rsidP="00D21D3E">
            <w:pPr>
              <w:spacing w:after="0" w:line="240" w:lineRule="auto"/>
              <w:rPr>
                <w:rFonts w:cstheme="minorHAnsi"/>
                <w:sz w:val="20"/>
                <w:szCs w:val="20"/>
              </w:rPr>
            </w:pPr>
            <w:r w:rsidRPr="006F272C">
              <w:rPr>
                <w:rFonts w:cstheme="minorHAnsi"/>
                <w:b/>
                <w:sz w:val="20"/>
                <w:szCs w:val="20"/>
              </w:rPr>
              <w:t>Intermediate Outcome 3.1:</w:t>
            </w:r>
            <w:r w:rsidRPr="006F272C">
              <w:rPr>
                <w:rFonts w:cstheme="minorHAnsi"/>
                <w:sz w:val="20"/>
                <w:szCs w:val="20"/>
              </w:rPr>
              <w:t xml:space="preserve"> </w:t>
            </w:r>
          </w:p>
          <w:p w:rsidR="00AD0800" w:rsidRPr="006F272C" w:rsidRDefault="00D21D3E" w:rsidP="00D21D3E">
            <w:pPr>
              <w:spacing w:after="0" w:line="240" w:lineRule="auto"/>
              <w:rPr>
                <w:sz w:val="20"/>
                <w:szCs w:val="20"/>
              </w:rPr>
            </w:pPr>
            <w:r w:rsidRPr="006F272C">
              <w:rPr>
                <w:rFonts w:cstheme="minorHAnsi"/>
                <w:sz w:val="20"/>
                <w:szCs w:val="20"/>
              </w:rPr>
              <w:t xml:space="preserve">Decisions about appropriate interface between </w:t>
            </w:r>
            <w:r w:rsidRPr="006F272C">
              <w:rPr>
                <w:rFonts w:cstheme="minorHAnsi"/>
                <w:sz w:val="20"/>
                <w:szCs w:val="20"/>
              </w:rPr>
              <w:lastRenderedPageBreak/>
              <w:t>police, formal justice and kastom, in relation to working with women, children and youth, informed by evidence based research.</w:t>
            </w:r>
          </w:p>
        </w:tc>
        <w:tc>
          <w:tcPr>
            <w:tcW w:w="9095" w:type="dxa"/>
          </w:tcPr>
          <w:p w:rsidR="00AD0800" w:rsidRPr="006F272C" w:rsidRDefault="0020742E" w:rsidP="0057669A">
            <w:pPr>
              <w:pStyle w:val="ListParagraph"/>
              <w:numPr>
                <w:ilvl w:val="0"/>
                <w:numId w:val="12"/>
              </w:numPr>
              <w:spacing w:after="0"/>
              <w:rPr>
                <w:sz w:val="20"/>
                <w:szCs w:val="20"/>
              </w:rPr>
            </w:pPr>
            <w:r w:rsidRPr="00F515DF">
              <w:rPr>
                <w:rFonts w:eastAsiaTheme="minorHAnsi"/>
                <w:b/>
                <w:sz w:val="20"/>
                <w:szCs w:val="20"/>
              </w:rPr>
              <w:lastRenderedPageBreak/>
              <w:t>The rationale, background, process and costing for the broader research piece has been completed</w:t>
            </w:r>
            <w:r w:rsidR="00F515DF">
              <w:rPr>
                <w:rFonts w:eastAsiaTheme="minorHAnsi"/>
                <w:sz w:val="20"/>
                <w:szCs w:val="20"/>
              </w:rPr>
              <w:t xml:space="preserve">. </w:t>
            </w:r>
            <w:r w:rsidR="00F515DF">
              <w:rPr>
                <w:rFonts w:eastAsiaTheme="minorHAnsi"/>
                <w:sz w:val="20"/>
                <w:szCs w:val="20"/>
              </w:rPr>
              <w:lastRenderedPageBreak/>
              <w:t xml:space="preserve">This will </w:t>
            </w:r>
            <w:r>
              <w:rPr>
                <w:rFonts w:eastAsiaTheme="minorHAnsi"/>
                <w:sz w:val="20"/>
                <w:szCs w:val="20"/>
              </w:rPr>
              <w:t xml:space="preserve">provide an evidence base </w:t>
            </w:r>
            <w:r w:rsidR="0057669A">
              <w:rPr>
                <w:rFonts w:eastAsiaTheme="minorHAnsi"/>
                <w:sz w:val="20"/>
                <w:szCs w:val="20"/>
              </w:rPr>
              <w:t xml:space="preserve">for </w:t>
            </w:r>
            <w:r>
              <w:rPr>
                <w:rFonts w:eastAsiaTheme="minorHAnsi"/>
                <w:sz w:val="20"/>
                <w:szCs w:val="20"/>
              </w:rPr>
              <w:t>the interface between formal justice and kastom</w:t>
            </w:r>
            <w:r w:rsidR="00F515DF">
              <w:rPr>
                <w:rFonts w:eastAsiaTheme="minorHAnsi"/>
                <w:sz w:val="20"/>
                <w:szCs w:val="20"/>
              </w:rPr>
              <w:t xml:space="preserve"> and the current management of conflicts</w:t>
            </w:r>
            <w:r w:rsidR="0057669A">
              <w:rPr>
                <w:rFonts w:eastAsiaTheme="minorHAnsi"/>
                <w:sz w:val="20"/>
                <w:szCs w:val="20"/>
              </w:rPr>
              <w:t>, particularly as experienced at the community level</w:t>
            </w:r>
            <w:r w:rsidRPr="0020742E">
              <w:rPr>
                <w:rFonts w:eastAsiaTheme="minorHAnsi"/>
                <w:sz w:val="20"/>
                <w:szCs w:val="20"/>
              </w:rPr>
              <w:t xml:space="preserve">.  The research questions and instruments will be developed by the </w:t>
            </w:r>
            <w:r w:rsidR="00F97053">
              <w:rPr>
                <w:rFonts w:eastAsiaTheme="minorHAnsi"/>
                <w:sz w:val="20"/>
                <w:szCs w:val="20"/>
              </w:rPr>
              <w:t>adviser</w:t>
            </w:r>
            <w:r w:rsidRPr="0020742E">
              <w:rPr>
                <w:rFonts w:eastAsiaTheme="minorHAnsi"/>
                <w:sz w:val="20"/>
                <w:szCs w:val="20"/>
              </w:rPr>
              <w:t xml:space="preserve">, but </w:t>
            </w:r>
            <w:r w:rsidR="00F515DF">
              <w:rPr>
                <w:rFonts w:eastAsiaTheme="minorHAnsi"/>
                <w:sz w:val="20"/>
                <w:szCs w:val="20"/>
              </w:rPr>
              <w:t xml:space="preserve">will be </w:t>
            </w:r>
            <w:r w:rsidRPr="0020742E">
              <w:rPr>
                <w:rFonts w:eastAsiaTheme="minorHAnsi"/>
                <w:sz w:val="20"/>
                <w:szCs w:val="20"/>
              </w:rPr>
              <w:t>consulted</w:t>
            </w:r>
            <w:r w:rsidR="00F515DF">
              <w:rPr>
                <w:rFonts w:eastAsiaTheme="minorHAnsi"/>
                <w:sz w:val="20"/>
                <w:szCs w:val="20"/>
              </w:rPr>
              <w:t xml:space="preserve"> upon </w:t>
            </w:r>
            <w:r w:rsidRPr="0020742E">
              <w:rPr>
                <w:rFonts w:eastAsiaTheme="minorHAnsi"/>
                <w:sz w:val="20"/>
                <w:szCs w:val="20"/>
              </w:rPr>
              <w:t xml:space="preserve">broadly with stakeholders, through the first few months of 2015.  </w:t>
            </w:r>
          </w:p>
        </w:tc>
      </w:tr>
      <w:tr w:rsidR="006F272C" w:rsidRPr="006F272C">
        <w:tc>
          <w:tcPr>
            <w:tcW w:w="4621" w:type="dxa"/>
          </w:tcPr>
          <w:p w:rsidR="00FE0C31" w:rsidRPr="00ED5D49" w:rsidRDefault="00FE0C31" w:rsidP="00FE0C31">
            <w:pPr>
              <w:spacing w:after="0" w:line="240" w:lineRule="auto"/>
              <w:rPr>
                <w:rFonts w:asciiTheme="majorHAnsi" w:hAnsiTheme="majorHAnsi" w:cstheme="majorHAnsi"/>
                <w:sz w:val="20"/>
                <w:szCs w:val="20"/>
              </w:rPr>
            </w:pPr>
            <w:r>
              <w:rPr>
                <w:rFonts w:asciiTheme="majorHAnsi" w:hAnsiTheme="majorHAnsi" w:cstheme="majorHAnsi"/>
                <w:b/>
                <w:sz w:val="20"/>
                <w:szCs w:val="20"/>
              </w:rPr>
              <w:lastRenderedPageBreak/>
              <w:t>Intermediate Outcome 3.2</w:t>
            </w:r>
            <w:r w:rsidRPr="00ED5D49">
              <w:rPr>
                <w:rFonts w:asciiTheme="majorHAnsi" w:hAnsiTheme="majorHAnsi" w:cstheme="majorHAnsi"/>
                <w:sz w:val="20"/>
                <w:szCs w:val="20"/>
              </w:rPr>
              <w:t>:</w:t>
            </w:r>
          </w:p>
          <w:p w:rsidR="00AD0800" w:rsidRPr="006F272C" w:rsidRDefault="00FE0C31" w:rsidP="00FE0C31">
            <w:pPr>
              <w:spacing w:after="0" w:line="240" w:lineRule="auto"/>
              <w:rPr>
                <w:sz w:val="20"/>
                <w:szCs w:val="20"/>
              </w:rPr>
            </w:pPr>
            <w:r w:rsidRPr="00ED5D49">
              <w:rPr>
                <w:rFonts w:asciiTheme="majorHAnsi" w:hAnsiTheme="majorHAnsi" w:cstheme="majorHAnsi"/>
                <w:sz w:val="20"/>
                <w:szCs w:val="20"/>
              </w:rPr>
              <w:t>Government and non-government partners are supported to implement agreed programming on child protection</w:t>
            </w:r>
          </w:p>
        </w:tc>
        <w:tc>
          <w:tcPr>
            <w:tcW w:w="9095" w:type="dxa"/>
          </w:tcPr>
          <w:p w:rsidR="00AD0800" w:rsidRDefault="0020742E" w:rsidP="007D2BBC">
            <w:pPr>
              <w:pStyle w:val="ListParagraph"/>
              <w:numPr>
                <w:ilvl w:val="0"/>
                <w:numId w:val="12"/>
              </w:numPr>
              <w:spacing w:after="0"/>
              <w:rPr>
                <w:sz w:val="20"/>
                <w:szCs w:val="20"/>
              </w:rPr>
            </w:pPr>
            <w:r w:rsidRPr="00F515DF">
              <w:rPr>
                <w:b/>
                <w:sz w:val="20"/>
                <w:szCs w:val="20"/>
              </w:rPr>
              <w:t>SCV</w:t>
            </w:r>
            <w:r>
              <w:rPr>
                <w:sz w:val="20"/>
                <w:szCs w:val="20"/>
              </w:rPr>
              <w:t xml:space="preserve"> has been supported with a grant to end of 2016 to work </w:t>
            </w:r>
            <w:r w:rsidR="00F515DF">
              <w:rPr>
                <w:sz w:val="20"/>
                <w:szCs w:val="20"/>
              </w:rPr>
              <w:t>with</w:t>
            </w:r>
            <w:r>
              <w:rPr>
                <w:sz w:val="20"/>
                <w:szCs w:val="20"/>
              </w:rPr>
              <w:t xml:space="preserve"> national</w:t>
            </w:r>
            <w:r w:rsidR="00F515DF">
              <w:rPr>
                <w:sz w:val="20"/>
                <w:szCs w:val="20"/>
              </w:rPr>
              <w:t xml:space="preserve"> actors, specific duty bearers</w:t>
            </w:r>
            <w:r w:rsidR="00F97053">
              <w:rPr>
                <w:sz w:val="20"/>
                <w:szCs w:val="20"/>
              </w:rPr>
              <w:t xml:space="preserve"> and communities </w:t>
            </w:r>
            <w:r>
              <w:rPr>
                <w:sz w:val="20"/>
                <w:szCs w:val="20"/>
              </w:rPr>
              <w:t xml:space="preserve">to support Child Protection. Since design of Stage </w:t>
            </w:r>
            <w:r w:rsidR="00F515DF">
              <w:rPr>
                <w:sz w:val="20"/>
                <w:szCs w:val="20"/>
              </w:rPr>
              <w:t>2</w:t>
            </w:r>
            <w:r>
              <w:rPr>
                <w:sz w:val="20"/>
                <w:szCs w:val="20"/>
              </w:rPr>
              <w:t xml:space="preserve"> of the CP Program, SCV have recruited staff, developed a draft </w:t>
            </w:r>
            <w:proofErr w:type="spellStart"/>
            <w:r>
              <w:rPr>
                <w:sz w:val="20"/>
                <w:szCs w:val="20"/>
              </w:rPr>
              <w:t>workplan</w:t>
            </w:r>
            <w:proofErr w:type="spellEnd"/>
            <w:r>
              <w:rPr>
                <w:sz w:val="20"/>
                <w:szCs w:val="20"/>
              </w:rPr>
              <w:t xml:space="preserve"> and </w:t>
            </w:r>
            <w:r w:rsidR="00F515DF">
              <w:rPr>
                <w:sz w:val="20"/>
                <w:szCs w:val="20"/>
              </w:rPr>
              <w:t xml:space="preserve">draft </w:t>
            </w:r>
            <w:r>
              <w:rPr>
                <w:sz w:val="20"/>
                <w:szCs w:val="20"/>
              </w:rPr>
              <w:t xml:space="preserve">monitoring and evaluation framework for further refinement. </w:t>
            </w:r>
            <w:r w:rsidR="00F97053">
              <w:rPr>
                <w:sz w:val="20"/>
                <w:szCs w:val="20"/>
              </w:rPr>
              <w:t xml:space="preserve">Community mapping is planned for February. </w:t>
            </w:r>
            <w:r w:rsidR="00761882">
              <w:rPr>
                <w:sz w:val="20"/>
                <w:szCs w:val="20"/>
              </w:rPr>
              <w:t>The f</w:t>
            </w:r>
            <w:r w:rsidR="00F97053">
              <w:rPr>
                <w:sz w:val="20"/>
                <w:szCs w:val="20"/>
              </w:rPr>
              <w:t xml:space="preserve">irst six month progress report is due in April. </w:t>
            </w:r>
          </w:p>
          <w:p w:rsidR="0020742E" w:rsidRDefault="0020742E" w:rsidP="007D2BBC">
            <w:pPr>
              <w:pStyle w:val="ListParagraph"/>
              <w:numPr>
                <w:ilvl w:val="0"/>
                <w:numId w:val="12"/>
              </w:numPr>
              <w:spacing w:after="0"/>
              <w:rPr>
                <w:sz w:val="20"/>
                <w:szCs w:val="20"/>
              </w:rPr>
            </w:pPr>
            <w:r w:rsidRPr="00F515DF">
              <w:rPr>
                <w:b/>
                <w:sz w:val="20"/>
                <w:szCs w:val="20"/>
              </w:rPr>
              <w:t>Child Desk</w:t>
            </w:r>
            <w:r>
              <w:rPr>
                <w:sz w:val="20"/>
                <w:szCs w:val="20"/>
              </w:rPr>
              <w:t xml:space="preserve">, MJCS has been supported to develop </w:t>
            </w:r>
            <w:r w:rsidR="00F97053">
              <w:rPr>
                <w:sz w:val="20"/>
                <w:szCs w:val="20"/>
              </w:rPr>
              <w:t>terms of reference</w:t>
            </w:r>
            <w:r>
              <w:rPr>
                <w:sz w:val="20"/>
                <w:szCs w:val="20"/>
              </w:rPr>
              <w:t xml:space="preserve"> for the recruitment of </w:t>
            </w:r>
            <w:r w:rsidR="00F97053">
              <w:rPr>
                <w:sz w:val="20"/>
                <w:szCs w:val="20"/>
              </w:rPr>
              <w:t>technical assistance</w:t>
            </w:r>
            <w:r>
              <w:rPr>
                <w:sz w:val="20"/>
                <w:szCs w:val="20"/>
              </w:rPr>
              <w:t xml:space="preserve"> to support the development of a National Child Protection Policy and a National Child Policy. The TOR need to be approved by the DG and the grant agreement progressed to allow for recruitment and support for this work</w:t>
            </w:r>
            <w:r w:rsidR="00F515DF">
              <w:rPr>
                <w:sz w:val="20"/>
                <w:szCs w:val="20"/>
              </w:rPr>
              <w:t xml:space="preserve"> which is planned for 2015</w:t>
            </w:r>
            <w:r>
              <w:rPr>
                <w:sz w:val="20"/>
                <w:szCs w:val="20"/>
              </w:rPr>
              <w:t>.</w:t>
            </w:r>
          </w:p>
          <w:p w:rsidR="007C509E" w:rsidRPr="0020742E" w:rsidRDefault="00F97053" w:rsidP="007D2BBC">
            <w:pPr>
              <w:pStyle w:val="ListParagraph"/>
              <w:numPr>
                <w:ilvl w:val="0"/>
                <w:numId w:val="12"/>
              </w:numPr>
              <w:spacing w:after="0"/>
              <w:rPr>
                <w:sz w:val="20"/>
                <w:szCs w:val="20"/>
              </w:rPr>
            </w:pPr>
            <w:r w:rsidRPr="00F97053">
              <w:rPr>
                <w:rFonts w:cstheme="minorHAnsi"/>
                <w:b/>
                <w:sz w:val="20"/>
                <w:szCs w:val="20"/>
              </w:rPr>
              <w:t>Magistrates’ Court</w:t>
            </w:r>
            <w:r w:rsidR="007C509E">
              <w:rPr>
                <w:rFonts w:cstheme="minorHAnsi"/>
                <w:sz w:val="20"/>
                <w:szCs w:val="20"/>
              </w:rPr>
              <w:t xml:space="preserve"> have designated days</w:t>
            </w:r>
            <w:r w:rsidR="00F515DF">
              <w:rPr>
                <w:rFonts w:cstheme="minorHAnsi"/>
                <w:sz w:val="20"/>
                <w:szCs w:val="20"/>
              </w:rPr>
              <w:t xml:space="preserve"> to hear juvenile matters</w:t>
            </w:r>
            <w:r w:rsidR="007C509E">
              <w:rPr>
                <w:rFonts w:cstheme="minorHAnsi"/>
                <w:sz w:val="20"/>
                <w:szCs w:val="20"/>
              </w:rPr>
              <w:t xml:space="preserve"> but these have recently declined in number.</w:t>
            </w:r>
          </w:p>
        </w:tc>
      </w:tr>
      <w:tr w:rsidR="006F272C" w:rsidRPr="006F272C">
        <w:tc>
          <w:tcPr>
            <w:tcW w:w="4621" w:type="dxa"/>
          </w:tcPr>
          <w:p w:rsidR="00E04DB7" w:rsidRDefault="00E04DB7" w:rsidP="00E04DB7">
            <w:pPr>
              <w:spacing w:after="0" w:line="240" w:lineRule="auto"/>
              <w:contextualSpacing/>
              <w:rPr>
                <w:rFonts w:asciiTheme="majorHAnsi" w:hAnsiTheme="majorHAnsi" w:cstheme="majorHAnsi"/>
                <w:sz w:val="20"/>
                <w:szCs w:val="20"/>
              </w:rPr>
            </w:pPr>
            <w:r>
              <w:rPr>
                <w:rFonts w:asciiTheme="majorHAnsi" w:hAnsiTheme="majorHAnsi" w:cstheme="majorHAnsi"/>
                <w:b/>
                <w:sz w:val="20"/>
                <w:szCs w:val="20"/>
              </w:rPr>
              <w:t>Intermediate Outcome 3.3 (a)</w:t>
            </w:r>
          </w:p>
          <w:p w:rsidR="00AD0800" w:rsidRPr="006F272C" w:rsidRDefault="00E04DB7" w:rsidP="00E04DB7">
            <w:pPr>
              <w:spacing w:after="0" w:line="240" w:lineRule="auto"/>
              <w:rPr>
                <w:sz w:val="20"/>
                <w:szCs w:val="20"/>
              </w:rPr>
            </w:pPr>
            <w:r w:rsidRPr="00A11741">
              <w:rPr>
                <w:sz w:val="20"/>
                <w:szCs w:val="20"/>
                <w:lang w:val="en-AU"/>
              </w:rPr>
              <w:t>The network of</w:t>
            </w:r>
            <w:r w:rsidRPr="00A11741">
              <w:rPr>
                <w:b/>
                <w:sz w:val="20"/>
                <w:szCs w:val="20"/>
                <w:lang w:val="en-AU"/>
              </w:rPr>
              <w:t xml:space="preserve"> </w:t>
            </w:r>
            <w:r w:rsidRPr="00A11741">
              <w:rPr>
                <w:sz w:val="20"/>
                <w:szCs w:val="20"/>
                <w:lang w:val="en-AU"/>
              </w:rPr>
              <w:t>institutions and practices supporting women experiencing family violence is extended and strengthened.</w:t>
            </w:r>
          </w:p>
        </w:tc>
        <w:tc>
          <w:tcPr>
            <w:tcW w:w="9095" w:type="dxa"/>
          </w:tcPr>
          <w:p w:rsidR="00AD0800" w:rsidRDefault="0020742E" w:rsidP="007D2BBC">
            <w:pPr>
              <w:pStyle w:val="ListParagraph"/>
              <w:numPr>
                <w:ilvl w:val="0"/>
                <w:numId w:val="13"/>
              </w:numPr>
              <w:spacing w:after="0"/>
              <w:rPr>
                <w:sz w:val="20"/>
                <w:szCs w:val="20"/>
              </w:rPr>
            </w:pPr>
            <w:r w:rsidRPr="003D0308">
              <w:rPr>
                <w:b/>
                <w:sz w:val="20"/>
                <w:szCs w:val="20"/>
              </w:rPr>
              <w:t>DWA has been assisted</w:t>
            </w:r>
            <w:r w:rsidR="003D0308" w:rsidRPr="003D0308">
              <w:rPr>
                <w:b/>
                <w:sz w:val="20"/>
                <w:szCs w:val="20"/>
              </w:rPr>
              <w:t xml:space="preserve"> </w:t>
            </w:r>
            <w:r w:rsidR="0057669A">
              <w:rPr>
                <w:b/>
                <w:sz w:val="20"/>
                <w:szCs w:val="20"/>
              </w:rPr>
              <w:t>(</w:t>
            </w:r>
            <w:r w:rsidR="003D0308" w:rsidRPr="003D0308">
              <w:rPr>
                <w:b/>
                <w:sz w:val="20"/>
                <w:szCs w:val="20"/>
              </w:rPr>
              <w:t>at its specific request</w:t>
            </w:r>
            <w:r w:rsidR="0057669A">
              <w:rPr>
                <w:b/>
                <w:sz w:val="20"/>
                <w:szCs w:val="20"/>
              </w:rPr>
              <w:t>)</w:t>
            </w:r>
            <w:r w:rsidRPr="003D0308">
              <w:rPr>
                <w:b/>
                <w:sz w:val="20"/>
                <w:szCs w:val="20"/>
              </w:rPr>
              <w:t xml:space="preserve"> to develop a </w:t>
            </w:r>
            <w:proofErr w:type="spellStart"/>
            <w:r w:rsidRPr="003D0308">
              <w:rPr>
                <w:b/>
                <w:sz w:val="20"/>
                <w:szCs w:val="20"/>
              </w:rPr>
              <w:t>workplan</w:t>
            </w:r>
            <w:proofErr w:type="spellEnd"/>
            <w:r w:rsidRPr="003D0308">
              <w:rPr>
                <w:b/>
                <w:sz w:val="20"/>
                <w:szCs w:val="20"/>
              </w:rPr>
              <w:t xml:space="preserve"> for the piloting of the appointment of Authorised Persons and Registered Counsellors</w:t>
            </w:r>
            <w:r w:rsidR="00F515DF" w:rsidRPr="003D0308">
              <w:rPr>
                <w:b/>
                <w:sz w:val="20"/>
                <w:szCs w:val="20"/>
              </w:rPr>
              <w:t xml:space="preserve"> under the Family Protection Act</w:t>
            </w:r>
            <w:r>
              <w:rPr>
                <w:sz w:val="20"/>
                <w:szCs w:val="20"/>
              </w:rPr>
              <w:t xml:space="preserve"> at the community level </w:t>
            </w:r>
            <w:r w:rsidR="00761882">
              <w:rPr>
                <w:sz w:val="20"/>
                <w:szCs w:val="20"/>
              </w:rPr>
              <w:t xml:space="preserve">(in select communities in Port Vila, </w:t>
            </w:r>
            <w:r>
              <w:rPr>
                <w:sz w:val="20"/>
                <w:szCs w:val="20"/>
              </w:rPr>
              <w:t xml:space="preserve">North Efate, South Santo and </w:t>
            </w:r>
            <w:proofErr w:type="spellStart"/>
            <w:r>
              <w:rPr>
                <w:sz w:val="20"/>
                <w:szCs w:val="20"/>
              </w:rPr>
              <w:t>Tanna</w:t>
            </w:r>
            <w:proofErr w:type="spellEnd"/>
            <w:r w:rsidR="00761882">
              <w:rPr>
                <w:sz w:val="20"/>
                <w:szCs w:val="20"/>
              </w:rPr>
              <w:t>)</w:t>
            </w:r>
            <w:r>
              <w:rPr>
                <w:sz w:val="20"/>
                <w:szCs w:val="20"/>
              </w:rPr>
              <w:t xml:space="preserve">. </w:t>
            </w:r>
            <w:r w:rsidR="003D0308">
              <w:rPr>
                <w:sz w:val="20"/>
                <w:szCs w:val="20"/>
              </w:rPr>
              <w:t>This was a positive change in the context that SRBJ was in a position to respond to</w:t>
            </w:r>
            <w:r w:rsidR="0057669A">
              <w:rPr>
                <w:sz w:val="20"/>
                <w:szCs w:val="20"/>
              </w:rPr>
              <w:t>,</w:t>
            </w:r>
            <w:r w:rsidR="003D0308">
              <w:rPr>
                <w:sz w:val="20"/>
                <w:szCs w:val="20"/>
              </w:rPr>
              <w:t xml:space="preserve"> and which will strengthen the proposed work of the program in the areas of violence against women. </w:t>
            </w:r>
          </w:p>
          <w:p w:rsidR="006D7AD2" w:rsidRDefault="006D7AD2" w:rsidP="007D2BBC">
            <w:pPr>
              <w:pStyle w:val="ListParagraph"/>
              <w:numPr>
                <w:ilvl w:val="0"/>
                <w:numId w:val="13"/>
              </w:numPr>
              <w:spacing w:after="0"/>
              <w:rPr>
                <w:sz w:val="20"/>
                <w:szCs w:val="20"/>
              </w:rPr>
            </w:pPr>
            <w:r>
              <w:rPr>
                <w:b/>
                <w:sz w:val="20"/>
                <w:szCs w:val="20"/>
              </w:rPr>
              <w:t xml:space="preserve">Work with DWA (including community mapping and interviews with potential Authorised Persons) </w:t>
            </w:r>
            <w:r w:rsidRPr="00E04DB7">
              <w:rPr>
                <w:sz w:val="20"/>
                <w:szCs w:val="20"/>
              </w:rPr>
              <w:t>through this period helped to identify key challenges facing the implementation of Authorised Persons and Registered Counsellors at the community level. This learning will be incorporated into piloting carried out with DWA in 2015.</w:t>
            </w:r>
            <w:r>
              <w:rPr>
                <w:b/>
                <w:sz w:val="20"/>
                <w:szCs w:val="20"/>
              </w:rPr>
              <w:t xml:space="preserve">  </w:t>
            </w:r>
          </w:p>
          <w:p w:rsidR="0020742E" w:rsidRDefault="0057669A" w:rsidP="007D2BBC">
            <w:pPr>
              <w:pStyle w:val="ListParagraph"/>
              <w:numPr>
                <w:ilvl w:val="0"/>
                <w:numId w:val="13"/>
              </w:numPr>
              <w:spacing w:after="0"/>
              <w:rPr>
                <w:sz w:val="20"/>
                <w:szCs w:val="20"/>
              </w:rPr>
            </w:pPr>
            <w:r>
              <w:rPr>
                <w:b/>
                <w:sz w:val="20"/>
                <w:szCs w:val="20"/>
              </w:rPr>
              <w:t>The</w:t>
            </w:r>
            <w:r w:rsidR="0020742E" w:rsidRPr="003D0308">
              <w:rPr>
                <w:b/>
                <w:sz w:val="20"/>
                <w:szCs w:val="20"/>
              </w:rPr>
              <w:t xml:space="preserve"> </w:t>
            </w:r>
            <w:r w:rsidR="007C509E" w:rsidRPr="003D0308">
              <w:rPr>
                <w:b/>
                <w:sz w:val="20"/>
                <w:szCs w:val="20"/>
              </w:rPr>
              <w:t>rationale, background and approach to a research piece has been developed</w:t>
            </w:r>
            <w:r w:rsidR="007C509E">
              <w:rPr>
                <w:sz w:val="20"/>
                <w:szCs w:val="20"/>
              </w:rPr>
              <w:t>, that will support subsequent targeted interventions to strengthen and extend institutions and practices supporting women</w:t>
            </w:r>
            <w:r w:rsidR="003D0308">
              <w:rPr>
                <w:sz w:val="20"/>
                <w:szCs w:val="20"/>
              </w:rPr>
              <w:t>, but can also support work related to youth and provide an evidence base for the targeting of interventions with justice agencies more broadly</w:t>
            </w:r>
            <w:r w:rsidR="007C509E">
              <w:rPr>
                <w:sz w:val="20"/>
                <w:szCs w:val="20"/>
              </w:rPr>
              <w:t xml:space="preserve">. </w:t>
            </w:r>
          </w:p>
          <w:p w:rsidR="003D0308" w:rsidRPr="003D0308" w:rsidRDefault="00F515DF" w:rsidP="007D2BBC">
            <w:pPr>
              <w:pStyle w:val="ListParagraph"/>
              <w:numPr>
                <w:ilvl w:val="0"/>
                <w:numId w:val="13"/>
              </w:numPr>
              <w:spacing w:after="0"/>
              <w:rPr>
                <w:sz w:val="20"/>
                <w:szCs w:val="20"/>
              </w:rPr>
            </w:pPr>
            <w:r w:rsidRPr="003D0308">
              <w:rPr>
                <w:rFonts w:eastAsiaTheme="minorHAnsi"/>
                <w:b/>
                <w:sz w:val="20"/>
                <w:szCs w:val="20"/>
              </w:rPr>
              <w:t>A</w:t>
            </w:r>
            <w:r w:rsidR="00F67DD3" w:rsidRPr="003D0308">
              <w:rPr>
                <w:rFonts w:eastAsiaTheme="minorHAnsi"/>
                <w:b/>
                <w:sz w:val="20"/>
                <w:szCs w:val="20"/>
              </w:rPr>
              <w:t xml:space="preserve">ll key stakeholders (including some community members) </w:t>
            </w:r>
            <w:r w:rsidRPr="003D0308">
              <w:rPr>
                <w:rFonts w:eastAsiaTheme="minorHAnsi"/>
                <w:b/>
                <w:sz w:val="20"/>
                <w:szCs w:val="20"/>
              </w:rPr>
              <w:t>in Malekula have been consulted</w:t>
            </w:r>
            <w:r w:rsidRPr="00F515DF">
              <w:rPr>
                <w:rFonts w:eastAsiaTheme="minorHAnsi"/>
                <w:sz w:val="20"/>
                <w:szCs w:val="20"/>
              </w:rPr>
              <w:t xml:space="preserve"> with respect to </w:t>
            </w:r>
            <w:r w:rsidR="00F67DD3" w:rsidRPr="00F515DF">
              <w:rPr>
                <w:rFonts w:eastAsiaTheme="minorHAnsi"/>
                <w:sz w:val="20"/>
                <w:szCs w:val="20"/>
              </w:rPr>
              <w:t xml:space="preserve">plans for the research and the overall work of this aspect of SRBJ.  People have been identified to participate in a working group on Malekula, and this has been flagged with all stakeholders </w:t>
            </w:r>
            <w:r w:rsidR="00F67DD3" w:rsidRPr="00F515DF">
              <w:rPr>
                <w:rFonts w:eastAsiaTheme="minorHAnsi"/>
                <w:sz w:val="20"/>
                <w:szCs w:val="20"/>
              </w:rPr>
              <w:lastRenderedPageBreak/>
              <w:t xml:space="preserve">(with the group convened as needed). </w:t>
            </w:r>
          </w:p>
          <w:p w:rsidR="00F67DD3" w:rsidRPr="00F515DF" w:rsidRDefault="00F515DF" w:rsidP="007D2BBC">
            <w:pPr>
              <w:pStyle w:val="ListParagraph"/>
              <w:numPr>
                <w:ilvl w:val="0"/>
                <w:numId w:val="13"/>
              </w:numPr>
              <w:spacing w:after="0"/>
              <w:rPr>
                <w:sz w:val="20"/>
                <w:szCs w:val="20"/>
              </w:rPr>
            </w:pPr>
            <w:r w:rsidRPr="00F515DF">
              <w:rPr>
                <w:rFonts w:eastAsiaTheme="minorHAnsi"/>
                <w:sz w:val="20"/>
                <w:szCs w:val="20"/>
              </w:rPr>
              <w:t xml:space="preserve">The </w:t>
            </w:r>
            <w:r w:rsidRPr="003D0308">
              <w:rPr>
                <w:rFonts w:eastAsiaTheme="minorHAnsi"/>
                <w:b/>
                <w:sz w:val="20"/>
                <w:szCs w:val="20"/>
              </w:rPr>
              <w:t>consultations re-affirmed the findings of the Case Study</w:t>
            </w:r>
            <w:r w:rsidRPr="00F515DF">
              <w:rPr>
                <w:rFonts w:eastAsiaTheme="minorHAnsi"/>
                <w:sz w:val="20"/>
                <w:szCs w:val="20"/>
              </w:rPr>
              <w:t xml:space="preserve"> and the need and support for the intended work.</w:t>
            </w:r>
          </w:p>
        </w:tc>
      </w:tr>
      <w:tr w:rsidR="006F272C" w:rsidRPr="006F272C">
        <w:tc>
          <w:tcPr>
            <w:tcW w:w="4621" w:type="dxa"/>
          </w:tcPr>
          <w:p w:rsidR="00E04DB7" w:rsidRDefault="00E04DB7" w:rsidP="00E04DB7">
            <w:pPr>
              <w:spacing w:after="0" w:line="240" w:lineRule="auto"/>
              <w:contextualSpacing/>
              <w:rPr>
                <w:rFonts w:asciiTheme="majorHAnsi" w:hAnsiTheme="majorHAnsi" w:cstheme="majorHAnsi"/>
                <w:b/>
                <w:sz w:val="20"/>
                <w:szCs w:val="20"/>
              </w:rPr>
            </w:pPr>
            <w:r>
              <w:rPr>
                <w:rFonts w:asciiTheme="majorHAnsi" w:hAnsiTheme="majorHAnsi" w:cstheme="majorHAnsi"/>
                <w:b/>
                <w:sz w:val="20"/>
                <w:szCs w:val="20"/>
              </w:rPr>
              <w:lastRenderedPageBreak/>
              <w:t>Intermediate Outcome 3.3 (b)</w:t>
            </w:r>
          </w:p>
          <w:p w:rsidR="00D21D3E" w:rsidRPr="006F272C" w:rsidRDefault="00E04DB7" w:rsidP="00E04DB7">
            <w:pPr>
              <w:spacing w:after="0" w:line="240" w:lineRule="auto"/>
              <w:contextualSpacing/>
              <w:rPr>
                <w:sz w:val="20"/>
                <w:szCs w:val="20"/>
              </w:rPr>
            </w:pPr>
            <w:r w:rsidRPr="00A11741">
              <w:rPr>
                <w:sz w:val="20"/>
                <w:szCs w:val="20"/>
              </w:rPr>
              <w:t>Targeted justice sector agencies as well as local level actors are responding more effectively and consistently to women experiencing family violence</w:t>
            </w:r>
          </w:p>
        </w:tc>
        <w:tc>
          <w:tcPr>
            <w:tcW w:w="9095" w:type="dxa"/>
          </w:tcPr>
          <w:p w:rsidR="0057669A" w:rsidRPr="007C509E" w:rsidRDefault="0057669A" w:rsidP="007D2BBC">
            <w:pPr>
              <w:pStyle w:val="ListParagraph"/>
              <w:numPr>
                <w:ilvl w:val="0"/>
                <w:numId w:val="14"/>
              </w:numPr>
              <w:spacing w:after="0"/>
              <w:rPr>
                <w:sz w:val="20"/>
                <w:szCs w:val="20"/>
              </w:rPr>
            </w:pPr>
            <w:r>
              <w:rPr>
                <w:rFonts w:cstheme="minorHAnsi"/>
                <w:sz w:val="20"/>
                <w:szCs w:val="20"/>
              </w:rPr>
              <w:t>The work outlined in 3.3 above (</w:t>
            </w:r>
            <w:r w:rsidR="0063525B">
              <w:rPr>
                <w:rFonts w:cstheme="minorHAnsi"/>
                <w:sz w:val="20"/>
                <w:szCs w:val="20"/>
              </w:rPr>
              <w:t xml:space="preserve">work </w:t>
            </w:r>
            <w:r>
              <w:rPr>
                <w:rFonts w:cstheme="minorHAnsi"/>
                <w:sz w:val="20"/>
                <w:szCs w:val="20"/>
              </w:rPr>
              <w:t xml:space="preserve">with DWA and </w:t>
            </w:r>
            <w:r w:rsidR="0063525B">
              <w:rPr>
                <w:rFonts w:cstheme="minorHAnsi"/>
                <w:sz w:val="20"/>
                <w:szCs w:val="20"/>
              </w:rPr>
              <w:t xml:space="preserve">the Malekula </w:t>
            </w:r>
            <w:r>
              <w:rPr>
                <w:rFonts w:cstheme="minorHAnsi"/>
                <w:sz w:val="20"/>
                <w:szCs w:val="20"/>
              </w:rPr>
              <w:t>research followed by targeted interventions) will also contribute to this outcome. This work is in the planning stage and will commence in early 2015.</w:t>
            </w:r>
          </w:p>
          <w:p w:rsidR="007C509E" w:rsidRPr="007C509E" w:rsidRDefault="007C509E" w:rsidP="007C2C77">
            <w:pPr>
              <w:pStyle w:val="ListParagraph"/>
              <w:spacing w:after="0"/>
              <w:ind w:left="360"/>
              <w:rPr>
                <w:sz w:val="20"/>
                <w:szCs w:val="20"/>
              </w:rPr>
            </w:pPr>
          </w:p>
        </w:tc>
      </w:tr>
      <w:tr w:rsidR="006F272C" w:rsidRPr="006F272C">
        <w:tc>
          <w:tcPr>
            <w:tcW w:w="4621" w:type="dxa"/>
          </w:tcPr>
          <w:p w:rsidR="00D21D3E" w:rsidRPr="006F272C" w:rsidRDefault="00FE0C31" w:rsidP="00D21D3E">
            <w:pPr>
              <w:spacing w:after="0" w:line="240" w:lineRule="auto"/>
              <w:rPr>
                <w:sz w:val="20"/>
                <w:szCs w:val="20"/>
              </w:rPr>
            </w:pPr>
            <w:r w:rsidRPr="00906501">
              <w:rPr>
                <w:rFonts w:cstheme="minorHAnsi"/>
                <w:b/>
                <w:sz w:val="20"/>
                <w:szCs w:val="20"/>
              </w:rPr>
              <w:t>Intermediate Outcomes</w:t>
            </w:r>
            <w:r>
              <w:rPr>
                <w:rFonts w:cstheme="minorHAnsi"/>
                <w:b/>
                <w:sz w:val="20"/>
                <w:szCs w:val="20"/>
              </w:rPr>
              <w:t xml:space="preserve"> 3.</w:t>
            </w:r>
            <w:r w:rsidR="0057669A">
              <w:rPr>
                <w:rFonts w:cstheme="minorHAnsi"/>
                <w:b/>
                <w:sz w:val="20"/>
                <w:szCs w:val="20"/>
              </w:rPr>
              <w:t>5</w:t>
            </w:r>
            <w:r>
              <w:rPr>
                <w:rFonts w:cstheme="minorHAnsi"/>
                <w:b/>
                <w:sz w:val="20"/>
                <w:szCs w:val="20"/>
              </w:rPr>
              <w:t xml:space="preserve">: </w:t>
            </w:r>
            <w:r w:rsidR="00E04DB7">
              <w:rPr>
                <w:rFonts w:cstheme="minorHAnsi"/>
                <w:sz w:val="20"/>
                <w:szCs w:val="20"/>
              </w:rPr>
              <w:t>Targeted j</w:t>
            </w:r>
            <w:r w:rsidRPr="008B01B6">
              <w:rPr>
                <w:rFonts w:cstheme="minorHAnsi"/>
                <w:sz w:val="20"/>
                <w:szCs w:val="20"/>
              </w:rPr>
              <w:t xml:space="preserve">ustice sector agencies and the </w:t>
            </w:r>
            <w:proofErr w:type="spellStart"/>
            <w:r w:rsidRPr="008B01B6">
              <w:rPr>
                <w:rFonts w:cstheme="minorHAnsi"/>
                <w:sz w:val="20"/>
                <w:szCs w:val="20"/>
              </w:rPr>
              <w:t>Blacksands</w:t>
            </w:r>
            <w:proofErr w:type="spellEnd"/>
            <w:r w:rsidRPr="008B01B6">
              <w:rPr>
                <w:rFonts w:cstheme="minorHAnsi"/>
                <w:sz w:val="20"/>
                <w:szCs w:val="20"/>
              </w:rPr>
              <w:t xml:space="preserve"> community representatives respond more effectively, appropriately and collaboratively to juvenile justice issues in the pilot location</w:t>
            </w:r>
          </w:p>
        </w:tc>
        <w:tc>
          <w:tcPr>
            <w:tcW w:w="9095" w:type="dxa"/>
          </w:tcPr>
          <w:p w:rsidR="00D21D3E" w:rsidRPr="006F272C" w:rsidRDefault="00814A45" w:rsidP="00814A45">
            <w:pPr>
              <w:spacing w:after="0"/>
              <w:rPr>
                <w:sz w:val="20"/>
                <w:szCs w:val="20"/>
              </w:rPr>
            </w:pPr>
            <w:r w:rsidRPr="00E04DB7">
              <w:rPr>
                <w:rFonts w:eastAsiaTheme="minorHAnsi"/>
                <w:sz w:val="20"/>
                <w:szCs w:val="20"/>
              </w:rPr>
              <w:t>As detailed in 3.1</w:t>
            </w:r>
            <w:r>
              <w:rPr>
                <w:rFonts w:eastAsiaTheme="minorHAnsi"/>
                <w:b/>
                <w:sz w:val="20"/>
                <w:szCs w:val="20"/>
              </w:rPr>
              <w:t xml:space="preserve"> t</w:t>
            </w:r>
            <w:r w:rsidRPr="00F515DF">
              <w:rPr>
                <w:rFonts w:eastAsiaTheme="minorHAnsi"/>
                <w:b/>
                <w:sz w:val="20"/>
                <w:szCs w:val="20"/>
              </w:rPr>
              <w:t xml:space="preserve">he rationale, background, process and costing for </w:t>
            </w:r>
            <w:r>
              <w:rPr>
                <w:rFonts w:eastAsiaTheme="minorHAnsi"/>
                <w:b/>
                <w:sz w:val="20"/>
                <w:szCs w:val="20"/>
              </w:rPr>
              <w:t>a</w:t>
            </w:r>
            <w:r w:rsidRPr="00F515DF">
              <w:rPr>
                <w:rFonts w:eastAsiaTheme="minorHAnsi"/>
                <w:b/>
                <w:sz w:val="20"/>
                <w:szCs w:val="20"/>
              </w:rPr>
              <w:t xml:space="preserve"> research piece </w:t>
            </w:r>
            <w:r w:rsidRPr="00E04DB7">
              <w:rPr>
                <w:rFonts w:eastAsiaTheme="minorHAnsi"/>
                <w:sz w:val="20"/>
                <w:szCs w:val="20"/>
              </w:rPr>
              <w:t xml:space="preserve">– to be carried out in </w:t>
            </w:r>
            <w:proofErr w:type="spellStart"/>
            <w:r w:rsidRPr="00E04DB7">
              <w:rPr>
                <w:rFonts w:eastAsiaTheme="minorHAnsi"/>
                <w:sz w:val="20"/>
                <w:szCs w:val="20"/>
              </w:rPr>
              <w:t>Blacksands</w:t>
            </w:r>
            <w:proofErr w:type="spellEnd"/>
            <w:r w:rsidRPr="00E04DB7">
              <w:rPr>
                <w:rFonts w:eastAsiaTheme="minorHAnsi"/>
                <w:sz w:val="20"/>
                <w:szCs w:val="20"/>
              </w:rPr>
              <w:t xml:space="preserve"> - has been completed</w:t>
            </w:r>
            <w:r>
              <w:rPr>
                <w:rFonts w:eastAsiaTheme="minorHAnsi"/>
                <w:sz w:val="20"/>
                <w:szCs w:val="20"/>
              </w:rPr>
              <w:t>. This will provide an evidence base for the interface between formal justice and kastom, and the current management of conflicts, particularly as experienced by youth at the community level</w:t>
            </w:r>
            <w:r w:rsidRPr="0020742E">
              <w:rPr>
                <w:rFonts w:eastAsiaTheme="minorHAnsi"/>
                <w:sz w:val="20"/>
                <w:szCs w:val="20"/>
              </w:rPr>
              <w:t xml:space="preserve">.  </w:t>
            </w:r>
          </w:p>
        </w:tc>
      </w:tr>
    </w:tbl>
    <w:p w:rsidR="00D21D3E" w:rsidRDefault="00D21D3E">
      <w:pPr>
        <w:spacing w:after="0" w:line="240" w:lineRule="auto"/>
        <w:rPr>
          <w:b/>
        </w:rPr>
        <w:sectPr w:rsidR="00D21D3E">
          <w:pgSz w:w="16838" w:h="11906" w:orient="landscape"/>
          <w:pgMar w:top="1440" w:right="1440" w:bottom="1440" w:left="1440" w:header="708" w:footer="708" w:gutter="0"/>
          <w:cols w:space="708"/>
          <w:docGrid w:linePitch="360"/>
        </w:sectPr>
      </w:pPr>
    </w:p>
    <w:p w:rsidR="00870BC3" w:rsidRDefault="00870BC3" w:rsidP="00E9734A">
      <w:pPr>
        <w:pStyle w:val="Heading3"/>
      </w:pPr>
      <w:bookmarkStart w:id="21" w:name="_Toc411268945"/>
      <w:r>
        <w:lastRenderedPageBreak/>
        <w:t>Key factors that account for the degree of progress towards outcomes</w:t>
      </w:r>
      <w:bookmarkEnd w:id="21"/>
    </w:p>
    <w:p w:rsidR="00E15E6F" w:rsidRPr="003214C1" w:rsidRDefault="00DB5E5E" w:rsidP="0084503F">
      <w:pPr>
        <w:jc w:val="both"/>
        <w:rPr>
          <w:lang w:val="en-AU"/>
        </w:rPr>
      </w:pPr>
      <w:r>
        <w:rPr>
          <w:lang w:val="en-AU"/>
        </w:rPr>
        <w:t xml:space="preserve">The key factors below are those that have directly impacted on the delivery of the program rather than those broader contextual factors outlined in section 1 </w:t>
      </w:r>
      <w:r w:rsidR="00476F8F">
        <w:rPr>
          <w:lang w:val="en-AU"/>
        </w:rPr>
        <w:t>that are part of the overall operating environment</w:t>
      </w:r>
      <w:r>
        <w:rPr>
          <w:lang w:val="en-AU"/>
        </w:rPr>
        <w:t xml:space="preserve">. </w:t>
      </w:r>
      <w:r w:rsidR="00E15E6F" w:rsidRPr="003214C1">
        <w:rPr>
          <w:lang w:val="en-AU"/>
        </w:rPr>
        <w:t xml:space="preserve">Key factors </w:t>
      </w:r>
      <w:r w:rsidR="003214C1">
        <w:rPr>
          <w:lang w:val="en-AU"/>
        </w:rPr>
        <w:t xml:space="preserve">to </w:t>
      </w:r>
      <w:r w:rsidR="00E15E6F" w:rsidRPr="003214C1">
        <w:rPr>
          <w:lang w:val="en-AU"/>
        </w:rPr>
        <w:t xml:space="preserve">which the program would attribute the level of progress for the first six months of PJSPV are as follows: </w:t>
      </w:r>
    </w:p>
    <w:p w:rsidR="00314DC7" w:rsidRPr="003214C1" w:rsidRDefault="00314DC7" w:rsidP="0084503F">
      <w:pPr>
        <w:jc w:val="both"/>
        <w:rPr>
          <w:b/>
          <w:i/>
          <w:lang w:val="en-AU"/>
        </w:rPr>
      </w:pPr>
      <w:r w:rsidRPr="003214C1">
        <w:rPr>
          <w:b/>
          <w:i/>
          <w:lang w:val="en-AU"/>
        </w:rPr>
        <w:t>Enabling</w:t>
      </w:r>
    </w:p>
    <w:p w:rsidR="00E15E6F" w:rsidRPr="0084503F" w:rsidRDefault="00E15E6F" w:rsidP="007D2BBC">
      <w:pPr>
        <w:pStyle w:val="ListParagraph"/>
        <w:numPr>
          <w:ilvl w:val="0"/>
          <w:numId w:val="20"/>
        </w:numPr>
        <w:jc w:val="both"/>
        <w:rPr>
          <w:lang w:val="en-AU"/>
        </w:rPr>
      </w:pPr>
      <w:r w:rsidRPr="0084503F">
        <w:rPr>
          <w:b/>
          <w:lang w:val="en-AU"/>
        </w:rPr>
        <w:t>Team</w:t>
      </w:r>
      <w:r w:rsidR="0084503F">
        <w:rPr>
          <w:lang w:val="en-AU"/>
        </w:rPr>
        <w:t xml:space="preserve">: </w:t>
      </w:r>
      <w:r w:rsidR="00C96D29">
        <w:rPr>
          <w:lang w:val="en-AU"/>
        </w:rPr>
        <w:t xml:space="preserve">SRBJ has </w:t>
      </w:r>
      <w:r w:rsidR="0084503F">
        <w:rPr>
          <w:lang w:val="en-AU"/>
        </w:rPr>
        <w:t>a strong and effective implementation team which works well together and has had minimal changes since the commencement of Stage 1 in 2012. Good collaboration with the VAPP team</w:t>
      </w:r>
      <w:r w:rsidR="00C96D29">
        <w:rPr>
          <w:lang w:val="en-AU"/>
        </w:rPr>
        <w:t>,</w:t>
      </w:r>
      <w:r w:rsidR="0084503F">
        <w:rPr>
          <w:lang w:val="en-AU"/>
        </w:rPr>
        <w:t xml:space="preserve"> particularly in the areas of investigations and prosecutions and case and information management </w:t>
      </w:r>
      <w:r w:rsidR="00C96D29">
        <w:rPr>
          <w:lang w:val="en-AU"/>
        </w:rPr>
        <w:t>has enabled</w:t>
      </w:r>
      <w:r w:rsidR="0084503F">
        <w:rPr>
          <w:lang w:val="en-AU"/>
        </w:rPr>
        <w:t xml:space="preserve"> good progress over the six months.</w:t>
      </w:r>
    </w:p>
    <w:p w:rsidR="00F97053" w:rsidRPr="00F97053" w:rsidRDefault="0084503F" w:rsidP="007D2BBC">
      <w:pPr>
        <w:pStyle w:val="ListParagraph"/>
        <w:numPr>
          <w:ilvl w:val="0"/>
          <w:numId w:val="20"/>
        </w:numPr>
        <w:jc w:val="both"/>
        <w:rPr>
          <w:lang w:eastAsia="fr-FR"/>
        </w:rPr>
      </w:pPr>
      <w:r w:rsidRPr="00D22FAE">
        <w:rPr>
          <w:b/>
          <w:lang w:val="en-AU"/>
        </w:rPr>
        <w:t>Relationships</w:t>
      </w:r>
      <w:r w:rsidRPr="00D22FAE">
        <w:rPr>
          <w:lang w:val="en-AU"/>
        </w:rPr>
        <w:t xml:space="preserve">: SRBJ has built relationships of trust </w:t>
      </w:r>
      <w:r w:rsidR="00B15140" w:rsidRPr="00D22FAE">
        <w:rPr>
          <w:lang w:val="en-AU"/>
        </w:rPr>
        <w:t xml:space="preserve">and confidence </w:t>
      </w:r>
      <w:r w:rsidRPr="00D22FAE">
        <w:rPr>
          <w:lang w:val="en-AU"/>
        </w:rPr>
        <w:t xml:space="preserve">with counterparts across the sector, with DFAT and with other development </w:t>
      </w:r>
      <w:r w:rsidR="00956B0B" w:rsidRPr="00D22FAE">
        <w:rPr>
          <w:lang w:val="en-AU"/>
        </w:rPr>
        <w:t>partners, which</w:t>
      </w:r>
      <w:r w:rsidR="00817379" w:rsidRPr="00D22FAE">
        <w:rPr>
          <w:lang w:val="en-AU"/>
        </w:rPr>
        <w:t xml:space="preserve"> is key to facilitating effective implementation. In addition, </w:t>
      </w:r>
      <w:r w:rsidRPr="00D22FAE">
        <w:rPr>
          <w:lang w:val="en-AU"/>
        </w:rPr>
        <w:t xml:space="preserve">there is a certain amount of good will </w:t>
      </w:r>
      <w:r w:rsidR="00817379" w:rsidRPr="00D22FAE">
        <w:rPr>
          <w:lang w:val="en-AU"/>
        </w:rPr>
        <w:t>for</w:t>
      </w:r>
      <w:r w:rsidRPr="00D22FAE">
        <w:rPr>
          <w:lang w:val="en-AU"/>
        </w:rPr>
        <w:t xml:space="preserve"> the program</w:t>
      </w:r>
      <w:r w:rsidR="00817379" w:rsidRPr="00D22FAE">
        <w:rPr>
          <w:lang w:val="en-AU"/>
        </w:rPr>
        <w:t xml:space="preserve"> that has been generated </w:t>
      </w:r>
      <w:r w:rsidRPr="00D22FAE">
        <w:rPr>
          <w:lang w:val="en-AU"/>
        </w:rPr>
        <w:t>over Stage 1.</w:t>
      </w:r>
      <w:r w:rsidR="00D22FAE" w:rsidRPr="00D22FAE">
        <w:rPr>
          <w:lang w:val="en-AU"/>
        </w:rPr>
        <w:t xml:space="preserve"> </w:t>
      </w:r>
    </w:p>
    <w:p w:rsidR="00D22FAE" w:rsidRPr="00BD4337" w:rsidRDefault="00D22FAE" w:rsidP="00F97053">
      <w:pPr>
        <w:ind w:left="502"/>
        <w:jc w:val="both"/>
        <w:rPr>
          <w:lang w:eastAsia="fr-FR"/>
        </w:rPr>
      </w:pPr>
      <w:r w:rsidRPr="00F97053">
        <w:rPr>
          <w:lang w:val="en-AU"/>
        </w:rPr>
        <w:t xml:space="preserve">Similarly, </w:t>
      </w:r>
      <w:r>
        <w:rPr>
          <w:lang w:eastAsia="fr-FR"/>
        </w:rPr>
        <w:t xml:space="preserve">capacity development is a core concern for sector staff and leaders. Taking time to engage with staff and agency heads in </w:t>
      </w:r>
      <w:r w:rsidRPr="00BD4337">
        <w:rPr>
          <w:lang w:eastAsia="fr-FR"/>
        </w:rPr>
        <w:t>various forums (HOAG</w:t>
      </w:r>
      <w:r>
        <w:rPr>
          <w:lang w:eastAsia="fr-FR"/>
        </w:rPr>
        <w:t xml:space="preserve"> presentations</w:t>
      </w:r>
      <w:r w:rsidRPr="00BD4337">
        <w:rPr>
          <w:lang w:eastAsia="fr-FR"/>
        </w:rPr>
        <w:t xml:space="preserve">, </w:t>
      </w:r>
      <w:r>
        <w:rPr>
          <w:lang w:eastAsia="fr-FR"/>
        </w:rPr>
        <w:t>personal conversations,</w:t>
      </w:r>
      <w:r w:rsidRPr="00BD4337">
        <w:rPr>
          <w:lang w:eastAsia="fr-FR"/>
        </w:rPr>
        <w:t xml:space="preserve"> formal meetings, planning and diagnostic workshops) </w:t>
      </w:r>
      <w:r>
        <w:rPr>
          <w:lang w:eastAsia="fr-FR"/>
        </w:rPr>
        <w:t>and</w:t>
      </w:r>
      <w:r w:rsidRPr="00BD4337">
        <w:rPr>
          <w:lang w:eastAsia="fr-FR"/>
        </w:rPr>
        <w:t xml:space="preserve"> </w:t>
      </w:r>
      <w:r>
        <w:rPr>
          <w:lang w:eastAsia="fr-FR"/>
        </w:rPr>
        <w:t>facilitate a gradual awareness about</w:t>
      </w:r>
      <w:r w:rsidRPr="00BD4337">
        <w:rPr>
          <w:lang w:eastAsia="fr-FR"/>
        </w:rPr>
        <w:t xml:space="preserve"> capacity issues and concern</w:t>
      </w:r>
      <w:r>
        <w:rPr>
          <w:lang w:eastAsia="fr-FR"/>
        </w:rPr>
        <w:t xml:space="preserve">s, keeps the conversation “live” and relevant. This also provides </w:t>
      </w:r>
      <w:r w:rsidR="00275C27">
        <w:rPr>
          <w:lang w:eastAsia="fr-FR"/>
        </w:rPr>
        <w:t>a</w:t>
      </w:r>
      <w:r w:rsidR="00F97053">
        <w:rPr>
          <w:lang w:eastAsia="fr-FR"/>
        </w:rPr>
        <w:t xml:space="preserve"> basis for</w:t>
      </w:r>
      <w:r w:rsidRPr="002F706E">
        <w:rPr>
          <w:lang w:eastAsia="fr-FR"/>
        </w:rPr>
        <w:t xml:space="preserve"> build</w:t>
      </w:r>
      <w:r w:rsidR="00F97053">
        <w:rPr>
          <w:lang w:eastAsia="fr-FR"/>
        </w:rPr>
        <w:t>ing</w:t>
      </w:r>
      <w:r w:rsidRPr="002F706E">
        <w:rPr>
          <w:lang w:eastAsia="fr-FR"/>
        </w:rPr>
        <w:t xml:space="preserve"> </w:t>
      </w:r>
      <w:r>
        <w:rPr>
          <w:lang w:eastAsia="fr-FR"/>
        </w:rPr>
        <w:t xml:space="preserve">collective understanding so that as </w:t>
      </w:r>
      <w:r w:rsidR="00F97053">
        <w:rPr>
          <w:lang w:eastAsia="fr-FR"/>
        </w:rPr>
        <w:t>opportunities</w:t>
      </w:r>
      <w:r>
        <w:rPr>
          <w:lang w:eastAsia="fr-FR"/>
        </w:rPr>
        <w:t xml:space="preserve"> arise, there is a sense of readiness for the development. </w:t>
      </w:r>
    </w:p>
    <w:p w:rsidR="003D0308" w:rsidRPr="0084503F" w:rsidRDefault="0084503F" w:rsidP="007D2BBC">
      <w:pPr>
        <w:pStyle w:val="ListParagraph"/>
        <w:numPr>
          <w:ilvl w:val="0"/>
          <w:numId w:val="20"/>
        </w:numPr>
        <w:jc w:val="both"/>
        <w:rPr>
          <w:lang w:val="en-AU"/>
        </w:rPr>
      </w:pPr>
      <w:r w:rsidRPr="0084503F">
        <w:rPr>
          <w:b/>
          <w:lang w:val="en-AU"/>
        </w:rPr>
        <w:t>Flexibility and responsiveness</w:t>
      </w:r>
      <w:r w:rsidR="00C96D29">
        <w:rPr>
          <w:lang w:val="en-AU"/>
        </w:rPr>
        <w:t>: A c</w:t>
      </w:r>
      <w:r>
        <w:rPr>
          <w:lang w:val="en-AU"/>
        </w:rPr>
        <w:t>lose management relationship with DFAT and collocation</w:t>
      </w:r>
      <w:r w:rsidR="00C0492E">
        <w:rPr>
          <w:lang w:val="en-AU"/>
        </w:rPr>
        <w:t xml:space="preserve"> of strategic resources and individuals</w:t>
      </w:r>
      <w:r>
        <w:rPr>
          <w:lang w:val="en-AU"/>
        </w:rPr>
        <w:t xml:space="preserve"> across the sector has allowed the program to respond to dynamic circumstances and in some instances to take advantage of opportunities and evidence of local momentum for change</w:t>
      </w:r>
      <w:r w:rsidR="00C96D29">
        <w:rPr>
          <w:lang w:val="en-AU"/>
        </w:rPr>
        <w:t>. Examples include</w:t>
      </w:r>
      <w:r>
        <w:rPr>
          <w:lang w:val="en-AU"/>
        </w:rPr>
        <w:t xml:space="preserve"> the reshaping of the approach for aspects of component 3; </w:t>
      </w:r>
      <w:r w:rsidR="00C96D29">
        <w:rPr>
          <w:lang w:val="en-AU"/>
        </w:rPr>
        <w:t xml:space="preserve">and </w:t>
      </w:r>
      <w:r>
        <w:rPr>
          <w:lang w:val="en-AU"/>
        </w:rPr>
        <w:t xml:space="preserve">provision of support </w:t>
      </w:r>
      <w:r w:rsidR="00C96D29">
        <w:rPr>
          <w:lang w:val="en-AU"/>
        </w:rPr>
        <w:t xml:space="preserve">to DWA </w:t>
      </w:r>
      <w:r>
        <w:rPr>
          <w:lang w:val="en-AU"/>
        </w:rPr>
        <w:t>for the development of the National Gender Strategy</w:t>
      </w:r>
      <w:r w:rsidR="00C96D29">
        <w:rPr>
          <w:lang w:val="en-AU"/>
        </w:rPr>
        <w:t>.</w:t>
      </w:r>
      <w:r>
        <w:rPr>
          <w:lang w:val="en-AU"/>
        </w:rPr>
        <w:t xml:space="preserve"> </w:t>
      </w:r>
    </w:p>
    <w:p w:rsidR="00E15E6F" w:rsidRPr="00B15140" w:rsidRDefault="00E15E6F" w:rsidP="007D2BBC">
      <w:pPr>
        <w:pStyle w:val="ListParagraph"/>
        <w:numPr>
          <w:ilvl w:val="0"/>
          <w:numId w:val="20"/>
        </w:numPr>
        <w:jc w:val="both"/>
        <w:rPr>
          <w:lang w:val="en-AU"/>
        </w:rPr>
      </w:pPr>
      <w:r w:rsidRPr="00B15140">
        <w:rPr>
          <w:b/>
          <w:lang w:val="en-AU"/>
        </w:rPr>
        <w:t>Continuation</w:t>
      </w:r>
      <w:r w:rsidR="00B15140">
        <w:rPr>
          <w:lang w:val="en-AU"/>
        </w:rPr>
        <w:t xml:space="preserve">: Stage 2 of SRBJ generally represents a continuation, consolidation and refinement of the direction of many of the initiatives in Stage 1 of the program. There </w:t>
      </w:r>
      <w:r w:rsidR="00C96D29">
        <w:rPr>
          <w:lang w:val="en-AU"/>
        </w:rPr>
        <w:t xml:space="preserve">was a long lead time from design to the new program which allowed plenty of opportunity for SRBJ to share information regarding Stage 2 with counterparts. There </w:t>
      </w:r>
      <w:r w:rsidR="00B15140">
        <w:rPr>
          <w:lang w:val="en-AU"/>
        </w:rPr>
        <w:t xml:space="preserve">have been no significant or unexpected deviations in the approach </w:t>
      </w:r>
      <w:r w:rsidR="00275C27">
        <w:rPr>
          <w:lang w:val="en-AU"/>
        </w:rPr>
        <w:t>which has</w:t>
      </w:r>
      <w:r w:rsidR="00B15140">
        <w:rPr>
          <w:lang w:val="en-AU"/>
        </w:rPr>
        <w:t xml:space="preserve"> facilitated the progress achieved across the initial six months of the new program. </w:t>
      </w:r>
    </w:p>
    <w:p w:rsidR="00E15E6F" w:rsidRPr="00B15140" w:rsidRDefault="00314DC7" w:rsidP="007D2BBC">
      <w:pPr>
        <w:pStyle w:val="ListParagraph"/>
        <w:numPr>
          <w:ilvl w:val="0"/>
          <w:numId w:val="20"/>
        </w:numPr>
        <w:jc w:val="both"/>
        <w:rPr>
          <w:lang w:val="en-AU"/>
        </w:rPr>
      </w:pPr>
      <w:r w:rsidRPr="00B15140">
        <w:rPr>
          <w:b/>
          <w:lang w:val="en-AU"/>
        </w:rPr>
        <w:t>Leadership</w:t>
      </w:r>
      <w:r w:rsidR="00B15140">
        <w:rPr>
          <w:lang w:val="en-AU"/>
        </w:rPr>
        <w:t xml:space="preserve">: The support and </w:t>
      </w:r>
      <w:r w:rsidR="00F97053">
        <w:rPr>
          <w:lang w:val="en-AU"/>
        </w:rPr>
        <w:t>drive</w:t>
      </w:r>
      <w:r w:rsidR="00B15140">
        <w:rPr>
          <w:lang w:val="en-AU"/>
        </w:rPr>
        <w:t xml:space="preserve"> </w:t>
      </w:r>
      <w:r w:rsidR="00C96D29">
        <w:rPr>
          <w:lang w:val="en-AU"/>
        </w:rPr>
        <w:t>of some leaders</w:t>
      </w:r>
      <w:r w:rsidR="00B15140">
        <w:rPr>
          <w:lang w:val="en-AU"/>
        </w:rPr>
        <w:t xml:space="preserve"> has assisted in the maintenance of the momentum of initiatives within the program, in particular with respect </w:t>
      </w:r>
      <w:r w:rsidR="00956B0B">
        <w:rPr>
          <w:lang w:val="en-AU"/>
        </w:rPr>
        <w:t xml:space="preserve">to </w:t>
      </w:r>
      <w:r w:rsidR="00B15140">
        <w:rPr>
          <w:lang w:val="en-AU"/>
        </w:rPr>
        <w:t>the SPD, the SLO and OGCIO.</w:t>
      </w:r>
    </w:p>
    <w:p w:rsidR="00314DC7" w:rsidRDefault="00B15140" w:rsidP="007D2BBC">
      <w:pPr>
        <w:pStyle w:val="ListParagraph"/>
        <w:numPr>
          <w:ilvl w:val="0"/>
          <w:numId w:val="20"/>
        </w:numPr>
        <w:jc w:val="both"/>
        <w:rPr>
          <w:lang w:val="en-AU"/>
        </w:rPr>
      </w:pPr>
      <w:r w:rsidRPr="00B15140">
        <w:rPr>
          <w:b/>
          <w:lang w:val="en-AU"/>
        </w:rPr>
        <w:t>Responding to</w:t>
      </w:r>
      <w:r w:rsidR="00314DC7" w:rsidRPr="00B15140">
        <w:rPr>
          <w:b/>
          <w:lang w:val="en-AU"/>
        </w:rPr>
        <w:t xml:space="preserve"> a key practical need</w:t>
      </w:r>
      <w:r>
        <w:rPr>
          <w:lang w:val="en-AU"/>
        </w:rPr>
        <w:t xml:space="preserve">: </w:t>
      </w:r>
      <w:r w:rsidR="00E16648">
        <w:rPr>
          <w:lang w:val="en-AU"/>
        </w:rPr>
        <w:t>W</w:t>
      </w:r>
      <w:r>
        <w:rPr>
          <w:lang w:val="en-AU"/>
        </w:rPr>
        <w:t xml:space="preserve">here interventions respond to a clear practical need and fill an existing vacuum this has contributed to robust up take of an initiative; for example the LSIP has been able to fulfil a critical need at the USP School of Law given the closure of the </w:t>
      </w:r>
      <w:r>
        <w:rPr>
          <w:lang w:val="en-AU"/>
        </w:rPr>
        <w:lastRenderedPageBreak/>
        <w:t xml:space="preserve">Community Legal Centre and the location of the PDLP course in </w:t>
      </w:r>
      <w:r w:rsidR="008244CB">
        <w:rPr>
          <w:lang w:val="en-AU"/>
        </w:rPr>
        <w:t>Suva. This has resulted in both institutional and student support for the program.</w:t>
      </w:r>
      <w:r w:rsidR="00D22FAE">
        <w:rPr>
          <w:lang w:val="en-AU"/>
        </w:rPr>
        <w:t xml:space="preserve"> </w:t>
      </w:r>
    </w:p>
    <w:p w:rsidR="008244CB" w:rsidRPr="008244CB" w:rsidRDefault="008244CB" w:rsidP="007D2BBC">
      <w:pPr>
        <w:pStyle w:val="ListParagraph"/>
        <w:numPr>
          <w:ilvl w:val="0"/>
          <w:numId w:val="20"/>
        </w:numPr>
        <w:jc w:val="both"/>
        <w:rPr>
          <w:lang w:val="en-AU"/>
        </w:rPr>
      </w:pPr>
      <w:r w:rsidRPr="008244CB">
        <w:rPr>
          <w:b/>
          <w:lang w:val="en-AU"/>
        </w:rPr>
        <w:t>Demonstrable small benefits</w:t>
      </w:r>
      <w:r w:rsidRPr="008244CB">
        <w:rPr>
          <w:lang w:val="en-AU"/>
        </w:rPr>
        <w:t xml:space="preserve">: Improvements in data and information systems have been able to </w:t>
      </w:r>
      <w:r w:rsidR="00E04DB7">
        <w:rPr>
          <w:lang w:val="en-AU"/>
        </w:rPr>
        <w:t>increase</w:t>
      </w:r>
      <w:r w:rsidRPr="008244CB">
        <w:rPr>
          <w:lang w:val="en-AU"/>
        </w:rPr>
        <w:t xml:space="preserve"> the knowledge of agency heads of their “business” and have delivered small incremental efficiency </w:t>
      </w:r>
      <w:r w:rsidR="00E16648">
        <w:rPr>
          <w:lang w:val="en-AU"/>
        </w:rPr>
        <w:t>gains</w:t>
      </w:r>
      <w:r w:rsidR="00E16648" w:rsidRPr="008244CB">
        <w:rPr>
          <w:lang w:val="en-AU"/>
        </w:rPr>
        <w:t xml:space="preserve"> </w:t>
      </w:r>
      <w:r w:rsidRPr="008244CB">
        <w:rPr>
          <w:lang w:val="en-AU"/>
        </w:rPr>
        <w:t>which ha</w:t>
      </w:r>
      <w:r w:rsidR="00E16648">
        <w:rPr>
          <w:lang w:val="en-AU"/>
        </w:rPr>
        <w:t>ve</w:t>
      </w:r>
      <w:r w:rsidRPr="008244CB">
        <w:rPr>
          <w:lang w:val="en-AU"/>
        </w:rPr>
        <w:t xml:space="preserve"> fostered cross sector support and engagement with the case and data management work.  </w:t>
      </w:r>
    </w:p>
    <w:p w:rsidR="008244CB" w:rsidRPr="00B15140" w:rsidRDefault="006E39A2" w:rsidP="007D2BBC">
      <w:pPr>
        <w:pStyle w:val="ListParagraph"/>
        <w:numPr>
          <w:ilvl w:val="0"/>
          <w:numId w:val="20"/>
        </w:numPr>
        <w:jc w:val="both"/>
        <w:rPr>
          <w:lang w:val="en-AU"/>
        </w:rPr>
      </w:pPr>
      <w:r w:rsidRPr="006E39A2">
        <w:rPr>
          <w:b/>
          <w:lang w:val="en-AU"/>
        </w:rPr>
        <w:t>Enthusiasm</w:t>
      </w:r>
      <w:r>
        <w:rPr>
          <w:lang w:val="en-AU"/>
        </w:rPr>
        <w:t>: Junior and intermediate lawyers have been enthusiastic in seeking advice from advisers and there has been a greater willingness across PSO to seek the adviser’s advice</w:t>
      </w:r>
      <w:r w:rsidR="00956B0B">
        <w:rPr>
          <w:lang w:val="en-AU"/>
        </w:rPr>
        <w:t>.</w:t>
      </w:r>
      <w:r>
        <w:rPr>
          <w:lang w:val="en-AU"/>
        </w:rPr>
        <w:t xml:space="preserve"> </w:t>
      </w:r>
      <w:r w:rsidR="00956B0B">
        <w:rPr>
          <w:lang w:val="en-AU"/>
        </w:rPr>
        <w:t xml:space="preserve">This </w:t>
      </w:r>
      <w:r>
        <w:rPr>
          <w:lang w:val="en-AU"/>
        </w:rPr>
        <w:t>is reflective of both the existing relationships (mentioned in 2 above) but also in the adviser being able over a period of two years to have proved himself in their eyes in terms of the quality and consistency of his advice and support.</w:t>
      </w:r>
    </w:p>
    <w:p w:rsidR="00314DC7" w:rsidRPr="006E39A2" w:rsidRDefault="006E39A2" w:rsidP="007D2BBC">
      <w:pPr>
        <w:pStyle w:val="ListParagraph"/>
        <w:numPr>
          <w:ilvl w:val="0"/>
          <w:numId w:val="20"/>
        </w:numPr>
        <w:jc w:val="both"/>
        <w:rPr>
          <w:lang w:val="en-AU"/>
        </w:rPr>
      </w:pPr>
      <w:r w:rsidRPr="006E39A2">
        <w:rPr>
          <w:b/>
          <w:lang w:val="en-AU"/>
        </w:rPr>
        <w:t>External reinforcement</w:t>
      </w:r>
      <w:r w:rsidRPr="006E39A2">
        <w:rPr>
          <w:lang w:val="en-AU"/>
        </w:rPr>
        <w:t xml:space="preserve">: </w:t>
      </w:r>
      <w:r w:rsidR="00E16648">
        <w:rPr>
          <w:lang w:val="en-AU"/>
        </w:rPr>
        <w:t>B</w:t>
      </w:r>
      <w:r w:rsidRPr="006E39A2">
        <w:rPr>
          <w:lang w:val="en-AU"/>
        </w:rPr>
        <w:t xml:space="preserve">oth the SPD and PSO advisers noted the benefit of having external respected reinforcement of their advice through the advocacy skills training that was provided by the Victorian Bar Association. </w:t>
      </w:r>
    </w:p>
    <w:p w:rsidR="00314DC7" w:rsidRPr="008C0C6E" w:rsidRDefault="006E39A2" w:rsidP="007D2BBC">
      <w:pPr>
        <w:pStyle w:val="ListParagraph"/>
        <w:numPr>
          <w:ilvl w:val="0"/>
          <w:numId w:val="20"/>
        </w:numPr>
        <w:jc w:val="both"/>
        <w:rPr>
          <w:lang w:val="en-AU"/>
        </w:rPr>
      </w:pPr>
      <w:r w:rsidRPr="006E39A2">
        <w:rPr>
          <w:b/>
          <w:lang w:val="en-AU"/>
        </w:rPr>
        <w:t>Government momentum</w:t>
      </w:r>
      <w:r w:rsidR="00DB5E5E">
        <w:rPr>
          <w:b/>
          <w:lang w:val="en-AU"/>
        </w:rPr>
        <w:t xml:space="preserve"> and support</w:t>
      </w:r>
      <w:r>
        <w:rPr>
          <w:lang w:val="en-AU"/>
        </w:rPr>
        <w:t xml:space="preserve">: After a relatively long hiatus from significant engagement by the DWA in the issue of the appointment of Authorised Persons and Registered Counsellors under the Family Protection Act 2008, DWA in the second half of 2014 took the initiative </w:t>
      </w:r>
      <w:r w:rsidR="004A534E">
        <w:rPr>
          <w:lang w:val="en-AU"/>
        </w:rPr>
        <w:t xml:space="preserve">(after seeking support from SRBJ) </w:t>
      </w:r>
      <w:r>
        <w:rPr>
          <w:lang w:val="en-AU"/>
        </w:rPr>
        <w:t xml:space="preserve">to </w:t>
      </w:r>
      <w:r w:rsidR="00CD7DFA">
        <w:rPr>
          <w:lang w:val="en-AU"/>
        </w:rPr>
        <w:t>carry out</w:t>
      </w:r>
      <w:r>
        <w:rPr>
          <w:lang w:val="en-AU"/>
        </w:rPr>
        <w:t xml:space="preserve"> research and mapping to support piloting of those appointments over 2015. This increased engagement has facilitated the expansion of SRBJ support in this area and increased the potential for broader </w:t>
      </w:r>
      <w:r w:rsidR="00C96D29">
        <w:rPr>
          <w:lang w:val="en-AU"/>
        </w:rPr>
        <w:t>outcomes</w:t>
      </w:r>
      <w:r>
        <w:rPr>
          <w:lang w:val="en-AU"/>
        </w:rPr>
        <w:t>.</w:t>
      </w:r>
      <w:r w:rsidR="00DB5E5E">
        <w:rPr>
          <w:lang w:val="en-AU"/>
        </w:rPr>
        <w:t xml:space="preserve"> The Monitoring Officer’s work with respect to Annual Reporting and monitoring of the business plans of the agencies has benefited from the support of the Director General and the Executive Officer within the MJCS</w:t>
      </w:r>
      <w:r w:rsidR="00C96D29">
        <w:rPr>
          <w:lang w:val="en-AU"/>
        </w:rPr>
        <w:t xml:space="preserve"> and has been taken up increasingly by agencies</w:t>
      </w:r>
      <w:r w:rsidR="00DB5E5E">
        <w:rPr>
          <w:lang w:val="en-AU"/>
        </w:rPr>
        <w:t>.</w:t>
      </w:r>
    </w:p>
    <w:p w:rsidR="00DB5E5E" w:rsidRPr="008C0C6E" w:rsidRDefault="00DB5E5E" w:rsidP="007D2BBC">
      <w:pPr>
        <w:pStyle w:val="ListParagraph"/>
        <w:numPr>
          <w:ilvl w:val="0"/>
          <w:numId w:val="20"/>
        </w:numPr>
        <w:jc w:val="both"/>
        <w:rPr>
          <w:b/>
          <w:lang w:val="en-AU"/>
        </w:rPr>
      </w:pPr>
      <w:r w:rsidRPr="008C0C6E">
        <w:rPr>
          <w:b/>
          <w:lang w:val="en-AU"/>
        </w:rPr>
        <w:t>Strengthened monitoring and evaluation support</w:t>
      </w:r>
      <w:r w:rsidRPr="008C0C6E">
        <w:rPr>
          <w:lang w:val="en-AU"/>
        </w:rPr>
        <w:t>: has facilitated and supported the completion of the M&amp;E Plan for PJSPV on time that effectively supports the measurement of the outcomes of the program; the completion of a draft M&amp;E framework for the sector</w:t>
      </w:r>
      <w:r w:rsidR="00C96D29" w:rsidRPr="008C0C6E">
        <w:rPr>
          <w:lang w:val="en-AU"/>
        </w:rPr>
        <w:t xml:space="preserve">; </w:t>
      </w:r>
      <w:r w:rsidRPr="008C0C6E">
        <w:rPr>
          <w:lang w:val="en-AU"/>
        </w:rPr>
        <w:t xml:space="preserve">and </w:t>
      </w:r>
      <w:r w:rsidR="00C96D29" w:rsidRPr="008C0C6E">
        <w:rPr>
          <w:lang w:val="en-AU"/>
        </w:rPr>
        <w:t>provided</w:t>
      </w:r>
      <w:r w:rsidRPr="008C0C6E">
        <w:rPr>
          <w:lang w:val="en-AU"/>
        </w:rPr>
        <w:t xml:space="preserve"> more robust support and capacity development of the MJCS Monitoring Officer. </w:t>
      </w:r>
      <w:r w:rsidR="00362A21" w:rsidRPr="008C0C6E">
        <w:rPr>
          <w:lang w:val="en-AU"/>
        </w:rPr>
        <w:t xml:space="preserve">The Monitoring Officer has benefited from support from the Director General and Executive Officer of MJCS and will be seeking to strengthen relationships with the M&amp;E Unit, PMO over the next reporting period to further enhance sustainability of the work and consistency of messages and approach. </w:t>
      </w:r>
      <w:r w:rsidR="00CD7DFA">
        <w:rPr>
          <w:lang w:val="en-AU"/>
        </w:rPr>
        <w:t>Solid</w:t>
      </w:r>
      <w:r w:rsidR="00CD7DFA" w:rsidRPr="008C0C6E">
        <w:rPr>
          <w:lang w:val="en-AU"/>
        </w:rPr>
        <w:t xml:space="preserve"> </w:t>
      </w:r>
      <w:r w:rsidRPr="008C0C6E">
        <w:rPr>
          <w:lang w:val="en-AU"/>
        </w:rPr>
        <w:t>monitoring and evaluation has also been used to good effect by the LSIP in the effective promotion of the program with its multiple stakeholders and partners.</w:t>
      </w:r>
    </w:p>
    <w:p w:rsidR="00D22FAE" w:rsidRDefault="00D22FAE" w:rsidP="007D2BBC">
      <w:pPr>
        <w:pStyle w:val="ListParagraph"/>
        <w:numPr>
          <w:ilvl w:val="0"/>
          <w:numId w:val="20"/>
        </w:numPr>
        <w:jc w:val="both"/>
        <w:rPr>
          <w:lang w:eastAsia="fr-FR"/>
        </w:rPr>
      </w:pPr>
      <w:r w:rsidRPr="00D22FAE">
        <w:rPr>
          <w:b/>
          <w:lang w:val="en-AU"/>
        </w:rPr>
        <w:t xml:space="preserve">Good coordination of interventions: </w:t>
      </w:r>
      <w:r>
        <w:rPr>
          <w:lang w:eastAsia="fr-FR"/>
        </w:rPr>
        <w:t>Working and thinking systemically, and acknowledging that many different development activities that are well coordinated and integrated are likely to yield development improvements</w:t>
      </w:r>
      <w:r w:rsidR="00CD7DFA">
        <w:rPr>
          <w:lang w:eastAsia="fr-FR"/>
        </w:rPr>
        <w:t xml:space="preserve"> has been a key strength of SRBJ through this period</w:t>
      </w:r>
      <w:r>
        <w:rPr>
          <w:lang w:eastAsia="fr-FR"/>
        </w:rPr>
        <w:t>. This becomes increasingly important as the implementation effort intensifies and is already noticeable with respect to capacity development effort and support to the thematic areas under component 3. The thematic work will become stronger and more integrated with the proposed variations</w:t>
      </w:r>
      <w:r w:rsidR="00F97053">
        <w:rPr>
          <w:lang w:eastAsia="fr-FR"/>
        </w:rPr>
        <w:t xml:space="preserve"> to the work plan (see Section </w:t>
      </w:r>
      <w:r w:rsidR="00F97053" w:rsidRPr="004206ED">
        <w:rPr>
          <w:lang w:eastAsia="fr-FR"/>
        </w:rPr>
        <w:t>2e</w:t>
      </w:r>
      <w:r>
        <w:rPr>
          <w:lang w:eastAsia="fr-FR"/>
        </w:rPr>
        <w:t xml:space="preserve"> for more detail). Individual effort will always yield limited results in complex and dynamic systems development.</w:t>
      </w:r>
    </w:p>
    <w:p w:rsidR="00474485" w:rsidRDefault="00474485" w:rsidP="004206ED">
      <w:pPr>
        <w:pStyle w:val="ListParagraph"/>
        <w:numPr>
          <w:ilvl w:val="0"/>
          <w:numId w:val="20"/>
        </w:numPr>
        <w:jc w:val="both"/>
        <w:rPr>
          <w:lang w:eastAsia="fr-FR"/>
        </w:rPr>
      </w:pPr>
      <w:r w:rsidRPr="00474485">
        <w:rPr>
          <w:b/>
          <w:lang w:eastAsia="fr-FR"/>
        </w:rPr>
        <w:lastRenderedPageBreak/>
        <w:t>Increase in performance improvement focus and interest by key individuals</w:t>
      </w:r>
      <w:r>
        <w:rPr>
          <w:lang w:eastAsia="fr-FR"/>
        </w:rPr>
        <w:t xml:space="preserve"> and groups. For example, the Solicitor General has been proactive in her requests for conversations and advice in relation to workplace improvement. The Manager SPD has been open to new ideas and practice in his pursuit of development and improvement opportunities, not just within SPD but also with key stakeholders. </w:t>
      </w:r>
    </w:p>
    <w:p w:rsidR="00314DC7" w:rsidRPr="00C37C09" w:rsidRDefault="003214C1" w:rsidP="00C96D29">
      <w:pPr>
        <w:jc w:val="both"/>
        <w:rPr>
          <w:b/>
          <w:i/>
          <w:lang w:val="en-AU"/>
        </w:rPr>
      </w:pPr>
      <w:r w:rsidRPr="00C37C09">
        <w:rPr>
          <w:b/>
          <w:i/>
          <w:lang w:val="en-AU"/>
        </w:rPr>
        <w:t>Inhibiting</w:t>
      </w:r>
    </w:p>
    <w:p w:rsidR="00747234" w:rsidRDefault="00565CAA" w:rsidP="007D2BBC">
      <w:pPr>
        <w:pStyle w:val="ListParagraph"/>
        <w:numPr>
          <w:ilvl w:val="0"/>
          <w:numId w:val="24"/>
        </w:numPr>
        <w:jc w:val="both"/>
        <w:rPr>
          <w:lang w:val="en-AU"/>
        </w:rPr>
      </w:pPr>
      <w:r>
        <w:rPr>
          <w:b/>
          <w:lang w:val="en-AU"/>
        </w:rPr>
        <w:t xml:space="preserve">Inertia within </w:t>
      </w:r>
      <w:r w:rsidR="00476F8F" w:rsidRPr="00C37C09">
        <w:rPr>
          <w:b/>
          <w:lang w:val="en-AU"/>
        </w:rPr>
        <w:t>MJCS</w:t>
      </w:r>
      <w:r>
        <w:rPr>
          <w:b/>
          <w:lang w:val="en-AU"/>
        </w:rPr>
        <w:t xml:space="preserve">: </w:t>
      </w:r>
      <w:r w:rsidRPr="00E04DB7">
        <w:rPr>
          <w:lang w:val="en-AU"/>
        </w:rPr>
        <w:t>MJCS</w:t>
      </w:r>
      <w:r w:rsidR="00476F8F" w:rsidRPr="00E04DB7">
        <w:rPr>
          <w:lang w:val="en-AU"/>
        </w:rPr>
        <w:t xml:space="preserve"> has demonstrated inertia</w:t>
      </w:r>
      <w:r w:rsidR="00476F8F" w:rsidRPr="00C37C09">
        <w:rPr>
          <w:lang w:val="en-AU"/>
        </w:rPr>
        <w:t xml:space="preserve"> with respect to driving a number of key initiatives over the latter half of 2014 which have previously enjoyed greater engagement. These include driving and supporting the implementation of the JCSSS; initiating and supporting the convening of HOAG meetings as a consultative, governance forum; proactively supporting the GoV role in the area of child protection; actively engaging in initiatives that would strengthen the management, administration and efficiency of the MJCS Corporate Services Unit; driving the finalisation of the memorandum of understanding with the Solomon Islands</w:t>
      </w:r>
      <w:r w:rsidR="004206ED">
        <w:rPr>
          <w:lang w:val="en-AU"/>
        </w:rPr>
        <w:t xml:space="preserve"> Institute of Public Administration and Management</w:t>
      </w:r>
      <w:r w:rsidR="00476F8F" w:rsidRPr="00C37C09">
        <w:rPr>
          <w:lang w:val="en-AU"/>
        </w:rPr>
        <w:t xml:space="preserve"> </w:t>
      </w:r>
      <w:r w:rsidR="004206ED">
        <w:rPr>
          <w:lang w:val="en-AU"/>
        </w:rPr>
        <w:t>(</w:t>
      </w:r>
      <w:r w:rsidR="00476F8F" w:rsidRPr="00C37C09">
        <w:rPr>
          <w:lang w:val="en-AU"/>
        </w:rPr>
        <w:t>IPAM</w:t>
      </w:r>
      <w:r w:rsidR="004206ED">
        <w:rPr>
          <w:lang w:val="en-AU"/>
        </w:rPr>
        <w:t>)</w:t>
      </w:r>
      <w:r w:rsidR="00476F8F" w:rsidRPr="00C37C09">
        <w:rPr>
          <w:lang w:val="en-AU"/>
        </w:rPr>
        <w:t xml:space="preserve">; </w:t>
      </w:r>
      <w:r w:rsidR="00C04E37">
        <w:rPr>
          <w:lang w:val="en-AU"/>
        </w:rPr>
        <w:t xml:space="preserve">engagement with the requested work to support salary level review for lawyers within the justice sector; </w:t>
      </w:r>
      <w:r w:rsidR="00476F8F" w:rsidRPr="00C37C09">
        <w:rPr>
          <w:lang w:val="en-AU"/>
        </w:rPr>
        <w:t>facilitating the agreement with Ministry of Finance and the Public Service Commission to strengthen the programmatic shared responsibilities with respect to the strengthening of the MJCS. These initiatives have not progressed significantly</w:t>
      </w:r>
      <w:r w:rsidR="00747234" w:rsidRPr="00C37C09">
        <w:rPr>
          <w:lang w:val="en-AU"/>
        </w:rPr>
        <w:t xml:space="preserve"> over the reporting period. The reasons for this are not transparent.</w:t>
      </w:r>
    </w:p>
    <w:p w:rsidR="003D0308" w:rsidRPr="00C37C09" w:rsidRDefault="00747234" w:rsidP="007D2BBC">
      <w:pPr>
        <w:pStyle w:val="ListParagraph"/>
        <w:numPr>
          <w:ilvl w:val="0"/>
          <w:numId w:val="24"/>
        </w:numPr>
        <w:jc w:val="both"/>
        <w:rPr>
          <w:lang w:val="en-AU"/>
        </w:rPr>
      </w:pPr>
      <w:r w:rsidRPr="00C37C09">
        <w:rPr>
          <w:b/>
          <w:lang w:val="en-AU"/>
        </w:rPr>
        <w:t>Challenges working with GoV</w:t>
      </w:r>
      <w:r w:rsidRPr="00C37C09">
        <w:rPr>
          <w:lang w:val="en-AU"/>
        </w:rPr>
        <w:t xml:space="preserve">: </w:t>
      </w:r>
      <w:r w:rsidR="00656D17">
        <w:rPr>
          <w:lang w:val="en-AU"/>
        </w:rPr>
        <w:t>W</w:t>
      </w:r>
      <w:r w:rsidRPr="00C37C09">
        <w:rPr>
          <w:lang w:val="en-AU"/>
        </w:rPr>
        <w:t>orking closely with government poses its own challenges in terms of th</w:t>
      </w:r>
      <w:r w:rsidR="00B85990">
        <w:rPr>
          <w:lang w:val="en-AU"/>
        </w:rPr>
        <w:t>e human and financial resources.</w:t>
      </w:r>
      <w:r w:rsidRPr="00C37C09">
        <w:rPr>
          <w:lang w:val="en-AU"/>
        </w:rPr>
        <w:t xml:space="preserve"> The work is generally slower and potentially more convoluted.  In addition, all collocated advisers must walk the fine line between providing the support that they are mandated to </w:t>
      </w:r>
      <w:r w:rsidR="00B85990">
        <w:rPr>
          <w:lang w:val="en-AU"/>
        </w:rPr>
        <w:t>provide</w:t>
      </w:r>
      <w:r w:rsidRPr="00C37C09">
        <w:rPr>
          <w:lang w:val="en-AU"/>
        </w:rPr>
        <w:t xml:space="preserve"> with additional extraneous requests whi</w:t>
      </w:r>
      <w:r w:rsidR="00E16648">
        <w:rPr>
          <w:lang w:val="en-AU"/>
        </w:rPr>
        <w:t>l</w:t>
      </w:r>
      <w:r w:rsidRPr="00C37C09">
        <w:rPr>
          <w:lang w:val="en-AU"/>
        </w:rPr>
        <w:t>st maintaining neutrality from more political and partisan agenda that are the feature of some offices. Whilst these demands need to be balanced with care and sensitivity</w:t>
      </w:r>
      <w:r w:rsidR="00565CAA">
        <w:rPr>
          <w:lang w:val="en-AU"/>
        </w:rPr>
        <w:t>,</w:t>
      </w:r>
      <w:r w:rsidRPr="00C37C09">
        <w:rPr>
          <w:lang w:val="en-AU"/>
        </w:rPr>
        <w:t xml:space="preserve"> the opportunity to work with government counterparts and build change from within the existing framework generally makes the</w:t>
      </w:r>
      <w:r w:rsidR="00B85990">
        <w:rPr>
          <w:lang w:val="en-AU"/>
        </w:rPr>
        <w:t>se</w:t>
      </w:r>
      <w:r w:rsidRPr="00C37C09">
        <w:rPr>
          <w:lang w:val="en-AU"/>
        </w:rPr>
        <w:t xml:space="preserve"> challenges worthwhile. </w:t>
      </w:r>
    </w:p>
    <w:p w:rsidR="00314DC7" w:rsidRDefault="00314DC7" w:rsidP="007D2BBC">
      <w:pPr>
        <w:pStyle w:val="ListParagraph"/>
        <w:numPr>
          <w:ilvl w:val="0"/>
          <w:numId w:val="24"/>
        </w:numPr>
        <w:jc w:val="both"/>
        <w:rPr>
          <w:lang w:val="en-AU"/>
        </w:rPr>
      </w:pPr>
      <w:r w:rsidRPr="00C37C09">
        <w:rPr>
          <w:b/>
          <w:lang w:val="en-AU"/>
        </w:rPr>
        <w:t>Resistance to change</w:t>
      </w:r>
      <w:r w:rsidR="00747234" w:rsidRPr="00C37C09">
        <w:rPr>
          <w:lang w:val="en-AU"/>
        </w:rPr>
        <w:t xml:space="preserve">: </w:t>
      </w:r>
      <w:r w:rsidR="00565CAA">
        <w:rPr>
          <w:lang w:val="en-AU"/>
        </w:rPr>
        <w:t>R</w:t>
      </w:r>
      <w:r w:rsidR="00747234" w:rsidRPr="00C37C09">
        <w:rPr>
          <w:lang w:val="en-AU"/>
        </w:rPr>
        <w:t xml:space="preserve">esistance to change is a feature of all change management and is not exclusive to Vanuatu, however </w:t>
      </w:r>
      <w:r w:rsidR="0025026C" w:rsidRPr="00C37C09">
        <w:rPr>
          <w:lang w:val="en-AU"/>
        </w:rPr>
        <w:t xml:space="preserve">there is quite significant resistance to doing things differently even where the change may make the work easier or more efficient. Small changes need constant reinforcement and demonstration of the benefits to become embedded without slipping easily back into previous practice. This naturally impacts on the speed of systems and process change.  </w:t>
      </w:r>
    </w:p>
    <w:p w:rsidR="00C76A7A" w:rsidRPr="00C37C09" w:rsidRDefault="00C76A7A" w:rsidP="007D2BBC">
      <w:pPr>
        <w:pStyle w:val="ListParagraph"/>
        <w:numPr>
          <w:ilvl w:val="0"/>
          <w:numId w:val="24"/>
        </w:numPr>
        <w:jc w:val="both"/>
        <w:rPr>
          <w:lang w:val="en-AU"/>
        </w:rPr>
      </w:pPr>
      <w:r>
        <w:rPr>
          <w:b/>
          <w:lang w:val="en-AU"/>
        </w:rPr>
        <w:t>Lack of engagement with the JCSSS working groups</w:t>
      </w:r>
      <w:r w:rsidRPr="00C76A7A">
        <w:rPr>
          <w:lang w:val="en-AU"/>
        </w:rPr>
        <w:t>:</w:t>
      </w:r>
      <w:r>
        <w:rPr>
          <w:lang w:val="en-AU"/>
        </w:rPr>
        <w:t xml:space="preserve"> </w:t>
      </w:r>
      <w:r w:rsidR="00565CAA">
        <w:rPr>
          <w:lang w:val="en-AU"/>
        </w:rPr>
        <w:t>T</w:t>
      </w:r>
      <w:r>
        <w:rPr>
          <w:lang w:val="en-AU"/>
        </w:rPr>
        <w:t xml:space="preserve">here has been very little formal progress </w:t>
      </w:r>
      <w:r w:rsidR="00AA4D79">
        <w:rPr>
          <w:lang w:val="en-AU"/>
        </w:rPr>
        <w:t>in the</w:t>
      </w:r>
      <w:r>
        <w:rPr>
          <w:lang w:val="en-AU"/>
        </w:rPr>
        <w:t xml:space="preserve"> planning and implementation of the sector strategies under the JCSSS during the reporting period. </w:t>
      </w:r>
      <w:r w:rsidR="00AA4D79">
        <w:rPr>
          <w:lang w:val="en-AU"/>
        </w:rPr>
        <w:t xml:space="preserve">There has been little leadership demonstrated in driving this work from MJCS or from the working group </w:t>
      </w:r>
      <w:r w:rsidR="00B85990">
        <w:rPr>
          <w:lang w:val="en-AU"/>
        </w:rPr>
        <w:t>facilitators</w:t>
      </w:r>
      <w:r w:rsidR="005557B4">
        <w:rPr>
          <w:lang w:val="en-AU"/>
        </w:rPr>
        <w:t xml:space="preserve"> and it may be that it is premature for agencies and the MJCS to focus at the cross sector level given the challenges that agencies continue to face at an institutional level. More information with respect to the reasons for slow progress in this area is likely to become available with the completion of the sector perception survey which is part of the MEP.</w:t>
      </w:r>
    </w:p>
    <w:p w:rsidR="00314DC7" w:rsidRPr="0025026C" w:rsidRDefault="0025026C" w:rsidP="007D2BBC">
      <w:pPr>
        <w:pStyle w:val="ListParagraph"/>
        <w:numPr>
          <w:ilvl w:val="0"/>
          <w:numId w:val="24"/>
        </w:numPr>
        <w:jc w:val="both"/>
        <w:rPr>
          <w:lang w:val="en-AU"/>
        </w:rPr>
      </w:pPr>
      <w:r w:rsidRPr="00C37C09">
        <w:rPr>
          <w:b/>
          <w:lang w:val="en-AU"/>
        </w:rPr>
        <w:lastRenderedPageBreak/>
        <w:t xml:space="preserve">Capacity of the Public Prosecutor’s Office: </w:t>
      </w:r>
      <w:r w:rsidR="006B51C3">
        <w:rPr>
          <w:lang w:val="en-AU"/>
        </w:rPr>
        <w:t>T</w:t>
      </w:r>
      <w:r w:rsidRPr="00C37C09">
        <w:rPr>
          <w:lang w:val="en-AU"/>
        </w:rPr>
        <w:t>he capacity of the</w:t>
      </w:r>
      <w:r w:rsidRPr="00C37C09">
        <w:rPr>
          <w:b/>
          <w:lang w:val="en-AU"/>
        </w:rPr>
        <w:t xml:space="preserve"> </w:t>
      </w:r>
      <w:r w:rsidR="00314DC7" w:rsidRPr="00C37C09">
        <w:rPr>
          <w:lang w:val="en-AU"/>
        </w:rPr>
        <w:t>PPO</w:t>
      </w:r>
      <w:r w:rsidRPr="00C37C09">
        <w:rPr>
          <w:lang w:val="en-AU"/>
        </w:rPr>
        <w:t xml:space="preserve"> has fallen lower than other public legal offices and lower than it has been in </w:t>
      </w:r>
      <w:r w:rsidR="00B85990">
        <w:rPr>
          <w:lang w:val="en-AU"/>
        </w:rPr>
        <w:t>recent</w:t>
      </w:r>
      <w:r w:rsidRPr="00C37C09">
        <w:rPr>
          <w:lang w:val="en-AU"/>
        </w:rPr>
        <w:t xml:space="preserve"> times. The GoV are seeking support from the British Government to fund an expatriate Public Prosecutor. Whilst advances have been made in the selection of a candidate by the JSC, securing the funding </w:t>
      </w:r>
      <w:r w:rsidR="006B51C3">
        <w:rPr>
          <w:lang w:val="en-AU"/>
        </w:rPr>
        <w:t>for</w:t>
      </w:r>
      <w:r w:rsidR="006B51C3" w:rsidRPr="00C37C09">
        <w:rPr>
          <w:lang w:val="en-AU"/>
        </w:rPr>
        <w:t xml:space="preserve"> </w:t>
      </w:r>
      <w:r w:rsidRPr="00C37C09">
        <w:rPr>
          <w:lang w:val="en-AU"/>
        </w:rPr>
        <w:t xml:space="preserve">the position does not seem to be imminent and may take a further six to twelve months. </w:t>
      </w:r>
      <w:r w:rsidR="003173A8">
        <w:rPr>
          <w:lang w:val="en-AU"/>
        </w:rPr>
        <w:t xml:space="preserve">The funding request has been sent to London and the British High Commissioner is hopeful of a positive result. </w:t>
      </w:r>
      <w:r w:rsidRPr="00C37C09">
        <w:rPr>
          <w:lang w:val="en-AU"/>
        </w:rPr>
        <w:t xml:space="preserve">Many matters do not currently proceed for want of prosecution and </w:t>
      </w:r>
      <w:r w:rsidR="001615EB">
        <w:rPr>
          <w:lang w:val="en-AU"/>
        </w:rPr>
        <w:t>charges are</w:t>
      </w:r>
      <w:r w:rsidRPr="00C37C09">
        <w:rPr>
          <w:lang w:val="en-AU"/>
        </w:rPr>
        <w:t xml:space="preserve"> dismissed. The low </w:t>
      </w:r>
      <w:r w:rsidR="00C37C09" w:rsidRPr="00C37C09">
        <w:rPr>
          <w:lang w:val="en-AU"/>
        </w:rPr>
        <w:t>capacity</w:t>
      </w:r>
      <w:r w:rsidRPr="00C37C09">
        <w:rPr>
          <w:lang w:val="en-AU"/>
        </w:rPr>
        <w:t xml:space="preserve"> of that office undermines the overall quality of the criminal justice system and of advances made in other offices.   </w:t>
      </w:r>
      <w:r w:rsidR="00C37C09" w:rsidRPr="00C37C09">
        <w:rPr>
          <w:lang w:val="en-AU"/>
        </w:rPr>
        <w:t xml:space="preserve">For example, PSO lawyers are required to conduct trials (as defence lawyers) which have no prospect of successful prosecution and worthy prosecutions are discontinued for </w:t>
      </w:r>
      <w:r w:rsidR="00C37C09">
        <w:rPr>
          <w:lang w:val="en-AU"/>
        </w:rPr>
        <w:t>unknown reasons.</w:t>
      </w:r>
    </w:p>
    <w:p w:rsidR="00314DC7" w:rsidRDefault="00C37C09" w:rsidP="007D2BBC">
      <w:pPr>
        <w:pStyle w:val="ListParagraph"/>
        <w:numPr>
          <w:ilvl w:val="0"/>
          <w:numId w:val="24"/>
        </w:numPr>
        <w:jc w:val="both"/>
        <w:rPr>
          <w:lang w:val="en-AU"/>
        </w:rPr>
      </w:pPr>
      <w:r w:rsidRPr="00C37C09">
        <w:rPr>
          <w:b/>
          <w:lang w:val="en-AU"/>
        </w:rPr>
        <w:t>Capacity of the Magistrates’ Court</w:t>
      </w:r>
      <w:r>
        <w:rPr>
          <w:b/>
          <w:lang w:val="en-AU"/>
        </w:rPr>
        <w:t>:</w:t>
      </w:r>
      <w:r>
        <w:rPr>
          <w:lang w:val="en-AU"/>
        </w:rPr>
        <w:t xml:space="preserve"> The disposal rate</w:t>
      </w:r>
      <w:r w:rsidR="005557B4">
        <w:rPr>
          <w:lang w:val="en-AU"/>
        </w:rPr>
        <w:t xml:space="preserve"> at the Magistrates’ Court</w:t>
      </w:r>
      <w:r>
        <w:rPr>
          <w:lang w:val="en-AU"/>
        </w:rPr>
        <w:t xml:space="preserve"> has continued to be good although the quality of decisions may </w:t>
      </w:r>
      <w:r w:rsidR="005557B4">
        <w:rPr>
          <w:lang w:val="en-AU"/>
        </w:rPr>
        <w:t>have been</w:t>
      </w:r>
      <w:r w:rsidR="001615EB">
        <w:rPr>
          <w:lang w:val="en-AU"/>
        </w:rPr>
        <w:t xml:space="preserve"> impacted by the </w:t>
      </w:r>
      <w:r w:rsidR="00C04E37">
        <w:rPr>
          <w:lang w:val="en-AU"/>
        </w:rPr>
        <w:t>loss of two</w:t>
      </w:r>
      <w:r w:rsidR="001615EB">
        <w:rPr>
          <w:lang w:val="en-AU"/>
        </w:rPr>
        <w:t xml:space="preserve"> experienced magistrates </w:t>
      </w:r>
      <w:r w:rsidR="00C04E37">
        <w:rPr>
          <w:lang w:val="en-AU"/>
        </w:rPr>
        <w:t>and their replacement with</w:t>
      </w:r>
      <w:r w:rsidR="001615EB">
        <w:rPr>
          <w:lang w:val="en-AU"/>
        </w:rPr>
        <w:t xml:space="preserve"> </w:t>
      </w:r>
      <w:r w:rsidR="00C04E37">
        <w:rPr>
          <w:lang w:val="en-AU"/>
        </w:rPr>
        <w:t>recent</w:t>
      </w:r>
      <w:r w:rsidR="001615EB">
        <w:rPr>
          <w:lang w:val="en-AU"/>
        </w:rPr>
        <w:t xml:space="preserve"> university graduates</w:t>
      </w:r>
      <w:r>
        <w:rPr>
          <w:lang w:val="en-AU"/>
        </w:rPr>
        <w:t xml:space="preserve">. From a case management perspective there is a significant issue of </w:t>
      </w:r>
      <w:r w:rsidR="00AD60DF">
        <w:rPr>
          <w:lang w:val="en-AU"/>
        </w:rPr>
        <w:t>cases in the sys</w:t>
      </w:r>
      <w:r w:rsidR="00B85990">
        <w:rPr>
          <w:lang w:val="en-AU"/>
        </w:rPr>
        <w:t>tem with no further listing (that is,</w:t>
      </w:r>
      <w:r w:rsidR="00AD60DF">
        <w:rPr>
          <w:lang w:val="en-AU"/>
        </w:rPr>
        <w:t xml:space="preserve"> return date) and a large number of reserved judgments</w:t>
      </w:r>
      <w:r w:rsidR="005557B4">
        <w:rPr>
          <w:lang w:val="en-AU"/>
        </w:rPr>
        <w:t xml:space="preserve"> with one magistrate</w:t>
      </w:r>
      <w:r w:rsidR="00AD60DF">
        <w:rPr>
          <w:lang w:val="en-AU"/>
        </w:rPr>
        <w:t xml:space="preserve">. </w:t>
      </w:r>
      <w:r w:rsidR="005557B4">
        <w:rPr>
          <w:lang w:val="en-AU"/>
        </w:rPr>
        <w:t xml:space="preserve">It </w:t>
      </w:r>
      <w:r w:rsidR="00AD60DF">
        <w:rPr>
          <w:lang w:val="en-AU"/>
        </w:rPr>
        <w:t xml:space="preserve">has been difficult to provide support to this level of courts since the courts have a unified administrative structure in Vanuatu and the Chief Justice has preferred assistance to the Supreme Court. This may improve over the next reporting period. </w:t>
      </w:r>
    </w:p>
    <w:p w:rsidR="00AD60DF" w:rsidRDefault="00AD60DF" w:rsidP="007D2BBC">
      <w:pPr>
        <w:pStyle w:val="ListParagraph"/>
        <w:numPr>
          <w:ilvl w:val="0"/>
          <w:numId w:val="24"/>
        </w:numPr>
        <w:jc w:val="both"/>
        <w:rPr>
          <w:lang w:val="en-AU"/>
        </w:rPr>
      </w:pPr>
      <w:r>
        <w:rPr>
          <w:b/>
          <w:lang w:val="en-AU"/>
        </w:rPr>
        <w:t xml:space="preserve">Systemic issues within the legal sector that hamper service delivery improvements </w:t>
      </w:r>
      <w:r>
        <w:rPr>
          <w:lang w:val="en-AU"/>
        </w:rPr>
        <w:t>include</w:t>
      </w:r>
      <w:r>
        <w:rPr>
          <w:b/>
          <w:lang w:val="en-AU"/>
        </w:rPr>
        <w:t>:</w:t>
      </w:r>
      <w:r>
        <w:rPr>
          <w:lang w:val="en-AU"/>
        </w:rPr>
        <w:t xml:space="preserve"> </w:t>
      </w:r>
    </w:p>
    <w:p w:rsidR="00AD60DF" w:rsidRDefault="00AD60DF" w:rsidP="007D2BBC">
      <w:pPr>
        <w:pStyle w:val="ListParagraph"/>
        <w:numPr>
          <w:ilvl w:val="1"/>
          <w:numId w:val="24"/>
        </w:numPr>
        <w:jc w:val="both"/>
        <w:rPr>
          <w:lang w:val="en-AU"/>
        </w:rPr>
      </w:pPr>
      <w:r>
        <w:rPr>
          <w:lang w:val="en-AU"/>
        </w:rPr>
        <w:t xml:space="preserve">A practice has arisen within the legal profession for numerous attendances (usually conferences) and adjournments of court cases which increase delay and cost for users; </w:t>
      </w:r>
    </w:p>
    <w:p w:rsidR="00AD60DF" w:rsidRDefault="00AD60DF" w:rsidP="007D2BBC">
      <w:pPr>
        <w:pStyle w:val="ListParagraph"/>
        <w:numPr>
          <w:ilvl w:val="1"/>
          <w:numId w:val="24"/>
        </w:numPr>
        <w:jc w:val="both"/>
        <w:rPr>
          <w:lang w:val="en-AU"/>
        </w:rPr>
      </w:pPr>
      <w:r>
        <w:rPr>
          <w:lang w:val="en-AU"/>
        </w:rPr>
        <w:t>Continued delay in the admission of lawyers within the public offices to practice so that they are required</w:t>
      </w:r>
      <w:r w:rsidR="00B85990">
        <w:rPr>
          <w:lang w:val="en-AU"/>
        </w:rPr>
        <w:t xml:space="preserve"> to seek leave</w:t>
      </w:r>
      <w:r>
        <w:rPr>
          <w:lang w:val="en-AU"/>
        </w:rPr>
        <w:t xml:space="preserve"> to appear; </w:t>
      </w:r>
    </w:p>
    <w:p w:rsidR="00AD60DF" w:rsidRDefault="00AD60DF" w:rsidP="007D2BBC">
      <w:pPr>
        <w:pStyle w:val="ListParagraph"/>
        <w:numPr>
          <w:ilvl w:val="1"/>
          <w:numId w:val="24"/>
        </w:numPr>
        <w:jc w:val="both"/>
        <w:rPr>
          <w:lang w:val="en-AU"/>
        </w:rPr>
      </w:pPr>
      <w:r>
        <w:rPr>
          <w:lang w:val="en-AU"/>
        </w:rPr>
        <w:t xml:space="preserve">An ineffective law society which means that there is no provision or oversight of continuing legal education; </w:t>
      </w:r>
    </w:p>
    <w:p w:rsidR="00AD60DF" w:rsidRDefault="00AD60DF" w:rsidP="007D2BBC">
      <w:pPr>
        <w:pStyle w:val="ListParagraph"/>
        <w:numPr>
          <w:ilvl w:val="1"/>
          <w:numId w:val="24"/>
        </w:numPr>
        <w:jc w:val="both"/>
        <w:rPr>
          <w:lang w:val="en-AU"/>
        </w:rPr>
      </w:pPr>
      <w:r>
        <w:rPr>
          <w:lang w:val="en-AU"/>
        </w:rPr>
        <w:t>Little disciplinary action taken with respect to unethical or fraudulent behaviour of the profession;</w:t>
      </w:r>
    </w:p>
    <w:p w:rsidR="00AD60DF" w:rsidRDefault="00AD60DF" w:rsidP="007D2BBC">
      <w:pPr>
        <w:pStyle w:val="ListParagraph"/>
        <w:numPr>
          <w:ilvl w:val="1"/>
          <w:numId w:val="24"/>
        </w:numPr>
        <w:jc w:val="both"/>
        <w:rPr>
          <w:lang w:val="en-AU"/>
        </w:rPr>
      </w:pPr>
      <w:r>
        <w:rPr>
          <w:lang w:val="en-AU"/>
        </w:rPr>
        <w:t>Significant numbers of prosecutions that do not proceed for want of prosecution or as a result of dismissal in the Magistrates’ Court which</w:t>
      </w:r>
      <w:r w:rsidR="00B85990">
        <w:rPr>
          <w:lang w:val="en-AU"/>
        </w:rPr>
        <w:t xml:space="preserve"> requires further investigation; and</w:t>
      </w:r>
      <w:r>
        <w:rPr>
          <w:lang w:val="en-AU"/>
        </w:rPr>
        <w:t xml:space="preserve"> </w:t>
      </w:r>
    </w:p>
    <w:p w:rsidR="00AD60DF" w:rsidRPr="00C37C09" w:rsidRDefault="00C76A7A" w:rsidP="007D2BBC">
      <w:pPr>
        <w:pStyle w:val="ListParagraph"/>
        <w:numPr>
          <w:ilvl w:val="1"/>
          <w:numId w:val="24"/>
        </w:numPr>
        <w:jc w:val="both"/>
        <w:rPr>
          <w:lang w:val="en-AU"/>
        </w:rPr>
      </w:pPr>
      <w:r>
        <w:rPr>
          <w:lang w:val="en-AU"/>
        </w:rPr>
        <w:t xml:space="preserve">Anecdotal evidence of practice of light sentencing in domestic violence cases; that is </w:t>
      </w:r>
      <w:r w:rsidR="00B85990">
        <w:rPr>
          <w:lang w:val="en-AU"/>
        </w:rPr>
        <w:t xml:space="preserve">by ordering </w:t>
      </w:r>
      <w:r>
        <w:rPr>
          <w:lang w:val="en-AU"/>
        </w:rPr>
        <w:t>suspended sentences or fines.</w:t>
      </w:r>
    </w:p>
    <w:p w:rsidR="00870BC3" w:rsidRDefault="00870BC3" w:rsidP="00A877EA">
      <w:pPr>
        <w:spacing w:after="0" w:line="240" w:lineRule="auto"/>
        <w:rPr>
          <w:b/>
        </w:rPr>
      </w:pPr>
    </w:p>
    <w:p w:rsidR="00870BC3" w:rsidRDefault="00870BC3" w:rsidP="00E9734A">
      <w:pPr>
        <w:pStyle w:val="Heading3"/>
      </w:pPr>
      <w:bookmarkStart w:id="22" w:name="_Toc411268946"/>
      <w:r>
        <w:t xml:space="preserve">Implications </w:t>
      </w:r>
      <w:r w:rsidR="00861042">
        <w:t>for</w:t>
      </w:r>
      <w:r>
        <w:t xml:space="preserve"> achieving </w:t>
      </w:r>
      <w:r w:rsidR="00861042">
        <w:t>end-of-program-outcomes</w:t>
      </w:r>
      <w:bookmarkEnd w:id="22"/>
    </w:p>
    <w:p w:rsidR="0077056F" w:rsidRDefault="00E45589" w:rsidP="00763879">
      <w:pPr>
        <w:jc w:val="both"/>
        <w:rPr>
          <w:lang w:val="en-AU"/>
        </w:rPr>
      </w:pPr>
      <w:r w:rsidRPr="00E45589">
        <w:rPr>
          <w:lang w:val="en-AU"/>
        </w:rPr>
        <w:t>The key factors outlined in section 2c) above are unlikely at this stage to pre</w:t>
      </w:r>
      <w:r w:rsidR="00B85990">
        <w:rPr>
          <w:lang w:val="en-AU"/>
        </w:rPr>
        <w:t>vent the achievement of the end-of-program-</w:t>
      </w:r>
      <w:r w:rsidRPr="00E45589">
        <w:rPr>
          <w:lang w:val="en-AU"/>
        </w:rPr>
        <w:t xml:space="preserve">outcomes but the inhibiting factors certainly have the potential to impact on </w:t>
      </w:r>
      <w:r w:rsidRPr="00E45589">
        <w:rPr>
          <w:lang w:val="en-AU"/>
        </w:rPr>
        <w:lastRenderedPageBreak/>
        <w:t xml:space="preserve">the </w:t>
      </w:r>
      <w:r w:rsidRPr="00763879">
        <w:rPr>
          <w:u w:val="single"/>
          <w:lang w:val="en-AU"/>
        </w:rPr>
        <w:t>speed</w:t>
      </w:r>
      <w:r w:rsidRPr="00E45589">
        <w:rPr>
          <w:lang w:val="en-AU"/>
        </w:rPr>
        <w:t xml:space="preserve"> of progress to the end of program outcomes and </w:t>
      </w:r>
      <w:r w:rsidR="00763879" w:rsidRPr="00763879">
        <w:rPr>
          <w:u w:val="single"/>
          <w:lang w:val="en-AU"/>
        </w:rPr>
        <w:t>level</w:t>
      </w:r>
      <w:r w:rsidRPr="00E45589">
        <w:rPr>
          <w:lang w:val="en-AU"/>
        </w:rPr>
        <w:t xml:space="preserve"> of achievement by end of 2016. That is</w:t>
      </w:r>
      <w:r w:rsidR="00B85990">
        <w:rPr>
          <w:lang w:val="en-AU"/>
        </w:rPr>
        <w:t>,</w:t>
      </w:r>
      <w:r w:rsidRPr="00E45589">
        <w:rPr>
          <w:lang w:val="en-AU"/>
        </w:rPr>
        <w:t xml:space="preserve"> there may be demonstrable improvements in service to women, children and youth but the gains may be greater if some of the inhibiting factors could be reduced</w:t>
      </w:r>
      <w:r w:rsidR="00763879">
        <w:rPr>
          <w:lang w:val="en-AU"/>
        </w:rPr>
        <w:t>, mitigated</w:t>
      </w:r>
      <w:r w:rsidRPr="00E45589">
        <w:rPr>
          <w:lang w:val="en-AU"/>
        </w:rPr>
        <w:t xml:space="preserve"> or removed.</w:t>
      </w:r>
    </w:p>
    <w:p w:rsidR="00F92029" w:rsidRPr="00E45589" w:rsidRDefault="00763879" w:rsidP="00763879">
      <w:pPr>
        <w:jc w:val="both"/>
        <w:rPr>
          <w:lang w:val="en-AU"/>
        </w:rPr>
      </w:pPr>
      <w:r>
        <w:rPr>
          <w:lang w:val="en-AU"/>
        </w:rPr>
        <w:t xml:space="preserve">Similarly delay identified in section </w:t>
      </w:r>
      <w:r w:rsidRPr="004206ED">
        <w:rPr>
          <w:lang w:val="en-AU"/>
        </w:rPr>
        <w:t>4a</w:t>
      </w:r>
      <w:r>
        <w:rPr>
          <w:lang w:val="en-AU"/>
        </w:rPr>
        <w:t xml:space="preserve"> in the progress of the delivery of outputs against the </w:t>
      </w:r>
      <w:proofErr w:type="spellStart"/>
      <w:r w:rsidR="00CE47EB">
        <w:rPr>
          <w:lang w:val="en-AU"/>
        </w:rPr>
        <w:t>Work</w:t>
      </w:r>
      <w:r>
        <w:rPr>
          <w:lang w:val="en-AU"/>
        </w:rPr>
        <w:t>plan</w:t>
      </w:r>
      <w:proofErr w:type="spellEnd"/>
      <w:r>
        <w:rPr>
          <w:lang w:val="en-AU"/>
        </w:rPr>
        <w:t xml:space="preserve"> are at this stage not likely to delay progress towards achieving interim or end-of-program outcomes. </w:t>
      </w:r>
    </w:p>
    <w:p w:rsidR="00870BC3" w:rsidRDefault="00E45589" w:rsidP="00E9734A">
      <w:pPr>
        <w:pStyle w:val="Heading3"/>
      </w:pPr>
      <w:bookmarkStart w:id="23" w:name="_Toc411268947"/>
      <w:r>
        <w:t>Variations</w:t>
      </w:r>
      <w:r w:rsidR="002C4809">
        <w:t xml:space="preserve"> to </w:t>
      </w:r>
      <w:proofErr w:type="spellStart"/>
      <w:r w:rsidR="002C4809">
        <w:t>W</w:t>
      </w:r>
      <w:r w:rsidR="00EE51DE">
        <w:t>orkplan</w:t>
      </w:r>
      <w:bookmarkEnd w:id="23"/>
      <w:proofErr w:type="spellEnd"/>
    </w:p>
    <w:p w:rsidR="00817379" w:rsidRDefault="00B85990" w:rsidP="00B85990">
      <w:pPr>
        <w:jc w:val="both"/>
        <w:rPr>
          <w:lang w:val="en-AU"/>
        </w:rPr>
      </w:pPr>
      <w:r>
        <w:rPr>
          <w:lang w:val="en-AU"/>
        </w:rPr>
        <w:t>The</w:t>
      </w:r>
      <w:r w:rsidR="000F2D34">
        <w:rPr>
          <w:lang w:val="en-AU"/>
        </w:rPr>
        <w:t xml:space="preserve"> </w:t>
      </w:r>
      <w:r w:rsidR="007473A3">
        <w:rPr>
          <w:lang w:val="en-AU"/>
        </w:rPr>
        <w:t xml:space="preserve">three most significant </w:t>
      </w:r>
      <w:r w:rsidR="000F2D34">
        <w:rPr>
          <w:lang w:val="en-AU"/>
        </w:rPr>
        <w:t xml:space="preserve">changes to the nature of the key activities proposed in the </w:t>
      </w:r>
      <w:r w:rsidR="002C4809">
        <w:rPr>
          <w:lang w:val="en-AU"/>
        </w:rPr>
        <w:t>PJSPV SRBJ 18-</w:t>
      </w:r>
      <w:r w:rsidR="000F2D34">
        <w:rPr>
          <w:lang w:val="en-AU"/>
        </w:rPr>
        <w:t xml:space="preserve">month </w:t>
      </w:r>
      <w:proofErr w:type="spellStart"/>
      <w:r w:rsidR="002C4809">
        <w:rPr>
          <w:lang w:val="en-AU"/>
        </w:rPr>
        <w:t>W</w:t>
      </w:r>
      <w:r w:rsidR="000F2D34">
        <w:rPr>
          <w:lang w:val="en-AU"/>
        </w:rPr>
        <w:t>orkplan</w:t>
      </w:r>
      <w:proofErr w:type="spellEnd"/>
      <w:r w:rsidR="002C4809">
        <w:rPr>
          <w:lang w:val="en-AU"/>
        </w:rPr>
        <w:t xml:space="preserve"> July 2014 to December 2015 (the </w:t>
      </w:r>
      <w:proofErr w:type="spellStart"/>
      <w:r w:rsidR="002C4809">
        <w:rPr>
          <w:lang w:val="en-AU"/>
        </w:rPr>
        <w:t>Workplan</w:t>
      </w:r>
      <w:proofErr w:type="spellEnd"/>
      <w:r w:rsidR="002C4809">
        <w:rPr>
          <w:lang w:val="en-AU"/>
        </w:rPr>
        <w:t>)</w:t>
      </w:r>
      <w:r w:rsidR="000F2D34">
        <w:rPr>
          <w:lang w:val="en-AU"/>
        </w:rPr>
        <w:t xml:space="preserve"> to the end of 2015 are as follows:</w:t>
      </w:r>
    </w:p>
    <w:p w:rsidR="000F2D34" w:rsidRPr="000F2D34" w:rsidRDefault="000F2D34" w:rsidP="007D2BBC">
      <w:pPr>
        <w:pStyle w:val="ListParagraph"/>
        <w:numPr>
          <w:ilvl w:val="0"/>
          <w:numId w:val="25"/>
        </w:numPr>
        <w:rPr>
          <w:b/>
          <w:lang w:val="en-AU"/>
        </w:rPr>
      </w:pPr>
      <w:r w:rsidRPr="000F2D34">
        <w:rPr>
          <w:b/>
          <w:lang w:val="en-AU"/>
        </w:rPr>
        <w:t>Support for the JCSSS working groups</w:t>
      </w:r>
    </w:p>
    <w:p w:rsidR="000F2D34" w:rsidRDefault="000F2D34" w:rsidP="000F2D34">
      <w:pPr>
        <w:ind w:left="360"/>
        <w:jc w:val="both"/>
        <w:rPr>
          <w:lang w:val="en-AU"/>
        </w:rPr>
      </w:pPr>
      <w:r w:rsidRPr="000F2D34">
        <w:rPr>
          <w:lang w:val="en-AU"/>
        </w:rPr>
        <w:t xml:space="preserve">Under the </w:t>
      </w:r>
      <w:proofErr w:type="spellStart"/>
      <w:r w:rsidR="002C4809" w:rsidRPr="000F2D34">
        <w:rPr>
          <w:lang w:val="en-AU"/>
        </w:rPr>
        <w:t>Workplan</w:t>
      </w:r>
      <w:proofErr w:type="spellEnd"/>
      <w:r w:rsidR="002C4809" w:rsidRPr="000F2D34">
        <w:rPr>
          <w:lang w:val="en-AU"/>
        </w:rPr>
        <w:t xml:space="preserve"> </w:t>
      </w:r>
      <w:r w:rsidRPr="000F2D34">
        <w:rPr>
          <w:lang w:val="en-AU"/>
        </w:rPr>
        <w:t>it was intended that</w:t>
      </w:r>
      <w:r>
        <w:rPr>
          <w:lang w:val="en-AU"/>
        </w:rPr>
        <w:t xml:space="preserve"> integrated support be provided to the </w:t>
      </w:r>
      <w:r w:rsidR="00B85990">
        <w:rPr>
          <w:lang w:val="en-AU"/>
        </w:rPr>
        <w:t xml:space="preserve">JCSSS Working Groups </w:t>
      </w:r>
      <w:r>
        <w:rPr>
          <w:lang w:val="en-AU"/>
        </w:rPr>
        <w:t>(including technical, secretariat, facilitative, research and capacity development with the ability for working groups to access technical assistance of the SRBJ team as needed</w:t>
      </w:r>
      <w:r w:rsidR="00BE5E60">
        <w:rPr>
          <w:lang w:val="en-AU"/>
        </w:rPr>
        <w:t>)</w:t>
      </w:r>
      <w:r w:rsidR="00CD1052">
        <w:rPr>
          <w:lang w:val="en-AU"/>
        </w:rPr>
        <w:t>.</w:t>
      </w:r>
      <w:r w:rsidR="00CD1052">
        <w:rPr>
          <w:rStyle w:val="FootnoteReference"/>
          <w:lang w:val="en-AU"/>
        </w:rPr>
        <w:footnoteReference w:id="13"/>
      </w:r>
      <w:r w:rsidR="00CD1052">
        <w:rPr>
          <w:lang w:val="en-AU"/>
        </w:rPr>
        <w:t xml:space="preserve"> </w:t>
      </w:r>
    </w:p>
    <w:p w:rsidR="003E5EB1" w:rsidRDefault="00B85990" w:rsidP="000F2D34">
      <w:pPr>
        <w:ind w:left="360"/>
        <w:jc w:val="both"/>
        <w:rPr>
          <w:lang w:val="en-AU"/>
        </w:rPr>
      </w:pPr>
      <w:r>
        <w:rPr>
          <w:lang w:val="en-AU"/>
        </w:rPr>
        <w:t>Working G</w:t>
      </w:r>
      <w:r w:rsidR="003E5EB1">
        <w:rPr>
          <w:lang w:val="en-AU"/>
        </w:rPr>
        <w:t>roups have not met or progressed any of the eight strategies during the reporting period and only marginally in the last six months of Stage 1.</w:t>
      </w:r>
    </w:p>
    <w:p w:rsidR="00BE5E60" w:rsidRDefault="000F2D34" w:rsidP="000F2D34">
      <w:pPr>
        <w:ind w:left="360"/>
        <w:jc w:val="both"/>
        <w:rPr>
          <w:lang w:val="en-AU"/>
        </w:rPr>
      </w:pPr>
      <w:r>
        <w:rPr>
          <w:lang w:val="en-AU"/>
        </w:rPr>
        <w:t xml:space="preserve">Through observation of the </w:t>
      </w:r>
      <w:r w:rsidR="00B85990">
        <w:rPr>
          <w:lang w:val="en-AU"/>
        </w:rPr>
        <w:t xml:space="preserve">Working Groups </w:t>
      </w:r>
      <w:r>
        <w:rPr>
          <w:lang w:val="en-AU"/>
        </w:rPr>
        <w:t>since establishment in November 2013</w:t>
      </w:r>
      <w:r w:rsidR="00BE5E60">
        <w:rPr>
          <w:lang w:val="en-AU"/>
        </w:rPr>
        <w:t>,</w:t>
      </w:r>
      <w:r>
        <w:rPr>
          <w:lang w:val="en-AU"/>
        </w:rPr>
        <w:t xml:space="preserve"> it appears that cross sector and cross government member working groups </w:t>
      </w:r>
      <w:r w:rsidRPr="00BE5E60">
        <w:rPr>
          <w:i/>
          <w:lang w:val="en-AU"/>
        </w:rPr>
        <w:t>may</w:t>
      </w:r>
      <w:r>
        <w:rPr>
          <w:lang w:val="en-AU"/>
        </w:rPr>
        <w:t xml:space="preserve"> not be an appropriate mechanism for driving this work</w:t>
      </w:r>
      <w:r w:rsidR="00CD1052">
        <w:rPr>
          <w:lang w:val="en-AU"/>
        </w:rPr>
        <w:t>. In addition</w:t>
      </w:r>
      <w:r>
        <w:rPr>
          <w:lang w:val="en-AU"/>
        </w:rPr>
        <w:t xml:space="preserve"> it </w:t>
      </w:r>
      <w:r w:rsidR="00BE5E60">
        <w:rPr>
          <w:lang w:val="en-AU"/>
        </w:rPr>
        <w:t>seems (in hindsight)</w:t>
      </w:r>
      <w:r>
        <w:rPr>
          <w:lang w:val="en-AU"/>
        </w:rPr>
        <w:t xml:space="preserve"> </w:t>
      </w:r>
      <w:r w:rsidR="00B85990">
        <w:rPr>
          <w:lang w:val="en-AU"/>
        </w:rPr>
        <w:t xml:space="preserve">perhaps </w:t>
      </w:r>
      <w:r>
        <w:rPr>
          <w:lang w:val="en-AU"/>
        </w:rPr>
        <w:t xml:space="preserve">premature to anticipate high level investment of time in cross sector work </w:t>
      </w:r>
      <w:r w:rsidR="00BE5E60">
        <w:rPr>
          <w:lang w:val="en-AU"/>
        </w:rPr>
        <w:t xml:space="preserve">given the level of development of the </w:t>
      </w:r>
      <w:r w:rsidR="00B85990">
        <w:rPr>
          <w:lang w:val="en-AU"/>
        </w:rPr>
        <w:t xml:space="preserve">agencies themselves. </w:t>
      </w:r>
      <w:r w:rsidR="00BE5E60">
        <w:rPr>
          <w:lang w:val="en-AU"/>
        </w:rPr>
        <w:t xml:space="preserve"> </w:t>
      </w:r>
    </w:p>
    <w:p w:rsidR="00BE5E60" w:rsidRDefault="00BE5E60" w:rsidP="000F2D34">
      <w:pPr>
        <w:ind w:left="360"/>
        <w:jc w:val="both"/>
        <w:rPr>
          <w:lang w:val="en-AU"/>
        </w:rPr>
      </w:pPr>
      <w:r>
        <w:rPr>
          <w:lang w:val="en-AU"/>
        </w:rPr>
        <w:t xml:space="preserve">The </w:t>
      </w:r>
      <w:r w:rsidR="00B85990">
        <w:rPr>
          <w:lang w:val="en-AU"/>
        </w:rPr>
        <w:t>facilitators</w:t>
      </w:r>
      <w:r>
        <w:rPr>
          <w:lang w:val="en-AU"/>
        </w:rPr>
        <w:t xml:space="preserve"> and members of the </w:t>
      </w:r>
      <w:r w:rsidR="00B85990">
        <w:rPr>
          <w:lang w:val="en-AU"/>
        </w:rPr>
        <w:t>Working Groups face</w:t>
      </w:r>
      <w:r>
        <w:rPr>
          <w:lang w:val="en-AU"/>
        </w:rPr>
        <w:t xml:space="preserve"> fundamental and systemic challenges within the agencies and organisations in which they </w:t>
      </w:r>
      <w:r w:rsidR="00B85990">
        <w:rPr>
          <w:lang w:val="en-AU"/>
        </w:rPr>
        <w:t>work</w:t>
      </w:r>
      <w:r>
        <w:rPr>
          <w:lang w:val="en-AU"/>
        </w:rPr>
        <w:t xml:space="preserve">. They may legitimately want to focus </w:t>
      </w:r>
      <w:r w:rsidR="00B85990">
        <w:rPr>
          <w:lang w:val="en-AU"/>
        </w:rPr>
        <w:t xml:space="preserve">current attention </w:t>
      </w:r>
      <w:r>
        <w:rPr>
          <w:lang w:val="en-AU"/>
        </w:rPr>
        <w:t>on developments at the individual and institutional level</w:t>
      </w:r>
      <w:r w:rsidR="00B85990">
        <w:rPr>
          <w:lang w:val="en-AU"/>
        </w:rPr>
        <w:t>,</w:t>
      </w:r>
      <w:r>
        <w:rPr>
          <w:lang w:val="en-AU"/>
        </w:rPr>
        <w:t xml:space="preserve"> in priority to the cross sector priorities identified in the JCSSS</w:t>
      </w:r>
      <w:r w:rsidR="00B85990">
        <w:rPr>
          <w:lang w:val="en-AU"/>
        </w:rPr>
        <w:t>,</w:t>
      </w:r>
      <w:r>
        <w:rPr>
          <w:lang w:val="en-AU"/>
        </w:rPr>
        <w:t xml:space="preserve"> for which they derive only indirect benefit and for which they receive no material recognition. </w:t>
      </w:r>
    </w:p>
    <w:p w:rsidR="000F2D34" w:rsidRDefault="00BE5E60" w:rsidP="000F2D34">
      <w:pPr>
        <w:ind w:left="360"/>
        <w:jc w:val="both"/>
        <w:rPr>
          <w:lang w:val="en-AU"/>
        </w:rPr>
      </w:pPr>
      <w:r>
        <w:rPr>
          <w:lang w:val="en-AU"/>
        </w:rPr>
        <w:t xml:space="preserve">True engagement in a </w:t>
      </w:r>
      <w:r w:rsidR="00B85990">
        <w:rPr>
          <w:lang w:val="en-AU"/>
        </w:rPr>
        <w:t xml:space="preserve">Working Group </w:t>
      </w:r>
      <w:r>
        <w:rPr>
          <w:lang w:val="en-AU"/>
        </w:rPr>
        <w:t xml:space="preserve">mechanisms such as this might be more effective at a point at which the agencies and institutions within the sector have developed further and feel that they are in stronger, more robust positions. This is likely to facilitate greater capacity to engage at the cross sector level. </w:t>
      </w:r>
    </w:p>
    <w:p w:rsidR="00CD1052" w:rsidRDefault="00CD1052" w:rsidP="000F2D34">
      <w:pPr>
        <w:ind w:left="360"/>
        <w:jc w:val="both"/>
        <w:rPr>
          <w:lang w:val="en-AU"/>
        </w:rPr>
      </w:pPr>
      <w:r>
        <w:rPr>
          <w:lang w:val="en-AU"/>
        </w:rPr>
        <w:t xml:space="preserve">Accordingly, it is proposed that there be a review of the current mechanism for advancing the </w:t>
      </w:r>
      <w:r w:rsidR="00861042" w:rsidRPr="000F2D34">
        <w:rPr>
          <w:lang w:val="en-AU"/>
        </w:rPr>
        <w:t xml:space="preserve">JCSSS in </w:t>
      </w:r>
      <w:r>
        <w:rPr>
          <w:lang w:val="en-AU"/>
        </w:rPr>
        <w:t xml:space="preserve">consultation and </w:t>
      </w:r>
      <w:r w:rsidR="00861042" w:rsidRPr="000F2D34">
        <w:rPr>
          <w:lang w:val="en-AU"/>
        </w:rPr>
        <w:t>partnership with key GoV stakeholders</w:t>
      </w:r>
      <w:r>
        <w:rPr>
          <w:lang w:val="en-AU"/>
        </w:rPr>
        <w:t xml:space="preserve"> (possibly the JCSSS Task Force)</w:t>
      </w:r>
      <w:r w:rsidR="004F54D5" w:rsidRPr="000F2D34">
        <w:rPr>
          <w:lang w:val="en-AU"/>
        </w:rPr>
        <w:t xml:space="preserve"> </w:t>
      </w:r>
      <w:r>
        <w:rPr>
          <w:lang w:val="en-AU"/>
        </w:rPr>
        <w:t xml:space="preserve">to determine a more appropriate means of supporting the JCSSS. </w:t>
      </w:r>
      <w:r w:rsidR="00D23BA1">
        <w:rPr>
          <w:lang w:val="en-AU"/>
        </w:rPr>
        <w:t>Some</w:t>
      </w:r>
      <w:r>
        <w:rPr>
          <w:lang w:val="en-AU"/>
        </w:rPr>
        <w:t xml:space="preserve"> of the thematic areas covered by the eight strategies are making progress under the auspices of other mechanisms. It may be possible to progress the strategies through other existing bodies; rationalise or deprioritise some strategies and focus support and energy on strategies that demonstrate existing momentum, potentially a lesser subset of strategies. </w:t>
      </w:r>
    </w:p>
    <w:p w:rsidR="00CD1052" w:rsidRDefault="00CD1052" w:rsidP="000F2D34">
      <w:pPr>
        <w:ind w:left="360"/>
        <w:jc w:val="both"/>
        <w:rPr>
          <w:lang w:val="en-AU"/>
        </w:rPr>
      </w:pPr>
      <w:r>
        <w:rPr>
          <w:lang w:val="en-AU"/>
        </w:rPr>
        <w:lastRenderedPageBreak/>
        <w:t xml:space="preserve">The first half of 2015 will be used to develop an approach for advancing the JCSSS that has clear MJCS and HOAG support and ownership. </w:t>
      </w:r>
    </w:p>
    <w:p w:rsidR="00CD1052" w:rsidRDefault="003E5EB1" w:rsidP="007D2BBC">
      <w:pPr>
        <w:pStyle w:val="ListParagraph"/>
        <w:numPr>
          <w:ilvl w:val="0"/>
          <w:numId w:val="25"/>
        </w:numPr>
        <w:jc w:val="both"/>
        <w:rPr>
          <w:b/>
          <w:lang w:val="en-AU"/>
        </w:rPr>
      </w:pPr>
      <w:r>
        <w:rPr>
          <w:b/>
          <w:lang w:val="en-AU"/>
        </w:rPr>
        <w:t xml:space="preserve">Revised </w:t>
      </w:r>
      <w:proofErr w:type="spellStart"/>
      <w:r>
        <w:rPr>
          <w:b/>
          <w:lang w:val="en-AU"/>
        </w:rPr>
        <w:t>w</w:t>
      </w:r>
      <w:r w:rsidR="00CD1052" w:rsidRPr="003E5EB1">
        <w:rPr>
          <w:b/>
          <w:lang w:val="en-AU"/>
        </w:rPr>
        <w:t>orkplan</w:t>
      </w:r>
      <w:proofErr w:type="spellEnd"/>
      <w:r w:rsidR="00CD1052" w:rsidRPr="003E5EB1">
        <w:rPr>
          <w:b/>
          <w:lang w:val="en-AU"/>
        </w:rPr>
        <w:t xml:space="preserve"> for interventions related to </w:t>
      </w:r>
      <w:r w:rsidRPr="003E5EB1">
        <w:rPr>
          <w:b/>
          <w:lang w:val="en-AU"/>
        </w:rPr>
        <w:t>violence against women and youth in conflict with the law. (3.2 &amp; 3.3)</w:t>
      </w:r>
    </w:p>
    <w:p w:rsidR="003E5EB1" w:rsidRPr="00CC4087" w:rsidRDefault="00E27FD3" w:rsidP="003E5EB1">
      <w:pPr>
        <w:ind w:left="360"/>
        <w:jc w:val="both"/>
        <w:rPr>
          <w:lang w:val="en-AU"/>
        </w:rPr>
      </w:pPr>
      <w:r w:rsidRPr="00CC4087">
        <w:rPr>
          <w:lang w:val="en-AU"/>
        </w:rPr>
        <w:t xml:space="preserve">The approach of the work related to violence against women under component 3 has changed in the way in which it is intended to be implemented (the “how”) but does not change the end-of-program-outcomes (the “what” </w:t>
      </w:r>
      <w:r w:rsidR="004E1CA0" w:rsidRPr="00CC4087">
        <w:rPr>
          <w:lang w:val="en-AU"/>
        </w:rPr>
        <w:t>that is</w:t>
      </w:r>
      <w:r w:rsidRPr="00CC4087">
        <w:rPr>
          <w:lang w:val="en-AU"/>
        </w:rPr>
        <w:t xml:space="preserve"> intended to be achieved) which are set</w:t>
      </w:r>
      <w:r w:rsidR="00D23BA1">
        <w:rPr>
          <w:lang w:val="en-AU"/>
        </w:rPr>
        <w:t xml:space="preserve"> out in the table under section </w:t>
      </w:r>
      <w:r w:rsidR="00D23BA1" w:rsidRPr="004206ED">
        <w:rPr>
          <w:lang w:val="en-AU"/>
        </w:rPr>
        <w:t>2a</w:t>
      </w:r>
      <w:r w:rsidRPr="004206ED">
        <w:rPr>
          <w:lang w:val="en-AU"/>
        </w:rPr>
        <w:t>.</w:t>
      </w:r>
      <w:r w:rsidRPr="00CC4087">
        <w:rPr>
          <w:lang w:val="en-AU"/>
        </w:rPr>
        <w:t xml:space="preserve"> </w:t>
      </w:r>
    </w:p>
    <w:p w:rsidR="004E1CA0" w:rsidRPr="00CC4087" w:rsidRDefault="00E27FD3" w:rsidP="003E5EB1">
      <w:pPr>
        <w:ind w:left="360"/>
        <w:jc w:val="both"/>
        <w:rPr>
          <w:lang w:val="en-AU"/>
        </w:rPr>
      </w:pPr>
      <w:r w:rsidRPr="00CC4087">
        <w:rPr>
          <w:lang w:val="en-AU"/>
        </w:rPr>
        <w:t>The refinement in the approach result</w:t>
      </w:r>
      <w:r w:rsidR="004E1CA0" w:rsidRPr="00CC4087">
        <w:rPr>
          <w:lang w:val="en-AU"/>
        </w:rPr>
        <w:t>s</w:t>
      </w:r>
      <w:r w:rsidRPr="00CC4087">
        <w:rPr>
          <w:lang w:val="en-AU"/>
        </w:rPr>
        <w:t xml:space="preserve"> both from</w:t>
      </w:r>
      <w:r w:rsidR="004E1CA0" w:rsidRPr="00CC4087">
        <w:rPr>
          <w:lang w:val="en-AU"/>
        </w:rPr>
        <w:t>:</w:t>
      </w:r>
    </w:p>
    <w:p w:rsidR="004E1CA0" w:rsidRPr="00CC4087" w:rsidRDefault="00E27FD3" w:rsidP="007D2BBC">
      <w:pPr>
        <w:pStyle w:val="ListParagraph"/>
        <w:numPr>
          <w:ilvl w:val="1"/>
          <w:numId w:val="14"/>
        </w:numPr>
        <w:ind w:left="851" w:hanging="425"/>
        <w:jc w:val="both"/>
        <w:rPr>
          <w:lang w:val="en-AU"/>
        </w:rPr>
      </w:pPr>
      <w:r w:rsidRPr="00CC4087">
        <w:rPr>
          <w:lang w:val="en-AU"/>
        </w:rPr>
        <w:t>taking the opportunity</w:t>
      </w:r>
      <w:r w:rsidR="00D23BA1">
        <w:rPr>
          <w:lang w:val="en-AU"/>
        </w:rPr>
        <w:t>,</w:t>
      </w:r>
      <w:r w:rsidR="004E1CA0" w:rsidRPr="00CC4087">
        <w:rPr>
          <w:lang w:val="en-AU"/>
        </w:rPr>
        <w:t xml:space="preserve"> with DFAT approval</w:t>
      </w:r>
      <w:r w:rsidR="00D23BA1">
        <w:rPr>
          <w:lang w:val="en-AU"/>
        </w:rPr>
        <w:t>,</w:t>
      </w:r>
      <w:r w:rsidRPr="00CC4087">
        <w:rPr>
          <w:lang w:val="en-AU"/>
        </w:rPr>
        <w:t xml:space="preserve"> to support </w:t>
      </w:r>
      <w:r w:rsidR="00D23BA1">
        <w:rPr>
          <w:lang w:val="en-AU"/>
        </w:rPr>
        <w:t xml:space="preserve">a </w:t>
      </w:r>
      <w:r w:rsidRPr="00CC4087">
        <w:rPr>
          <w:lang w:val="en-AU"/>
        </w:rPr>
        <w:t>government</w:t>
      </w:r>
      <w:r w:rsidR="00D23BA1">
        <w:rPr>
          <w:lang w:val="en-AU"/>
        </w:rPr>
        <w:t>-led</w:t>
      </w:r>
      <w:r w:rsidRPr="00CC4087">
        <w:rPr>
          <w:lang w:val="en-AU"/>
        </w:rPr>
        <w:t xml:space="preserve"> initiative and momentum to “chase change”</w:t>
      </w:r>
      <w:r w:rsidR="004E1CA0" w:rsidRPr="00CC4087">
        <w:rPr>
          <w:lang w:val="en-AU"/>
        </w:rPr>
        <w:t>;</w:t>
      </w:r>
      <w:r w:rsidRPr="00CC4087">
        <w:rPr>
          <w:lang w:val="en-AU"/>
        </w:rPr>
        <w:t xml:space="preserve"> and also </w:t>
      </w:r>
    </w:p>
    <w:p w:rsidR="00E27FD3" w:rsidRPr="00CC4087" w:rsidRDefault="00D23BA1" w:rsidP="007D2BBC">
      <w:pPr>
        <w:pStyle w:val="ListParagraph"/>
        <w:numPr>
          <w:ilvl w:val="1"/>
          <w:numId w:val="14"/>
        </w:numPr>
        <w:ind w:left="851" w:hanging="425"/>
        <w:jc w:val="both"/>
        <w:rPr>
          <w:lang w:val="en-AU"/>
        </w:rPr>
      </w:pPr>
      <w:r>
        <w:rPr>
          <w:lang w:val="en-AU"/>
        </w:rPr>
        <w:t xml:space="preserve">further </w:t>
      </w:r>
      <w:r w:rsidR="00E27FD3" w:rsidRPr="00CC4087">
        <w:rPr>
          <w:lang w:val="en-AU"/>
        </w:rPr>
        <w:t xml:space="preserve">investigation and consideration of the complexity of the interplay of the issues of violence against women; </w:t>
      </w:r>
      <w:r w:rsidR="003240D4">
        <w:rPr>
          <w:lang w:val="en-AU"/>
        </w:rPr>
        <w:t>‘</w:t>
      </w:r>
      <w:r w:rsidR="00E27FD3" w:rsidRPr="00CC4087">
        <w:rPr>
          <w:lang w:val="en-AU"/>
        </w:rPr>
        <w:t>hybrid</w:t>
      </w:r>
      <w:r w:rsidR="003240D4">
        <w:rPr>
          <w:lang w:val="en-AU"/>
        </w:rPr>
        <w:t>’</w:t>
      </w:r>
      <w:r w:rsidR="00E27FD3" w:rsidRPr="00CC4087">
        <w:rPr>
          <w:lang w:val="en-AU"/>
        </w:rPr>
        <w:t xml:space="preserve"> justice as experienced in Vanuatu; human rights and kastom; and the best approach to targeting of interventions at the community level to support women experiencing violence.</w:t>
      </w:r>
    </w:p>
    <w:p w:rsidR="00E27FD3" w:rsidRPr="00CC4087" w:rsidRDefault="00E27FD3" w:rsidP="003E5EB1">
      <w:pPr>
        <w:ind w:left="360"/>
        <w:jc w:val="both"/>
        <w:rPr>
          <w:lang w:val="en-AU"/>
        </w:rPr>
      </w:pPr>
      <w:r w:rsidRPr="00CC4087">
        <w:rPr>
          <w:lang w:val="en-AU"/>
        </w:rPr>
        <w:t>The</w:t>
      </w:r>
      <w:r w:rsidR="004E1CA0" w:rsidRPr="00CC4087">
        <w:rPr>
          <w:lang w:val="en-AU"/>
        </w:rPr>
        <w:t xml:space="preserve"> delay in commencement of stage 2</w:t>
      </w:r>
      <w:r w:rsidR="004E1CA0" w:rsidRPr="00CC4087">
        <w:rPr>
          <w:rStyle w:val="FootnoteReference"/>
          <w:lang w:val="en-AU"/>
        </w:rPr>
        <w:footnoteReference w:id="14"/>
      </w:r>
      <w:r w:rsidRPr="00CC4087">
        <w:rPr>
          <w:lang w:val="en-AU"/>
        </w:rPr>
        <w:t xml:space="preserve"> </w:t>
      </w:r>
      <w:r w:rsidR="006D77CC" w:rsidRPr="00CC4087">
        <w:rPr>
          <w:lang w:val="en-AU"/>
        </w:rPr>
        <w:t xml:space="preserve">allowed for </w:t>
      </w:r>
      <w:r w:rsidRPr="00CC4087">
        <w:rPr>
          <w:lang w:val="en-AU"/>
        </w:rPr>
        <w:t xml:space="preserve">further consideration of the complexities of working at this interface </w:t>
      </w:r>
      <w:r w:rsidR="003240D4">
        <w:rPr>
          <w:lang w:val="en-AU"/>
        </w:rPr>
        <w:t xml:space="preserve">and </w:t>
      </w:r>
      <w:r w:rsidRPr="00CC4087">
        <w:rPr>
          <w:lang w:val="en-AU"/>
        </w:rPr>
        <w:t>revealed the paucity of research that demonstrate</w:t>
      </w:r>
      <w:r w:rsidR="004E1CA0" w:rsidRPr="00CC4087">
        <w:rPr>
          <w:lang w:val="en-AU"/>
        </w:rPr>
        <w:t>s</w:t>
      </w:r>
      <w:r w:rsidRPr="00CC4087">
        <w:rPr>
          <w:lang w:val="en-AU"/>
        </w:rPr>
        <w:t xml:space="preserve"> accurately and reliably how conflicts are dealt with at the community level</w:t>
      </w:r>
      <w:r w:rsidR="004E1CA0" w:rsidRPr="00CC4087">
        <w:rPr>
          <w:lang w:val="en-AU"/>
        </w:rPr>
        <w:t xml:space="preserve">, making carefully focused interventions more difficult. This being the case, the </w:t>
      </w:r>
      <w:r w:rsidR="003240D4">
        <w:rPr>
          <w:lang w:val="en-AU"/>
        </w:rPr>
        <w:t>expanded</w:t>
      </w:r>
      <w:r w:rsidR="003240D4" w:rsidRPr="00CC4087">
        <w:rPr>
          <w:lang w:val="en-AU"/>
        </w:rPr>
        <w:t xml:space="preserve"> </w:t>
      </w:r>
      <w:r w:rsidR="004E1CA0" w:rsidRPr="00CC4087">
        <w:rPr>
          <w:lang w:val="en-AU"/>
        </w:rPr>
        <w:t xml:space="preserve">research would provide </w:t>
      </w:r>
      <w:r w:rsidR="006D77CC" w:rsidRPr="00CC4087">
        <w:rPr>
          <w:lang w:val="en-AU"/>
        </w:rPr>
        <w:t>an important basis</w:t>
      </w:r>
      <w:r w:rsidR="004E1CA0" w:rsidRPr="00CC4087">
        <w:rPr>
          <w:lang w:val="en-AU"/>
        </w:rPr>
        <w:t xml:space="preserve"> for the targeting of interventions for both youth in conflict with the law and for women experiencing family based violence; and indeed also for the protection of children.</w:t>
      </w:r>
    </w:p>
    <w:p w:rsidR="006D77CC" w:rsidRPr="00CC4087" w:rsidRDefault="006D77CC" w:rsidP="003E5EB1">
      <w:pPr>
        <w:ind w:left="360"/>
        <w:jc w:val="both"/>
        <w:rPr>
          <w:lang w:val="en-AU"/>
        </w:rPr>
      </w:pPr>
      <w:r w:rsidRPr="00CC4087">
        <w:rPr>
          <w:lang w:val="en-AU"/>
        </w:rPr>
        <w:t xml:space="preserve">The approach to the research would look in part to replicating aspects of the approach of the World Bank, Justice for the Poor research in Solomon Islands, </w:t>
      </w:r>
      <w:r w:rsidRPr="00CC4087">
        <w:rPr>
          <w:i/>
          <w:lang w:val="en-AU"/>
        </w:rPr>
        <w:t>Justice Delivered Locally</w:t>
      </w:r>
      <w:r w:rsidR="00765DA2" w:rsidRPr="00CC4087">
        <w:rPr>
          <w:rStyle w:val="FootnoteReference"/>
          <w:lang w:val="en-AU"/>
        </w:rPr>
        <w:footnoteReference w:id="15"/>
      </w:r>
      <w:r w:rsidRPr="00CC4087">
        <w:rPr>
          <w:lang w:val="en-AU"/>
        </w:rPr>
        <w:t xml:space="preserve"> </w:t>
      </w:r>
      <w:r w:rsidR="00D23BA1">
        <w:rPr>
          <w:lang w:val="en-AU"/>
        </w:rPr>
        <w:t>(</w:t>
      </w:r>
      <w:r w:rsidRPr="00CC4087">
        <w:rPr>
          <w:lang w:val="en-AU"/>
        </w:rPr>
        <w:t>noting its shortcoming with respect to</w:t>
      </w:r>
      <w:r w:rsidR="00D23BA1">
        <w:rPr>
          <w:lang w:val="en-AU"/>
        </w:rPr>
        <w:t xml:space="preserve"> research of conflicts relating to</w:t>
      </w:r>
      <w:r w:rsidRPr="00CC4087">
        <w:rPr>
          <w:lang w:val="en-AU"/>
        </w:rPr>
        <w:t xml:space="preserve"> family based violence</w:t>
      </w:r>
      <w:r w:rsidR="00D23BA1">
        <w:rPr>
          <w:lang w:val="en-AU"/>
        </w:rPr>
        <w:t>)</w:t>
      </w:r>
      <w:r w:rsidRPr="00CC4087">
        <w:rPr>
          <w:lang w:val="en-AU"/>
        </w:rPr>
        <w:t xml:space="preserve"> as well as putting in practice some the theoretical propositions of Miranda Forsyth’s work in </w:t>
      </w:r>
      <w:r w:rsidRPr="00CC4087">
        <w:rPr>
          <w:i/>
          <w:lang w:val="en-AU"/>
        </w:rPr>
        <w:t>Spinning A Conflict Management Web in Vanuatu</w:t>
      </w:r>
      <w:r w:rsidR="00765DA2" w:rsidRPr="00CC4087">
        <w:rPr>
          <w:lang w:val="en-AU"/>
        </w:rPr>
        <w:t>.</w:t>
      </w:r>
      <w:r w:rsidR="00765DA2" w:rsidRPr="00CC4087">
        <w:rPr>
          <w:rStyle w:val="FootnoteReference"/>
          <w:lang w:val="en-AU"/>
        </w:rPr>
        <w:footnoteReference w:id="16"/>
      </w:r>
      <w:r w:rsidR="00765DA2" w:rsidRPr="00CC4087">
        <w:rPr>
          <w:lang w:val="en-AU"/>
        </w:rPr>
        <w:t xml:space="preserve"> </w:t>
      </w:r>
    </w:p>
    <w:p w:rsidR="00765DA2" w:rsidRPr="00CC4087" w:rsidRDefault="00765DA2" w:rsidP="003E5EB1">
      <w:pPr>
        <w:ind w:left="360"/>
        <w:jc w:val="both"/>
        <w:rPr>
          <w:lang w:val="en-AU"/>
        </w:rPr>
      </w:pPr>
      <w:r w:rsidRPr="00CC4087">
        <w:rPr>
          <w:lang w:val="en-AU"/>
        </w:rPr>
        <w:t xml:space="preserve">During the reporting period, SRBJ was approached by the Department of Women’s Affairs (DWA) to support mapping and research with respect to specific communities in which DWA had been piloting an approach for the appointment of Authorised Persons and Registered Counsellors as defined under the Family Protection Act 2008. This particular aspect of the Act was one that had not progressed since the Act had come into effect and was uniformly identified as an area needing </w:t>
      </w:r>
      <w:r w:rsidR="0006212D" w:rsidRPr="00CC4087">
        <w:rPr>
          <w:lang w:val="en-AU"/>
        </w:rPr>
        <w:t>attention</w:t>
      </w:r>
      <w:r w:rsidRPr="00CC4087">
        <w:rPr>
          <w:lang w:val="en-AU"/>
        </w:rPr>
        <w:t xml:space="preserve"> in order to make the Act </w:t>
      </w:r>
      <w:r w:rsidR="003240D4">
        <w:rPr>
          <w:lang w:val="en-AU"/>
        </w:rPr>
        <w:t xml:space="preserve">more </w:t>
      </w:r>
      <w:r w:rsidRPr="00CC4087">
        <w:rPr>
          <w:lang w:val="en-AU"/>
        </w:rPr>
        <w:t xml:space="preserve">effective for women in remote parts of Vanuatu. The request represented new energy by GoV to progress this issue and demonstrated some confidence in SRBJ to be able to assist </w:t>
      </w:r>
      <w:r w:rsidR="0006212D" w:rsidRPr="00CC4087">
        <w:rPr>
          <w:lang w:val="en-AU"/>
        </w:rPr>
        <w:t xml:space="preserve">the DWA in this endeavour. </w:t>
      </w:r>
    </w:p>
    <w:p w:rsidR="0006212D" w:rsidRPr="00CC4087" w:rsidRDefault="0006212D" w:rsidP="003E5EB1">
      <w:pPr>
        <w:ind w:left="360"/>
        <w:jc w:val="both"/>
        <w:rPr>
          <w:lang w:val="en-AU"/>
        </w:rPr>
      </w:pPr>
      <w:r w:rsidRPr="00CC4087">
        <w:rPr>
          <w:lang w:val="en-AU"/>
        </w:rPr>
        <w:lastRenderedPageBreak/>
        <w:t>The request was s</w:t>
      </w:r>
      <w:r w:rsidR="00D23BA1">
        <w:rPr>
          <w:lang w:val="en-AU"/>
        </w:rPr>
        <w:t>een to have stro</w:t>
      </w:r>
      <w:r w:rsidRPr="00CC4087">
        <w:rPr>
          <w:lang w:val="en-AU"/>
        </w:rPr>
        <w:t>ng links with the proposed piloting work in Malekula; provide</w:t>
      </w:r>
      <w:r w:rsidR="003240D4">
        <w:rPr>
          <w:lang w:val="en-AU"/>
        </w:rPr>
        <w:t>d</w:t>
      </w:r>
      <w:r w:rsidRPr="00CC4087">
        <w:rPr>
          <w:lang w:val="en-AU"/>
        </w:rPr>
        <w:t xml:space="preserve"> an opportunity to strengthen the</w:t>
      </w:r>
      <w:r w:rsidR="00D23BA1">
        <w:rPr>
          <w:lang w:val="en-AU"/>
        </w:rPr>
        <w:t xml:space="preserve"> implementation of the</w:t>
      </w:r>
      <w:r w:rsidRPr="00CC4087">
        <w:rPr>
          <w:lang w:val="en-AU"/>
        </w:rPr>
        <w:t xml:space="preserve"> Family Protection Act 2008 in a broader way than the program had envisaged</w:t>
      </w:r>
      <w:r w:rsidR="00D23BA1">
        <w:rPr>
          <w:lang w:val="en-AU"/>
        </w:rPr>
        <w:t>;</w:t>
      </w:r>
      <w:r w:rsidRPr="00CC4087">
        <w:rPr>
          <w:lang w:val="en-AU"/>
        </w:rPr>
        <w:t xml:space="preserve"> and </w:t>
      </w:r>
      <w:r w:rsidR="0091101C">
        <w:rPr>
          <w:lang w:val="en-AU"/>
        </w:rPr>
        <w:t xml:space="preserve">offered an opportunity </w:t>
      </w:r>
      <w:r w:rsidRPr="00CC4087">
        <w:rPr>
          <w:lang w:val="en-AU"/>
        </w:rPr>
        <w:t>to provide targeted support for GoV momentum. SRBJ</w:t>
      </w:r>
      <w:r w:rsidR="00CC4087" w:rsidRPr="00CC4087">
        <w:rPr>
          <w:lang w:val="en-AU"/>
        </w:rPr>
        <w:t>,</w:t>
      </w:r>
      <w:r w:rsidRPr="00CC4087">
        <w:rPr>
          <w:lang w:val="en-AU"/>
        </w:rPr>
        <w:t xml:space="preserve"> with DFAT approval</w:t>
      </w:r>
      <w:r w:rsidR="00CC4087" w:rsidRPr="00CC4087">
        <w:rPr>
          <w:lang w:val="en-AU"/>
        </w:rPr>
        <w:t>,</w:t>
      </w:r>
      <w:r w:rsidRPr="00CC4087">
        <w:rPr>
          <w:lang w:val="en-AU"/>
        </w:rPr>
        <w:t xml:space="preserve"> agreed to provide the support that was requested by DWA in</w:t>
      </w:r>
      <w:r w:rsidR="00D23BA1">
        <w:rPr>
          <w:lang w:val="en-AU"/>
        </w:rPr>
        <w:t xml:space="preserve"> </w:t>
      </w:r>
      <w:r w:rsidRPr="00CC4087">
        <w:rPr>
          <w:lang w:val="en-AU"/>
        </w:rPr>
        <w:t>this work.</w:t>
      </w:r>
    </w:p>
    <w:p w:rsidR="0006212D" w:rsidRPr="003B66C0" w:rsidRDefault="0006212D" w:rsidP="003E5EB1">
      <w:pPr>
        <w:ind w:left="360"/>
        <w:jc w:val="both"/>
        <w:rPr>
          <w:lang w:val="en-AU"/>
        </w:rPr>
      </w:pPr>
      <w:r w:rsidRPr="00CC4087">
        <w:rPr>
          <w:lang w:val="en-AU"/>
        </w:rPr>
        <w:t>As a result, SRBJ support to women experiencing gender-based violence has two aspects to it now</w:t>
      </w:r>
      <w:r w:rsidR="00CC4087" w:rsidRPr="00CC4087">
        <w:rPr>
          <w:lang w:val="en-AU"/>
        </w:rPr>
        <w:t>,</w:t>
      </w:r>
      <w:r w:rsidRPr="00CC4087">
        <w:rPr>
          <w:lang w:val="en-AU"/>
        </w:rPr>
        <w:t xml:space="preserve"> being: (1) the SRBJ Malekula pilot which will commence with the </w:t>
      </w:r>
      <w:r w:rsidR="0091101C">
        <w:rPr>
          <w:lang w:val="en-AU"/>
        </w:rPr>
        <w:t xml:space="preserve">expanded </w:t>
      </w:r>
      <w:r w:rsidRPr="00CC4087">
        <w:rPr>
          <w:lang w:val="en-AU"/>
        </w:rPr>
        <w:t>research piece referred to above followed by some key interventions that may focus more on formal justice agencies and other duty</w:t>
      </w:r>
      <w:r w:rsidR="00CC4087" w:rsidRPr="00CC4087">
        <w:rPr>
          <w:lang w:val="en-AU"/>
        </w:rPr>
        <w:t>-</w:t>
      </w:r>
      <w:r w:rsidRPr="00CC4087">
        <w:rPr>
          <w:lang w:val="en-AU"/>
        </w:rPr>
        <w:t xml:space="preserve">bearers rather than community mobilisation in its first phase; and (2) support for the further piloting of the appointment of Authorised Persons and Registered Counsellors in identified </w:t>
      </w:r>
      <w:r w:rsidR="00D23BA1">
        <w:rPr>
          <w:lang w:val="en-AU"/>
        </w:rPr>
        <w:t>communities</w:t>
      </w:r>
      <w:r w:rsidRPr="00CC4087">
        <w:rPr>
          <w:lang w:val="en-AU"/>
        </w:rPr>
        <w:t xml:space="preserve"> </w:t>
      </w:r>
      <w:r w:rsidRPr="003B66C0">
        <w:rPr>
          <w:lang w:val="en-AU"/>
        </w:rPr>
        <w:t xml:space="preserve">in Efate, South Santo and </w:t>
      </w:r>
      <w:proofErr w:type="spellStart"/>
      <w:r w:rsidRPr="003B66C0">
        <w:rPr>
          <w:lang w:val="en-AU"/>
        </w:rPr>
        <w:t>Tanna</w:t>
      </w:r>
      <w:proofErr w:type="spellEnd"/>
      <w:r w:rsidRPr="003B66C0">
        <w:rPr>
          <w:lang w:val="en-AU"/>
        </w:rPr>
        <w:t>.</w:t>
      </w:r>
    </w:p>
    <w:p w:rsidR="004E1CA0" w:rsidRPr="003B66C0" w:rsidRDefault="0006212D" w:rsidP="003E5EB1">
      <w:pPr>
        <w:ind w:left="360"/>
        <w:jc w:val="both"/>
        <w:rPr>
          <w:lang w:val="en-AU"/>
        </w:rPr>
      </w:pPr>
      <w:r w:rsidRPr="003B66C0">
        <w:rPr>
          <w:lang w:val="en-AU"/>
        </w:rPr>
        <w:t xml:space="preserve">This is provided in more detail in the Access to Justice Piloting </w:t>
      </w:r>
      <w:proofErr w:type="spellStart"/>
      <w:r w:rsidRPr="003B66C0">
        <w:rPr>
          <w:lang w:val="en-AU"/>
        </w:rPr>
        <w:t>Workplan</w:t>
      </w:r>
      <w:proofErr w:type="spellEnd"/>
      <w:r w:rsidRPr="003B66C0">
        <w:rPr>
          <w:lang w:val="en-AU"/>
        </w:rPr>
        <w:t xml:space="preserve"> January to December 2015 at Annex </w:t>
      </w:r>
      <w:r w:rsidR="003B66C0" w:rsidRPr="003B66C0">
        <w:rPr>
          <w:lang w:val="en-AU"/>
        </w:rPr>
        <w:t>5</w:t>
      </w:r>
      <w:r w:rsidRPr="003B66C0">
        <w:rPr>
          <w:lang w:val="en-AU"/>
        </w:rPr>
        <w:t>.</w:t>
      </w:r>
    </w:p>
    <w:p w:rsidR="00E27FD3" w:rsidRPr="003B66C0" w:rsidRDefault="0006212D" w:rsidP="003E5EB1">
      <w:pPr>
        <w:ind w:left="360"/>
        <w:jc w:val="both"/>
        <w:rPr>
          <w:lang w:val="en-AU"/>
        </w:rPr>
      </w:pPr>
      <w:r w:rsidRPr="003B66C0">
        <w:rPr>
          <w:lang w:val="en-AU"/>
        </w:rPr>
        <w:t xml:space="preserve">Of note, is that it is proposed that the same research approach and methodology </w:t>
      </w:r>
      <w:r w:rsidR="00612701" w:rsidRPr="003B66C0">
        <w:rPr>
          <w:lang w:val="en-AU"/>
        </w:rPr>
        <w:t xml:space="preserve">will </w:t>
      </w:r>
      <w:r w:rsidRPr="003B66C0">
        <w:rPr>
          <w:lang w:val="en-AU"/>
        </w:rPr>
        <w:t xml:space="preserve">be used to support the </w:t>
      </w:r>
      <w:proofErr w:type="spellStart"/>
      <w:r w:rsidRPr="003B66C0">
        <w:rPr>
          <w:lang w:val="en-AU"/>
        </w:rPr>
        <w:t>Blacksands</w:t>
      </w:r>
      <w:proofErr w:type="spellEnd"/>
      <w:r w:rsidRPr="003B66C0">
        <w:rPr>
          <w:lang w:val="en-AU"/>
        </w:rPr>
        <w:t xml:space="preserve"> pilot</w:t>
      </w:r>
      <w:r w:rsidR="00612701" w:rsidRPr="003B66C0">
        <w:rPr>
          <w:lang w:val="en-AU"/>
        </w:rPr>
        <w:t xml:space="preserve">. The research will differ in that the </w:t>
      </w:r>
      <w:proofErr w:type="spellStart"/>
      <w:r w:rsidR="00612701" w:rsidRPr="003B66C0">
        <w:rPr>
          <w:lang w:val="en-AU"/>
        </w:rPr>
        <w:t>Blacksands</w:t>
      </w:r>
      <w:proofErr w:type="spellEnd"/>
      <w:r w:rsidR="00612701" w:rsidRPr="003B66C0">
        <w:rPr>
          <w:lang w:val="en-AU"/>
        </w:rPr>
        <w:t xml:space="preserve"> work </w:t>
      </w:r>
      <w:r w:rsidR="00D23BA1" w:rsidRPr="003B66C0">
        <w:rPr>
          <w:lang w:val="en-AU"/>
        </w:rPr>
        <w:t>will focus</w:t>
      </w:r>
      <w:r w:rsidRPr="003B66C0">
        <w:rPr>
          <w:lang w:val="en-AU"/>
        </w:rPr>
        <w:t xml:space="preserve"> </w:t>
      </w:r>
      <w:r w:rsidR="00612701" w:rsidRPr="003B66C0">
        <w:rPr>
          <w:lang w:val="en-AU"/>
        </w:rPr>
        <w:t xml:space="preserve">more </w:t>
      </w:r>
      <w:r w:rsidRPr="003B66C0">
        <w:rPr>
          <w:lang w:val="en-AU"/>
        </w:rPr>
        <w:t>on</w:t>
      </w:r>
      <w:r w:rsidR="00D23BA1" w:rsidRPr="003B66C0">
        <w:rPr>
          <w:lang w:val="en-AU"/>
        </w:rPr>
        <w:t xml:space="preserve"> youth in conflict with the law</w:t>
      </w:r>
      <w:r w:rsidR="00612701" w:rsidRPr="003B66C0">
        <w:rPr>
          <w:lang w:val="en-AU"/>
        </w:rPr>
        <w:t xml:space="preserve">, while the Malekula work will focus more on </w:t>
      </w:r>
      <w:r w:rsidRPr="003B66C0">
        <w:rPr>
          <w:lang w:val="en-AU"/>
        </w:rPr>
        <w:t>conflicts relating to women.</w:t>
      </w:r>
    </w:p>
    <w:p w:rsidR="0006212D" w:rsidRPr="00CC4087" w:rsidRDefault="0006212D" w:rsidP="003E5EB1">
      <w:pPr>
        <w:ind w:left="360"/>
        <w:jc w:val="both"/>
        <w:rPr>
          <w:lang w:val="en-AU"/>
        </w:rPr>
      </w:pPr>
      <w:r w:rsidRPr="003B66C0">
        <w:rPr>
          <w:lang w:val="en-AU"/>
        </w:rPr>
        <w:t>The intended approach</w:t>
      </w:r>
      <w:r w:rsidR="00D23BA1" w:rsidRPr="003B66C0">
        <w:rPr>
          <w:lang w:val="en-AU"/>
        </w:rPr>
        <w:t xml:space="preserve"> outlined in </w:t>
      </w:r>
      <w:r w:rsidR="003B66C0" w:rsidRPr="003B66C0">
        <w:rPr>
          <w:lang w:val="en-AU"/>
        </w:rPr>
        <w:t>Annex 5</w:t>
      </w:r>
      <w:r w:rsidR="00140396" w:rsidRPr="003B66C0">
        <w:rPr>
          <w:lang w:val="en-AU"/>
        </w:rPr>
        <w:t xml:space="preserve"> </w:t>
      </w:r>
      <w:r w:rsidRPr="003B66C0">
        <w:rPr>
          <w:lang w:val="en-AU"/>
        </w:rPr>
        <w:t>strengthens</w:t>
      </w:r>
      <w:r w:rsidRPr="00CC4087">
        <w:rPr>
          <w:lang w:val="en-AU"/>
        </w:rPr>
        <w:t xml:space="preserve"> the previous </w:t>
      </w:r>
      <w:proofErr w:type="spellStart"/>
      <w:r w:rsidRPr="00CC4087">
        <w:rPr>
          <w:lang w:val="en-AU"/>
        </w:rPr>
        <w:t>workplan</w:t>
      </w:r>
      <w:proofErr w:type="spellEnd"/>
      <w:r w:rsidRPr="00CC4087">
        <w:rPr>
          <w:lang w:val="en-AU"/>
        </w:rPr>
        <w:t xml:space="preserve"> in the following ways: </w:t>
      </w:r>
    </w:p>
    <w:p w:rsidR="00443DBB" w:rsidRPr="00CC4087" w:rsidRDefault="00443DBB" w:rsidP="007D2BBC">
      <w:pPr>
        <w:pStyle w:val="ListParagraph"/>
        <w:numPr>
          <w:ilvl w:val="0"/>
          <w:numId w:val="38"/>
        </w:numPr>
        <w:jc w:val="both"/>
        <w:rPr>
          <w:lang w:val="en-AU"/>
        </w:rPr>
      </w:pPr>
      <w:r w:rsidRPr="00CC4087">
        <w:rPr>
          <w:lang w:val="en-AU"/>
        </w:rPr>
        <w:t xml:space="preserve">It supports and provides technical assistance to </w:t>
      </w:r>
      <w:r w:rsidR="00140396">
        <w:rPr>
          <w:lang w:val="en-AU"/>
        </w:rPr>
        <w:t xml:space="preserve">a </w:t>
      </w:r>
      <w:r w:rsidRPr="00CC4087">
        <w:rPr>
          <w:lang w:val="en-AU"/>
        </w:rPr>
        <w:t xml:space="preserve">Government-led initiative to progress the Family Protection Act 2008 which is a key aspect of </w:t>
      </w:r>
      <w:r w:rsidR="00C04E37">
        <w:rPr>
          <w:lang w:val="en-AU"/>
        </w:rPr>
        <w:t xml:space="preserve">the </w:t>
      </w:r>
      <w:r w:rsidRPr="00CC4087">
        <w:rPr>
          <w:lang w:val="en-AU"/>
        </w:rPr>
        <w:t>formal justice system</w:t>
      </w:r>
      <w:r w:rsidR="00C04E37">
        <w:rPr>
          <w:lang w:val="en-AU"/>
        </w:rPr>
        <w:t>’s</w:t>
      </w:r>
      <w:r w:rsidRPr="00CC4087">
        <w:rPr>
          <w:lang w:val="en-AU"/>
        </w:rPr>
        <w:t xml:space="preserve"> support for women experiencing family violence. Progress on this aspect of the Act is overdue and </w:t>
      </w:r>
      <w:r w:rsidR="00140396">
        <w:rPr>
          <w:lang w:val="en-AU"/>
        </w:rPr>
        <w:t>has</w:t>
      </w:r>
      <w:r w:rsidRPr="00CC4087">
        <w:rPr>
          <w:lang w:val="en-AU"/>
        </w:rPr>
        <w:t xml:space="preserve"> the support of other key stakeholders working </w:t>
      </w:r>
      <w:r w:rsidR="00140396">
        <w:rPr>
          <w:lang w:val="en-AU"/>
        </w:rPr>
        <w:t>to implement</w:t>
      </w:r>
      <w:r w:rsidRPr="00CC4087">
        <w:rPr>
          <w:lang w:val="en-AU"/>
        </w:rPr>
        <w:t xml:space="preserve"> the Act.</w:t>
      </w:r>
    </w:p>
    <w:p w:rsidR="003E5EB1" w:rsidRPr="00CC4087" w:rsidRDefault="00443DBB" w:rsidP="007D2BBC">
      <w:pPr>
        <w:pStyle w:val="ListParagraph"/>
        <w:numPr>
          <w:ilvl w:val="0"/>
          <w:numId w:val="38"/>
        </w:numPr>
        <w:jc w:val="both"/>
        <w:rPr>
          <w:lang w:val="en-AU"/>
        </w:rPr>
      </w:pPr>
      <w:r w:rsidRPr="00CC4087">
        <w:rPr>
          <w:lang w:val="en-AU"/>
        </w:rPr>
        <w:t xml:space="preserve">There is </w:t>
      </w:r>
      <w:r w:rsidR="00140396">
        <w:rPr>
          <w:lang w:val="en-AU"/>
        </w:rPr>
        <w:t>good</w:t>
      </w:r>
      <w:r w:rsidRPr="00CC4087">
        <w:rPr>
          <w:lang w:val="en-AU"/>
        </w:rPr>
        <w:t xml:space="preserve"> </w:t>
      </w:r>
      <w:r w:rsidR="00C04E37">
        <w:rPr>
          <w:lang w:val="en-AU"/>
        </w:rPr>
        <w:t>synergy</w:t>
      </w:r>
      <w:r w:rsidRPr="00CC4087">
        <w:rPr>
          <w:lang w:val="en-AU"/>
        </w:rPr>
        <w:t xml:space="preserve"> between the SRBJ Malekula pilot which would include DWA as a primary advisory stakeholder and the DWA work to support implementation of the Family Protection Act. </w:t>
      </w:r>
    </w:p>
    <w:p w:rsidR="003E5EB1" w:rsidRPr="00CC4087" w:rsidRDefault="00443DBB" w:rsidP="007D2BBC">
      <w:pPr>
        <w:pStyle w:val="ListParagraph"/>
        <w:numPr>
          <w:ilvl w:val="0"/>
          <w:numId w:val="38"/>
        </w:numPr>
        <w:jc w:val="both"/>
        <w:rPr>
          <w:lang w:val="en-AU"/>
        </w:rPr>
      </w:pPr>
      <w:r w:rsidRPr="00CC4087">
        <w:rPr>
          <w:lang w:val="en-AU"/>
        </w:rPr>
        <w:t>The proposed re</w:t>
      </w:r>
      <w:r w:rsidR="003E5EB1" w:rsidRPr="00CC4087">
        <w:rPr>
          <w:lang w:val="en-AU"/>
        </w:rPr>
        <w:t xml:space="preserve">search </w:t>
      </w:r>
      <w:r w:rsidRPr="00CC4087">
        <w:rPr>
          <w:lang w:val="en-AU"/>
        </w:rPr>
        <w:t xml:space="preserve">is </w:t>
      </w:r>
      <w:r w:rsidR="003E5EB1" w:rsidRPr="00CC4087">
        <w:rPr>
          <w:lang w:val="en-AU"/>
        </w:rPr>
        <w:t xml:space="preserve">broader, more applicable and more useful to stakeholders within </w:t>
      </w:r>
      <w:r w:rsidR="00612701">
        <w:rPr>
          <w:lang w:val="en-AU"/>
        </w:rPr>
        <w:t xml:space="preserve">the </w:t>
      </w:r>
      <w:r w:rsidR="003E5EB1" w:rsidRPr="00CC4087">
        <w:rPr>
          <w:lang w:val="en-AU"/>
        </w:rPr>
        <w:t>sector</w:t>
      </w:r>
      <w:r w:rsidRPr="00CC4087">
        <w:rPr>
          <w:lang w:val="en-AU"/>
        </w:rPr>
        <w:t>.</w:t>
      </w:r>
      <w:r w:rsidR="003E5EB1" w:rsidRPr="00CC4087">
        <w:rPr>
          <w:lang w:val="en-AU"/>
        </w:rPr>
        <w:t xml:space="preserve"> </w:t>
      </w:r>
      <w:r w:rsidRPr="00CC4087">
        <w:rPr>
          <w:lang w:val="en-AU"/>
        </w:rPr>
        <w:t xml:space="preserve">The research fills a current knowledge vacuum. </w:t>
      </w:r>
    </w:p>
    <w:p w:rsidR="00CD6612" w:rsidRPr="00CC4087" w:rsidRDefault="00140396" w:rsidP="007D2BBC">
      <w:pPr>
        <w:pStyle w:val="ListParagraph"/>
        <w:numPr>
          <w:ilvl w:val="0"/>
          <w:numId w:val="38"/>
        </w:numPr>
        <w:jc w:val="both"/>
        <w:rPr>
          <w:lang w:val="en-AU"/>
        </w:rPr>
      </w:pPr>
      <w:r>
        <w:rPr>
          <w:lang w:val="en-AU"/>
        </w:rPr>
        <w:t xml:space="preserve">The draft </w:t>
      </w:r>
      <w:proofErr w:type="spellStart"/>
      <w:r>
        <w:rPr>
          <w:lang w:val="en-AU"/>
        </w:rPr>
        <w:t>workplan</w:t>
      </w:r>
      <w:proofErr w:type="spellEnd"/>
      <w:r w:rsidR="00443DBB" w:rsidRPr="00CC4087">
        <w:rPr>
          <w:lang w:val="en-AU"/>
        </w:rPr>
        <w:t xml:space="preserve"> allows </w:t>
      </w:r>
      <w:r w:rsidR="00CD6612" w:rsidRPr="00CC4087">
        <w:rPr>
          <w:lang w:val="en-AU"/>
        </w:rPr>
        <w:t>more wo</w:t>
      </w:r>
      <w:r w:rsidR="00443DBB" w:rsidRPr="00CC4087">
        <w:rPr>
          <w:lang w:val="en-AU"/>
        </w:rPr>
        <w:t xml:space="preserve">rk with formal </w:t>
      </w:r>
      <w:r>
        <w:rPr>
          <w:lang w:val="en-AU"/>
        </w:rPr>
        <w:t xml:space="preserve">sector agencies to which the </w:t>
      </w:r>
      <w:r w:rsidR="00443DBB" w:rsidRPr="00CC4087">
        <w:rPr>
          <w:lang w:val="en-AU"/>
        </w:rPr>
        <w:t xml:space="preserve">program </w:t>
      </w:r>
      <w:r>
        <w:rPr>
          <w:lang w:val="en-AU"/>
        </w:rPr>
        <w:t>has greater access</w:t>
      </w:r>
      <w:r w:rsidR="005552F5">
        <w:rPr>
          <w:lang w:val="en-AU"/>
        </w:rPr>
        <w:t>, and supports clearer and more effective referral systems and linkages with community level justice actors</w:t>
      </w:r>
      <w:r>
        <w:rPr>
          <w:lang w:val="en-AU"/>
        </w:rPr>
        <w:t>.</w:t>
      </w:r>
    </w:p>
    <w:p w:rsidR="00CD6612" w:rsidRPr="00CC4087" w:rsidRDefault="00443DBB" w:rsidP="007D2BBC">
      <w:pPr>
        <w:pStyle w:val="ListParagraph"/>
        <w:numPr>
          <w:ilvl w:val="0"/>
          <w:numId w:val="38"/>
        </w:numPr>
        <w:jc w:val="both"/>
        <w:rPr>
          <w:lang w:val="en-AU"/>
        </w:rPr>
      </w:pPr>
      <w:r w:rsidRPr="00CC4087">
        <w:rPr>
          <w:lang w:val="en-AU"/>
        </w:rPr>
        <w:t xml:space="preserve">Greater partnership with GoV enhances sustainability. </w:t>
      </w:r>
    </w:p>
    <w:p w:rsidR="00443DBB" w:rsidRPr="00CC4087" w:rsidRDefault="00443DBB" w:rsidP="007D2BBC">
      <w:pPr>
        <w:pStyle w:val="ListParagraph"/>
        <w:numPr>
          <w:ilvl w:val="0"/>
          <w:numId w:val="38"/>
        </w:numPr>
        <w:jc w:val="both"/>
        <w:rPr>
          <w:lang w:val="en-AU"/>
        </w:rPr>
      </w:pPr>
      <w:r w:rsidRPr="00CC4087">
        <w:rPr>
          <w:lang w:val="en-AU"/>
        </w:rPr>
        <w:t xml:space="preserve">There is greater potential for the outcomes of </w:t>
      </w:r>
      <w:r w:rsidR="005552F5">
        <w:rPr>
          <w:lang w:val="en-AU"/>
        </w:rPr>
        <w:t xml:space="preserve">the </w:t>
      </w:r>
      <w:r w:rsidRPr="00CC4087">
        <w:rPr>
          <w:lang w:val="en-AU"/>
        </w:rPr>
        <w:t xml:space="preserve">Malekula </w:t>
      </w:r>
      <w:r w:rsidR="005552F5">
        <w:rPr>
          <w:lang w:val="en-AU"/>
        </w:rPr>
        <w:t xml:space="preserve">piloting work, </w:t>
      </w:r>
      <w:r w:rsidRPr="00CC4087">
        <w:rPr>
          <w:lang w:val="en-AU"/>
        </w:rPr>
        <w:t xml:space="preserve">and the </w:t>
      </w:r>
      <w:r w:rsidR="005552F5">
        <w:rPr>
          <w:lang w:val="en-AU"/>
        </w:rPr>
        <w:t xml:space="preserve">DWA </w:t>
      </w:r>
      <w:r w:rsidRPr="00CC4087">
        <w:rPr>
          <w:lang w:val="en-AU"/>
        </w:rPr>
        <w:t xml:space="preserve">Family Protection Act work to be scaled. </w:t>
      </w:r>
    </w:p>
    <w:p w:rsidR="00CC4087" w:rsidRPr="00376CEA" w:rsidRDefault="00443DBB" w:rsidP="00376CEA">
      <w:pPr>
        <w:pStyle w:val="ListParagraph"/>
        <w:numPr>
          <w:ilvl w:val="0"/>
          <w:numId w:val="38"/>
        </w:numPr>
        <w:jc w:val="both"/>
        <w:rPr>
          <w:lang w:val="en-AU"/>
        </w:rPr>
      </w:pPr>
      <w:r w:rsidRPr="00CC4087">
        <w:rPr>
          <w:lang w:val="en-AU"/>
        </w:rPr>
        <w:lastRenderedPageBreak/>
        <w:t>Harmonisation of research a</w:t>
      </w:r>
      <w:r w:rsidR="003E5EB1" w:rsidRPr="00CC4087">
        <w:rPr>
          <w:lang w:val="en-AU"/>
        </w:rPr>
        <w:t xml:space="preserve">pproach with </w:t>
      </w:r>
      <w:r w:rsidRPr="00CC4087">
        <w:rPr>
          <w:lang w:val="en-AU"/>
        </w:rPr>
        <w:t xml:space="preserve">the </w:t>
      </w:r>
      <w:proofErr w:type="spellStart"/>
      <w:r w:rsidRPr="00CC4087">
        <w:rPr>
          <w:lang w:val="en-AU"/>
        </w:rPr>
        <w:t>Blacksands</w:t>
      </w:r>
      <w:proofErr w:type="spellEnd"/>
      <w:r w:rsidRPr="00CC4087">
        <w:rPr>
          <w:lang w:val="en-AU"/>
        </w:rPr>
        <w:t xml:space="preserve"> pilot is effective as both interventions are challenged by many of the same concerns</w:t>
      </w:r>
      <w:r w:rsidR="00140396">
        <w:rPr>
          <w:rStyle w:val="FootnoteReference"/>
          <w:lang w:val="en-AU"/>
        </w:rPr>
        <w:footnoteReference w:id="17"/>
      </w:r>
      <w:r w:rsidRPr="00CC4087">
        <w:rPr>
          <w:lang w:val="en-AU"/>
        </w:rPr>
        <w:t xml:space="preserve"> as well as having efficiency advantages. </w:t>
      </w:r>
    </w:p>
    <w:p w:rsidR="00CD6612" w:rsidRPr="00CC4087" w:rsidRDefault="007D3FD2" w:rsidP="007D2BBC">
      <w:pPr>
        <w:pStyle w:val="ListParagraph"/>
        <w:numPr>
          <w:ilvl w:val="0"/>
          <w:numId w:val="37"/>
        </w:numPr>
        <w:jc w:val="both"/>
        <w:rPr>
          <w:b/>
          <w:lang w:val="en-AU"/>
        </w:rPr>
      </w:pPr>
      <w:r w:rsidRPr="00CC4087">
        <w:rPr>
          <w:b/>
          <w:lang w:val="en-AU"/>
        </w:rPr>
        <w:t>Recruitment of a case and data management counterpart</w:t>
      </w:r>
    </w:p>
    <w:p w:rsidR="007D3FD2" w:rsidRDefault="007D3FD2" w:rsidP="007D3FD2">
      <w:pPr>
        <w:ind w:left="360"/>
        <w:jc w:val="both"/>
        <w:rPr>
          <w:lang w:val="en-AU"/>
        </w:rPr>
      </w:pPr>
      <w:r>
        <w:rPr>
          <w:lang w:val="en-AU"/>
        </w:rPr>
        <w:t xml:space="preserve">The policing, justice and community services sector is one sector within </w:t>
      </w:r>
      <w:r w:rsidR="00140396">
        <w:rPr>
          <w:lang w:val="en-AU"/>
        </w:rPr>
        <w:t>the GoV</w:t>
      </w:r>
      <w:r>
        <w:rPr>
          <w:lang w:val="en-AU"/>
        </w:rPr>
        <w:t xml:space="preserve"> that does not have a counterpart </w:t>
      </w:r>
      <w:r w:rsidR="002C029E">
        <w:rPr>
          <w:lang w:val="en-AU"/>
        </w:rPr>
        <w:t xml:space="preserve">supporting the </w:t>
      </w:r>
      <w:r w:rsidR="00140396">
        <w:rPr>
          <w:lang w:val="en-AU"/>
        </w:rPr>
        <w:t xml:space="preserve">ITC </w:t>
      </w:r>
      <w:r>
        <w:rPr>
          <w:lang w:val="en-AU"/>
        </w:rPr>
        <w:t xml:space="preserve">systems and </w:t>
      </w:r>
      <w:r w:rsidR="002C029E">
        <w:rPr>
          <w:lang w:val="en-AU"/>
        </w:rPr>
        <w:t>business process</w:t>
      </w:r>
      <w:r w:rsidR="00140396">
        <w:rPr>
          <w:lang w:val="en-AU"/>
        </w:rPr>
        <w:t>es for</w:t>
      </w:r>
      <w:r w:rsidR="002C029E">
        <w:rPr>
          <w:lang w:val="en-AU"/>
        </w:rPr>
        <w:t xml:space="preserve"> the sector</w:t>
      </w:r>
      <w:r w:rsidR="00140396">
        <w:rPr>
          <w:lang w:val="en-AU"/>
        </w:rPr>
        <w:t xml:space="preserve">. This is </w:t>
      </w:r>
      <w:r w:rsidR="002C029E">
        <w:rPr>
          <w:lang w:val="en-AU"/>
        </w:rPr>
        <w:t xml:space="preserve">currently provided by the </w:t>
      </w:r>
      <w:r>
        <w:rPr>
          <w:lang w:val="en-AU"/>
        </w:rPr>
        <w:t>CDMA. Other sectors such as Health and Education do have local capacity to support their sector</w:t>
      </w:r>
      <w:r w:rsidR="002C029E">
        <w:rPr>
          <w:lang w:val="en-AU"/>
        </w:rPr>
        <w:t xml:space="preserve"> in terms of ITC systems needs and liaison with OGCIO</w:t>
      </w:r>
      <w:r>
        <w:rPr>
          <w:lang w:val="en-AU"/>
        </w:rPr>
        <w:t xml:space="preserve">. The lack of a local counterpart that has this level of understanding of the ITC needs of the sector was noted as a vulnerability </w:t>
      </w:r>
      <w:r w:rsidR="002C029E">
        <w:rPr>
          <w:lang w:val="en-AU"/>
        </w:rPr>
        <w:t>by</w:t>
      </w:r>
      <w:r>
        <w:rPr>
          <w:lang w:val="en-AU"/>
        </w:rPr>
        <w:t xml:space="preserve"> </w:t>
      </w:r>
      <w:r w:rsidR="002C029E">
        <w:rPr>
          <w:lang w:val="en-AU"/>
        </w:rPr>
        <w:t>the Chief Information Officer</w:t>
      </w:r>
      <w:r>
        <w:rPr>
          <w:lang w:val="en-AU"/>
        </w:rPr>
        <w:t xml:space="preserve"> at a recent cross government meeting chaired by OGCIO. From a program perspective</w:t>
      </w:r>
      <w:r w:rsidR="002C029E">
        <w:rPr>
          <w:lang w:val="en-AU"/>
        </w:rPr>
        <w:t>,</w:t>
      </w:r>
      <w:r>
        <w:rPr>
          <w:lang w:val="en-AU"/>
        </w:rPr>
        <w:t xml:space="preserve"> it also limits the sustainability of the support that is being provided by the CDMA if the holistic skills are not being transferred and supported (whilst this is not to ignore the support that is being provided on a constant basis to individuals within justice agencies by the CDMA).</w:t>
      </w:r>
    </w:p>
    <w:p w:rsidR="007D3FD2" w:rsidRDefault="002C029E" w:rsidP="007D3FD2">
      <w:pPr>
        <w:ind w:left="360"/>
        <w:jc w:val="both"/>
        <w:rPr>
          <w:lang w:val="en-AU"/>
        </w:rPr>
      </w:pPr>
      <w:r>
        <w:rPr>
          <w:lang w:val="en-AU"/>
        </w:rPr>
        <w:t>Accordingly, m</w:t>
      </w:r>
      <w:r w:rsidR="007D3FD2">
        <w:rPr>
          <w:lang w:val="en-AU"/>
        </w:rPr>
        <w:t xml:space="preserve">odalities for the recruitment of a counterpart for </w:t>
      </w:r>
      <w:r>
        <w:rPr>
          <w:lang w:val="en-AU"/>
        </w:rPr>
        <w:t>the CDMO are</w:t>
      </w:r>
      <w:r w:rsidR="007D3FD2">
        <w:rPr>
          <w:lang w:val="en-AU"/>
        </w:rPr>
        <w:t xml:space="preserve"> being explored </w:t>
      </w:r>
      <w:r>
        <w:rPr>
          <w:lang w:val="en-AU"/>
        </w:rPr>
        <w:t>with the support of</w:t>
      </w:r>
      <w:r w:rsidR="007D3FD2">
        <w:rPr>
          <w:lang w:val="en-AU"/>
        </w:rPr>
        <w:t xml:space="preserve"> the OGCIO</w:t>
      </w:r>
      <w:r>
        <w:rPr>
          <w:lang w:val="en-AU"/>
        </w:rPr>
        <w:t xml:space="preserve">. This would increase the level of support to the sector </w:t>
      </w:r>
      <w:r w:rsidR="00140396">
        <w:rPr>
          <w:lang w:val="en-AU"/>
        </w:rPr>
        <w:t>between</w:t>
      </w:r>
      <w:r>
        <w:rPr>
          <w:lang w:val="en-AU"/>
        </w:rPr>
        <w:t xml:space="preserve"> inputs by the CDMO and ensure that the</w:t>
      </w:r>
      <w:r w:rsidR="00C04E37">
        <w:rPr>
          <w:lang w:val="en-AU"/>
        </w:rPr>
        <w:t>ir</w:t>
      </w:r>
      <w:r>
        <w:rPr>
          <w:lang w:val="en-AU"/>
        </w:rPr>
        <w:t xml:space="preserve"> skills and knowledge </w:t>
      </w:r>
      <w:r w:rsidR="00247889">
        <w:rPr>
          <w:lang w:val="en-AU"/>
        </w:rPr>
        <w:t xml:space="preserve">are </w:t>
      </w:r>
      <w:r>
        <w:rPr>
          <w:lang w:val="en-AU"/>
        </w:rPr>
        <w:t>transferred locally.</w:t>
      </w:r>
    </w:p>
    <w:p w:rsidR="00DF4666" w:rsidRDefault="00140396" w:rsidP="00DF4666">
      <w:pPr>
        <w:jc w:val="both"/>
        <w:rPr>
          <w:lang w:val="en-AU"/>
        </w:rPr>
      </w:pPr>
      <w:r>
        <w:rPr>
          <w:lang w:val="en-AU"/>
        </w:rPr>
        <w:t>Additional m</w:t>
      </w:r>
      <w:r w:rsidR="00DF4666">
        <w:rPr>
          <w:lang w:val="en-AU"/>
        </w:rPr>
        <w:t>inor delays in the delivery of outputs</w:t>
      </w:r>
      <w:r w:rsidR="00DF4666">
        <w:rPr>
          <w:rStyle w:val="FootnoteReference"/>
          <w:lang w:val="en-AU"/>
        </w:rPr>
        <w:footnoteReference w:id="18"/>
      </w:r>
      <w:r w:rsidR="00DF4666">
        <w:rPr>
          <w:lang w:val="en-AU"/>
        </w:rPr>
        <w:t xml:space="preserve"> </w:t>
      </w:r>
      <w:r>
        <w:rPr>
          <w:lang w:val="en-AU"/>
        </w:rPr>
        <w:t xml:space="preserve">against the </w:t>
      </w:r>
      <w:proofErr w:type="spellStart"/>
      <w:r>
        <w:rPr>
          <w:lang w:val="en-AU"/>
        </w:rPr>
        <w:t>Workplan</w:t>
      </w:r>
      <w:proofErr w:type="spellEnd"/>
      <w:r>
        <w:rPr>
          <w:lang w:val="en-AU"/>
        </w:rPr>
        <w:t xml:space="preserve"> </w:t>
      </w:r>
      <w:r w:rsidR="00DF4666">
        <w:rPr>
          <w:lang w:val="en-AU"/>
        </w:rPr>
        <w:t>include:</w:t>
      </w:r>
    </w:p>
    <w:p w:rsidR="00DF4666" w:rsidRPr="00BA1482" w:rsidRDefault="009D0758" w:rsidP="007D2BBC">
      <w:pPr>
        <w:pStyle w:val="ListParagraph"/>
        <w:numPr>
          <w:ilvl w:val="0"/>
          <w:numId w:val="28"/>
        </w:numPr>
        <w:spacing w:after="0" w:line="240" w:lineRule="auto"/>
        <w:jc w:val="both"/>
        <w:rPr>
          <w:lang w:val="en-AU"/>
        </w:rPr>
      </w:pPr>
      <w:r w:rsidRPr="00BA1482">
        <w:rPr>
          <w:lang w:val="en-AU"/>
        </w:rPr>
        <w:t>R</w:t>
      </w:r>
      <w:r w:rsidR="00DF4666" w:rsidRPr="00BA1482">
        <w:rPr>
          <w:lang w:val="en-AU"/>
        </w:rPr>
        <w:t>ecruitment of the VPF Monitoring Officer (and therefore commencement of the mentoring of the VPF Monitoring Officer)</w:t>
      </w:r>
      <w:r w:rsidRPr="00BA1482">
        <w:rPr>
          <w:lang w:val="en-AU"/>
        </w:rPr>
        <w:t>.</w:t>
      </w:r>
    </w:p>
    <w:p w:rsidR="00DF4666" w:rsidRPr="00BA1482" w:rsidRDefault="00DF4666" w:rsidP="007D2BBC">
      <w:pPr>
        <w:pStyle w:val="ListParagraph"/>
        <w:numPr>
          <w:ilvl w:val="0"/>
          <w:numId w:val="28"/>
        </w:numPr>
        <w:spacing w:after="0" w:line="240" w:lineRule="auto"/>
        <w:jc w:val="both"/>
        <w:rPr>
          <w:lang w:val="en-AU"/>
        </w:rPr>
      </w:pPr>
      <w:r w:rsidRPr="00BA1482">
        <w:rPr>
          <w:lang w:val="en-AU"/>
        </w:rPr>
        <w:t>Recruitment of the volunteer communications officer</w:t>
      </w:r>
      <w:r w:rsidR="009D0758" w:rsidRPr="00BA1482">
        <w:rPr>
          <w:lang w:val="en-AU"/>
        </w:rPr>
        <w:t>.</w:t>
      </w:r>
    </w:p>
    <w:p w:rsidR="00DF4666" w:rsidRPr="00BA1482" w:rsidRDefault="00DF4666" w:rsidP="007D2BBC">
      <w:pPr>
        <w:pStyle w:val="ListParagraph"/>
        <w:numPr>
          <w:ilvl w:val="0"/>
          <w:numId w:val="28"/>
        </w:numPr>
        <w:spacing w:after="0" w:line="240" w:lineRule="auto"/>
        <w:jc w:val="both"/>
        <w:rPr>
          <w:lang w:val="en-AU"/>
        </w:rPr>
      </w:pPr>
      <w:r w:rsidRPr="00BA1482">
        <w:rPr>
          <w:lang w:val="en-AU"/>
        </w:rPr>
        <w:t xml:space="preserve">Approval of the </w:t>
      </w:r>
      <w:r w:rsidR="009D0758" w:rsidRPr="00BA1482">
        <w:rPr>
          <w:lang w:val="en-AU"/>
        </w:rPr>
        <w:t xml:space="preserve">sector </w:t>
      </w:r>
      <w:r w:rsidRPr="00BA1482">
        <w:rPr>
          <w:lang w:val="en-AU"/>
        </w:rPr>
        <w:t>M&amp;E Framework by HOAG in December 2014</w:t>
      </w:r>
      <w:r w:rsidR="009D0758" w:rsidRPr="00BA1482">
        <w:rPr>
          <w:lang w:val="en-AU"/>
        </w:rPr>
        <w:t>.</w:t>
      </w:r>
    </w:p>
    <w:p w:rsidR="00DF4666" w:rsidRPr="00BA1482" w:rsidRDefault="00DF4666" w:rsidP="007D2BBC">
      <w:pPr>
        <w:pStyle w:val="ListParagraph"/>
        <w:numPr>
          <w:ilvl w:val="0"/>
          <w:numId w:val="28"/>
        </w:numPr>
        <w:spacing w:after="0" w:line="240" w:lineRule="auto"/>
        <w:jc w:val="both"/>
        <w:rPr>
          <w:lang w:val="en-AU"/>
        </w:rPr>
      </w:pPr>
      <w:r w:rsidRPr="00BA1482">
        <w:rPr>
          <w:lang w:val="en-AU"/>
        </w:rPr>
        <w:t>Self-reporting on MJCS website by other donors</w:t>
      </w:r>
      <w:r w:rsidR="009D0758" w:rsidRPr="00BA1482">
        <w:rPr>
          <w:lang w:val="en-AU"/>
        </w:rPr>
        <w:t xml:space="preserve"> and development partners.</w:t>
      </w:r>
    </w:p>
    <w:p w:rsidR="007C2C77" w:rsidRPr="00BA1482" w:rsidRDefault="007C2C77" w:rsidP="007D2BBC">
      <w:pPr>
        <w:pStyle w:val="ListParagraph"/>
        <w:numPr>
          <w:ilvl w:val="0"/>
          <w:numId w:val="28"/>
        </w:numPr>
        <w:spacing w:after="0" w:line="240" w:lineRule="auto"/>
        <w:jc w:val="both"/>
        <w:rPr>
          <w:lang w:val="en-AU"/>
        </w:rPr>
      </w:pPr>
      <w:r w:rsidRPr="00BA1482">
        <w:rPr>
          <w:lang w:val="en-AU"/>
        </w:rPr>
        <w:t>Delay in the recruitment of the Wor</w:t>
      </w:r>
      <w:r w:rsidR="004B7BFA">
        <w:rPr>
          <w:lang w:val="en-AU"/>
        </w:rPr>
        <w:t>k</w:t>
      </w:r>
      <w:r w:rsidRPr="00BA1482">
        <w:rPr>
          <w:lang w:val="en-AU"/>
        </w:rPr>
        <w:t xml:space="preserve">place Learning Adviser has </w:t>
      </w:r>
      <w:r w:rsidR="00140396">
        <w:rPr>
          <w:lang w:val="en-AU"/>
        </w:rPr>
        <w:t>resulted</w:t>
      </w:r>
      <w:r w:rsidRPr="00BA1482">
        <w:rPr>
          <w:lang w:val="en-AU"/>
        </w:rPr>
        <w:t xml:space="preserve"> in a delay in the implementation of </w:t>
      </w:r>
      <w:r w:rsidRPr="00BA1482">
        <w:t>Level 1: Individual job-related skills and knowledge under the Capacity Development Strategy - Coaching and mentoring training (recruitment is progressing now)</w:t>
      </w:r>
    </w:p>
    <w:p w:rsidR="00C04E37" w:rsidRDefault="009D0758" w:rsidP="007D2BBC">
      <w:pPr>
        <w:pStyle w:val="ListParagraph"/>
        <w:numPr>
          <w:ilvl w:val="0"/>
          <w:numId w:val="28"/>
        </w:numPr>
        <w:spacing w:after="0" w:line="240" w:lineRule="auto"/>
        <w:jc w:val="both"/>
        <w:rPr>
          <w:lang w:val="en-AU"/>
        </w:rPr>
      </w:pPr>
      <w:r w:rsidRPr="00C04E37">
        <w:rPr>
          <w:lang w:val="en-AU"/>
        </w:rPr>
        <w:t xml:space="preserve">Women in </w:t>
      </w:r>
      <w:r w:rsidR="004B7BFA" w:rsidRPr="00C04E37">
        <w:rPr>
          <w:lang w:val="en-AU"/>
        </w:rPr>
        <w:t>L</w:t>
      </w:r>
      <w:r w:rsidRPr="00C04E37">
        <w:rPr>
          <w:lang w:val="en-AU"/>
        </w:rPr>
        <w:t xml:space="preserve">eadership retreat </w:t>
      </w:r>
      <w:r w:rsidR="004B7BFA" w:rsidRPr="00C04E37">
        <w:rPr>
          <w:lang w:val="en-AU"/>
        </w:rPr>
        <w:t xml:space="preserve">and Mentoring Program </w:t>
      </w:r>
    </w:p>
    <w:p w:rsidR="009D0758" w:rsidRPr="00C04E37" w:rsidRDefault="009D0758" w:rsidP="007D2BBC">
      <w:pPr>
        <w:pStyle w:val="ListParagraph"/>
        <w:numPr>
          <w:ilvl w:val="0"/>
          <w:numId w:val="28"/>
        </w:numPr>
        <w:spacing w:after="0" w:line="240" w:lineRule="auto"/>
        <w:jc w:val="both"/>
        <w:rPr>
          <w:lang w:val="en-AU"/>
        </w:rPr>
      </w:pPr>
      <w:r w:rsidRPr="00C04E37">
        <w:rPr>
          <w:lang w:val="en-AU"/>
        </w:rPr>
        <w:t>Recruitment of TA to support the GoV Child Desk.</w:t>
      </w:r>
    </w:p>
    <w:p w:rsidR="007C2C77" w:rsidRPr="00BA1482" w:rsidRDefault="009D0758" w:rsidP="007D2BBC">
      <w:pPr>
        <w:pStyle w:val="ListParagraph"/>
        <w:numPr>
          <w:ilvl w:val="0"/>
          <w:numId w:val="28"/>
        </w:numPr>
        <w:spacing w:after="0" w:line="240" w:lineRule="auto"/>
        <w:jc w:val="both"/>
        <w:rPr>
          <w:lang w:val="en-AU"/>
        </w:rPr>
      </w:pPr>
      <w:r w:rsidRPr="00BA1482">
        <w:rPr>
          <w:lang w:val="en-AU"/>
        </w:rPr>
        <w:t xml:space="preserve">Commencement of implementation of the SCV CPP </w:t>
      </w:r>
      <w:proofErr w:type="spellStart"/>
      <w:r w:rsidRPr="00BA1482">
        <w:rPr>
          <w:lang w:val="en-AU"/>
        </w:rPr>
        <w:t>Workplan</w:t>
      </w:r>
      <w:proofErr w:type="spellEnd"/>
      <w:r w:rsidRPr="00BA1482">
        <w:rPr>
          <w:lang w:val="en-AU"/>
        </w:rPr>
        <w:t>.</w:t>
      </w:r>
    </w:p>
    <w:p w:rsidR="0074396A" w:rsidRPr="00140396" w:rsidRDefault="0074396A" w:rsidP="007D2BBC">
      <w:pPr>
        <w:pStyle w:val="ListParagraph"/>
        <w:numPr>
          <w:ilvl w:val="0"/>
          <w:numId w:val="28"/>
        </w:numPr>
        <w:spacing w:after="0" w:line="240" w:lineRule="auto"/>
        <w:jc w:val="both"/>
        <w:rPr>
          <w:lang w:val="en-AU"/>
        </w:rPr>
      </w:pPr>
      <w:r w:rsidRPr="00BA1482">
        <w:t xml:space="preserve">Personal management training and other generalized training has been delayed while a suitable local provider is sourced. </w:t>
      </w:r>
    </w:p>
    <w:p w:rsidR="00140396" w:rsidRDefault="00140396" w:rsidP="00140396">
      <w:pPr>
        <w:spacing w:after="0" w:line="240" w:lineRule="auto"/>
        <w:jc w:val="both"/>
        <w:rPr>
          <w:lang w:val="en-AU"/>
        </w:rPr>
      </w:pPr>
    </w:p>
    <w:p w:rsidR="00140396" w:rsidRPr="00140396" w:rsidRDefault="00140396" w:rsidP="00140396">
      <w:pPr>
        <w:spacing w:after="0" w:line="240" w:lineRule="auto"/>
        <w:jc w:val="both"/>
        <w:rPr>
          <w:lang w:val="en-AU"/>
        </w:rPr>
      </w:pPr>
      <w:r>
        <w:rPr>
          <w:lang w:val="en-AU"/>
        </w:rPr>
        <w:t>None of these delays currently are considered to have a significant impact on the achievement of outcomes.</w:t>
      </w:r>
    </w:p>
    <w:p w:rsidR="007C2C77" w:rsidRDefault="007C2C77" w:rsidP="007C2C77">
      <w:pPr>
        <w:pStyle w:val="ListParagraph"/>
        <w:spacing w:after="0" w:line="240" w:lineRule="auto"/>
        <w:jc w:val="both"/>
        <w:rPr>
          <w:color w:val="FF0000"/>
          <w:sz w:val="20"/>
          <w:szCs w:val="20"/>
        </w:rPr>
      </w:pPr>
    </w:p>
    <w:p w:rsidR="00171462" w:rsidRDefault="00171462">
      <w:pPr>
        <w:spacing w:after="0" w:line="240" w:lineRule="auto"/>
        <w:rPr>
          <w:lang w:val="en-AU"/>
        </w:rPr>
      </w:pPr>
      <w:r>
        <w:rPr>
          <w:lang w:val="en-AU"/>
        </w:rPr>
        <w:br w:type="page"/>
      </w:r>
    </w:p>
    <w:p w:rsidR="0074396A" w:rsidRPr="0074396A" w:rsidRDefault="00474485" w:rsidP="00E9734A">
      <w:pPr>
        <w:pStyle w:val="Heading3"/>
      </w:pPr>
      <w:bookmarkStart w:id="24" w:name="_Toc411268948"/>
      <w:r>
        <w:lastRenderedPageBreak/>
        <w:t>Gender</w:t>
      </w:r>
      <w:bookmarkEnd w:id="24"/>
      <w:r>
        <w:t xml:space="preserve"> </w:t>
      </w:r>
    </w:p>
    <w:p w:rsidR="0009234A" w:rsidRPr="0009234A" w:rsidRDefault="0009234A" w:rsidP="009D0758">
      <w:pPr>
        <w:jc w:val="both"/>
        <w:rPr>
          <w:b/>
          <w:i/>
          <w:lang w:val="en-AU"/>
        </w:rPr>
      </w:pPr>
      <w:r w:rsidRPr="0009234A">
        <w:rPr>
          <w:b/>
          <w:i/>
          <w:lang w:val="en-AU"/>
        </w:rPr>
        <w:t>Gender Strategy</w:t>
      </w:r>
    </w:p>
    <w:p w:rsidR="009D0758" w:rsidRPr="00733249" w:rsidRDefault="00BA1482" w:rsidP="009D0758">
      <w:pPr>
        <w:jc w:val="both"/>
        <w:rPr>
          <w:lang w:val="en-AU"/>
        </w:rPr>
      </w:pPr>
      <w:r w:rsidRPr="00733249">
        <w:rPr>
          <w:lang w:val="en-AU"/>
        </w:rPr>
        <w:t xml:space="preserve">One of the deliverables required during this </w:t>
      </w:r>
      <w:proofErr w:type="spellStart"/>
      <w:r w:rsidRPr="00733249">
        <w:rPr>
          <w:lang w:val="en-AU"/>
        </w:rPr>
        <w:t>Workplan</w:t>
      </w:r>
      <w:proofErr w:type="spellEnd"/>
      <w:r w:rsidRPr="00733249">
        <w:rPr>
          <w:lang w:val="en-AU"/>
        </w:rPr>
        <w:t xml:space="preserve"> was the completion of a PJSPV Gender Strategy which is grounded in the context of Vanuatu and the program</w:t>
      </w:r>
      <w:r w:rsidR="00140396">
        <w:rPr>
          <w:lang w:val="en-AU"/>
        </w:rPr>
        <w:t>;</w:t>
      </w:r>
      <w:r w:rsidRPr="00733249">
        <w:rPr>
          <w:lang w:val="en-AU"/>
        </w:rPr>
        <w:t xml:space="preserve"> and provides a clear approach for implementation of the program through a gender lens. </w:t>
      </w:r>
    </w:p>
    <w:p w:rsidR="00BA1482" w:rsidRPr="00733249" w:rsidRDefault="00BA1482" w:rsidP="009D0758">
      <w:pPr>
        <w:jc w:val="both"/>
        <w:rPr>
          <w:lang w:val="en-AU"/>
        </w:rPr>
      </w:pPr>
      <w:r w:rsidRPr="00733249">
        <w:rPr>
          <w:lang w:val="en-AU"/>
        </w:rPr>
        <w:t xml:space="preserve">A robust Gender Strategy has been developed by the program Quality and Technical Adviser that has been submitted to DFAT for comment and will be finalised in February. </w:t>
      </w:r>
    </w:p>
    <w:p w:rsidR="00140396" w:rsidRDefault="00BA1482" w:rsidP="009D0758">
      <w:pPr>
        <w:jc w:val="both"/>
        <w:rPr>
          <w:lang w:val="en-AU"/>
        </w:rPr>
      </w:pPr>
      <w:r w:rsidRPr="00733249">
        <w:rPr>
          <w:lang w:val="en-AU"/>
        </w:rPr>
        <w:t>The intention of the last piece of work related to</w:t>
      </w:r>
      <w:r w:rsidR="00733249" w:rsidRPr="00733249">
        <w:rPr>
          <w:lang w:val="en-AU"/>
        </w:rPr>
        <w:t xml:space="preserve"> finalisation of</w:t>
      </w:r>
      <w:r w:rsidRPr="00733249">
        <w:rPr>
          <w:lang w:val="en-AU"/>
        </w:rPr>
        <w:t xml:space="preserve"> the Gender Strategy is to</w:t>
      </w:r>
      <w:r w:rsidR="00140396">
        <w:rPr>
          <w:lang w:val="en-AU"/>
        </w:rPr>
        <w:t>:</w:t>
      </w:r>
    </w:p>
    <w:p w:rsidR="00140396" w:rsidRDefault="00733249" w:rsidP="007D2BBC">
      <w:pPr>
        <w:pStyle w:val="ListParagraph"/>
        <w:numPr>
          <w:ilvl w:val="0"/>
          <w:numId w:val="42"/>
        </w:numPr>
        <w:jc w:val="both"/>
        <w:rPr>
          <w:lang w:val="en-AU"/>
        </w:rPr>
      </w:pPr>
      <w:r w:rsidRPr="00140396">
        <w:rPr>
          <w:lang w:val="en-AU"/>
        </w:rPr>
        <w:t>ensure team-wide understanding of the strategy and the approach to program work as it impacts on all members of the team</w:t>
      </w:r>
      <w:r w:rsidR="00140396" w:rsidRPr="00140396">
        <w:rPr>
          <w:lang w:val="en-AU"/>
        </w:rPr>
        <w:t>;</w:t>
      </w:r>
      <w:r w:rsidRPr="00140396">
        <w:rPr>
          <w:lang w:val="en-AU"/>
        </w:rPr>
        <w:t xml:space="preserve"> </w:t>
      </w:r>
    </w:p>
    <w:p w:rsidR="00140396" w:rsidRDefault="00733249" w:rsidP="007D2BBC">
      <w:pPr>
        <w:pStyle w:val="ListParagraph"/>
        <w:numPr>
          <w:ilvl w:val="0"/>
          <w:numId w:val="42"/>
        </w:numPr>
        <w:jc w:val="both"/>
        <w:rPr>
          <w:lang w:val="en-AU"/>
        </w:rPr>
      </w:pPr>
      <w:r w:rsidRPr="00140396">
        <w:rPr>
          <w:lang w:val="en-AU"/>
        </w:rPr>
        <w:t>agree mechanisms for gender coordination and oversight within the team</w:t>
      </w:r>
      <w:r w:rsidR="00140396" w:rsidRPr="00140396">
        <w:rPr>
          <w:lang w:val="en-AU"/>
        </w:rPr>
        <w:t>;</w:t>
      </w:r>
      <w:r w:rsidRPr="00140396">
        <w:rPr>
          <w:lang w:val="en-AU"/>
        </w:rPr>
        <w:t xml:space="preserve"> and </w:t>
      </w:r>
    </w:p>
    <w:p w:rsidR="00BA1482" w:rsidRPr="00140396" w:rsidRDefault="00733249" w:rsidP="007D2BBC">
      <w:pPr>
        <w:pStyle w:val="ListParagraph"/>
        <w:numPr>
          <w:ilvl w:val="0"/>
          <w:numId w:val="42"/>
        </w:numPr>
        <w:jc w:val="both"/>
        <w:rPr>
          <w:lang w:val="en-AU"/>
        </w:rPr>
      </w:pPr>
      <w:r w:rsidRPr="00140396">
        <w:rPr>
          <w:lang w:val="en-AU"/>
        </w:rPr>
        <w:t>ensure that all of the more theoretical aspects of the Gender Strategy have been translated into approaches for concrete application in all areas of practice within the program.</w:t>
      </w:r>
    </w:p>
    <w:p w:rsidR="00474485" w:rsidRDefault="0009234A" w:rsidP="009D0758">
      <w:pPr>
        <w:jc w:val="both"/>
        <w:rPr>
          <w:b/>
          <w:i/>
          <w:lang w:val="en-AU"/>
        </w:rPr>
      </w:pPr>
      <w:r w:rsidRPr="0009234A">
        <w:rPr>
          <w:b/>
          <w:i/>
          <w:lang w:val="en-AU"/>
        </w:rPr>
        <w:t>Ways in which the program has contributed to gender equality or empowerment</w:t>
      </w:r>
    </w:p>
    <w:p w:rsidR="008F1471" w:rsidRPr="008F1471" w:rsidRDefault="008F1471" w:rsidP="008F1471">
      <w:pPr>
        <w:jc w:val="both"/>
        <w:rPr>
          <w:lang w:val="en-AU"/>
        </w:rPr>
      </w:pPr>
      <w:r>
        <w:rPr>
          <w:lang w:val="en-AU"/>
        </w:rPr>
        <w:t>The program has supported gender in the following ways over the reporting period:</w:t>
      </w:r>
    </w:p>
    <w:p w:rsidR="0009234A" w:rsidRPr="00952C39" w:rsidRDefault="0009234A" w:rsidP="007D2BBC">
      <w:pPr>
        <w:pStyle w:val="ListParagraph"/>
        <w:numPr>
          <w:ilvl w:val="0"/>
          <w:numId w:val="39"/>
        </w:numPr>
        <w:jc w:val="both"/>
        <w:rPr>
          <w:lang w:val="en-AU"/>
        </w:rPr>
      </w:pPr>
      <w:r>
        <w:rPr>
          <w:lang w:val="en-AU"/>
        </w:rPr>
        <w:t>Sixty percent of the LSIP legal internships have been provided to female law student</w:t>
      </w:r>
      <w:r w:rsidR="00B73746">
        <w:rPr>
          <w:lang w:val="en-AU"/>
        </w:rPr>
        <w:t>s</w:t>
      </w:r>
      <w:r>
        <w:rPr>
          <w:lang w:val="en-AU"/>
        </w:rPr>
        <w:t xml:space="preserve"> of which </w:t>
      </w:r>
      <w:r w:rsidR="008F1471">
        <w:rPr>
          <w:lang w:val="en-AU"/>
        </w:rPr>
        <w:t>three</w:t>
      </w:r>
      <w:r>
        <w:rPr>
          <w:lang w:val="en-AU"/>
        </w:rPr>
        <w:t xml:space="preserve"> female </w:t>
      </w:r>
      <w:proofErr w:type="spellStart"/>
      <w:r w:rsidR="008F1471">
        <w:rPr>
          <w:lang w:val="en-AU"/>
        </w:rPr>
        <w:t>ni</w:t>
      </w:r>
      <w:proofErr w:type="spellEnd"/>
      <w:r w:rsidR="008F1471">
        <w:rPr>
          <w:lang w:val="en-AU"/>
        </w:rPr>
        <w:t>-</w:t>
      </w:r>
      <w:r w:rsidR="008F1471" w:rsidRPr="00952C39">
        <w:rPr>
          <w:lang w:val="en-AU"/>
        </w:rPr>
        <w:t xml:space="preserve">Vanuatu </w:t>
      </w:r>
      <w:r w:rsidRPr="00952C39">
        <w:rPr>
          <w:lang w:val="en-AU"/>
        </w:rPr>
        <w:t>students have found permanent positions</w:t>
      </w:r>
      <w:r w:rsidR="008F1471" w:rsidRPr="00952C39">
        <w:rPr>
          <w:lang w:val="en-AU"/>
        </w:rPr>
        <w:t xml:space="preserve"> and one was interviewed for two positions</w:t>
      </w:r>
      <w:r w:rsidR="008F1471" w:rsidRPr="00952C39">
        <w:rPr>
          <w:rStyle w:val="FootnoteReference"/>
          <w:lang w:val="en-AU"/>
        </w:rPr>
        <w:footnoteReference w:id="19"/>
      </w:r>
      <w:r w:rsidRPr="00952C39">
        <w:rPr>
          <w:lang w:val="en-AU"/>
        </w:rPr>
        <w:t>.</w:t>
      </w:r>
      <w:r w:rsidR="00223FE3" w:rsidRPr="00952C39">
        <w:rPr>
          <w:lang w:val="en-AU"/>
        </w:rPr>
        <w:t xml:space="preserve"> See Annex </w:t>
      </w:r>
      <w:r w:rsidR="00952C39" w:rsidRPr="00952C39">
        <w:rPr>
          <w:lang w:val="en-AU"/>
        </w:rPr>
        <w:t>6</w:t>
      </w:r>
      <w:r w:rsidR="00223FE3" w:rsidRPr="00952C39">
        <w:rPr>
          <w:lang w:val="en-AU"/>
        </w:rPr>
        <w:t>.</w:t>
      </w:r>
    </w:p>
    <w:p w:rsidR="00A70C26" w:rsidRDefault="00A70C26" w:rsidP="007D2BBC">
      <w:pPr>
        <w:pStyle w:val="ListParagraph"/>
        <w:numPr>
          <w:ilvl w:val="0"/>
          <w:numId w:val="39"/>
        </w:numPr>
        <w:jc w:val="both"/>
        <w:rPr>
          <w:lang w:val="en-AU"/>
        </w:rPr>
      </w:pPr>
      <w:r>
        <w:rPr>
          <w:lang w:val="en-AU"/>
        </w:rPr>
        <w:t xml:space="preserve">Supporting </w:t>
      </w:r>
      <w:r w:rsidR="00140396">
        <w:rPr>
          <w:lang w:val="en-AU"/>
        </w:rPr>
        <w:t>a</w:t>
      </w:r>
      <w:r w:rsidR="00C04E37">
        <w:rPr>
          <w:lang w:val="en-AU"/>
        </w:rPr>
        <w:t>n</w:t>
      </w:r>
      <w:r w:rsidR="00140396">
        <w:rPr>
          <w:lang w:val="en-AU"/>
        </w:rPr>
        <w:t xml:space="preserve"> </w:t>
      </w:r>
      <w:r>
        <w:rPr>
          <w:lang w:val="en-AU"/>
        </w:rPr>
        <w:t xml:space="preserve">MJCS colleague to learn how to maintain the MJCS website and support her </w:t>
      </w:r>
      <w:r w:rsidR="008F1471">
        <w:rPr>
          <w:lang w:val="en-AU"/>
        </w:rPr>
        <w:t xml:space="preserve">continuing </w:t>
      </w:r>
      <w:r>
        <w:rPr>
          <w:lang w:val="en-AU"/>
        </w:rPr>
        <w:t>role in this work.</w:t>
      </w:r>
    </w:p>
    <w:p w:rsidR="00A70C26" w:rsidRDefault="00A70C26" w:rsidP="007D2BBC">
      <w:pPr>
        <w:pStyle w:val="ListParagraph"/>
        <w:numPr>
          <w:ilvl w:val="0"/>
          <w:numId w:val="39"/>
        </w:numPr>
        <w:jc w:val="both"/>
        <w:rPr>
          <w:lang w:val="en-AU"/>
        </w:rPr>
      </w:pPr>
      <w:r>
        <w:rPr>
          <w:lang w:val="en-AU"/>
        </w:rPr>
        <w:t>The MJCS newsletter has allowed the VWC to provide monthly news</w:t>
      </w:r>
      <w:r w:rsidR="008F1471" w:rsidRPr="008F1471">
        <w:rPr>
          <w:lang w:val="en-AU"/>
        </w:rPr>
        <w:t xml:space="preserve"> </w:t>
      </w:r>
      <w:r w:rsidR="008F1471">
        <w:rPr>
          <w:lang w:val="en-AU"/>
        </w:rPr>
        <w:t>regarding their ongoing work</w:t>
      </w:r>
      <w:r>
        <w:rPr>
          <w:lang w:val="en-AU"/>
        </w:rPr>
        <w:t xml:space="preserve"> through an easily accessible mechanism to the </w:t>
      </w:r>
      <w:r w:rsidR="008F1471">
        <w:rPr>
          <w:lang w:val="en-AU"/>
        </w:rPr>
        <w:t>justice and community services</w:t>
      </w:r>
      <w:r>
        <w:rPr>
          <w:lang w:val="en-AU"/>
        </w:rPr>
        <w:t xml:space="preserve"> sector.</w:t>
      </w:r>
    </w:p>
    <w:p w:rsidR="00A70C26" w:rsidRPr="00A70C26" w:rsidRDefault="00A70C26" w:rsidP="007D2BBC">
      <w:pPr>
        <w:pStyle w:val="ListParagraph"/>
        <w:numPr>
          <w:ilvl w:val="0"/>
          <w:numId w:val="39"/>
        </w:numPr>
        <w:jc w:val="both"/>
        <w:rPr>
          <w:lang w:val="en-AU"/>
        </w:rPr>
      </w:pPr>
      <w:r>
        <w:rPr>
          <w:rFonts w:eastAsiaTheme="minorHAnsi"/>
        </w:rPr>
        <w:t xml:space="preserve">Significant PSO continuing legal education </w:t>
      </w:r>
      <w:r w:rsidR="00C04E37">
        <w:rPr>
          <w:rFonts w:eastAsiaTheme="minorHAnsi"/>
        </w:rPr>
        <w:t xml:space="preserve">is being </w:t>
      </w:r>
      <w:r>
        <w:rPr>
          <w:rFonts w:eastAsiaTheme="minorHAnsi"/>
        </w:rPr>
        <w:t xml:space="preserve">provided to the two female lawyers </w:t>
      </w:r>
      <w:r w:rsidR="00C04E37">
        <w:rPr>
          <w:rFonts w:eastAsiaTheme="minorHAnsi"/>
        </w:rPr>
        <w:t xml:space="preserve">in that office and it is they </w:t>
      </w:r>
      <w:r>
        <w:rPr>
          <w:rFonts w:eastAsiaTheme="minorHAnsi"/>
        </w:rPr>
        <w:t>who seek advice most of the nine lawyers at the PSO.</w:t>
      </w:r>
    </w:p>
    <w:p w:rsidR="00A70C26" w:rsidRDefault="005D275F" w:rsidP="007D2BBC">
      <w:pPr>
        <w:pStyle w:val="ListParagraph"/>
        <w:numPr>
          <w:ilvl w:val="0"/>
          <w:numId w:val="39"/>
        </w:numPr>
        <w:jc w:val="both"/>
        <w:rPr>
          <w:lang w:val="en-AU"/>
        </w:rPr>
      </w:pPr>
      <w:r>
        <w:rPr>
          <w:lang w:val="en-AU"/>
        </w:rPr>
        <w:t xml:space="preserve">A </w:t>
      </w:r>
      <w:r w:rsidR="00140396">
        <w:rPr>
          <w:lang w:val="en-AU"/>
        </w:rPr>
        <w:t>substantial proportion</w:t>
      </w:r>
      <w:r>
        <w:rPr>
          <w:lang w:val="en-AU"/>
        </w:rPr>
        <w:t xml:space="preserve"> of the PSO case load provides support to female clients in the areas of child maintenance, divorce and employment.</w:t>
      </w:r>
      <w:r>
        <w:rPr>
          <w:rStyle w:val="FootnoteReference"/>
          <w:lang w:val="en-AU"/>
        </w:rPr>
        <w:footnoteReference w:id="20"/>
      </w:r>
    </w:p>
    <w:p w:rsidR="005D275F" w:rsidRDefault="005D275F" w:rsidP="007D2BBC">
      <w:pPr>
        <w:pStyle w:val="ListParagraph"/>
        <w:numPr>
          <w:ilvl w:val="0"/>
          <w:numId w:val="39"/>
        </w:numPr>
        <w:jc w:val="both"/>
        <w:rPr>
          <w:lang w:val="en-AU"/>
        </w:rPr>
      </w:pPr>
      <w:r>
        <w:rPr>
          <w:lang w:val="en-AU"/>
        </w:rPr>
        <w:t>Providing better statistical information to analyse cases that are relevant to gender inequality (although it currently remains a very manual process across the formal sector).</w:t>
      </w:r>
    </w:p>
    <w:p w:rsidR="008F1471" w:rsidRPr="008F1471" w:rsidRDefault="00223FE3" w:rsidP="007D2BBC">
      <w:pPr>
        <w:pStyle w:val="ListParagraph"/>
        <w:numPr>
          <w:ilvl w:val="0"/>
          <w:numId w:val="39"/>
        </w:numPr>
        <w:jc w:val="both"/>
        <w:rPr>
          <w:rFonts w:eastAsia="Times New Roman" w:cs="Times New Roman Bold"/>
          <w:szCs w:val="20"/>
          <w:lang w:eastAsia="fr-FR"/>
        </w:rPr>
      </w:pPr>
      <w:r>
        <w:rPr>
          <w:rFonts w:eastAsia="Times New Roman" w:cs="Times New Roman Bold"/>
          <w:szCs w:val="20"/>
          <w:lang w:eastAsia="fr-FR"/>
        </w:rPr>
        <w:t>Facilitating a collaborative</w:t>
      </w:r>
      <w:r w:rsidR="008F1471" w:rsidRPr="008F1471">
        <w:rPr>
          <w:rFonts w:eastAsia="Times New Roman" w:cs="Times New Roman Bold"/>
          <w:szCs w:val="20"/>
          <w:lang w:eastAsia="fr-FR"/>
        </w:rPr>
        <w:t xml:space="preserve"> design process for the Women in Leadership Mentoring Program. The </w:t>
      </w:r>
      <w:r w:rsidR="008F1471">
        <w:rPr>
          <w:rFonts w:eastAsia="Times New Roman" w:cs="Times New Roman Bold"/>
          <w:szCs w:val="20"/>
          <w:lang w:eastAsia="fr-FR"/>
        </w:rPr>
        <w:t>mentoring program</w:t>
      </w:r>
      <w:r w:rsidR="008F1471" w:rsidRPr="008F1471">
        <w:rPr>
          <w:rFonts w:eastAsia="Times New Roman" w:cs="Times New Roman Bold"/>
          <w:szCs w:val="20"/>
          <w:lang w:eastAsia="fr-FR"/>
        </w:rPr>
        <w:t xml:space="preserve"> will be launched in 2015, but the design engaged a sub-group of </w:t>
      </w:r>
      <w:r w:rsidR="008F1471" w:rsidRPr="008F1471">
        <w:rPr>
          <w:rFonts w:eastAsia="Times New Roman" w:cs="Times New Roman Bold"/>
          <w:szCs w:val="20"/>
          <w:lang w:eastAsia="fr-FR"/>
        </w:rPr>
        <w:lastRenderedPageBreak/>
        <w:t xml:space="preserve">women from across the sector to develop the structure and principles that will guide the way the </w:t>
      </w:r>
      <w:r w:rsidR="008F1471">
        <w:rPr>
          <w:rFonts w:eastAsia="Times New Roman" w:cs="Times New Roman Bold"/>
          <w:szCs w:val="20"/>
          <w:lang w:eastAsia="fr-FR"/>
        </w:rPr>
        <w:t>mentoring program</w:t>
      </w:r>
      <w:r w:rsidR="008F1471" w:rsidRPr="008F1471">
        <w:rPr>
          <w:rFonts w:eastAsia="Times New Roman" w:cs="Times New Roman Bold"/>
          <w:szCs w:val="20"/>
          <w:lang w:eastAsia="fr-FR"/>
        </w:rPr>
        <w:t xml:space="preserve"> works. </w:t>
      </w:r>
    </w:p>
    <w:p w:rsidR="008F1471" w:rsidRPr="008F1471" w:rsidRDefault="008F1471" w:rsidP="007D2BBC">
      <w:pPr>
        <w:pStyle w:val="ListParagraph"/>
        <w:numPr>
          <w:ilvl w:val="0"/>
          <w:numId w:val="39"/>
        </w:numPr>
        <w:jc w:val="both"/>
        <w:rPr>
          <w:rFonts w:eastAsia="Times New Roman" w:cs="Times New Roman Bold"/>
          <w:szCs w:val="20"/>
          <w:lang w:eastAsia="fr-FR"/>
        </w:rPr>
      </w:pPr>
      <w:r>
        <w:rPr>
          <w:rFonts w:eastAsia="Times New Roman" w:cs="Times New Roman Bold"/>
          <w:szCs w:val="20"/>
          <w:lang w:eastAsia="fr-FR"/>
        </w:rPr>
        <w:t>Providing</w:t>
      </w:r>
      <w:r w:rsidRPr="008F1471">
        <w:rPr>
          <w:rFonts w:eastAsia="Times New Roman" w:cs="Times New Roman Bold"/>
          <w:szCs w:val="20"/>
          <w:lang w:eastAsia="fr-FR"/>
        </w:rPr>
        <w:t xml:space="preserve"> facilitative and advisory support for the VPF Women’s Advisory Network conference. The result of this conference included the establishment of a development strategy, and identification of priorities for 2015. The strategy addresses key areas of concern to increase the participation of women in career opportunities and professional development.</w:t>
      </w:r>
    </w:p>
    <w:p w:rsidR="00474485" w:rsidRDefault="0009234A" w:rsidP="009D0758">
      <w:pPr>
        <w:jc w:val="both"/>
        <w:rPr>
          <w:b/>
          <w:i/>
          <w:lang w:val="en-AU"/>
        </w:rPr>
      </w:pPr>
      <w:r w:rsidRPr="0009234A">
        <w:rPr>
          <w:b/>
          <w:i/>
          <w:lang w:val="en-AU"/>
        </w:rPr>
        <w:t>Strengthening gender</w:t>
      </w:r>
    </w:p>
    <w:p w:rsidR="0009234A" w:rsidRDefault="0009234A" w:rsidP="009D0758">
      <w:pPr>
        <w:jc w:val="both"/>
        <w:rPr>
          <w:lang w:val="en-AU"/>
        </w:rPr>
      </w:pPr>
      <w:r>
        <w:rPr>
          <w:lang w:val="en-AU"/>
        </w:rPr>
        <w:t xml:space="preserve">Some ways in which the program could strengthen its support for women </w:t>
      </w:r>
      <w:r w:rsidR="006300D1">
        <w:rPr>
          <w:lang w:val="en-AU"/>
        </w:rPr>
        <w:t>which will be considered in the next reporting period include</w:t>
      </w:r>
      <w:r>
        <w:rPr>
          <w:lang w:val="en-AU"/>
        </w:rPr>
        <w:t>:</w:t>
      </w:r>
    </w:p>
    <w:p w:rsidR="0009234A" w:rsidRDefault="0009234A" w:rsidP="007D2BBC">
      <w:pPr>
        <w:pStyle w:val="ListParagraph"/>
        <w:numPr>
          <w:ilvl w:val="0"/>
          <w:numId w:val="39"/>
        </w:numPr>
        <w:jc w:val="both"/>
        <w:rPr>
          <w:lang w:val="en-AU"/>
        </w:rPr>
      </w:pPr>
      <w:r>
        <w:rPr>
          <w:lang w:val="en-AU"/>
        </w:rPr>
        <w:t>Design of an intern placement specifically for female interns</w:t>
      </w:r>
      <w:r w:rsidR="008F1471">
        <w:rPr>
          <w:lang w:val="en-AU"/>
        </w:rPr>
        <w:t xml:space="preserve">. </w:t>
      </w:r>
    </w:p>
    <w:p w:rsidR="008F1471" w:rsidRDefault="008F1471" w:rsidP="007D2BBC">
      <w:pPr>
        <w:pStyle w:val="ListParagraph"/>
        <w:numPr>
          <w:ilvl w:val="0"/>
          <w:numId w:val="39"/>
        </w:numPr>
        <w:jc w:val="both"/>
        <w:rPr>
          <w:lang w:val="en-AU"/>
        </w:rPr>
      </w:pPr>
      <w:r>
        <w:rPr>
          <w:lang w:val="en-AU"/>
        </w:rPr>
        <w:t>Strengthening the professional, timely and competent prosecution for domestic violence cases by SPD; including significantly reducing the number of domestic violence matters that do not proceed (where victims have not withdrawn) and advocating for stronger sentencing in serious matters.</w:t>
      </w:r>
    </w:p>
    <w:p w:rsidR="00A70C26" w:rsidRPr="00A70C26" w:rsidRDefault="00A70C26" w:rsidP="007D2BBC">
      <w:pPr>
        <w:pStyle w:val="ListParagraph"/>
        <w:numPr>
          <w:ilvl w:val="0"/>
          <w:numId w:val="39"/>
        </w:numPr>
        <w:jc w:val="both"/>
        <w:rPr>
          <w:lang w:val="en-AU"/>
        </w:rPr>
      </w:pPr>
      <w:r>
        <w:rPr>
          <w:rFonts w:eastAsiaTheme="minorHAnsi"/>
        </w:rPr>
        <w:t xml:space="preserve">Ensuring that advisers engaging in the complex work around violence, gender, culture and women’s rights examine our own biases, and </w:t>
      </w:r>
      <w:proofErr w:type="spellStart"/>
      <w:r>
        <w:rPr>
          <w:rFonts w:eastAsiaTheme="minorHAnsi"/>
        </w:rPr>
        <w:t>positionality</w:t>
      </w:r>
      <w:proofErr w:type="spellEnd"/>
      <w:r>
        <w:rPr>
          <w:rFonts w:eastAsiaTheme="minorHAnsi"/>
        </w:rPr>
        <w:t>. This more dialogical approach to learning, reflecting and adapting while doing difficult community level work can only strengthen the ongoing practice and interventions.</w:t>
      </w:r>
    </w:p>
    <w:p w:rsidR="005D275F" w:rsidRDefault="005D275F" w:rsidP="007D2BBC">
      <w:pPr>
        <w:pStyle w:val="ListParagraph"/>
        <w:numPr>
          <w:ilvl w:val="0"/>
          <w:numId w:val="39"/>
        </w:numPr>
        <w:jc w:val="both"/>
        <w:rPr>
          <w:lang w:val="en-AU"/>
        </w:rPr>
      </w:pPr>
      <w:r>
        <w:rPr>
          <w:lang w:val="en-AU"/>
        </w:rPr>
        <w:t>Supporting the recognition of talent in female employees.</w:t>
      </w:r>
    </w:p>
    <w:p w:rsidR="0009234A" w:rsidRDefault="00223FE3" w:rsidP="007D2BBC">
      <w:pPr>
        <w:pStyle w:val="ListParagraph"/>
        <w:numPr>
          <w:ilvl w:val="0"/>
          <w:numId w:val="39"/>
        </w:numPr>
        <w:jc w:val="both"/>
        <w:rPr>
          <w:lang w:val="en-AU"/>
        </w:rPr>
      </w:pPr>
      <w:r>
        <w:rPr>
          <w:lang w:val="en-AU"/>
        </w:rPr>
        <w:t>Encouraging</w:t>
      </w:r>
      <w:r w:rsidR="005D275F">
        <w:rPr>
          <w:lang w:val="en-AU"/>
        </w:rPr>
        <w:t xml:space="preserve"> the recruitment of women (and more specifically female lawyers)</w:t>
      </w:r>
    </w:p>
    <w:p w:rsidR="005D275F" w:rsidRPr="005D275F" w:rsidRDefault="005D275F" w:rsidP="007D2BBC">
      <w:pPr>
        <w:pStyle w:val="ListParagraph"/>
        <w:numPr>
          <w:ilvl w:val="0"/>
          <w:numId w:val="39"/>
        </w:numPr>
        <w:rPr>
          <w:rFonts w:eastAsia="Times New Roman" w:cs="Times New Roman Bold"/>
          <w:szCs w:val="20"/>
          <w:lang w:eastAsia="fr-FR"/>
        </w:rPr>
      </w:pPr>
      <w:r w:rsidRPr="005D275F">
        <w:rPr>
          <w:rFonts w:eastAsia="Times New Roman" w:cs="Times New Roman Bold"/>
          <w:szCs w:val="20"/>
          <w:lang w:eastAsia="fr-FR"/>
        </w:rPr>
        <w:t>Train</w:t>
      </w:r>
      <w:r w:rsidR="00223FE3">
        <w:rPr>
          <w:rFonts w:eastAsia="Times New Roman" w:cs="Times New Roman Bold"/>
          <w:szCs w:val="20"/>
          <w:lang w:eastAsia="fr-FR"/>
        </w:rPr>
        <w:t>ing</w:t>
      </w:r>
      <w:r w:rsidRPr="005D275F">
        <w:rPr>
          <w:rFonts w:eastAsia="Times New Roman" w:cs="Times New Roman Bold"/>
          <w:szCs w:val="20"/>
          <w:lang w:eastAsia="fr-FR"/>
        </w:rPr>
        <w:t xml:space="preserve"> lawyers on the proper approach to defending child sex crimes and dealing with child witnesses (some training has already been done in this area</w:t>
      </w:r>
      <w:r>
        <w:rPr>
          <w:rFonts w:eastAsia="Times New Roman" w:cs="Times New Roman Bold"/>
          <w:szCs w:val="20"/>
          <w:lang w:eastAsia="fr-FR"/>
        </w:rPr>
        <w:t xml:space="preserve"> but could be increased</w:t>
      </w:r>
      <w:r w:rsidRPr="005D275F">
        <w:rPr>
          <w:rFonts w:eastAsia="Times New Roman" w:cs="Times New Roman Bold"/>
          <w:szCs w:val="20"/>
          <w:lang w:eastAsia="fr-FR"/>
        </w:rPr>
        <w:t>).</w:t>
      </w:r>
    </w:p>
    <w:p w:rsidR="005D275F" w:rsidRPr="005D275F" w:rsidRDefault="00223FE3" w:rsidP="007D2BBC">
      <w:pPr>
        <w:pStyle w:val="ListParagraph"/>
        <w:numPr>
          <w:ilvl w:val="0"/>
          <w:numId w:val="39"/>
        </w:numPr>
        <w:rPr>
          <w:rFonts w:eastAsia="Times New Roman" w:cs="Times New Roman Bold"/>
          <w:szCs w:val="20"/>
          <w:lang w:eastAsia="fr-FR"/>
        </w:rPr>
      </w:pPr>
      <w:r>
        <w:rPr>
          <w:rFonts w:eastAsia="Times New Roman" w:cs="Times New Roman Bold"/>
          <w:szCs w:val="20"/>
          <w:lang w:eastAsia="fr-FR"/>
        </w:rPr>
        <w:t>Encouraging</w:t>
      </w:r>
      <w:r w:rsidR="005D275F" w:rsidRPr="005D275F">
        <w:rPr>
          <w:rFonts w:eastAsia="Times New Roman" w:cs="Times New Roman Bold"/>
          <w:szCs w:val="20"/>
          <w:lang w:eastAsia="fr-FR"/>
        </w:rPr>
        <w:t xml:space="preserve"> law reform in the area of how courts must deal with vulnerable witnesses and evidence law in relation to sexual assault complainants. </w:t>
      </w:r>
    </w:p>
    <w:p w:rsidR="005D275F" w:rsidRPr="005D275F" w:rsidRDefault="00223FE3" w:rsidP="007D2BBC">
      <w:pPr>
        <w:pStyle w:val="ListParagraph"/>
        <w:numPr>
          <w:ilvl w:val="0"/>
          <w:numId w:val="39"/>
        </w:numPr>
        <w:rPr>
          <w:rFonts w:eastAsia="Times New Roman" w:cs="Times New Roman Bold"/>
          <w:szCs w:val="20"/>
          <w:lang w:eastAsia="fr-FR"/>
        </w:rPr>
      </w:pPr>
      <w:r>
        <w:rPr>
          <w:rFonts w:eastAsia="Times New Roman" w:cs="Times New Roman Bold"/>
          <w:szCs w:val="20"/>
          <w:lang w:eastAsia="fr-FR"/>
        </w:rPr>
        <w:t>Encouraging l</w:t>
      </w:r>
      <w:r w:rsidR="005D275F" w:rsidRPr="005D275F">
        <w:rPr>
          <w:rFonts w:eastAsia="Times New Roman" w:cs="Times New Roman Bold"/>
          <w:szCs w:val="20"/>
          <w:lang w:eastAsia="fr-FR"/>
        </w:rPr>
        <w:t xml:space="preserve">aw reform in divorce law to support a no fault divorce system so that women are not </w:t>
      </w:r>
      <w:r w:rsidR="005D275F">
        <w:rPr>
          <w:rFonts w:eastAsia="Times New Roman" w:cs="Times New Roman Bold"/>
          <w:szCs w:val="20"/>
          <w:lang w:eastAsia="fr-FR"/>
        </w:rPr>
        <w:t>forced</w:t>
      </w:r>
      <w:r w:rsidR="005D275F" w:rsidRPr="005D275F">
        <w:rPr>
          <w:rFonts w:eastAsia="Times New Roman" w:cs="Times New Roman Bold"/>
          <w:szCs w:val="20"/>
          <w:lang w:eastAsia="fr-FR"/>
        </w:rPr>
        <w:t xml:space="preserve"> through court proceedings for alleged immoral conduct.</w:t>
      </w:r>
    </w:p>
    <w:p w:rsidR="005D275F" w:rsidRPr="005D275F" w:rsidRDefault="00223FE3" w:rsidP="007D2BBC">
      <w:pPr>
        <w:pStyle w:val="ListParagraph"/>
        <w:numPr>
          <w:ilvl w:val="0"/>
          <w:numId w:val="39"/>
        </w:numPr>
        <w:rPr>
          <w:rFonts w:eastAsia="Times New Roman" w:cs="Times New Roman Bold"/>
          <w:szCs w:val="20"/>
          <w:lang w:eastAsia="fr-FR"/>
        </w:rPr>
      </w:pPr>
      <w:r>
        <w:rPr>
          <w:rFonts w:eastAsia="Times New Roman" w:cs="Times New Roman Bold"/>
          <w:szCs w:val="20"/>
          <w:lang w:eastAsia="fr-FR"/>
        </w:rPr>
        <w:t>Encouraging l</w:t>
      </w:r>
      <w:r w:rsidR="005D275F" w:rsidRPr="005D275F">
        <w:rPr>
          <w:rFonts w:eastAsia="Times New Roman" w:cs="Times New Roman Bold"/>
          <w:szCs w:val="20"/>
          <w:lang w:eastAsia="fr-FR"/>
        </w:rPr>
        <w:t>aw reform for infanticide cases so that women who kill their new</w:t>
      </w:r>
      <w:r>
        <w:rPr>
          <w:rFonts w:eastAsia="Times New Roman" w:cs="Times New Roman Bold"/>
          <w:szCs w:val="20"/>
          <w:lang w:eastAsia="fr-FR"/>
        </w:rPr>
        <w:t xml:space="preserve"> </w:t>
      </w:r>
      <w:r w:rsidR="005D275F" w:rsidRPr="005D275F">
        <w:rPr>
          <w:rFonts w:eastAsia="Times New Roman" w:cs="Times New Roman Bold"/>
          <w:szCs w:val="20"/>
          <w:lang w:eastAsia="fr-FR"/>
        </w:rPr>
        <w:t>born babies are not treated the same as murderers. This reform has been proposed by the Court of Appeal.</w:t>
      </w:r>
    </w:p>
    <w:p w:rsidR="005D275F" w:rsidRPr="005D275F" w:rsidRDefault="00223FE3" w:rsidP="007D2BBC">
      <w:pPr>
        <w:pStyle w:val="ListParagraph"/>
        <w:numPr>
          <w:ilvl w:val="0"/>
          <w:numId w:val="39"/>
        </w:numPr>
        <w:rPr>
          <w:rFonts w:eastAsia="Times New Roman" w:cs="Times New Roman Bold"/>
          <w:szCs w:val="20"/>
          <w:lang w:eastAsia="fr-FR"/>
        </w:rPr>
      </w:pPr>
      <w:r>
        <w:rPr>
          <w:rFonts w:eastAsia="Times New Roman" w:cs="Times New Roman Bold"/>
          <w:szCs w:val="20"/>
          <w:lang w:eastAsia="fr-FR"/>
        </w:rPr>
        <w:t>Encouraging</w:t>
      </w:r>
      <w:r w:rsidR="005D275F" w:rsidRPr="005D275F">
        <w:rPr>
          <w:rFonts w:eastAsia="Times New Roman" w:cs="Times New Roman Bold"/>
          <w:szCs w:val="20"/>
          <w:lang w:eastAsia="fr-FR"/>
        </w:rPr>
        <w:t xml:space="preserve"> support and training for prosecutors who conduct sex offence and gender violence cases.</w:t>
      </w:r>
    </w:p>
    <w:p w:rsidR="008F1471" w:rsidRDefault="00223FE3" w:rsidP="007D2BBC">
      <w:pPr>
        <w:pStyle w:val="ListParagraph"/>
        <w:numPr>
          <w:ilvl w:val="0"/>
          <w:numId w:val="39"/>
        </w:numPr>
        <w:jc w:val="both"/>
        <w:rPr>
          <w:rFonts w:cstheme="minorHAnsi"/>
        </w:rPr>
      </w:pPr>
      <w:r>
        <w:rPr>
          <w:rFonts w:cstheme="minorHAnsi"/>
        </w:rPr>
        <w:t>Continuing</w:t>
      </w:r>
      <w:r w:rsidR="008F1471" w:rsidRPr="008F1471">
        <w:rPr>
          <w:rFonts w:cstheme="minorHAnsi"/>
        </w:rPr>
        <w:t xml:space="preserve"> to ensure that case identification and the details that are recorded against the case, and the parties, </w:t>
      </w:r>
      <w:r w:rsidR="008F1471">
        <w:rPr>
          <w:rFonts w:cstheme="minorHAnsi"/>
        </w:rPr>
        <w:t>allows</w:t>
      </w:r>
      <w:r w:rsidR="008F1471" w:rsidRPr="008F1471">
        <w:rPr>
          <w:rFonts w:cstheme="minorHAnsi"/>
        </w:rPr>
        <w:t xml:space="preserve"> a greater capacity for the analysis</w:t>
      </w:r>
      <w:r w:rsidR="008F1471">
        <w:rPr>
          <w:rFonts w:cstheme="minorHAnsi"/>
        </w:rPr>
        <w:t xml:space="preserve"> and</w:t>
      </w:r>
      <w:r w:rsidR="008F1471" w:rsidRPr="008F1471">
        <w:rPr>
          <w:rFonts w:cstheme="minorHAnsi"/>
        </w:rPr>
        <w:t xml:space="preserve"> trending for those cases involving gender based violence.</w:t>
      </w:r>
      <w:r w:rsidR="008F1471">
        <w:rPr>
          <w:rFonts w:cstheme="minorHAnsi"/>
        </w:rPr>
        <w:t xml:space="preserve"> Over time the program</w:t>
      </w:r>
      <w:r w:rsidR="008F1471" w:rsidRPr="008F1471">
        <w:rPr>
          <w:rFonts w:cstheme="minorHAnsi"/>
        </w:rPr>
        <w:t xml:space="preserve"> should start to see a greater level of </w:t>
      </w:r>
      <w:r w:rsidR="008F1471" w:rsidRPr="008F1471">
        <w:rPr>
          <w:rFonts w:cstheme="minorHAnsi"/>
        </w:rPr>
        <w:lastRenderedPageBreak/>
        <w:t>visibility of where cases are up to in respective agencies, providing an increased level of confidence of case progression through the system.</w:t>
      </w:r>
      <w:r w:rsidR="008F1471">
        <w:rPr>
          <w:rFonts w:cstheme="minorHAnsi"/>
        </w:rPr>
        <w:t xml:space="preserve"> </w:t>
      </w:r>
      <w:r w:rsidR="008F1471" w:rsidRPr="008F1471">
        <w:rPr>
          <w:rFonts w:cstheme="minorHAnsi"/>
        </w:rPr>
        <w:t>This applies to Police (incident/investigation), Prosecution (cases), Courts (cases), and to a lesser extent, other agencies such as PSO</w:t>
      </w:r>
    </w:p>
    <w:p w:rsidR="004B7BFA" w:rsidRDefault="004B7BFA" w:rsidP="007D2BBC">
      <w:pPr>
        <w:pStyle w:val="ListParagraph"/>
        <w:numPr>
          <w:ilvl w:val="0"/>
          <w:numId w:val="39"/>
        </w:numPr>
        <w:jc w:val="both"/>
        <w:rPr>
          <w:rFonts w:cstheme="minorHAnsi"/>
        </w:rPr>
      </w:pPr>
      <w:r>
        <w:rPr>
          <w:rFonts w:cstheme="minorHAnsi"/>
        </w:rPr>
        <w:t xml:space="preserve">Ensuring as much as possible that equity of access to professional and leadership development opportunities is progressed in relation to the CD Strategy implementation. This at times can mean providing opportunities </w:t>
      </w:r>
      <w:r w:rsidR="002758D3">
        <w:rPr>
          <w:rFonts w:cstheme="minorHAnsi"/>
        </w:rPr>
        <w:t>specifically</w:t>
      </w:r>
      <w:r>
        <w:rPr>
          <w:rFonts w:cstheme="minorHAnsi"/>
        </w:rPr>
        <w:t xml:space="preserve"> for women to redress </w:t>
      </w:r>
      <w:r w:rsidR="002758D3">
        <w:rPr>
          <w:rFonts w:cstheme="minorHAnsi"/>
        </w:rPr>
        <w:t xml:space="preserve">inequities and encourage women’s participation. </w:t>
      </w:r>
    </w:p>
    <w:p w:rsidR="00E9734A" w:rsidRPr="008F1471" w:rsidRDefault="00E9734A" w:rsidP="00952C39">
      <w:pPr>
        <w:pStyle w:val="ListParagraph"/>
        <w:jc w:val="both"/>
        <w:rPr>
          <w:rFonts w:cstheme="minorHAnsi"/>
        </w:rPr>
      </w:pPr>
    </w:p>
    <w:p w:rsidR="00861042" w:rsidRPr="003E5EB1" w:rsidRDefault="00E45589" w:rsidP="00E9734A">
      <w:pPr>
        <w:pStyle w:val="Heading3"/>
      </w:pPr>
      <w:bookmarkStart w:id="25" w:name="_Toc411268949"/>
      <w:r w:rsidRPr="003E5EB1">
        <w:t>Areas of strategic focus for next reporting period</w:t>
      </w:r>
      <w:bookmarkEnd w:id="25"/>
    </w:p>
    <w:p w:rsidR="00E45589" w:rsidRPr="00770918" w:rsidRDefault="00CD6612" w:rsidP="00770918">
      <w:pPr>
        <w:pStyle w:val="ListParagraph"/>
        <w:ind w:left="0"/>
        <w:jc w:val="both"/>
        <w:rPr>
          <w:lang w:val="en-AU"/>
        </w:rPr>
      </w:pPr>
      <w:r w:rsidRPr="00770918">
        <w:rPr>
          <w:lang w:val="en-AU"/>
        </w:rPr>
        <w:t>Areas of identified management and strategic focus over the next reporting period are:</w:t>
      </w:r>
    </w:p>
    <w:p w:rsidR="00861042" w:rsidRDefault="00861042" w:rsidP="007D2BBC">
      <w:pPr>
        <w:pStyle w:val="ListParagraph"/>
        <w:numPr>
          <w:ilvl w:val="0"/>
          <w:numId w:val="26"/>
        </w:numPr>
        <w:jc w:val="both"/>
        <w:rPr>
          <w:lang w:val="en-AU"/>
        </w:rPr>
      </w:pPr>
      <w:r w:rsidRPr="009F2D0F">
        <w:rPr>
          <w:b/>
          <w:lang w:val="en-AU"/>
        </w:rPr>
        <w:t xml:space="preserve">Strengthening </w:t>
      </w:r>
      <w:r w:rsidR="00770918" w:rsidRPr="009F2D0F">
        <w:rPr>
          <w:b/>
          <w:lang w:val="en-AU"/>
        </w:rPr>
        <w:t>the program’s mainstreaming of gender</w:t>
      </w:r>
      <w:r w:rsidR="00770918">
        <w:rPr>
          <w:lang w:val="en-AU"/>
        </w:rPr>
        <w:t xml:space="preserve"> across program management and implementation. This will be achieved through embedding of the PJSPV Gender Strategy; identification of strengthened support for gender that can be provided in each area of practice and the development of consistent understanding and clear messaging with respect to gender in the context of Vanuatu. </w:t>
      </w:r>
    </w:p>
    <w:p w:rsidR="00861042" w:rsidRPr="00DB3FBD" w:rsidRDefault="00DB3FBD" w:rsidP="007D2BBC">
      <w:pPr>
        <w:pStyle w:val="ListParagraph"/>
        <w:numPr>
          <w:ilvl w:val="0"/>
          <w:numId w:val="26"/>
        </w:numPr>
        <w:jc w:val="both"/>
        <w:rPr>
          <w:lang w:val="en-AU"/>
        </w:rPr>
      </w:pPr>
      <w:r w:rsidRPr="009F2D0F">
        <w:rPr>
          <w:b/>
          <w:lang w:val="en-AU"/>
        </w:rPr>
        <w:t xml:space="preserve">Strengthening the focus on institutional </w:t>
      </w:r>
      <w:r w:rsidR="00861042" w:rsidRPr="009F2D0F">
        <w:rPr>
          <w:b/>
          <w:lang w:val="en-AU"/>
        </w:rPr>
        <w:t>systems, processes</w:t>
      </w:r>
      <w:r w:rsidRPr="009F2D0F">
        <w:rPr>
          <w:b/>
          <w:lang w:val="en-AU"/>
        </w:rPr>
        <w:t>,</w:t>
      </w:r>
      <w:r w:rsidR="00861042" w:rsidRPr="009F2D0F">
        <w:rPr>
          <w:b/>
          <w:lang w:val="en-AU"/>
        </w:rPr>
        <w:t xml:space="preserve"> management </w:t>
      </w:r>
      <w:r w:rsidRPr="009F2D0F">
        <w:rPr>
          <w:b/>
          <w:lang w:val="en-AU"/>
        </w:rPr>
        <w:t>and administration</w:t>
      </w:r>
      <w:r>
        <w:rPr>
          <w:lang w:val="en-AU"/>
        </w:rPr>
        <w:t xml:space="preserve"> to increasingly embed capacity development and strengthen the sustainability of outcomes, particularly with respect to SPD and PSO where there has been significant investment</w:t>
      </w:r>
      <w:r w:rsidR="006300D1">
        <w:rPr>
          <w:lang w:val="en-AU"/>
        </w:rPr>
        <w:t xml:space="preserve"> in capacity</w:t>
      </w:r>
      <w:r>
        <w:rPr>
          <w:lang w:val="en-AU"/>
        </w:rPr>
        <w:t xml:space="preserve"> by the program. </w:t>
      </w:r>
      <w:r w:rsidR="002758D3">
        <w:rPr>
          <w:lang w:val="en-AU"/>
        </w:rPr>
        <w:t xml:space="preserve">In SPD this will build on the improvement work already underway as part of the institutional strengthening process, and other development initiatives. </w:t>
      </w:r>
    </w:p>
    <w:p w:rsidR="00F36866" w:rsidRDefault="009F2D0F" w:rsidP="007D2BBC">
      <w:pPr>
        <w:pStyle w:val="ListParagraph"/>
        <w:numPr>
          <w:ilvl w:val="0"/>
          <w:numId w:val="26"/>
        </w:numPr>
        <w:jc w:val="both"/>
        <w:rPr>
          <w:rFonts w:cstheme="minorHAnsi"/>
          <w:lang w:val="en-AU"/>
        </w:rPr>
      </w:pPr>
      <w:r w:rsidRPr="00226649">
        <w:rPr>
          <w:rFonts w:cstheme="minorHAnsi"/>
          <w:b/>
          <w:lang w:val="en-AU"/>
        </w:rPr>
        <w:t>Continuing cognisance of the necessity of preserving sufficient resourcing for component 3 initiatives</w:t>
      </w:r>
      <w:r w:rsidRPr="00226649">
        <w:rPr>
          <w:rFonts w:cstheme="minorHAnsi"/>
          <w:lang w:val="en-AU"/>
        </w:rPr>
        <w:t>.</w:t>
      </w:r>
      <w:r w:rsidR="00226649">
        <w:rPr>
          <w:rFonts w:cstheme="minorHAnsi"/>
          <w:lang w:val="en-AU"/>
        </w:rPr>
        <w:t xml:space="preserve"> </w:t>
      </w:r>
      <w:r w:rsidR="00F36866">
        <w:rPr>
          <w:rFonts w:cstheme="minorHAnsi"/>
          <w:lang w:val="en-AU"/>
        </w:rPr>
        <w:t>This is required to preserve the strategic vision of the design of the program and was clearly articulated in the SRBJ Draft design</w:t>
      </w:r>
      <w:r w:rsidR="002A6107">
        <w:rPr>
          <w:rFonts w:cstheme="minorHAnsi"/>
          <w:lang w:val="en-AU"/>
        </w:rPr>
        <w:t xml:space="preserve"> but in the light of DFAT reductions in ODA is a matter of particular poignancy with respect to maintaining the integrity of the design.</w:t>
      </w:r>
      <w:r w:rsidR="00F36866">
        <w:rPr>
          <w:rFonts w:cstheme="minorHAnsi"/>
          <w:lang w:val="en-AU"/>
        </w:rPr>
        <w:t xml:space="preserve"> </w:t>
      </w:r>
      <w:r w:rsidR="002A6107">
        <w:rPr>
          <w:rFonts w:cstheme="minorHAnsi"/>
          <w:lang w:val="en-AU"/>
        </w:rPr>
        <w:t>The justification for this was provided in the SRBJ Draft Design 2013 but is worth repeating here:</w:t>
      </w:r>
    </w:p>
    <w:p w:rsidR="0082359D" w:rsidRPr="00F36866" w:rsidRDefault="009F2D0F" w:rsidP="002A6107">
      <w:pPr>
        <w:ind w:left="720"/>
        <w:jc w:val="both"/>
        <w:rPr>
          <w:rFonts w:cstheme="minorHAnsi"/>
          <w:lang w:val="en-AU"/>
        </w:rPr>
      </w:pPr>
      <w:r w:rsidRPr="00F36866">
        <w:rPr>
          <w:rFonts w:cstheme="minorHAnsi"/>
          <w:lang w:val="en-AU"/>
        </w:rPr>
        <w:t>“</w:t>
      </w:r>
      <w:r w:rsidR="0082359D" w:rsidRPr="00F36866">
        <w:rPr>
          <w:rFonts w:cstheme="minorHAnsi"/>
          <w:lang w:val="en-AU"/>
        </w:rPr>
        <w:t xml:space="preserve">The global experience of law and justice reform and development endeavours shows that no amount of capacity building and collaboration of formal actors within the sector </w:t>
      </w:r>
      <w:r w:rsidR="0082359D" w:rsidRPr="00F36866">
        <w:rPr>
          <w:rFonts w:cstheme="minorHAnsi"/>
          <w:i/>
          <w:lang w:val="en-AU"/>
        </w:rPr>
        <w:t>necessarily</w:t>
      </w:r>
      <w:r w:rsidR="0082359D" w:rsidRPr="00F36866">
        <w:rPr>
          <w:rFonts w:cstheme="minorHAnsi"/>
          <w:lang w:val="en-AU"/>
        </w:rPr>
        <w:t xml:space="preserve"> translate into results or improvements in the wellbeing of the beneficiaries, which is the ultimate strategic focus of this design.</w:t>
      </w:r>
      <w:r w:rsidR="0082359D" w:rsidRPr="00226649">
        <w:rPr>
          <w:rStyle w:val="FootnoteReference"/>
          <w:rFonts w:cstheme="minorHAnsi"/>
          <w:lang w:val="en-AU"/>
        </w:rPr>
        <w:footnoteReference w:id="21"/>
      </w:r>
      <w:r w:rsidR="0082359D" w:rsidRPr="00F36866">
        <w:rPr>
          <w:rFonts w:cstheme="minorHAnsi"/>
          <w:lang w:val="en-AU"/>
        </w:rPr>
        <w:t xml:space="preserve"> Capacity building and collaboration of formal actors are generally not sufficient </w:t>
      </w:r>
      <w:r w:rsidR="0082359D" w:rsidRPr="00F36866">
        <w:rPr>
          <w:rFonts w:cstheme="minorHAnsi"/>
          <w:i/>
          <w:lang w:val="en-AU"/>
        </w:rPr>
        <w:t>alone</w:t>
      </w:r>
      <w:r w:rsidR="0082359D" w:rsidRPr="00F36866">
        <w:rPr>
          <w:rFonts w:cstheme="minorHAnsi"/>
          <w:lang w:val="en-AU"/>
        </w:rPr>
        <w:t xml:space="preserve"> in attaining that goal, although those interventions might necessarily be part of the mix for good, bad or benign reasons.</w:t>
      </w:r>
      <w:r w:rsidRPr="00226649">
        <w:rPr>
          <w:rStyle w:val="FootnoteReference"/>
          <w:rFonts w:cstheme="minorHAnsi"/>
          <w:lang w:val="en-AU"/>
        </w:rPr>
        <w:footnoteReference w:id="22"/>
      </w:r>
      <w:r w:rsidR="002A6107">
        <w:rPr>
          <w:rFonts w:cstheme="minorHAnsi"/>
          <w:lang w:val="en-AU"/>
        </w:rPr>
        <w:t xml:space="preserve"> …</w:t>
      </w:r>
    </w:p>
    <w:p w:rsidR="0082359D" w:rsidRPr="00F36866" w:rsidRDefault="0082359D" w:rsidP="002A6107">
      <w:pPr>
        <w:autoSpaceDE w:val="0"/>
        <w:autoSpaceDN w:val="0"/>
        <w:adjustRightInd w:val="0"/>
        <w:spacing w:after="0"/>
        <w:ind w:left="720" w:right="-46"/>
        <w:jc w:val="both"/>
        <w:rPr>
          <w:rFonts w:cstheme="minorHAnsi"/>
        </w:rPr>
      </w:pPr>
      <w:r w:rsidRPr="00F36866">
        <w:rPr>
          <w:rFonts w:cstheme="minorHAnsi"/>
        </w:rPr>
        <w:t xml:space="preserve">In some countries, justice sector institutions by their very design perpetuate elite interests at the expense of the majority of the population. In many other countries, formal rules which </w:t>
      </w:r>
      <w:r w:rsidRPr="00F36866">
        <w:rPr>
          <w:rFonts w:cstheme="minorHAnsi"/>
        </w:rPr>
        <w:lastRenderedPageBreak/>
        <w:t>seemingly protect the interests of the broader community are undermined by institutional pr</w:t>
      </w:r>
      <w:r w:rsidR="00226649" w:rsidRPr="00F36866">
        <w:rPr>
          <w:rFonts w:cstheme="minorHAnsi"/>
        </w:rPr>
        <w:t>actices and informal strategies</w:t>
      </w:r>
      <w:r w:rsidR="002A6107">
        <w:rPr>
          <w:rFonts w:cstheme="minorHAnsi"/>
        </w:rPr>
        <w:t>.</w:t>
      </w:r>
      <w:r w:rsidRPr="00F36866">
        <w:rPr>
          <w:rStyle w:val="FootnoteReference"/>
          <w:rFonts w:cstheme="minorHAnsi"/>
        </w:rPr>
        <w:footnoteReference w:id="23"/>
      </w:r>
      <w:r w:rsidR="00D95BE8">
        <w:rPr>
          <w:rFonts w:cstheme="minorHAnsi"/>
        </w:rPr>
        <w:t xml:space="preserve"> …</w:t>
      </w:r>
    </w:p>
    <w:p w:rsidR="0082359D" w:rsidRPr="0082359D" w:rsidRDefault="0082359D" w:rsidP="002A6107">
      <w:pPr>
        <w:autoSpaceDE w:val="0"/>
        <w:autoSpaceDN w:val="0"/>
        <w:adjustRightInd w:val="0"/>
        <w:spacing w:after="0"/>
        <w:ind w:left="360"/>
        <w:jc w:val="both"/>
        <w:rPr>
          <w:rFonts w:cstheme="minorHAnsi"/>
          <w:color w:val="FF0000"/>
        </w:rPr>
      </w:pPr>
    </w:p>
    <w:p w:rsidR="00B62F97" w:rsidRPr="00F36866" w:rsidRDefault="00B62F97" w:rsidP="002A6107">
      <w:pPr>
        <w:ind w:left="720"/>
        <w:jc w:val="both"/>
        <w:rPr>
          <w:rFonts w:cstheme="minorHAnsi"/>
          <w:lang w:val="en-AU"/>
        </w:rPr>
      </w:pPr>
      <w:r w:rsidRPr="00F36866">
        <w:rPr>
          <w:rFonts w:cstheme="minorHAnsi"/>
          <w:lang w:val="en-AU"/>
        </w:rPr>
        <w:t xml:space="preserve">Interventions like components 1 and 2 have the capacity to absorb infinite resources but have been shown over a sufficiently extended period of international development assistance to the justice sector to be of limited ultimate benefit to human wellbeing. The strategic vision of SRBJ therefore is to drive the benefits of the interventions to the target beneficiaries through the enabling components of 1 and 2 in tandem with the targeted interventions under component 3. </w:t>
      </w:r>
      <w:r w:rsidRPr="002A6107">
        <w:rPr>
          <w:rFonts w:cstheme="minorHAnsi"/>
          <w:i/>
          <w:lang w:val="en-AU"/>
        </w:rPr>
        <w:t>The allocation of resources of SRBJ to the progress of component 3 needs to be diligently protected as there will always be a natural drift on both the side of GoV and AusAID</w:t>
      </w:r>
      <w:r w:rsidR="002A6107">
        <w:rPr>
          <w:rFonts w:cstheme="minorHAnsi"/>
          <w:i/>
          <w:lang w:val="en-AU"/>
        </w:rPr>
        <w:t xml:space="preserve"> (now DFAT)</w:t>
      </w:r>
      <w:r w:rsidRPr="002A6107">
        <w:rPr>
          <w:rFonts w:cstheme="minorHAnsi"/>
          <w:i/>
          <w:lang w:val="en-AU"/>
        </w:rPr>
        <w:t xml:space="preserve"> towards component 1 and 2.</w:t>
      </w:r>
      <w:r w:rsidRPr="002A6107">
        <w:rPr>
          <w:rStyle w:val="FootnoteReference"/>
          <w:rFonts w:cstheme="minorHAnsi"/>
          <w:i/>
          <w:lang w:val="en-AU"/>
        </w:rPr>
        <w:footnoteReference w:id="24"/>
      </w:r>
      <w:r w:rsidRPr="002A6107">
        <w:rPr>
          <w:rFonts w:cstheme="minorHAnsi"/>
          <w:i/>
          <w:lang w:val="en-AU"/>
        </w:rPr>
        <w:t xml:space="preserve"> This needs to be resisted for the sake of ceasing to do endlessly what is recognised has limited effect.</w:t>
      </w:r>
      <w:r w:rsidR="00F36866" w:rsidRPr="002A6107">
        <w:rPr>
          <w:rFonts w:cstheme="minorHAnsi"/>
          <w:i/>
          <w:lang w:val="en-AU"/>
        </w:rPr>
        <w:t>”</w:t>
      </w:r>
    </w:p>
    <w:p w:rsidR="00314DC7" w:rsidRDefault="00F92029" w:rsidP="007D2BBC">
      <w:pPr>
        <w:pStyle w:val="ListParagraph"/>
        <w:numPr>
          <w:ilvl w:val="0"/>
          <w:numId w:val="27"/>
        </w:numPr>
        <w:ind w:left="426" w:hanging="426"/>
        <w:jc w:val="both"/>
        <w:rPr>
          <w:lang w:val="en-AU"/>
        </w:rPr>
      </w:pPr>
      <w:r w:rsidRPr="00F92029">
        <w:rPr>
          <w:b/>
          <w:lang w:val="en-AU"/>
        </w:rPr>
        <w:t>Strengthen the links between the sector Monitoring Officers (MJCS and VPF) and the M&amp;E Unit, PMO</w:t>
      </w:r>
      <w:r>
        <w:rPr>
          <w:lang w:val="en-AU"/>
        </w:rPr>
        <w:t xml:space="preserve"> through involvement in the M&amp;E capacity development initiatives for the sector to strengthen the sustainability and consistency of messaging and requirements with respect to M&amp;E.</w:t>
      </w:r>
    </w:p>
    <w:p w:rsidR="00286A72" w:rsidRDefault="00286A72" w:rsidP="00286A72">
      <w:pPr>
        <w:pStyle w:val="ListParagraph"/>
        <w:numPr>
          <w:ilvl w:val="0"/>
          <w:numId w:val="27"/>
        </w:numPr>
        <w:ind w:left="426" w:hanging="426"/>
        <w:jc w:val="both"/>
        <w:rPr>
          <w:lang w:val="en-AU"/>
        </w:rPr>
      </w:pPr>
      <w:r w:rsidRPr="00D91B4E">
        <w:rPr>
          <w:b/>
          <w:lang w:val="en-AU"/>
        </w:rPr>
        <w:t>Strengthen effectiveness of grants facility</w:t>
      </w:r>
      <w:r>
        <w:rPr>
          <w:lang w:val="en-AU"/>
        </w:rPr>
        <w:t xml:space="preserve"> through quarterly intakes, assessment of all grant applications through selection criteria and focussing on providing grants to the key beneficiaries of the program design. On top of this the program will attempt to strengthen compliance surrounding reporting for the program and partner financial management and acquittals. All of these reforms to the grant process have positive impacts both in terms of advancing the goals of the design, but also capacity building partners to better manage the programs they undertake.</w:t>
      </w:r>
    </w:p>
    <w:p w:rsidR="00952C39" w:rsidRDefault="00952C39" w:rsidP="00952C39">
      <w:pPr>
        <w:pStyle w:val="ListParagraph"/>
        <w:ind w:left="426"/>
        <w:jc w:val="both"/>
        <w:rPr>
          <w:lang w:val="en-AU"/>
        </w:rPr>
      </w:pPr>
    </w:p>
    <w:p w:rsidR="00314DC7" w:rsidRPr="00314DC7" w:rsidRDefault="00314DC7" w:rsidP="00E9734A">
      <w:pPr>
        <w:pStyle w:val="Heading3"/>
      </w:pPr>
      <w:bookmarkStart w:id="26" w:name="_Toc411268950"/>
      <w:r>
        <w:t>Lessons</w:t>
      </w:r>
      <w:bookmarkEnd w:id="26"/>
    </w:p>
    <w:p w:rsidR="00D22FAE" w:rsidRPr="00223FE3" w:rsidRDefault="00D22FAE" w:rsidP="00D22FAE">
      <w:pPr>
        <w:spacing w:after="0"/>
        <w:jc w:val="both"/>
      </w:pPr>
      <w:r w:rsidRPr="00223FE3">
        <w:t>New lessons learned during this reporting period</w:t>
      </w:r>
      <w:r w:rsidRPr="00223FE3">
        <w:rPr>
          <w:rStyle w:val="FootnoteReference"/>
        </w:rPr>
        <w:footnoteReference w:id="25"/>
      </w:r>
      <w:r w:rsidRPr="00223FE3">
        <w:t xml:space="preserve"> </w:t>
      </w:r>
      <w:r w:rsidR="00474485" w:rsidRPr="00223FE3">
        <w:t>include:</w:t>
      </w:r>
    </w:p>
    <w:p w:rsidR="00474485" w:rsidRPr="00223FE3" w:rsidRDefault="00474485" w:rsidP="00D22FAE">
      <w:pPr>
        <w:spacing w:after="0"/>
        <w:jc w:val="both"/>
      </w:pPr>
    </w:p>
    <w:p w:rsidR="00474485" w:rsidRPr="00223FE3" w:rsidRDefault="00327BB9" w:rsidP="007D2BBC">
      <w:pPr>
        <w:pStyle w:val="ListParagraph"/>
        <w:numPr>
          <w:ilvl w:val="0"/>
          <w:numId w:val="36"/>
        </w:numPr>
        <w:jc w:val="both"/>
        <w:rPr>
          <w:lang w:eastAsia="fr-FR"/>
        </w:rPr>
      </w:pPr>
      <w:r w:rsidRPr="00327BB9">
        <w:rPr>
          <w:b/>
          <w:lang w:eastAsia="fr-FR"/>
        </w:rPr>
        <w:t>Expansion of activity as well as scope</w:t>
      </w:r>
      <w:r>
        <w:rPr>
          <w:lang w:eastAsia="fr-FR"/>
        </w:rPr>
        <w:t>: t</w:t>
      </w:r>
      <w:r w:rsidR="00474485" w:rsidRPr="00223FE3">
        <w:rPr>
          <w:lang w:eastAsia="fr-FR"/>
        </w:rPr>
        <w:t xml:space="preserve">he work of the project has expanded, not just due to the amalgamation with VAPP under PJSPV, but also as the program of activity </w:t>
      </w:r>
      <w:r w:rsidR="00223FE3">
        <w:rPr>
          <w:lang w:eastAsia="fr-FR"/>
        </w:rPr>
        <w:t>increases</w:t>
      </w:r>
      <w:r w:rsidR="006300D1">
        <w:rPr>
          <w:lang w:eastAsia="fr-FR"/>
        </w:rPr>
        <w:t xml:space="preserve"> in all three</w:t>
      </w:r>
      <w:r w:rsidR="00474485" w:rsidRPr="00223FE3">
        <w:rPr>
          <w:lang w:eastAsia="fr-FR"/>
        </w:rPr>
        <w:t xml:space="preserve"> components. This has highlighted the complexity of the work, and also increases the need for close integration and coordination of effort across the team, particularly when development opportunity is coming from many different directions. </w:t>
      </w:r>
    </w:p>
    <w:p w:rsidR="00474485" w:rsidRPr="00327BB9" w:rsidRDefault="00327BB9" w:rsidP="007D2BBC">
      <w:pPr>
        <w:pStyle w:val="ListParagraph"/>
        <w:numPr>
          <w:ilvl w:val="0"/>
          <w:numId w:val="36"/>
        </w:numPr>
        <w:spacing w:before="240" w:after="240"/>
        <w:jc w:val="both"/>
        <w:outlineLvl w:val="1"/>
        <w:rPr>
          <w:rFonts w:eastAsia="Times New Roman" w:cs="Times New Roman Bold"/>
          <w:szCs w:val="20"/>
          <w:lang w:eastAsia="fr-FR"/>
        </w:rPr>
      </w:pPr>
      <w:bookmarkStart w:id="27" w:name="_Toc411268622"/>
      <w:bookmarkStart w:id="28" w:name="_Toc411268951"/>
      <w:r w:rsidRPr="00327BB9">
        <w:rPr>
          <w:rFonts w:eastAsia="Times New Roman" w:cs="Times New Roman Bold"/>
          <w:b/>
          <w:szCs w:val="20"/>
          <w:lang w:eastAsia="fr-FR"/>
        </w:rPr>
        <w:t>Increasing need for effective collaboration</w:t>
      </w:r>
      <w:r w:rsidRPr="00327BB9">
        <w:rPr>
          <w:rFonts w:eastAsia="Times New Roman" w:cs="Times New Roman Bold"/>
          <w:szCs w:val="20"/>
          <w:lang w:eastAsia="fr-FR"/>
        </w:rPr>
        <w:t xml:space="preserve">: </w:t>
      </w:r>
      <w:r w:rsidR="00474485" w:rsidRPr="00327BB9">
        <w:rPr>
          <w:rFonts w:eastAsia="Times New Roman" w:cs="Times New Roman Bold"/>
          <w:szCs w:val="20"/>
          <w:lang w:eastAsia="fr-FR"/>
        </w:rPr>
        <w:t xml:space="preserve">As the work in the project expands and becomes more intensive and complex, it will be essential to ensure that the approach to team work effectively taps into the benefits of the multi-disciplinary team. This means </w:t>
      </w:r>
      <w:r w:rsidRPr="00327BB9">
        <w:rPr>
          <w:rFonts w:eastAsia="Times New Roman" w:cs="Times New Roman Bold"/>
          <w:szCs w:val="20"/>
          <w:lang w:eastAsia="fr-FR"/>
        </w:rPr>
        <w:t xml:space="preserve">continued </w:t>
      </w:r>
      <w:r w:rsidR="00474485" w:rsidRPr="00327BB9">
        <w:rPr>
          <w:rFonts w:eastAsia="Times New Roman" w:cs="Times New Roman Bold"/>
          <w:szCs w:val="20"/>
          <w:lang w:eastAsia="fr-FR"/>
        </w:rPr>
        <w:t xml:space="preserve">focus on individual effort, and more focus on collective goals, bringing the team together around shared </w:t>
      </w:r>
      <w:r w:rsidR="00474485" w:rsidRPr="00327BB9">
        <w:rPr>
          <w:rFonts w:eastAsia="Times New Roman" w:cs="Times New Roman Bold"/>
          <w:szCs w:val="20"/>
          <w:lang w:eastAsia="fr-FR"/>
        </w:rPr>
        <w:lastRenderedPageBreak/>
        <w:t xml:space="preserve">problem solving, planning, design, review and evaluation. The need for </w:t>
      </w:r>
      <w:r w:rsidRPr="00327BB9">
        <w:rPr>
          <w:rFonts w:eastAsia="Times New Roman" w:cs="Times New Roman Bold"/>
          <w:szCs w:val="20"/>
          <w:lang w:eastAsia="fr-FR"/>
        </w:rPr>
        <w:t>opportunity</w:t>
      </w:r>
      <w:r w:rsidR="00474485" w:rsidRPr="00327BB9">
        <w:rPr>
          <w:rFonts w:eastAsia="Times New Roman" w:cs="Times New Roman Bold"/>
          <w:szCs w:val="20"/>
          <w:lang w:eastAsia="fr-FR"/>
        </w:rPr>
        <w:t xml:space="preserve"> for explicit learning, </w:t>
      </w:r>
      <w:r w:rsidRPr="00327BB9">
        <w:rPr>
          <w:rFonts w:eastAsia="Times New Roman" w:cs="Times New Roman Bold"/>
          <w:szCs w:val="20"/>
          <w:lang w:eastAsia="fr-FR"/>
        </w:rPr>
        <w:t xml:space="preserve">sharing of knowledge and information </w:t>
      </w:r>
      <w:r w:rsidR="00474485" w:rsidRPr="00327BB9">
        <w:rPr>
          <w:rFonts w:eastAsia="Times New Roman" w:cs="Times New Roman Bold"/>
          <w:szCs w:val="20"/>
          <w:lang w:eastAsia="fr-FR"/>
        </w:rPr>
        <w:t xml:space="preserve">and incorporation of learning to modify and improve </w:t>
      </w:r>
      <w:r w:rsidRPr="00327BB9">
        <w:rPr>
          <w:rFonts w:eastAsia="Times New Roman" w:cs="Times New Roman Bold"/>
          <w:szCs w:val="20"/>
          <w:lang w:eastAsia="fr-FR"/>
        </w:rPr>
        <w:t>the program</w:t>
      </w:r>
      <w:r w:rsidR="00474485" w:rsidRPr="00327BB9">
        <w:rPr>
          <w:rFonts w:eastAsia="Times New Roman" w:cs="Times New Roman Bold"/>
          <w:szCs w:val="20"/>
          <w:lang w:eastAsia="fr-FR"/>
        </w:rPr>
        <w:t xml:space="preserve"> over time will be essential. </w:t>
      </w:r>
      <w:r>
        <w:rPr>
          <w:rFonts w:eastAsia="Times New Roman" w:cs="Times New Roman Bold"/>
          <w:szCs w:val="20"/>
          <w:lang w:eastAsia="fr-FR"/>
        </w:rPr>
        <w:t xml:space="preserve">For example, </w:t>
      </w:r>
      <w:r w:rsidRPr="00327BB9">
        <w:rPr>
          <w:rFonts w:eastAsia="Times New Roman" w:cs="Times New Roman Bold"/>
          <w:szCs w:val="20"/>
          <w:lang w:eastAsia="fr-FR"/>
        </w:rPr>
        <w:t>c</w:t>
      </w:r>
      <w:r w:rsidR="00474485" w:rsidRPr="00327BB9">
        <w:rPr>
          <w:rFonts w:eastAsia="Times New Roman" w:cs="Times New Roman Bold"/>
          <w:szCs w:val="20"/>
          <w:lang w:eastAsia="fr-FR"/>
        </w:rPr>
        <w:t xml:space="preserve">apacity development </w:t>
      </w:r>
      <w:r>
        <w:rPr>
          <w:rFonts w:eastAsia="Times New Roman" w:cs="Times New Roman Bold"/>
          <w:szCs w:val="20"/>
          <w:lang w:eastAsia="fr-FR"/>
        </w:rPr>
        <w:t xml:space="preserve">efforts </w:t>
      </w:r>
      <w:r w:rsidR="00474485" w:rsidRPr="00327BB9">
        <w:rPr>
          <w:rFonts w:eastAsia="Times New Roman" w:cs="Times New Roman Bold"/>
          <w:szCs w:val="20"/>
          <w:lang w:eastAsia="fr-FR"/>
        </w:rPr>
        <w:t xml:space="preserve">are only relevant if they translate into on-the-job behaviours and practices, </w:t>
      </w:r>
      <w:r>
        <w:rPr>
          <w:rFonts w:eastAsia="Times New Roman" w:cs="Times New Roman Bold"/>
          <w:szCs w:val="20"/>
          <w:lang w:eastAsia="fr-FR"/>
        </w:rPr>
        <w:t>which</w:t>
      </w:r>
      <w:r w:rsidR="00474485" w:rsidRPr="00327BB9">
        <w:rPr>
          <w:rFonts w:eastAsia="Times New Roman" w:cs="Times New Roman Bold"/>
          <w:szCs w:val="20"/>
          <w:lang w:eastAsia="fr-FR"/>
        </w:rPr>
        <w:t xml:space="preserve"> are supported by the range of institutional and environmental factors that other members of the team will be </w:t>
      </w:r>
      <w:r>
        <w:rPr>
          <w:rFonts w:eastAsia="Times New Roman" w:cs="Times New Roman Bold"/>
          <w:szCs w:val="20"/>
          <w:lang w:eastAsia="fr-FR"/>
        </w:rPr>
        <w:t xml:space="preserve">supporting. </w:t>
      </w:r>
      <w:r w:rsidR="002758D3">
        <w:rPr>
          <w:rFonts w:eastAsia="Times New Roman" w:cs="Times New Roman Bold"/>
          <w:szCs w:val="20"/>
          <w:lang w:eastAsia="fr-FR"/>
        </w:rPr>
        <w:t>Likewise, t</w:t>
      </w:r>
      <w:r w:rsidR="00474485" w:rsidRPr="00327BB9">
        <w:rPr>
          <w:rFonts w:eastAsia="Times New Roman" w:cs="Times New Roman Bold"/>
          <w:szCs w:val="20"/>
          <w:lang w:eastAsia="fr-FR"/>
        </w:rPr>
        <w:t>he learning and insights that emerge from work in communities on family protection in Component 3, will be essential input for designing and managing the capacity development of sector staff who interface with communities or support community based efforts, directly or indirectly.</w:t>
      </w:r>
      <w:bookmarkEnd w:id="27"/>
      <w:bookmarkEnd w:id="28"/>
      <w:r w:rsidR="00474485" w:rsidRPr="00327BB9">
        <w:rPr>
          <w:rFonts w:eastAsia="Times New Roman" w:cs="Times New Roman Bold"/>
          <w:szCs w:val="20"/>
          <w:lang w:eastAsia="fr-FR"/>
        </w:rPr>
        <w:t xml:space="preserve"> </w:t>
      </w:r>
    </w:p>
    <w:p w:rsidR="00474485" w:rsidRPr="00223FE3" w:rsidRDefault="00474485" w:rsidP="007D2BBC">
      <w:pPr>
        <w:pStyle w:val="ListParagraph"/>
        <w:numPr>
          <w:ilvl w:val="0"/>
          <w:numId w:val="36"/>
        </w:numPr>
        <w:spacing w:after="0"/>
        <w:jc w:val="both"/>
      </w:pPr>
      <w:r w:rsidRPr="00223FE3">
        <w:rPr>
          <w:lang w:eastAsia="fr-FR"/>
        </w:rPr>
        <w:t xml:space="preserve">There is a </w:t>
      </w:r>
      <w:r w:rsidRPr="00327BB9">
        <w:rPr>
          <w:b/>
          <w:lang w:eastAsia="fr-FR"/>
        </w:rPr>
        <w:t>scarcity of providers to address specialised learning and development needs in Port Vila.</w:t>
      </w:r>
      <w:r w:rsidRPr="00223FE3">
        <w:rPr>
          <w:lang w:eastAsia="fr-FR"/>
        </w:rPr>
        <w:t xml:space="preserve"> This can mean looking regionally or internationally, which has implications for project management, cost, sustainability and contextualisation.  </w:t>
      </w:r>
    </w:p>
    <w:p w:rsidR="00C60E25" w:rsidRDefault="00C60E25" w:rsidP="00C60E25">
      <w:pPr>
        <w:pStyle w:val="ListParagraph"/>
        <w:spacing w:after="0"/>
        <w:jc w:val="both"/>
        <w:rPr>
          <w:color w:val="FF0000"/>
        </w:rPr>
      </w:pPr>
    </w:p>
    <w:p w:rsidR="00F04BC8" w:rsidRDefault="00F04BC8" w:rsidP="00C60E25">
      <w:pPr>
        <w:pStyle w:val="ListParagraph"/>
        <w:spacing w:after="0"/>
        <w:jc w:val="both"/>
        <w:rPr>
          <w:color w:val="FF0000"/>
        </w:rPr>
      </w:pPr>
    </w:p>
    <w:p w:rsidR="00F04BC8" w:rsidRDefault="00F04BC8" w:rsidP="00C60E25">
      <w:pPr>
        <w:pStyle w:val="ListParagraph"/>
        <w:spacing w:after="0"/>
        <w:jc w:val="both"/>
        <w:rPr>
          <w:color w:val="FF0000"/>
        </w:rPr>
      </w:pPr>
      <w:r>
        <w:rPr>
          <w:rFonts w:ascii="Times New Roman" w:hAnsi="Times New Roman" w:cs="Times New Roman"/>
          <w:noProof/>
          <w:lang w:val="en-AU" w:eastAsia="en-AU"/>
        </w:rPr>
        <w:drawing>
          <wp:inline distT="0" distB="0" distL="0" distR="0" wp14:anchorId="58EE6ED7" wp14:editId="4E1F228B">
            <wp:extent cx="5286375" cy="4018915"/>
            <wp:effectExtent l="19050" t="19050" r="28575" b="19685"/>
            <wp:docPr id="2" name="Picture 2" descr="\\ausaid.local\PDrive\lemony\Desktop\150130 Opening ceremony of the Supreme Court Offices - Policing and Justice Support Program\DSC_8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aid.local\PDrive\lemony\Desktop\150130 Opening ceremony of the Supreme Court Offices - Policing and Justice Support Program\DSC_832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98191" cy="4027898"/>
                    </a:xfrm>
                    <a:prstGeom prst="rect">
                      <a:avLst/>
                    </a:prstGeom>
                    <a:noFill/>
                    <a:ln>
                      <a:solidFill>
                        <a:schemeClr val="tx1"/>
                      </a:solidFill>
                    </a:ln>
                  </pic:spPr>
                </pic:pic>
              </a:graphicData>
            </a:graphic>
          </wp:inline>
        </w:drawing>
      </w:r>
    </w:p>
    <w:p w:rsidR="00F04BC8" w:rsidRDefault="00F04BC8" w:rsidP="00C60E25">
      <w:pPr>
        <w:pStyle w:val="ListParagraph"/>
        <w:spacing w:after="0"/>
        <w:jc w:val="both"/>
        <w:rPr>
          <w:color w:val="FF0000"/>
        </w:rPr>
      </w:pPr>
    </w:p>
    <w:p w:rsidR="00F04BC8" w:rsidRPr="00F04BC8" w:rsidRDefault="00F04BC8" w:rsidP="00C60E25">
      <w:pPr>
        <w:pStyle w:val="ListParagraph"/>
        <w:spacing w:after="0"/>
        <w:jc w:val="both"/>
        <w:rPr>
          <w:i/>
        </w:rPr>
      </w:pPr>
      <w:r w:rsidRPr="00F04BC8">
        <w:rPr>
          <w:i/>
        </w:rPr>
        <w:t xml:space="preserve">Picture: The Australian High </w:t>
      </w:r>
      <w:proofErr w:type="spellStart"/>
      <w:r w:rsidRPr="00F04BC8">
        <w:rPr>
          <w:i/>
        </w:rPr>
        <w:t>Commissionner</w:t>
      </w:r>
      <w:proofErr w:type="spellEnd"/>
      <w:r w:rsidRPr="00F04BC8">
        <w:rPr>
          <w:i/>
        </w:rPr>
        <w:t xml:space="preserve">, HE Mr Jeremy </w:t>
      </w:r>
      <w:proofErr w:type="spellStart"/>
      <w:r w:rsidRPr="00F04BC8">
        <w:rPr>
          <w:i/>
        </w:rPr>
        <w:t>Bruer</w:t>
      </w:r>
      <w:proofErr w:type="spellEnd"/>
      <w:r w:rsidRPr="00F04BC8">
        <w:rPr>
          <w:i/>
        </w:rPr>
        <w:t xml:space="preserve"> and the Minister for Justice and Community Services, the Hon Alfred Carlot, cut the ribbon to officially open the newly renovated Supreme Court Registry.</w:t>
      </w:r>
    </w:p>
    <w:p w:rsidR="00F04BC8" w:rsidRDefault="00F04BC8" w:rsidP="00C60E25">
      <w:pPr>
        <w:pStyle w:val="ListParagraph"/>
        <w:spacing w:after="0"/>
        <w:jc w:val="both"/>
        <w:rPr>
          <w:color w:val="FF0000"/>
        </w:rPr>
      </w:pPr>
    </w:p>
    <w:p w:rsidR="00F04BC8" w:rsidRDefault="00F04BC8" w:rsidP="00C60E25">
      <w:pPr>
        <w:pStyle w:val="ListParagraph"/>
        <w:spacing w:after="0"/>
        <w:jc w:val="both"/>
        <w:rPr>
          <w:color w:val="FF0000"/>
        </w:rPr>
      </w:pPr>
    </w:p>
    <w:p w:rsidR="00F04BC8" w:rsidRDefault="00F04BC8" w:rsidP="00C60E25">
      <w:pPr>
        <w:pStyle w:val="ListParagraph"/>
        <w:spacing w:after="0"/>
        <w:jc w:val="both"/>
        <w:rPr>
          <w:color w:val="FF0000"/>
        </w:rPr>
      </w:pPr>
    </w:p>
    <w:p w:rsidR="00F04BC8" w:rsidRDefault="00F04BC8" w:rsidP="00C60E25">
      <w:pPr>
        <w:pStyle w:val="ListParagraph"/>
        <w:spacing w:after="0"/>
        <w:jc w:val="both"/>
        <w:rPr>
          <w:color w:val="FF0000"/>
        </w:rPr>
      </w:pPr>
    </w:p>
    <w:p w:rsidR="00F04BC8" w:rsidRDefault="00F04BC8" w:rsidP="00C60E25">
      <w:pPr>
        <w:pStyle w:val="ListParagraph"/>
        <w:spacing w:after="0"/>
        <w:jc w:val="both"/>
        <w:rPr>
          <w:color w:val="FF0000"/>
        </w:rPr>
      </w:pPr>
    </w:p>
    <w:p w:rsidR="00F04BC8" w:rsidRDefault="00F04BC8" w:rsidP="00F04BC8">
      <w:pPr>
        <w:pStyle w:val="ListParagraph"/>
        <w:spacing w:after="0"/>
        <w:ind w:left="284"/>
        <w:jc w:val="both"/>
        <w:rPr>
          <w:color w:val="FF0000"/>
        </w:rPr>
      </w:pPr>
    </w:p>
    <w:p w:rsidR="00F04BC8" w:rsidRDefault="00F04BC8" w:rsidP="00F04BC8">
      <w:pPr>
        <w:pStyle w:val="ListParagraph"/>
        <w:spacing w:after="0"/>
        <w:ind w:left="284"/>
        <w:jc w:val="both"/>
        <w:rPr>
          <w:color w:val="FF0000"/>
        </w:rPr>
      </w:pPr>
    </w:p>
    <w:p w:rsidR="00F04BC8" w:rsidRDefault="00F04BC8" w:rsidP="00F04BC8">
      <w:pPr>
        <w:pStyle w:val="ListParagraph"/>
        <w:spacing w:after="0"/>
        <w:ind w:left="284"/>
        <w:jc w:val="both"/>
        <w:rPr>
          <w:color w:val="FF0000"/>
        </w:rPr>
      </w:pPr>
    </w:p>
    <w:p w:rsidR="00F04BC8" w:rsidRDefault="00F04BC8" w:rsidP="00C60E25">
      <w:pPr>
        <w:pStyle w:val="ListParagraph"/>
        <w:spacing w:after="0"/>
        <w:jc w:val="both"/>
        <w:rPr>
          <w:color w:val="FF0000"/>
        </w:rPr>
        <w:sectPr w:rsidR="00F04BC8">
          <w:pgSz w:w="11906" w:h="16838"/>
          <w:pgMar w:top="1440" w:right="1440" w:bottom="1440" w:left="1440" w:header="708" w:footer="708" w:gutter="0"/>
          <w:cols w:space="708"/>
          <w:docGrid w:linePitch="360"/>
        </w:sectPr>
      </w:pPr>
    </w:p>
    <w:p w:rsidR="00D90BAA" w:rsidRDefault="007C2C77" w:rsidP="00DB3FBD">
      <w:pPr>
        <w:pStyle w:val="Heading2"/>
        <w:jc w:val="both"/>
      </w:pPr>
      <w:bookmarkStart w:id="29" w:name="_Toc411268952"/>
      <w:r>
        <w:lastRenderedPageBreak/>
        <w:t xml:space="preserve">Reach &amp; coverage of </w:t>
      </w:r>
      <w:r w:rsidR="00D90BAA">
        <w:t>outputs during Reporting Period</w:t>
      </w:r>
      <w:bookmarkEnd w:id="29"/>
    </w:p>
    <w:p w:rsidR="00ED793C" w:rsidRDefault="00C60E25" w:rsidP="00CE47EB">
      <w:pPr>
        <w:spacing w:after="0"/>
        <w:jc w:val="both"/>
      </w:pPr>
      <w:r>
        <w:t xml:space="preserve">The table below is </w:t>
      </w:r>
      <w:r w:rsidR="008F261C">
        <w:t>provides</w:t>
      </w:r>
      <w:r>
        <w:t xml:space="preserve"> </w:t>
      </w:r>
      <w:r w:rsidR="004F115A">
        <w:t>some</w:t>
      </w:r>
      <w:r w:rsidR="006300D1">
        <w:t xml:space="preserve"> (albeit approximate)</w:t>
      </w:r>
      <w:r w:rsidR="004F115A">
        <w:t xml:space="preserve"> indication of number, reach and </w:t>
      </w:r>
      <w:r>
        <w:t>coverage for key outputs</w:t>
      </w:r>
      <w:r>
        <w:rPr>
          <w:rStyle w:val="FootnoteReference"/>
        </w:rPr>
        <w:footnoteReference w:id="26"/>
      </w:r>
      <w:r>
        <w:t xml:space="preserve"> over the reporting period.</w:t>
      </w:r>
    </w:p>
    <w:tbl>
      <w:tblPr>
        <w:tblStyle w:val="TableGrid"/>
        <w:tblW w:w="0" w:type="auto"/>
        <w:tblLook w:val="04A0" w:firstRow="1" w:lastRow="0" w:firstColumn="1" w:lastColumn="0" w:noHBand="0" w:noVBand="1"/>
      </w:tblPr>
      <w:tblGrid>
        <w:gridCol w:w="1384"/>
        <w:gridCol w:w="3686"/>
        <w:gridCol w:w="4536"/>
        <w:gridCol w:w="4536"/>
      </w:tblGrid>
      <w:tr w:rsidR="004F115A" w:rsidRPr="00ED793C">
        <w:tc>
          <w:tcPr>
            <w:tcW w:w="1384" w:type="dxa"/>
            <w:shd w:val="clear" w:color="auto" w:fill="D6E3BC" w:themeFill="accent3" w:themeFillTint="66"/>
          </w:tcPr>
          <w:p w:rsidR="004F115A" w:rsidRPr="00ED793C" w:rsidRDefault="004F115A" w:rsidP="00DB3FBD">
            <w:pPr>
              <w:jc w:val="both"/>
              <w:rPr>
                <w:b/>
                <w:sz w:val="20"/>
                <w:szCs w:val="20"/>
                <w:lang w:val="en-AU"/>
              </w:rPr>
            </w:pPr>
          </w:p>
        </w:tc>
        <w:tc>
          <w:tcPr>
            <w:tcW w:w="3686" w:type="dxa"/>
            <w:shd w:val="clear" w:color="auto" w:fill="D6E3BC" w:themeFill="accent3" w:themeFillTint="66"/>
          </w:tcPr>
          <w:p w:rsidR="004F115A" w:rsidRPr="00ED793C" w:rsidRDefault="004F115A" w:rsidP="00C60E25">
            <w:pPr>
              <w:jc w:val="both"/>
              <w:rPr>
                <w:b/>
                <w:sz w:val="20"/>
                <w:szCs w:val="20"/>
                <w:lang w:val="en-AU"/>
              </w:rPr>
            </w:pPr>
            <w:r>
              <w:rPr>
                <w:b/>
                <w:sz w:val="20"/>
                <w:szCs w:val="20"/>
                <w:lang w:val="en-AU"/>
              </w:rPr>
              <w:t>Outputs</w:t>
            </w:r>
          </w:p>
        </w:tc>
        <w:tc>
          <w:tcPr>
            <w:tcW w:w="4536" w:type="dxa"/>
            <w:shd w:val="clear" w:color="auto" w:fill="D6E3BC" w:themeFill="accent3" w:themeFillTint="66"/>
          </w:tcPr>
          <w:p w:rsidR="004F115A" w:rsidRPr="00ED793C" w:rsidRDefault="004F115A" w:rsidP="00DB3FBD">
            <w:pPr>
              <w:jc w:val="both"/>
              <w:rPr>
                <w:b/>
                <w:sz w:val="20"/>
                <w:szCs w:val="20"/>
                <w:lang w:val="en-AU"/>
              </w:rPr>
            </w:pPr>
            <w:r w:rsidRPr="00ED793C">
              <w:rPr>
                <w:b/>
                <w:sz w:val="20"/>
                <w:szCs w:val="20"/>
                <w:lang w:val="en-AU"/>
              </w:rPr>
              <w:t>Number &amp; Reach</w:t>
            </w:r>
          </w:p>
        </w:tc>
        <w:tc>
          <w:tcPr>
            <w:tcW w:w="4536" w:type="dxa"/>
            <w:shd w:val="clear" w:color="auto" w:fill="D6E3BC" w:themeFill="accent3" w:themeFillTint="66"/>
          </w:tcPr>
          <w:p w:rsidR="004F115A" w:rsidRPr="00ED793C" w:rsidRDefault="004F115A" w:rsidP="00DB3FBD">
            <w:pPr>
              <w:jc w:val="both"/>
              <w:rPr>
                <w:b/>
                <w:sz w:val="20"/>
                <w:szCs w:val="20"/>
                <w:lang w:val="en-AU"/>
              </w:rPr>
            </w:pPr>
            <w:r w:rsidRPr="00ED793C">
              <w:rPr>
                <w:b/>
                <w:sz w:val="20"/>
                <w:szCs w:val="20"/>
                <w:lang w:val="en-AU"/>
              </w:rPr>
              <w:t>Coverage</w:t>
            </w:r>
          </w:p>
        </w:tc>
      </w:tr>
      <w:tr w:rsidR="004F115A" w:rsidRPr="00ED793C">
        <w:tc>
          <w:tcPr>
            <w:tcW w:w="1384" w:type="dxa"/>
            <w:vMerge w:val="restart"/>
            <w:shd w:val="clear" w:color="auto" w:fill="EAF1DD" w:themeFill="accent3" w:themeFillTint="33"/>
          </w:tcPr>
          <w:p w:rsidR="004F115A" w:rsidRPr="00ED793C" w:rsidRDefault="004F115A" w:rsidP="008F261C">
            <w:pPr>
              <w:spacing w:after="0"/>
              <w:jc w:val="both"/>
              <w:rPr>
                <w:b/>
                <w:sz w:val="20"/>
                <w:szCs w:val="20"/>
                <w:lang w:val="en-AU"/>
              </w:rPr>
            </w:pPr>
            <w:r w:rsidRPr="00ED793C">
              <w:rPr>
                <w:b/>
                <w:sz w:val="20"/>
                <w:szCs w:val="20"/>
                <w:lang w:val="en-AU"/>
              </w:rPr>
              <w:t>Component 1</w:t>
            </w:r>
          </w:p>
        </w:tc>
        <w:tc>
          <w:tcPr>
            <w:tcW w:w="3686" w:type="dxa"/>
          </w:tcPr>
          <w:p w:rsidR="004F115A" w:rsidRPr="00ED793C" w:rsidRDefault="004F115A" w:rsidP="008F261C">
            <w:pPr>
              <w:spacing w:after="0" w:line="240" w:lineRule="auto"/>
              <w:rPr>
                <w:sz w:val="20"/>
                <w:szCs w:val="20"/>
                <w:lang w:val="en-AU"/>
              </w:rPr>
            </w:pPr>
            <w:r>
              <w:rPr>
                <w:sz w:val="20"/>
                <w:szCs w:val="20"/>
                <w:lang w:val="en-AU"/>
              </w:rPr>
              <w:t>MJCS website &amp; newsletter</w:t>
            </w:r>
          </w:p>
        </w:tc>
        <w:tc>
          <w:tcPr>
            <w:tcW w:w="4536" w:type="dxa"/>
          </w:tcPr>
          <w:p w:rsidR="004F115A" w:rsidRDefault="00286A72" w:rsidP="00286A72">
            <w:pPr>
              <w:contextualSpacing/>
              <w:rPr>
                <w:sz w:val="20"/>
                <w:szCs w:val="20"/>
              </w:rPr>
            </w:pPr>
            <w:r w:rsidRPr="00286A72">
              <w:rPr>
                <w:sz w:val="20"/>
                <w:szCs w:val="20"/>
              </w:rPr>
              <w:t>Fourfold increase in traffic to web page between Aug</w:t>
            </w:r>
            <w:r>
              <w:rPr>
                <w:sz w:val="20"/>
                <w:szCs w:val="20"/>
              </w:rPr>
              <w:t>ust</w:t>
            </w:r>
            <w:r w:rsidRPr="00286A72">
              <w:rPr>
                <w:sz w:val="20"/>
                <w:szCs w:val="20"/>
              </w:rPr>
              <w:t xml:space="preserve"> and Dec</w:t>
            </w:r>
            <w:r>
              <w:rPr>
                <w:sz w:val="20"/>
                <w:szCs w:val="20"/>
              </w:rPr>
              <w:t>ember</w:t>
            </w:r>
            <w:r w:rsidRPr="00286A72">
              <w:rPr>
                <w:sz w:val="20"/>
                <w:szCs w:val="20"/>
              </w:rPr>
              <w:t xml:space="preserve"> 2014, peaking in Oct</w:t>
            </w:r>
            <w:r>
              <w:rPr>
                <w:sz w:val="20"/>
                <w:szCs w:val="20"/>
              </w:rPr>
              <w:t>ober</w:t>
            </w:r>
            <w:r w:rsidRPr="00286A72">
              <w:rPr>
                <w:sz w:val="20"/>
                <w:szCs w:val="20"/>
              </w:rPr>
              <w:t xml:space="preserve"> with 400 hits</w:t>
            </w:r>
            <w:r>
              <w:rPr>
                <w:sz w:val="20"/>
                <w:szCs w:val="20"/>
              </w:rPr>
              <w:t>.</w:t>
            </w:r>
          </w:p>
          <w:p w:rsidR="00286A72" w:rsidRPr="00286A72" w:rsidRDefault="00286A72" w:rsidP="00286A72">
            <w:pPr>
              <w:contextualSpacing/>
              <w:rPr>
                <w:sz w:val="20"/>
                <w:szCs w:val="20"/>
              </w:rPr>
            </w:pPr>
            <w:r>
              <w:rPr>
                <w:sz w:val="20"/>
                <w:szCs w:val="20"/>
              </w:rPr>
              <w:t xml:space="preserve">In </w:t>
            </w:r>
            <w:r w:rsidRPr="00286A72">
              <w:rPr>
                <w:sz w:val="20"/>
                <w:szCs w:val="20"/>
              </w:rPr>
              <w:t>August 2014</w:t>
            </w:r>
            <w:r>
              <w:rPr>
                <w:sz w:val="20"/>
                <w:szCs w:val="20"/>
              </w:rPr>
              <w:t>, the Newsletter had</w:t>
            </w:r>
            <w:r w:rsidRPr="00286A72">
              <w:rPr>
                <w:sz w:val="20"/>
                <w:szCs w:val="20"/>
              </w:rPr>
              <w:t xml:space="preserve"> 7 contributing agencies, </w:t>
            </w:r>
            <w:r>
              <w:rPr>
                <w:sz w:val="20"/>
                <w:szCs w:val="20"/>
              </w:rPr>
              <w:t xml:space="preserve">in </w:t>
            </w:r>
            <w:r w:rsidRPr="00286A72">
              <w:rPr>
                <w:sz w:val="20"/>
                <w:szCs w:val="20"/>
              </w:rPr>
              <w:t>Jan</w:t>
            </w:r>
            <w:r>
              <w:rPr>
                <w:sz w:val="20"/>
                <w:szCs w:val="20"/>
              </w:rPr>
              <w:t xml:space="preserve">uary </w:t>
            </w:r>
            <w:r w:rsidRPr="00286A72">
              <w:rPr>
                <w:sz w:val="20"/>
                <w:szCs w:val="20"/>
              </w:rPr>
              <w:t xml:space="preserve">2015 </w:t>
            </w:r>
            <w:r>
              <w:rPr>
                <w:sz w:val="20"/>
                <w:szCs w:val="20"/>
              </w:rPr>
              <w:t xml:space="preserve">there were </w:t>
            </w:r>
            <w:r w:rsidRPr="00286A72">
              <w:rPr>
                <w:sz w:val="20"/>
                <w:szCs w:val="20"/>
              </w:rPr>
              <w:t xml:space="preserve">15 </w:t>
            </w:r>
            <w:r>
              <w:rPr>
                <w:sz w:val="20"/>
                <w:szCs w:val="20"/>
              </w:rPr>
              <w:t xml:space="preserve">additional agencies </w:t>
            </w:r>
            <w:r w:rsidRPr="00286A72">
              <w:rPr>
                <w:sz w:val="20"/>
                <w:szCs w:val="20"/>
              </w:rPr>
              <w:t xml:space="preserve">contributing </w:t>
            </w:r>
            <w:r>
              <w:rPr>
                <w:sz w:val="20"/>
                <w:szCs w:val="20"/>
              </w:rPr>
              <w:t>to the newsletter,</w:t>
            </w:r>
            <w:r w:rsidRPr="00286A72">
              <w:rPr>
                <w:sz w:val="20"/>
                <w:szCs w:val="20"/>
              </w:rPr>
              <w:t xml:space="preserve"> totalling 22</w:t>
            </w:r>
            <w:r>
              <w:rPr>
                <w:sz w:val="20"/>
                <w:szCs w:val="20"/>
              </w:rPr>
              <w:t>.</w:t>
            </w:r>
          </w:p>
          <w:p w:rsidR="00286A72" w:rsidRPr="00ED793C" w:rsidRDefault="00286A72" w:rsidP="00286A72">
            <w:pPr>
              <w:contextualSpacing/>
              <w:rPr>
                <w:sz w:val="20"/>
                <w:szCs w:val="20"/>
                <w:lang w:val="en-AU"/>
              </w:rPr>
            </w:pPr>
            <w:r w:rsidRPr="00286A72">
              <w:rPr>
                <w:sz w:val="20"/>
                <w:szCs w:val="20"/>
              </w:rPr>
              <w:t xml:space="preserve">Approx. 150 recipients of newsletter </w:t>
            </w:r>
            <w:r>
              <w:rPr>
                <w:sz w:val="20"/>
                <w:szCs w:val="20"/>
              </w:rPr>
              <w:t>(</w:t>
            </w:r>
            <w:r w:rsidRPr="00286A72">
              <w:rPr>
                <w:sz w:val="20"/>
                <w:szCs w:val="20"/>
              </w:rPr>
              <w:t>representing 29 different agencies/organisations)</w:t>
            </w:r>
          </w:p>
        </w:tc>
        <w:tc>
          <w:tcPr>
            <w:tcW w:w="4536" w:type="dxa"/>
          </w:tcPr>
          <w:p w:rsidR="004F115A" w:rsidRDefault="004F115A" w:rsidP="008F261C">
            <w:pPr>
              <w:spacing w:after="0" w:line="240" w:lineRule="auto"/>
              <w:rPr>
                <w:sz w:val="20"/>
                <w:szCs w:val="20"/>
                <w:lang w:val="en-AU"/>
              </w:rPr>
            </w:pPr>
            <w:r>
              <w:rPr>
                <w:sz w:val="20"/>
                <w:szCs w:val="20"/>
                <w:lang w:val="en-AU"/>
              </w:rPr>
              <w:t>Public Sector employees across Vanuatu who have internet access</w:t>
            </w:r>
          </w:p>
          <w:p w:rsidR="004F115A" w:rsidRPr="00ED793C" w:rsidRDefault="004F115A" w:rsidP="008F261C">
            <w:pPr>
              <w:spacing w:after="0" w:line="240" w:lineRule="auto"/>
              <w:rPr>
                <w:sz w:val="20"/>
                <w:szCs w:val="20"/>
                <w:lang w:val="en-AU"/>
              </w:rPr>
            </w:pPr>
            <w:r>
              <w:rPr>
                <w:sz w:val="20"/>
                <w:szCs w:val="20"/>
                <w:lang w:val="en-AU"/>
              </w:rPr>
              <w:t>Sector NGOs with email access</w:t>
            </w:r>
          </w:p>
        </w:tc>
      </w:tr>
      <w:tr w:rsidR="004F115A" w:rsidRPr="00ED793C">
        <w:tc>
          <w:tcPr>
            <w:tcW w:w="1384" w:type="dxa"/>
            <w:vMerge/>
            <w:shd w:val="clear" w:color="auto" w:fill="EAF1DD" w:themeFill="accent3" w:themeFillTint="33"/>
          </w:tcPr>
          <w:p w:rsidR="004F115A" w:rsidRPr="00ED793C" w:rsidRDefault="004F115A" w:rsidP="008F261C">
            <w:pPr>
              <w:spacing w:after="0"/>
              <w:jc w:val="both"/>
              <w:rPr>
                <w:b/>
                <w:sz w:val="20"/>
                <w:szCs w:val="20"/>
                <w:lang w:val="en-AU"/>
              </w:rPr>
            </w:pPr>
          </w:p>
        </w:tc>
        <w:tc>
          <w:tcPr>
            <w:tcW w:w="3686" w:type="dxa"/>
          </w:tcPr>
          <w:p w:rsidR="004F115A" w:rsidRPr="00ED793C" w:rsidRDefault="004F115A" w:rsidP="008F261C">
            <w:pPr>
              <w:spacing w:after="0" w:line="240" w:lineRule="auto"/>
              <w:rPr>
                <w:sz w:val="20"/>
                <w:szCs w:val="20"/>
                <w:lang w:val="en-AU"/>
              </w:rPr>
            </w:pPr>
            <w:r>
              <w:rPr>
                <w:sz w:val="20"/>
                <w:szCs w:val="20"/>
                <w:lang w:val="en-AU"/>
              </w:rPr>
              <w:t>M&amp;E plan for sector &amp; M&amp;E Support</w:t>
            </w:r>
          </w:p>
        </w:tc>
        <w:tc>
          <w:tcPr>
            <w:tcW w:w="4536" w:type="dxa"/>
          </w:tcPr>
          <w:p w:rsidR="004F115A" w:rsidRPr="00ED793C" w:rsidRDefault="004F115A" w:rsidP="00286A72">
            <w:pPr>
              <w:spacing w:after="0" w:line="240" w:lineRule="auto"/>
              <w:rPr>
                <w:sz w:val="20"/>
                <w:szCs w:val="20"/>
                <w:lang w:val="en-AU"/>
              </w:rPr>
            </w:pPr>
            <w:r>
              <w:rPr>
                <w:sz w:val="20"/>
                <w:szCs w:val="20"/>
                <w:lang w:val="en-AU"/>
              </w:rPr>
              <w:t>1</w:t>
            </w:r>
            <w:r w:rsidR="00286A72">
              <w:rPr>
                <w:sz w:val="20"/>
                <w:szCs w:val="20"/>
                <w:lang w:val="en-AU"/>
              </w:rPr>
              <w:t xml:space="preserve">5 </w:t>
            </w:r>
            <w:r>
              <w:rPr>
                <w:sz w:val="20"/>
                <w:szCs w:val="20"/>
                <w:lang w:val="en-AU"/>
              </w:rPr>
              <w:t>Heads of Agency within formal sector</w:t>
            </w:r>
          </w:p>
        </w:tc>
        <w:tc>
          <w:tcPr>
            <w:tcW w:w="4536" w:type="dxa"/>
          </w:tcPr>
          <w:p w:rsidR="004F115A" w:rsidRPr="00ED793C" w:rsidRDefault="004F115A" w:rsidP="008F261C">
            <w:pPr>
              <w:spacing w:after="0" w:line="240" w:lineRule="auto"/>
              <w:rPr>
                <w:sz w:val="20"/>
                <w:szCs w:val="20"/>
                <w:lang w:val="en-AU"/>
              </w:rPr>
            </w:pPr>
            <w:r>
              <w:rPr>
                <w:sz w:val="20"/>
                <w:szCs w:val="20"/>
                <w:lang w:val="en-AU"/>
              </w:rPr>
              <w:t>Port Vila</w:t>
            </w:r>
          </w:p>
        </w:tc>
      </w:tr>
      <w:tr w:rsidR="004F115A" w:rsidRPr="00ED793C">
        <w:tc>
          <w:tcPr>
            <w:tcW w:w="1384" w:type="dxa"/>
            <w:vMerge/>
            <w:shd w:val="clear" w:color="auto" w:fill="EAF1DD" w:themeFill="accent3" w:themeFillTint="33"/>
          </w:tcPr>
          <w:p w:rsidR="004F115A" w:rsidRPr="00ED793C" w:rsidRDefault="004F115A" w:rsidP="008F261C">
            <w:pPr>
              <w:spacing w:after="0"/>
              <w:jc w:val="both"/>
              <w:rPr>
                <w:b/>
                <w:sz w:val="20"/>
                <w:szCs w:val="20"/>
                <w:lang w:val="en-AU"/>
              </w:rPr>
            </w:pPr>
          </w:p>
        </w:tc>
        <w:tc>
          <w:tcPr>
            <w:tcW w:w="3686" w:type="dxa"/>
          </w:tcPr>
          <w:p w:rsidR="004F115A" w:rsidRDefault="004F115A" w:rsidP="008F261C">
            <w:pPr>
              <w:spacing w:after="0" w:line="240" w:lineRule="auto"/>
              <w:rPr>
                <w:sz w:val="20"/>
                <w:szCs w:val="20"/>
                <w:lang w:val="en-AU"/>
              </w:rPr>
            </w:pPr>
            <w:r>
              <w:rPr>
                <w:sz w:val="20"/>
                <w:szCs w:val="20"/>
                <w:lang w:val="en-AU"/>
              </w:rPr>
              <w:t>Annual reporting</w:t>
            </w:r>
          </w:p>
        </w:tc>
        <w:tc>
          <w:tcPr>
            <w:tcW w:w="4536" w:type="dxa"/>
          </w:tcPr>
          <w:p w:rsidR="004F115A" w:rsidRPr="00ED793C" w:rsidRDefault="00286A72" w:rsidP="008F261C">
            <w:pPr>
              <w:spacing w:after="0" w:line="240" w:lineRule="auto"/>
              <w:rPr>
                <w:sz w:val="20"/>
                <w:szCs w:val="20"/>
                <w:lang w:val="en-AU"/>
              </w:rPr>
            </w:pPr>
            <w:r>
              <w:rPr>
                <w:sz w:val="20"/>
                <w:szCs w:val="20"/>
                <w:lang w:val="en-AU"/>
              </w:rPr>
              <w:t>15</w:t>
            </w:r>
            <w:r w:rsidR="004F115A">
              <w:rPr>
                <w:sz w:val="20"/>
                <w:szCs w:val="20"/>
                <w:lang w:val="en-AU"/>
              </w:rPr>
              <w:t xml:space="preserve"> Heads of Agency within formal sector</w:t>
            </w:r>
          </w:p>
        </w:tc>
        <w:tc>
          <w:tcPr>
            <w:tcW w:w="4536" w:type="dxa"/>
          </w:tcPr>
          <w:p w:rsidR="004F115A" w:rsidRPr="00ED793C" w:rsidRDefault="004F115A" w:rsidP="008F261C">
            <w:pPr>
              <w:spacing w:after="0" w:line="240" w:lineRule="auto"/>
              <w:rPr>
                <w:sz w:val="20"/>
                <w:szCs w:val="20"/>
                <w:lang w:val="en-AU"/>
              </w:rPr>
            </w:pPr>
            <w:r>
              <w:rPr>
                <w:sz w:val="20"/>
                <w:szCs w:val="20"/>
                <w:lang w:val="en-AU"/>
              </w:rPr>
              <w:t>Port Vila</w:t>
            </w:r>
          </w:p>
        </w:tc>
      </w:tr>
      <w:tr w:rsidR="004F115A" w:rsidRPr="00ED793C">
        <w:tc>
          <w:tcPr>
            <w:tcW w:w="1384" w:type="dxa"/>
            <w:vMerge/>
            <w:tcBorders>
              <w:bottom w:val="single" w:sz="4" w:space="0" w:color="auto"/>
            </w:tcBorders>
            <w:shd w:val="clear" w:color="auto" w:fill="EAF1DD" w:themeFill="accent3" w:themeFillTint="33"/>
          </w:tcPr>
          <w:p w:rsidR="004F115A" w:rsidRPr="00ED793C" w:rsidRDefault="004F115A" w:rsidP="008F261C">
            <w:pPr>
              <w:spacing w:after="0"/>
              <w:jc w:val="both"/>
              <w:rPr>
                <w:b/>
                <w:sz w:val="20"/>
                <w:szCs w:val="20"/>
                <w:lang w:val="en-AU"/>
              </w:rPr>
            </w:pPr>
          </w:p>
        </w:tc>
        <w:tc>
          <w:tcPr>
            <w:tcW w:w="3686" w:type="dxa"/>
            <w:tcBorders>
              <w:bottom w:val="single" w:sz="4" w:space="0" w:color="auto"/>
            </w:tcBorders>
          </w:tcPr>
          <w:p w:rsidR="004F115A" w:rsidRDefault="004F115A" w:rsidP="008F261C">
            <w:pPr>
              <w:spacing w:after="0" w:line="240" w:lineRule="auto"/>
              <w:rPr>
                <w:sz w:val="20"/>
                <w:szCs w:val="20"/>
                <w:lang w:val="en-AU"/>
              </w:rPr>
            </w:pPr>
            <w:r>
              <w:rPr>
                <w:sz w:val="20"/>
                <w:szCs w:val="20"/>
                <w:lang w:val="en-AU"/>
              </w:rPr>
              <w:t>Case &amp; Data Management support</w:t>
            </w:r>
          </w:p>
        </w:tc>
        <w:tc>
          <w:tcPr>
            <w:tcW w:w="4536" w:type="dxa"/>
            <w:tcBorders>
              <w:bottom w:val="single" w:sz="4" w:space="0" w:color="auto"/>
            </w:tcBorders>
          </w:tcPr>
          <w:p w:rsidR="004F115A" w:rsidRPr="00ED793C" w:rsidRDefault="004F115A" w:rsidP="008F261C">
            <w:pPr>
              <w:spacing w:after="0" w:line="240" w:lineRule="auto"/>
              <w:rPr>
                <w:sz w:val="20"/>
                <w:szCs w:val="20"/>
                <w:lang w:val="en-AU"/>
              </w:rPr>
            </w:pPr>
            <w:r>
              <w:rPr>
                <w:sz w:val="20"/>
                <w:szCs w:val="20"/>
                <w:lang w:val="en-AU"/>
              </w:rPr>
              <w:t>8 policing and justice sector agencies (heads of unit and those responsible for information)</w:t>
            </w:r>
          </w:p>
        </w:tc>
        <w:tc>
          <w:tcPr>
            <w:tcW w:w="4536" w:type="dxa"/>
            <w:tcBorders>
              <w:bottom w:val="single" w:sz="4" w:space="0" w:color="auto"/>
            </w:tcBorders>
          </w:tcPr>
          <w:p w:rsidR="004F115A" w:rsidRPr="00ED793C" w:rsidRDefault="004F115A" w:rsidP="008F261C">
            <w:pPr>
              <w:spacing w:after="0" w:line="240" w:lineRule="auto"/>
              <w:rPr>
                <w:sz w:val="20"/>
                <w:szCs w:val="20"/>
                <w:lang w:val="en-AU"/>
              </w:rPr>
            </w:pPr>
            <w:r>
              <w:rPr>
                <w:sz w:val="20"/>
                <w:szCs w:val="20"/>
                <w:lang w:val="en-AU"/>
              </w:rPr>
              <w:t>Port Vila and some provincial centres</w:t>
            </w:r>
            <w:r w:rsidR="00B22868">
              <w:rPr>
                <w:sz w:val="20"/>
                <w:szCs w:val="20"/>
                <w:lang w:val="en-AU"/>
              </w:rPr>
              <w:t xml:space="preserve"> (</w:t>
            </w:r>
            <w:proofErr w:type="spellStart"/>
            <w:r w:rsidR="00B22868">
              <w:rPr>
                <w:sz w:val="20"/>
                <w:szCs w:val="20"/>
                <w:lang w:val="en-AU"/>
              </w:rPr>
              <w:t>Tanna</w:t>
            </w:r>
            <w:proofErr w:type="spellEnd"/>
            <w:r w:rsidR="00B22868">
              <w:rPr>
                <w:sz w:val="20"/>
                <w:szCs w:val="20"/>
                <w:lang w:val="en-AU"/>
              </w:rPr>
              <w:t>, Santo, Malekula)</w:t>
            </w:r>
          </w:p>
        </w:tc>
      </w:tr>
      <w:tr w:rsidR="004F115A" w:rsidRPr="00ED793C">
        <w:tc>
          <w:tcPr>
            <w:tcW w:w="1384" w:type="dxa"/>
            <w:vMerge w:val="restart"/>
            <w:tcBorders>
              <w:top w:val="single" w:sz="4" w:space="0" w:color="auto"/>
            </w:tcBorders>
            <w:shd w:val="clear" w:color="auto" w:fill="EAF1DD" w:themeFill="accent3" w:themeFillTint="33"/>
          </w:tcPr>
          <w:p w:rsidR="004F115A" w:rsidRPr="00ED793C" w:rsidRDefault="004F115A" w:rsidP="008F261C">
            <w:pPr>
              <w:spacing w:after="0"/>
              <w:jc w:val="both"/>
              <w:rPr>
                <w:b/>
                <w:sz w:val="20"/>
                <w:szCs w:val="20"/>
                <w:lang w:val="en-AU"/>
              </w:rPr>
            </w:pPr>
            <w:r w:rsidRPr="00ED793C">
              <w:rPr>
                <w:b/>
                <w:sz w:val="20"/>
                <w:szCs w:val="20"/>
                <w:lang w:val="en-AU"/>
              </w:rPr>
              <w:t>Component 2</w:t>
            </w:r>
          </w:p>
        </w:tc>
        <w:tc>
          <w:tcPr>
            <w:tcW w:w="3686" w:type="dxa"/>
            <w:tcBorders>
              <w:top w:val="single" w:sz="4" w:space="0" w:color="auto"/>
            </w:tcBorders>
            <w:shd w:val="clear" w:color="auto" w:fill="EEECE1" w:themeFill="background2"/>
          </w:tcPr>
          <w:p w:rsidR="004F115A" w:rsidRPr="00ED793C" w:rsidRDefault="004F115A" w:rsidP="008F261C">
            <w:pPr>
              <w:spacing w:after="0" w:line="240" w:lineRule="auto"/>
              <w:rPr>
                <w:sz w:val="20"/>
                <w:szCs w:val="20"/>
                <w:lang w:val="en-AU"/>
              </w:rPr>
            </w:pPr>
            <w:r>
              <w:rPr>
                <w:sz w:val="20"/>
                <w:szCs w:val="20"/>
                <w:lang w:val="en-AU"/>
              </w:rPr>
              <w:t>MFEM Finance Training</w:t>
            </w:r>
          </w:p>
        </w:tc>
        <w:tc>
          <w:tcPr>
            <w:tcW w:w="4536" w:type="dxa"/>
            <w:tcBorders>
              <w:top w:val="single" w:sz="4" w:space="0" w:color="auto"/>
            </w:tcBorders>
            <w:shd w:val="clear" w:color="auto" w:fill="EEECE1" w:themeFill="background2"/>
          </w:tcPr>
          <w:p w:rsidR="004F115A" w:rsidRPr="00286A72" w:rsidRDefault="00F4618E" w:rsidP="008F261C">
            <w:pPr>
              <w:spacing w:after="0" w:line="240" w:lineRule="auto"/>
              <w:rPr>
                <w:sz w:val="20"/>
                <w:szCs w:val="20"/>
                <w:lang w:val="en-AU"/>
              </w:rPr>
            </w:pPr>
            <w:r w:rsidRPr="00286A72">
              <w:rPr>
                <w:sz w:val="20"/>
                <w:szCs w:val="20"/>
                <w:lang w:val="en-AU"/>
              </w:rPr>
              <w:t>15 Fin</w:t>
            </w:r>
            <w:r w:rsidR="00FC5678" w:rsidRPr="00286A72">
              <w:rPr>
                <w:sz w:val="20"/>
                <w:szCs w:val="20"/>
                <w:lang w:val="en-AU"/>
              </w:rPr>
              <w:t>ance Officers from 11 Agencies (4 female, 11 m</w:t>
            </w:r>
            <w:r w:rsidRPr="00286A72">
              <w:rPr>
                <w:sz w:val="20"/>
                <w:szCs w:val="20"/>
                <w:lang w:val="en-AU"/>
              </w:rPr>
              <w:t>ale</w:t>
            </w:r>
            <w:r w:rsidR="00FC5678" w:rsidRPr="00286A72">
              <w:rPr>
                <w:sz w:val="20"/>
                <w:szCs w:val="20"/>
                <w:lang w:val="en-AU"/>
              </w:rPr>
              <w:t>)</w:t>
            </w:r>
          </w:p>
        </w:tc>
        <w:tc>
          <w:tcPr>
            <w:tcW w:w="4536" w:type="dxa"/>
            <w:tcBorders>
              <w:top w:val="single" w:sz="4" w:space="0" w:color="auto"/>
            </w:tcBorders>
            <w:shd w:val="clear" w:color="auto" w:fill="EEECE1" w:themeFill="background2"/>
          </w:tcPr>
          <w:p w:rsidR="004F115A" w:rsidRPr="00ED793C" w:rsidRDefault="004F115A" w:rsidP="008F261C">
            <w:pPr>
              <w:spacing w:after="0" w:line="240" w:lineRule="auto"/>
              <w:rPr>
                <w:sz w:val="20"/>
                <w:szCs w:val="20"/>
                <w:lang w:val="en-AU"/>
              </w:rPr>
            </w:pPr>
            <w:r>
              <w:rPr>
                <w:sz w:val="20"/>
                <w:szCs w:val="20"/>
                <w:lang w:val="en-AU"/>
              </w:rPr>
              <w:t>Port Vila</w:t>
            </w:r>
          </w:p>
        </w:tc>
      </w:tr>
      <w:tr w:rsidR="004F115A" w:rsidRPr="00ED793C">
        <w:tc>
          <w:tcPr>
            <w:tcW w:w="1384" w:type="dxa"/>
            <w:vMerge/>
            <w:shd w:val="clear" w:color="auto" w:fill="EAF1DD" w:themeFill="accent3" w:themeFillTint="33"/>
          </w:tcPr>
          <w:p w:rsidR="004F115A" w:rsidRPr="00ED793C" w:rsidRDefault="004F115A" w:rsidP="008F261C">
            <w:pPr>
              <w:spacing w:after="0"/>
              <w:jc w:val="both"/>
              <w:rPr>
                <w:b/>
                <w:sz w:val="20"/>
                <w:szCs w:val="20"/>
                <w:lang w:val="en-AU"/>
              </w:rPr>
            </w:pPr>
          </w:p>
        </w:tc>
        <w:tc>
          <w:tcPr>
            <w:tcW w:w="3686" w:type="dxa"/>
            <w:shd w:val="clear" w:color="auto" w:fill="EEECE1" w:themeFill="background2"/>
          </w:tcPr>
          <w:p w:rsidR="004F115A" w:rsidRPr="00ED793C" w:rsidRDefault="004F115A" w:rsidP="008F261C">
            <w:pPr>
              <w:spacing w:after="0" w:line="240" w:lineRule="auto"/>
              <w:rPr>
                <w:sz w:val="20"/>
                <w:szCs w:val="20"/>
                <w:lang w:val="en-AU"/>
              </w:rPr>
            </w:pPr>
            <w:r>
              <w:rPr>
                <w:sz w:val="20"/>
                <w:szCs w:val="20"/>
                <w:lang w:val="en-AU"/>
              </w:rPr>
              <w:t>HRM Fundamentals Course</w:t>
            </w:r>
          </w:p>
        </w:tc>
        <w:tc>
          <w:tcPr>
            <w:tcW w:w="4536" w:type="dxa"/>
            <w:shd w:val="clear" w:color="auto" w:fill="EEECE1" w:themeFill="background2"/>
          </w:tcPr>
          <w:p w:rsidR="004F115A" w:rsidRPr="00286A72" w:rsidRDefault="00F4618E" w:rsidP="008F261C">
            <w:pPr>
              <w:spacing w:after="0" w:line="240" w:lineRule="auto"/>
              <w:rPr>
                <w:sz w:val="20"/>
                <w:szCs w:val="20"/>
                <w:lang w:val="en-AU"/>
              </w:rPr>
            </w:pPr>
            <w:r w:rsidRPr="00286A72">
              <w:rPr>
                <w:sz w:val="20"/>
                <w:szCs w:val="20"/>
                <w:lang w:val="en-AU"/>
              </w:rPr>
              <w:t>26 pu</w:t>
            </w:r>
            <w:r w:rsidR="00FC5678" w:rsidRPr="00286A72">
              <w:rPr>
                <w:sz w:val="20"/>
                <w:szCs w:val="20"/>
                <w:lang w:val="en-AU"/>
              </w:rPr>
              <w:t>blic servants from 10 Agencies (</w:t>
            </w:r>
            <w:r w:rsidRPr="00286A72">
              <w:rPr>
                <w:sz w:val="20"/>
                <w:szCs w:val="20"/>
                <w:lang w:val="en-AU"/>
              </w:rPr>
              <w:t xml:space="preserve">14 female, </w:t>
            </w:r>
            <w:r w:rsidR="00FC5678" w:rsidRPr="00286A72">
              <w:rPr>
                <w:sz w:val="20"/>
                <w:szCs w:val="20"/>
                <w:lang w:val="en-AU"/>
              </w:rPr>
              <w:t>12 m</w:t>
            </w:r>
            <w:r w:rsidRPr="00286A72">
              <w:rPr>
                <w:sz w:val="20"/>
                <w:szCs w:val="20"/>
                <w:lang w:val="en-AU"/>
              </w:rPr>
              <w:t>ale</w:t>
            </w:r>
            <w:r w:rsidR="00FC5678" w:rsidRPr="00286A72">
              <w:rPr>
                <w:sz w:val="20"/>
                <w:szCs w:val="20"/>
                <w:lang w:val="en-AU"/>
              </w:rPr>
              <w:t>)</w:t>
            </w:r>
          </w:p>
        </w:tc>
        <w:tc>
          <w:tcPr>
            <w:tcW w:w="4536" w:type="dxa"/>
            <w:shd w:val="clear" w:color="auto" w:fill="EEECE1" w:themeFill="background2"/>
          </w:tcPr>
          <w:p w:rsidR="004F115A" w:rsidRPr="00ED793C" w:rsidRDefault="004F115A" w:rsidP="008F261C">
            <w:pPr>
              <w:spacing w:after="0" w:line="240" w:lineRule="auto"/>
              <w:rPr>
                <w:sz w:val="20"/>
                <w:szCs w:val="20"/>
                <w:lang w:val="en-AU"/>
              </w:rPr>
            </w:pPr>
            <w:r>
              <w:rPr>
                <w:sz w:val="20"/>
                <w:szCs w:val="20"/>
                <w:lang w:val="en-AU"/>
              </w:rPr>
              <w:t>Port Vila</w:t>
            </w:r>
          </w:p>
        </w:tc>
      </w:tr>
      <w:tr w:rsidR="004F115A" w:rsidRPr="00ED793C">
        <w:tc>
          <w:tcPr>
            <w:tcW w:w="1384" w:type="dxa"/>
            <w:vMerge/>
            <w:shd w:val="clear" w:color="auto" w:fill="EAF1DD" w:themeFill="accent3" w:themeFillTint="33"/>
          </w:tcPr>
          <w:p w:rsidR="004F115A" w:rsidRPr="00ED793C" w:rsidRDefault="004F115A" w:rsidP="008F261C">
            <w:pPr>
              <w:spacing w:after="0"/>
              <w:jc w:val="both"/>
              <w:rPr>
                <w:b/>
                <w:sz w:val="20"/>
                <w:szCs w:val="20"/>
                <w:lang w:val="en-AU"/>
              </w:rPr>
            </w:pPr>
          </w:p>
        </w:tc>
        <w:tc>
          <w:tcPr>
            <w:tcW w:w="3686" w:type="dxa"/>
            <w:shd w:val="clear" w:color="auto" w:fill="EEECE1" w:themeFill="background2"/>
          </w:tcPr>
          <w:p w:rsidR="004F115A" w:rsidRPr="00ED793C" w:rsidRDefault="004F115A" w:rsidP="008F261C">
            <w:pPr>
              <w:spacing w:after="0" w:line="240" w:lineRule="auto"/>
              <w:rPr>
                <w:sz w:val="20"/>
                <w:szCs w:val="20"/>
                <w:lang w:val="en-AU"/>
              </w:rPr>
            </w:pPr>
            <w:r>
              <w:rPr>
                <w:sz w:val="20"/>
                <w:szCs w:val="20"/>
                <w:lang w:val="en-AU"/>
              </w:rPr>
              <w:t>Legal Advocacy Skills Training</w:t>
            </w:r>
          </w:p>
        </w:tc>
        <w:tc>
          <w:tcPr>
            <w:tcW w:w="4536" w:type="dxa"/>
            <w:shd w:val="clear" w:color="auto" w:fill="EEECE1" w:themeFill="background2"/>
          </w:tcPr>
          <w:p w:rsidR="004F115A" w:rsidRPr="00286A72" w:rsidRDefault="00F4618E" w:rsidP="008F261C">
            <w:pPr>
              <w:spacing w:after="0" w:line="240" w:lineRule="auto"/>
              <w:rPr>
                <w:sz w:val="20"/>
                <w:szCs w:val="20"/>
                <w:lang w:val="en-AU"/>
              </w:rPr>
            </w:pPr>
            <w:r w:rsidRPr="00286A72">
              <w:rPr>
                <w:sz w:val="20"/>
                <w:szCs w:val="20"/>
                <w:lang w:val="en-AU"/>
              </w:rPr>
              <w:t>Intermediate cour</w:t>
            </w:r>
            <w:r w:rsidR="00FC5678" w:rsidRPr="00286A72">
              <w:rPr>
                <w:sz w:val="20"/>
                <w:szCs w:val="20"/>
                <w:lang w:val="en-AU"/>
              </w:rPr>
              <w:t>se: 25 lawyers and prosecutors (</w:t>
            </w:r>
            <w:r w:rsidRPr="00286A72">
              <w:rPr>
                <w:sz w:val="20"/>
                <w:szCs w:val="20"/>
                <w:lang w:val="en-AU"/>
              </w:rPr>
              <w:t>4 female, 21 male</w:t>
            </w:r>
            <w:r w:rsidR="00FC5678" w:rsidRPr="00286A72">
              <w:rPr>
                <w:sz w:val="20"/>
                <w:szCs w:val="20"/>
                <w:lang w:val="en-AU"/>
              </w:rPr>
              <w:t>)</w:t>
            </w:r>
          </w:p>
          <w:p w:rsidR="00F4618E" w:rsidRPr="00286A72" w:rsidRDefault="00F4618E" w:rsidP="008F261C">
            <w:pPr>
              <w:spacing w:after="0" w:line="240" w:lineRule="auto"/>
              <w:rPr>
                <w:sz w:val="20"/>
                <w:szCs w:val="20"/>
                <w:lang w:val="en-AU"/>
              </w:rPr>
            </w:pPr>
            <w:r w:rsidRPr="00286A72">
              <w:rPr>
                <w:sz w:val="20"/>
                <w:szCs w:val="20"/>
                <w:lang w:val="en-AU"/>
              </w:rPr>
              <w:t>Advanced cour</w:t>
            </w:r>
            <w:r w:rsidR="00FC5678" w:rsidRPr="00286A72">
              <w:rPr>
                <w:sz w:val="20"/>
                <w:szCs w:val="20"/>
                <w:lang w:val="en-AU"/>
              </w:rPr>
              <w:t>se: 17 lawyers and prosecutors (</w:t>
            </w:r>
            <w:r w:rsidRPr="00286A72">
              <w:rPr>
                <w:sz w:val="20"/>
                <w:szCs w:val="20"/>
                <w:lang w:val="en-AU"/>
              </w:rPr>
              <w:t>3 female, 14 male</w:t>
            </w:r>
            <w:r w:rsidR="00FC5678" w:rsidRPr="00286A72">
              <w:rPr>
                <w:sz w:val="20"/>
                <w:szCs w:val="20"/>
                <w:lang w:val="en-AU"/>
              </w:rPr>
              <w:t>)</w:t>
            </w:r>
          </w:p>
        </w:tc>
        <w:tc>
          <w:tcPr>
            <w:tcW w:w="4536" w:type="dxa"/>
            <w:shd w:val="clear" w:color="auto" w:fill="EEECE1" w:themeFill="background2"/>
          </w:tcPr>
          <w:p w:rsidR="004F115A" w:rsidRPr="00ED793C" w:rsidRDefault="004F115A" w:rsidP="001B1423">
            <w:pPr>
              <w:spacing w:after="0" w:line="240" w:lineRule="auto"/>
              <w:rPr>
                <w:sz w:val="20"/>
                <w:szCs w:val="20"/>
                <w:lang w:val="en-AU"/>
              </w:rPr>
            </w:pPr>
            <w:r>
              <w:rPr>
                <w:sz w:val="20"/>
                <w:szCs w:val="20"/>
                <w:lang w:val="en-AU"/>
              </w:rPr>
              <w:t xml:space="preserve">Port Vila </w:t>
            </w:r>
            <w:r w:rsidR="00F4618E">
              <w:rPr>
                <w:sz w:val="20"/>
                <w:szCs w:val="20"/>
                <w:lang w:val="en-AU"/>
              </w:rPr>
              <w:t xml:space="preserve">and </w:t>
            </w:r>
            <w:proofErr w:type="spellStart"/>
            <w:r w:rsidR="001B1423">
              <w:rPr>
                <w:sz w:val="20"/>
                <w:szCs w:val="20"/>
                <w:lang w:val="en-AU"/>
              </w:rPr>
              <w:t>Sanma</w:t>
            </w:r>
            <w:proofErr w:type="spellEnd"/>
            <w:r w:rsidR="001B1423">
              <w:rPr>
                <w:sz w:val="20"/>
                <w:szCs w:val="20"/>
                <w:lang w:val="en-AU"/>
              </w:rPr>
              <w:t xml:space="preserve">, </w:t>
            </w:r>
            <w:proofErr w:type="spellStart"/>
            <w:r w:rsidR="001B1423">
              <w:rPr>
                <w:sz w:val="20"/>
                <w:szCs w:val="20"/>
                <w:lang w:val="en-AU"/>
              </w:rPr>
              <w:t>Penama</w:t>
            </w:r>
            <w:proofErr w:type="spellEnd"/>
            <w:r w:rsidR="001B1423">
              <w:rPr>
                <w:sz w:val="20"/>
                <w:szCs w:val="20"/>
                <w:lang w:val="en-AU"/>
              </w:rPr>
              <w:t xml:space="preserve"> and Malampa</w:t>
            </w:r>
          </w:p>
        </w:tc>
      </w:tr>
      <w:tr w:rsidR="004F115A" w:rsidRPr="00ED793C">
        <w:tc>
          <w:tcPr>
            <w:tcW w:w="1384" w:type="dxa"/>
            <w:vMerge/>
            <w:shd w:val="clear" w:color="auto" w:fill="EAF1DD" w:themeFill="accent3" w:themeFillTint="33"/>
          </w:tcPr>
          <w:p w:rsidR="004F115A" w:rsidRPr="00ED793C" w:rsidRDefault="004F115A" w:rsidP="008F261C">
            <w:pPr>
              <w:spacing w:after="0"/>
              <w:jc w:val="both"/>
              <w:rPr>
                <w:b/>
                <w:sz w:val="20"/>
                <w:szCs w:val="20"/>
                <w:lang w:val="en-AU"/>
              </w:rPr>
            </w:pPr>
          </w:p>
        </w:tc>
        <w:tc>
          <w:tcPr>
            <w:tcW w:w="3686" w:type="dxa"/>
            <w:shd w:val="clear" w:color="auto" w:fill="EEECE1" w:themeFill="background2"/>
          </w:tcPr>
          <w:p w:rsidR="004F115A" w:rsidRPr="00ED793C" w:rsidRDefault="004F115A" w:rsidP="008F261C">
            <w:pPr>
              <w:spacing w:after="0" w:line="240" w:lineRule="auto"/>
              <w:rPr>
                <w:sz w:val="20"/>
                <w:szCs w:val="20"/>
                <w:lang w:val="en-AU"/>
              </w:rPr>
            </w:pPr>
            <w:r>
              <w:rPr>
                <w:sz w:val="20"/>
                <w:szCs w:val="20"/>
                <w:lang w:val="en-AU"/>
              </w:rPr>
              <w:t>SPD systems improvements</w:t>
            </w:r>
          </w:p>
        </w:tc>
        <w:tc>
          <w:tcPr>
            <w:tcW w:w="4536" w:type="dxa"/>
            <w:shd w:val="clear" w:color="auto" w:fill="EEECE1" w:themeFill="background2"/>
          </w:tcPr>
          <w:p w:rsidR="004F115A" w:rsidRPr="00ED793C" w:rsidRDefault="00B22868" w:rsidP="008F261C">
            <w:pPr>
              <w:spacing w:after="0" w:line="240" w:lineRule="auto"/>
              <w:rPr>
                <w:sz w:val="20"/>
                <w:szCs w:val="20"/>
                <w:lang w:val="en-AU"/>
              </w:rPr>
            </w:pPr>
            <w:r>
              <w:rPr>
                <w:sz w:val="20"/>
                <w:szCs w:val="20"/>
                <w:lang w:val="en-AU"/>
              </w:rPr>
              <w:t>10</w:t>
            </w:r>
            <w:r w:rsidR="004F115A">
              <w:rPr>
                <w:sz w:val="20"/>
                <w:szCs w:val="20"/>
                <w:lang w:val="en-AU"/>
              </w:rPr>
              <w:t xml:space="preserve"> public sector lawyers and prosecutors</w:t>
            </w:r>
          </w:p>
        </w:tc>
        <w:tc>
          <w:tcPr>
            <w:tcW w:w="4536" w:type="dxa"/>
            <w:shd w:val="clear" w:color="auto" w:fill="EEECE1" w:themeFill="background2"/>
          </w:tcPr>
          <w:p w:rsidR="004F115A" w:rsidRPr="00ED793C" w:rsidRDefault="004F115A" w:rsidP="001B1423">
            <w:pPr>
              <w:spacing w:after="0" w:line="240" w:lineRule="auto"/>
              <w:rPr>
                <w:sz w:val="20"/>
                <w:szCs w:val="20"/>
                <w:lang w:val="en-AU"/>
              </w:rPr>
            </w:pPr>
            <w:r>
              <w:rPr>
                <w:sz w:val="20"/>
                <w:szCs w:val="20"/>
                <w:lang w:val="en-AU"/>
              </w:rPr>
              <w:t xml:space="preserve">Port Vila and </w:t>
            </w:r>
            <w:proofErr w:type="spellStart"/>
            <w:r w:rsidR="001B1423">
              <w:rPr>
                <w:sz w:val="20"/>
                <w:szCs w:val="20"/>
                <w:lang w:val="en-AU"/>
              </w:rPr>
              <w:t>Sanma</w:t>
            </w:r>
            <w:proofErr w:type="spellEnd"/>
          </w:p>
        </w:tc>
      </w:tr>
      <w:tr w:rsidR="004F115A" w:rsidRPr="00ED793C">
        <w:tc>
          <w:tcPr>
            <w:tcW w:w="1384" w:type="dxa"/>
            <w:vMerge/>
            <w:shd w:val="clear" w:color="auto" w:fill="EAF1DD" w:themeFill="accent3" w:themeFillTint="33"/>
          </w:tcPr>
          <w:p w:rsidR="004F115A" w:rsidRPr="00ED793C" w:rsidRDefault="004F115A" w:rsidP="008F261C">
            <w:pPr>
              <w:spacing w:after="0"/>
              <w:jc w:val="both"/>
              <w:rPr>
                <w:b/>
                <w:sz w:val="20"/>
                <w:szCs w:val="20"/>
                <w:lang w:val="en-AU"/>
              </w:rPr>
            </w:pPr>
          </w:p>
        </w:tc>
        <w:tc>
          <w:tcPr>
            <w:tcW w:w="3686" w:type="dxa"/>
            <w:shd w:val="clear" w:color="auto" w:fill="EEECE1" w:themeFill="background2"/>
          </w:tcPr>
          <w:p w:rsidR="004F115A" w:rsidRDefault="004F115A" w:rsidP="008F261C">
            <w:pPr>
              <w:spacing w:after="0" w:line="240" w:lineRule="auto"/>
              <w:rPr>
                <w:sz w:val="20"/>
                <w:szCs w:val="20"/>
                <w:lang w:val="en-AU"/>
              </w:rPr>
            </w:pPr>
            <w:r>
              <w:rPr>
                <w:sz w:val="20"/>
                <w:szCs w:val="20"/>
                <w:lang w:val="en-AU"/>
              </w:rPr>
              <w:t>Investigations systems improvements</w:t>
            </w:r>
          </w:p>
        </w:tc>
        <w:tc>
          <w:tcPr>
            <w:tcW w:w="4536" w:type="dxa"/>
            <w:shd w:val="clear" w:color="auto" w:fill="EEECE1" w:themeFill="background2"/>
          </w:tcPr>
          <w:p w:rsidR="00B22868" w:rsidRPr="00ED793C" w:rsidRDefault="00B22868" w:rsidP="008F261C">
            <w:pPr>
              <w:spacing w:after="0" w:line="240" w:lineRule="auto"/>
              <w:rPr>
                <w:sz w:val="20"/>
                <w:szCs w:val="20"/>
                <w:lang w:val="en-AU"/>
              </w:rPr>
            </w:pPr>
            <w:r>
              <w:rPr>
                <w:sz w:val="20"/>
                <w:szCs w:val="20"/>
                <w:lang w:val="en-AU"/>
              </w:rPr>
              <w:t>10 SPD prosecutors (2 female)</w:t>
            </w:r>
          </w:p>
        </w:tc>
        <w:tc>
          <w:tcPr>
            <w:tcW w:w="4536" w:type="dxa"/>
            <w:shd w:val="clear" w:color="auto" w:fill="EEECE1" w:themeFill="background2"/>
          </w:tcPr>
          <w:p w:rsidR="004F115A" w:rsidRPr="00ED793C" w:rsidRDefault="004F115A" w:rsidP="008F261C">
            <w:pPr>
              <w:spacing w:after="0" w:line="240" w:lineRule="auto"/>
              <w:rPr>
                <w:sz w:val="20"/>
                <w:szCs w:val="20"/>
                <w:lang w:val="en-AU"/>
              </w:rPr>
            </w:pPr>
            <w:r>
              <w:rPr>
                <w:sz w:val="20"/>
                <w:szCs w:val="20"/>
                <w:lang w:val="en-AU"/>
              </w:rPr>
              <w:t>Port Vila</w:t>
            </w:r>
          </w:p>
        </w:tc>
      </w:tr>
      <w:tr w:rsidR="004F115A" w:rsidRPr="00ED793C">
        <w:tc>
          <w:tcPr>
            <w:tcW w:w="1384" w:type="dxa"/>
            <w:vMerge/>
            <w:shd w:val="clear" w:color="auto" w:fill="EAF1DD" w:themeFill="accent3" w:themeFillTint="33"/>
          </w:tcPr>
          <w:p w:rsidR="004F115A" w:rsidRPr="00ED793C" w:rsidRDefault="004F115A" w:rsidP="008F261C">
            <w:pPr>
              <w:spacing w:after="0"/>
              <w:jc w:val="both"/>
              <w:rPr>
                <w:b/>
                <w:sz w:val="20"/>
                <w:szCs w:val="20"/>
                <w:lang w:val="en-AU"/>
              </w:rPr>
            </w:pPr>
          </w:p>
        </w:tc>
        <w:tc>
          <w:tcPr>
            <w:tcW w:w="3686" w:type="dxa"/>
            <w:shd w:val="clear" w:color="auto" w:fill="EEECE1" w:themeFill="background2"/>
          </w:tcPr>
          <w:p w:rsidR="004F115A" w:rsidRDefault="004F115A" w:rsidP="008F261C">
            <w:pPr>
              <w:spacing w:after="0" w:line="240" w:lineRule="auto"/>
              <w:rPr>
                <w:sz w:val="20"/>
                <w:szCs w:val="20"/>
                <w:lang w:val="en-AU"/>
              </w:rPr>
            </w:pPr>
            <w:r>
              <w:rPr>
                <w:sz w:val="20"/>
                <w:szCs w:val="20"/>
                <w:lang w:val="en-AU"/>
              </w:rPr>
              <w:t>SPD CLE</w:t>
            </w:r>
          </w:p>
        </w:tc>
        <w:tc>
          <w:tcPr>
            <w:tcW w:w="4536" w:type="dxa"/>
            <w:shd w:val="clear" w:color="auto" w:fill="EEECE1" w:themeFill="background2"/>
          </w:tcPr>
          <w:p w:rsidR="004F115A" w:rsidRDefault="009114E9" w:rsidP="008F261C">
            <w:pPr>
              <w:spacing w:after="0" w:line="240" w:lineRule="auto"/>
              <w:rPr>
                <w:sz w:val="20"/>
                <w:szCs w:val="20"/>
                <w:lang w:val="en-AU"/>
              </w:rPr>
            </w:pPr>
            <w:r>
              <w:rPr>
                <w:sz w:val="20"/>
                <w:szCs w:val="20"/>
                <w:lang w:val="en-AU"/>
              </w:rPr>
              <w:t xml:space="preserve">10 </w:t>
            </w:r>
            <w:r w:rsidR="00B22868">
              <w:rPr>
                <w:sz w:val="20"/>
                <w:szCs w:val="20"/>
                <w:lang w:val="en-AU"/>
              </w:rPr>
              <w:t>SPD prosecutors</w:t>
            </w:r>
            <w:r>
              <w:rPr>
                <w:sz w:val="20"/>
                <w:szCs w:val="20"/>
                <w:lang w:val="en-AU"/>
              </w:rPr>
              <w:t xml:space="preserve"> (2 female, 8 male)</w:t>
            </w:r>
          </w:p>
          <w:p w:rsidR="009114E9" w:rsidRDefault="009114E9" w:rsidP="008F261C">
            <w:pPr>
              <w:spacing w:after="0" w:line="240" w:lineRule="auto"/>
              <w:rPr>
                <w:sz w:val="20"/>
                <w:szCs w:val="20"/>
                <w:lang w:val="en-AU"/>
              </w:rPr>
            </w:pPr>
            <w:r>
              <w:rPr>
                <w:sz w:val="20"/>
                <w:szCs w:val="20"/>
                <w:lang w:val="en-AU"/>
              </w:rPr>
              <w:t>4 PSU, VPF staff</w:t>
            </w:r>
            <w:r w:rsidR="00B22868">
              <w:rPr>
                <w:sz w:val="20"/>
                <w:szCs w:val="20"/>
                <w:lang w:val="en-AU"/>
              </w:rPr>
              <w:t xml:space="preserve"> (all male)</w:t>
            </w:r>
          </w:p>
          <w:p w:rsidR="009114E9" w:rsidRPr="00ED793C" w:rsidRDefault="009114E9" w:rsidP="00B22868">
            <w:pPr>
              <w:spacing w:after="0" w:line="240" w:lineRule="auto"/>
              <w:rPr>
                <w:sz w:val="20"/>
                <w:szCs w:val="20"/>
                <w:lang w:val="en-AU"/>
              </w:rPr>
            </w:pPr>
            <w:r>
              <w:rPr>
                <w:sz w:val="20"/>
                <w:szCs w:val="20"/>
                <w:lang w:val="en-AU"/>
              </w:rPr>
              <w:t>30 VPF recruits</w:t>
            </w:r>
            <w:r w:rsidR="00B22868">
              <w:rPr>
                <w:sz w:val="20"/>
                <w:szCs w:val="20"/>
                <w:lang w:val="en-AU"/>
              </w:rPr>
              <w:t xml:space="preserve"> (gender disagg</w:t>
            </w:r>
            <w:r w:rsidR="00A6372C">
              <w:rPr>
                <w:sz w:val="20"/>
                <w:szCs w:val="20"/>
                <w:lang w:val="en-AU"/>
              </w:rPr>
              <w:t>regated figures</w:t>
            </w:r>
            <w:r w:rsidR="00B22868">
              <w:rPr>
                <w:sz w:val="20"/>
                <w:szCs w:val="20"/>
                <w:lang w:val="en-AU"/>
              </w:rPr>
              <w:t xml:space="preserve"> unknown)</w:t>
            </w:r>
          </w:p>
        </w:tc>
        <w:tc>
          <w:tcPr>
            <w:tcW w:w="4536" w:type="dxa"/>
            <w:shd w:val="clear" w:color="auto" w:fill="EEECE1" w:themeFill="background2"/>
          </w:tcPr>
          <w:p w:rsidR="004F115A" w:rsidRPr="00ED793C" w:rsidRDefault="004F115A" w:rsidP="00B22868">
            <w:pPr>
              <w:spacing w:after="0" w:line="240" w:lineRule="auto"/>
              <w:rPr>
                <w:sz w:val="20"/>
                <w:szCs w:val="20"/>
                <w:lang w:val="en-AU"/>
              </w:rPr>
            </w:pPr>
            <w:r>
              <w:rPr>
                <w:sz w:val="20"/>
                <w:szCs w:val="20"/>
                <w:lang w:val="en-AU"/>
              </w:rPr>
              <w:t xml:space="preserve">Port Vila and </w:t>
            </w:r>
            <w:r w:rsidR="00B22868">
              <w:rPr>
                <w:sz w:val="20"/>
                <w:szCs w:val="20"/>
                <w:lang w:val="en-AU"/>
              </w:rPr>
              <w:t>provincial centres</w:t>
            </w:r>
          </w:p>
        </w:tc>
      </w:tr>
      <w:tr w:rsidR="004F115A" w:rsidRPr="00ED793C">
        <w:tc>
          <w:tcPr>
            <w:tcW w:w="1384" w:type="dxa"/>
            <w:vMerge/>
            <w:shd w:val="clear" w:color="auto" w:fill="EAF1DD" w:themeFill="accent3" w:themeFillTint="33"/>
          </w:tcPr>
          <w:p w:rsidR="004F115A" w:rsidRPr="00ED793C" w:rsidRDefault="004F115A" w:rsidP="008F261C">
            <w:pPr>
              <w:spacing w:after="0"/>
              <w:jc w:val="both"/>
              <w:rPr>
                <w:b/>
                <w:sz w:val="20"/>
                <w:szCs w:val="20"/>
                <w:lang w:val="en-AU"/>
              </w:rPr>
            </w:pPr>
          </w:p>
        </w:tc>
        <w:tc>
          <w:tcPr>
            <w:tcW w:w="3686" w:type="dxa"/>
            <w:shd w:val="clear" w:color="auto" w:fill="EEECE1" w:themeFill="background2"/>
          </w:tcPr>
          <w:p w:rsidR="004F115A" w:rsidRDefault="004F115A" w:rsidP="008F261C">
            <w:pPr>
              <w:spacing w:after="0" w:line="240" w:lineRule="auto"/>
              <w:rPr>
                <w:sz w:val="20"/>
                <w:szCs w:val="20"/>
                <w:lang w:val="en-AU"/>
              </w:rPr>
            </w:pPr>
            <w:r>
              <w:rPr>
                <w:sz w:val="20"/>
                <w:szCs w:val="20"/>
                <w:lang w:val="en-AU"/>
              </w:rPr>
              <w:t>PSO CLE</w:t>
            </w:r>
          </w:p>
        </w:tc>
        <w:tc>
          <w:tcPr>
            <w:tcW w:w="4536" w:type="dxa"/>
            <w:shd w:val="clear" w:color="auto" w:fill="EEECE1" w:themeFill="background2"/>
          </w:tcPr>
          <w:p w:rsidR="004E5809" w:rsidRDefault="003835ED" w:rsidP="008F261C">
            <w:pPr>
              <w:spacing w:after="0" w:line="240" w:lineRule="auto"/>
              <w:rPr>
                <w:sz w:val="20"/>
                <w:szCs w:val="20"/>
                <w:lang w:val="en-AU"/>
              </w:rPr>
            </w:pPr>
            <w:r>
              <w:rPr>
                <w:sz w:val="20"/>
                <w:szCs w:val="20"/>
                <w:lang w:val="en-AU"/>
              </w:rPr>
              <w:t>10</w:t>
            </w:r>
            <w:r w:rsidR="004E5809">
              <w:rPr>
                <w:sz w:val="20"/>
                <w:szCs w:val="20"/>
                <w:lang w:val="en-AU"/>
              </w:rPr>
              <w:t xml:space="preserve"> PSO defence lawyers (of which 2 are female)</w:t>
            </w:r>
          </w:p>
          <w:p w:rsidR="00102CDB" w:rsidRDefault="00102CDB" w:rsidP="008F261C">
            <w:pPr>
              <w:spacing w:after="0" w:line="240" w:lineRule="auto"/>
              <w:rPr>
                <w:sz w:val="20"/>
                <w:szCs w:val="20"/>
                <w:lang w:val="en-AU"/>
              </w:rPr>
            </w:pPr>
          </w:p>
          <w:p w:rsidR="00102CDB" w:rsidRDefault="00102CDB" w:rsidP="008F261C">
            <w:pPr>
              <w:spacing w:after="0" w:line="240" w:lineRule="auto"/>
              <w:rPr>
                <w:sz w:val="20"/>
                <w:szCs w:val="20"/>
                <w:lang w:val="en-AU"/>
              </w:rPr>
            </w:pPr>
            <w:r>
              <w:rPr>
                <w:sz w:val="20"/>
                <w:szCs w:val="20"/>
                <w:lang w:val="en-AU"/>
              </w:rPr>
              <w:t>8 non legal staff</w:t>
            </w:r>
          </w:p>
          <w:p w:rsidR="004F115A" w:rsidRDefault="00B22868" w:rsidP="008F261C">
            <w:pPr>
              <w:spacing w:after="0" w:line="240" w:lineRule="auto"/>
              <w:rPr>
                <w:sz w:val="20"/>
                <w:szCs w:val="20"/>
                <w:lang w:val="en-AU"/>
              </w:rPr>
            </w:pPr>
            <w:r>
              <w:rPr>
                <w:sz w:val="20"/>
                <w:szCs w:val="20"/>
                <w:lang w:val="en-AU"/>
              </w:rPr>
              <w:t>10</w:t>
            </w:r>
            <w:r w:rsidR="004F115A">
              <w:rPr>
                <w:sz w:val="20"/>
                <w:szCs w:val="20"/>
                <w:lang w:val="en-AU"/>
              </w:rPr>
              <w:t xml:space="preserve"> SPD prosecutors (of which 1 is female)</w:t>
            </w:r>
          </w:p>
          <w:p w:rsidR="004F115A" w:rsidRDefault="00B22868" w:rsidP="008F261C">
            <w:pPr>
              <w:spacing w:after="0" w:line="240" w:lineRule="auto"/>
              <w:rPr>
                <w:sz w:val="20"/>
                <w:szCs w:val="20"/>
                <w:lang w:val="en-AU"/>
              </w:rPr>
            </w:pPr>
            <w:r>
              <w:rPr>
                <w:sz w:val="20"/>
                <w:szCs w:val="20"/>
                <w:lang w:val="en-AU"/>
              </w:rPr>
              <w:t>30</w:t>
            </w:r>
            <w:r w:rsidR="004F115A">
              <w:rPr>
                <w:sz w:val="20"/>
                <w:szCs w:val="20"/>
                <w:lang w:val="en-AU"/>
              </w:rPr>
              <w:t xml:space="preserve"> VPF officers</w:t>
            </w:r>
            <w:r>
              <w:rPr>
                <w:sz w:val="20"/>
                <w:szCs w:val="20"/>
                <w:lang w:val="en-AU"/>
              </w:rPr>
              <w:t xml:space="preserve"> (gender disagg</w:t>
            </w:r>
            <w:r w:rsidR="00286A72">
              <w:rPr>
                <w:sz w:val="20"/>
                <w:szCs w:val="20"/>
                <w:lang w:val="en-AU"/>
              </w:rPr>
              <w:t>regated figures</w:t>
            </w:r>
            <w:r>
              <w:rPr>
                <w:sz w:val="20"/>
                <w:szCs w:val="20"/>
                <w:lang w:val="en-AU"/>
              </w:rPr>
              <w:t xml:space="preserve"> unknown)</w:t>
            </w:r>
          </w:p>
          <w:p w:rsidR="004F115A" w:rsidRPr="00ED793C" w:rsidRDefault="00102CDB" w:rsidP="008F261C">
            <w:pPr>
              <w:spacing w:after="0" w:line="240" w:lineRule="auto"/>
              <w:rPr>
                <w:sz w:val="20"/>
                <w:szCs w:val="20"/>
                <w:lang w:val="en-AU"/>
              </w:rPr>
            </w:pPr>
            <w:r>
              <w:rPr>
                <w:sz w:val="20"/>
                <w:szCs w:val="20"/>
                <w:lang w:val="en-AU"/>
              </w:rPr>
              <w:t>5</w:t>
            </w:r>
            <w:r w:rsidR="004F115A">
              <w:rPr>
                <w:sz w:val="20"/>
                <w:szCs w:val="20"/>
                <w:lang w:val="en-AU"/>
              </w:rPr>
              <w:t xml:space="preserve"> PPO prosecutors</w:t>
            </w:r>
            <w:r w:rsidR="00B22868">
              <w:rPr>
                <w:sz w:val="20"/>
                <w:szCs w:val="20"/>
                <w:lang w:val="en-AU"/>
              </w:rPr>
              <w:t xml:space="preserve"> (male)</w:t>
            </w:r>
          </w:p>
        </w:tc>
        <w:tc>
          <w:tcPr>
            <w:tcW w:w="4536" w:type="dxa"/>
            <w:shd w:val="clear" w:color="auto" w:fill="EEECE1" w:themeFill="background2"/>
          </w:tcPr>
          <w:p w:rsidR="004F115A" w:rsidRDefault="004F115A" w:rsidP="008F261C">
            <w:pPr>
              <w:spacing w:after="0" w:line="240" w:lineRule="auto"/>
              <w:rPr>
                <w:sz w:val="20"/>
                <w:szCs w:val="20"/>
                <w:lang w:val="en-AU"/>
              </w:rPr>
            </w:pPr>
            <w:r>
              <w:rPr>
                <w:sz w:val="20"/>
                <w:szCs w:val="20"/>
                <w:lang w:val="en-AU"/>
              </w:rPr>
              <w:lastRenderedPageBreak/>
              <w:t>Port Vila</w:t>
            </w:r>
            <w:r w:rsidR="003835ED">
              <w:rPr>
                <w:sz w:val="20"/>
                <w:szCs w:val="20"/>
                <w:lang w:val="en-AU"/>
              </w:rPr>
              <w:t xml:space="preserve"> and Santo</w:t>
            </w:r>
            <w:r w:rsidR="00102CDB">
              <w:rPr>
                <w:sz w:val="20"/>
                <w:szCs w:val="20"/>
                <w:lang w:val="en-AU"/>
              </w:rPr>
              <w:t xml:space="preserve">, but lawyers also tour to other </w:t>
            </w:r>
            <w:r w:rsidR="00102CDB">
              <w:rPr>
                <w:sz w:val="20"/>
                <w:szCs w:val="20"/>
                <w:lang w:val="en-AU"/>
              </w:rPr>
              <w:lastRenderedPageBreak/>
              <w:t>provinces so reach broader</w:t>
            </w:r>
          </w:p>
          <w:p w:rsidR="00102CDB" w:rsidRDefault="00102CDB" w:rsidP="008F261C">
            <w:pPr>
              <w:spacing w:after="0" w:line="240" w:lineRule="auto"/>
              <w:rPr>
                <w:sz w:val="20"/>
                <w:szCs w:val="20"/>
                <w:lang w:val="en-AU"/>
              </w:rPr>
            </w:pPr>
            <w:r>
              <w:rPr>
                <w:sz w:val="20"/>
                <w:szCs w:val="20"/>
                <w:lang w:val="en-AU"/>
              </w:rPr>
              <w:t>Port Vila</w:t>
            </w:r>
          </w:p>
          <w:p w:rsidR="00B22868" w:rsidRDefault="00B22868" w:rsidP="008F261C">
            <w:pPr>
              <w:spacing w:after="0" w:line="240" w:lineRule="auto"/>
              <w:rPr>
                <w:sz w:val="20"/>
                <w:szCs w:val="20"/>
                <w:lang w:val="en-AU"/>
              </w:rPr>
            </w:pPr>
            <w:r>
              <w:rPr>
                <w:sz w:val="20"/>
                <w:szCs w:val="20"/>
                <w:lang w:val="en-AU"/>
              </w:rPr>
              <w:t>Port Vila and provincial centres</w:t>
            </w:r>
          </w:p>
          <w:p w:rsidR="003835ED" w:rsidRDefault="003835ED" w:rsidP="008F261C">
            <w:pPr>
              <w:spacing w:after="0" w:line="240" w:lineRule="auto"/>
              <w:rPr>
                <w:sz w:val="20"/>
                <w:szCs w:val="20"/>
                <w:lang w:val="en-AU"/>
              </w:rPr>
            </w:pPr>
          </w:p>
          <w:p w:rsidR="00102CDB" w:rsidRPr="00ED793C" w:rsidRDefault="00102CDB" w:rsidP="008F261C">
            <w:pPr>
              <w:spacing w:after="0" w:line="240" w:lineRule="auto"/>
              <w:rPr>
                <w:sz w:val="20"/>
                <w:szCs w:val="20"/>
                <w:lang w:val="en-AU"/>
              </w:rPr>
            </w:pPr>
            <w:r>
              <w:rPr>
                <w:sz w:val="20"/>
                <w:szCs w:val="20"/>
                <w:lang w:val="en-AU"/>
              </w:rPr>
              <w:t>Port Vila and Santo</w:t>
            </w:r>
          </w:p>
        </w:tc>
      </w:tr>
      <w:tr w:rsidR="004F115A" w:rsidRPr="00ED793C">
        <w:tc>
          <w:tcPr>
            <w:tcW w:w="1384" w:type="dxa"/>
            <w:vMerge/>
            <w:shd w:val="clear" w:color="auto" w:fill="EAF1DD" w:themeFill="accent3" w:themeFillTint="33"/>
          </w:tcPr>
          <w:p w:rsidR="004F115A" w:rsidRPr="00ED793C" w:rsidRDefault="004F115A" w:rsidP="008F261C">
            <w:pPr>
              <w:spacing w:after="0"/>
              <w:jc w:val="both"/>
              <w:rPr>
                <w:b/>
                <w:sz w:val="20"/>
                <w:szCs w:val="20"/>
                <w:lang w:val="en-AU"/>
              </w:rPr>
            </w:pPr>
          </w:p>
        </w:tc>
        <w:tc>
          <w:tcPr>
            <w:tcW w:w="3686" w:type="dxa"/>
            <w:shd w:val="clear" w:color="auto" w:fill="EEECE1" w:themeFill="background2"/>
          </w:tcPr>
          <w:p w:rsidR="004F115A" w:rsidRDefault="004F115A" w:rsidP="008F261C">
            <w:pPr>
              <w:spacing w:after="0" w:line="240" w:lineRule="auto"/>
              <w:rPr>
                <w:sz w:val="20"/>
                <w:szCs w:val="20"/>
                <w:lang w:val="en-AU"/>
              </w:rPr>
            </w:pPr>
            <w:r>
              <w:rPr>
                <w:sz w:val="20"/>
                <w:szCs w:val="20"/>
                <w:lang w:val="en-AU"/>
              </w:rPr>
              <w:t>LSIP</w:t>
            </w:r>
          </w:p>
        </w:tc>
        <w:tc>
          <w:tcPr>
            <w:tcW w:w="4536" w:type="dxa"/>
            <w:shd w:val="clear" w:color="auto" w:fill="EEECE1" w:themeFill="background2"/>
          </w:tcPr>
          <w:p w:rsidR="004F115A" w:rsidRPr="00ED793C" w:rsidRDefault="004E5809" w:rsidP="008F261C">
            <w:pPr>
              <w:spacing w:after="0" w:line="240" w:lineRule="auto"/>
              <w:rPr>
                <w:sz w:val="20"/>
                <w:szCs w:val="20"/>
                <w:lang w:val="en-AU"/>
              </w:rPr>
            </w:pPr>
            <w:r>
              <w:rPr>
                <w:sz w:val="20"/>
                <w:szCs w:val="20"/>
                <w:lang w:val="en-AU"/>
              </w:rPr>
              <w:t>18 law students (10 female, 8 male)</w:t>
            </w:r>
          </w:p>
        </w:tc>
        <w:tc>
          <w:tcPr>
            <w:tcW w:w="4536" w:type="dxa"/>
            <w:shd w:val="clear" w:color="auto" w:fill="EEECE1" w:themeFill="background2"/>
          </w:tcPr>
          <w:p w:rsidR="004F115A" w:rsidRPr="00ED793C" w:rsidRDefault="004E5809" w:rsidP="008F261C">
            <w:pPr>
              <w:spacing w:after="0" w:line="240" w:lineRule="auto"/>
              <w:rPr>
                <w:sz w:val="20"/>
                <w:szCs w:val="20"/>
                <w:lang w:val="en-AU"/>
              </w:rPr>
            </w:pPr>
            <w:r>
              <w:rPr>
                <w:sz w:val="20"/>
                <w:szCs w:val="20"/>
                <w:lang w:val="en-AU"/>
              </w:rPr>
              <w:t xml:space="preserve">Pacific Region (40% non </w:t>
            </w:r>
            <w:proofErr w:type="spellStart"/>
            <w:r>
              <w:rPr>
                <w:sz w:val="20"/>
                <w:szCs w:val="20"/>
                <w:lang w:val="en-AU"/>
              </w:rPr>
              <w:t>ni</w:t>
            </w:r>
            <w:proofErr w:type="spellEnd"/>
            <w:r>
              <w:rPr>
                <w:sz w:val="20"/>
                <w:szCs w:val="20"/>
                <w:lang w:val="en-AU"/>
              </w:rPr>
              <w:t xml:space="preserve"> Vanuatu)  and Port Vila</w:t>
            </w:r>
          </w:p>
        </w:tc>
      </w:tr>
      <w:tr w:rsidR="00387DA2" w:rsidRPr="00ED793C">
        <w:tc>
          <w:tcPr>
            <w:tcW w:w="1384" w:type="dxa"/>
            <w:vMerge w:val="restart"/>
            <w:shd w:val="clear" w:color="auto" w:fill="EAF1DD" w:themeFill="accent3" w:themeFillTint="33"/>
          </w:tcPr>
          <w:p w:rsidR="00387DA2" w:rsidRPr="00ED793C" w:rsidRDefault="00387DA2" w:rsidP="008F261C">
            <w:pPr>
              <w:spacing w:after="0"/>
              <w:jc w:val="both"/>
              <w:rPr>
                <w:b/>
                <w:sz w:val="20"/>
                <w:szCs w:val="20"/>
                <w:lang w:val="en-AU"/>
              </w:rPr>
            </w:pPr>
            <w:r w:rsidRPr="00ED793C">
              <w:rPr>
                <w:b/>
                <w:sz w:val="20"/>
                <w:szCs w:val="20"/>
                <w:lang w:val="en-AU"/>
              </w:rPr>
              <w:t>Component 3</w:t>
            </w:r>
          </w:p>
        </w:tc>
        <w:tc>
          <w:tcPr>
            <w:tcW w:w="3686" w:type="dxa"/>
          </w:tcPr>
          <w:p w:rsidR="00387DA2" w:rsidRDefault="00387DA2" w:rsidP="008F261C">
            <w:pPr>
              <w:spacing w:after="0" w:line="240" w:lineRule="auto"/>
              <w:rPr>
                <w:sz w:val="20"/>
                <w:szCs w:val="20"/>
                <w:lang w:val="en-AU"/>
              </w:rPr>
            </w:pPr>
            <w:r>
              <w:rPr>
                <w:sz w:val="20"/>
                <w:szCs w:val="20"/>
                <w:lang w:val="en-AU"/>
              </w:rPr>
              <w:t>SCV</w:t>
            </w:r>
          </w:p>
        </w:tc>
        <w:tc>
          <w:tcPr>
            <w:tcW w:w="4536" w:type="dxa"/>
          </w:tcPr>
          <w:p w:rsidR="00387DA2" w:rsidRPr="00ED793C" w:rsidRDefault="00387DA2" w:rsidP="008F261C">
            <w:pPr>
              <w:spacing w:after="0" w:line="240" w:lineRule="auto"/>
              <w:rPr>
                <w:sz w:val="20"/>
                <w:szCs w:val="20"/>
                <w:lang w:val="en-AU"/>
              </w:rPr>
            </w:pPr>
            <w:r>
              <w:rPr>
                <w:sz w:val="20"/>
                <w:szCs w:val="20"/>
                <w:lang w:val="en-AU"/>
              </w:rPr>
              <w:t>Work has not commenced yet</w:t>
            </w:r>
          </w:p>
        </w:tc>
        <w:tc>
          <w:tcPr>
            <w:tcW w:w="4536" w:type="dxa"/>
          </w:tcPr>
          <w:p w:rsidR="00387DA2" w:rsidRDefault="00387DA2" w:rsidP="008F261C">
            <w:pPr>
              <w:spacing w:after="0" w:line="240" w:lineRule="auto"/>
              <w:rPr>
                <w:sz w:val="20"/>
                <w:szCs w:val="20"/>
                <w:lang w:val="en-AU"/>
              </w:rPr>
            </w:pPr>
          </w:p>
        </w:tc>
      </w:tr>
      <w:tr w:rsidR="00387DA2" w:rsidRPr="00ED793C">
        <w:tc>
          <w:tcPr>
            <w:tcW w:w="1384" w:type="dxa"/>
            <w:vMerge/>
            <w:shd w:val="clear" w:color="auto" w:fill="EAF1DD" w:themeFill="accent3" w:themeFillTint="33"/>
          </w:tcPr>
          <w:p w:rsidR="00387DA2" w:rsidRPr="00ED793C" w:rsidRDefault="00387DA2" w:rsidP="008F261C">
            <w:pPr>
              <w:spacing w:after="0"/>
              <w:jc w:val="both"/>
              <w:rPr>
                <w:b/>
                <w:sz w:val="20"/>
                <w:szCs w:val="20"/>
                <w:lang w:val="en-AU"/>
              </w:rPr>
            </w:pPr>
          </w:p>
        </w:tc>
        <w:tc>
          <w:tcPr>
            <w:tcW w:w="3686" w:type="dxa"/>
          </w:tcPr>
          <w:p w:rsidR="00387DA2" w:rsidRDefault="00387DA2" w:rsidP="008F261C">
            <w:pPr>
              <w:spacing w:after="0" w:line="240" w:lineRule="auto"/>
              <w:rPr>
                <w:sz w:val="20"/>
                <w:szCs w:val="20"/>
                <w:lang w:val="en-AU"/>
              </w:rPr>
            </w:pPr>
            <w:r>
              <w:rPr>
                <w:sz w:val="20"/>
                <w:szCs w:val="20"/>
                <w:lang w:val="en-AU"/>
              </w:rPr>
              <w:t>Research</w:t>
            </w:r>
          </w:p>
        </w:tc>
        <w:tc>
          <w:tcPr>
            <w:tcW w:w="4536" w:type="dxa"/>
          </w:tcPr>
          <w:p w:rsidR="00387DA2" w:rsidRPr="00ED793C" w:rsidRDefault="00387DA2" w:rsidP="008F261C">
            <w:pPr>
              <w:spacing w:after="0" w:line="240" w:lineRule="auto"/>
              <w:rPr>
                <w:sz w:val="20"/>
                <w:szCs w:val="20"/>
                <w:lang w:val="en-AU"/>
              </w:rPr>
            </w:pPr>
            <w:r>
              <w:rPr>
                <w:sz w:val="20"/>
                <w:szCs w:val="20"/>
                <w:lang w:val="en-AU"/>
              </w:rPr>
              <w:t>Research is being scoped. Consultations occurred during reporting period.</w:t>
            </w:r>
          </w:p>
        </w:tc>
        <w:tc>
          <w:tcPr>
            <w:tcW w:w="4536" w:type="dxa"/>
          </w:tcPr>
          <w:p w:rsidR="00387DA2" w:rsidRDefault="00387DA2" w:rsidP="00CE47EB">
            <w:pPr>
              <w:spacing w:after="0" w:line="240" w:lineRule="auto"/>
              <w:rPr>
                <w:sz w:val="20"/>
                <w:szCs w:val="20"/>
                <w:lang w:val="en-AU"/>
              </w:rPr>
            </w:pPr>
            <w:r>
              <w:rPr>
                <w:sz w:val="20"/>
                <w:szCs w:val="20"/>
                <w:lang w:val="en-AU"/>
              </w:rPr>
              <w:t>Port Vila (</w:t>
            </w:r>
            <w:proofErr w:type="spellStart"/>
            <w:r>
              <w:rPr>
                <w:sz w:val="20"/>
                <w:szCs w:val="20"/>
                <w:lang w:val="en-AU"/>
              </w:rPr>
              <w:t>incl</w:t>
            </w:r>
            <w:proofErr w:type="spellEnd"/>
            <w:r>
              <w:rPr>
                <w:sz w:val="20"/>
                <w:szCs w:val="20"/>
                <w:lang w:val="en-AU"/>
              </w:rPr>
              <w:t xml:space="preserve"> </w:t>
            </w:r>
            <w:proofErr w:type="spellStart"/>
            <w:r>
              <w:rPr>
                <w:sz w:val="20"/>
                <w:szCs w:val="20"/>
                <w:lang w:val="en-AU"/>
              </w:rPr>
              <w:t>Blacksands</w:t>
            </w:r>
            <w:proofErr w:type="spellEnd"/>
            <w:r>
              <w:rPr>
                <w:sz w:val="20"/>
                <w:szCs w:val="20"/>
                <w:lang w:val="en-AU"/>
              </w:rPr>
              <w:t>)</w:t>
            </w:r>
          </w:p>
          <w:p w:rsidR="00387DA2" w:rsidRDefault="00387DA2" w:rsidP="00CE47EB">
            <w:pPr>
              <w:spacing w:after="0" w:line="240" w:lineRule="auto"/>
              <w:rPr>
                <w:sz w:val="20"/>
                <w:szCs w:val="20"/>
                <w:lang w:val="en-AU"/>
              </w:rPr>
            </w:pPr>
            <w:r>
              <w:rPr>
                <w:sz w:val="20"/>
                <w:szCs w:val="20"/>
                <w:lang w:val="en-AU"/>
              </w:rPr>
              <w:t xml:space="preserve">Santo </w:t>
            </w:r>
          </w:p>
          <w:p w:rsidR="00387DA2" w:rsidRDefault="00387DA2" w:rsidP="00CE47EB">
            <w:pPr>
              <w:spacing w:after="0" w:line="240" w:lineRule="auto"/>
              <w:rPr>
                <w:sz w:val="20"/>
                <w:szCs w:val="20"/>
                <w:lang w:val="en-AU"/>
              </w:rPr>
            </w:pPr>
            <w:r>
              <w:rPr>
                <w:sz w:val="20"/>
                <w:szCs w:val="20"/>
                <w:lang w:val="en-AU"/>
              </w:rPr>
              <w:t>Malekula</w:t>
            </w:r>
          </w:p>
          <w:p w:rsidR="00387DA2" w:rsidRDefault="00387DA2" w:rsidP="00387DA2">
            <w:pPr>
              <w:spacing w:after="0" w:line="240" w:lineRule="auto"/>
              <w:rPr>
                <w:sz w:val="20"/>
                <w:szCs w:val="20"/>
                <w:lang w:val="en-AU"/>
              </w:rPr>
            </w:pPr>
            <w:proofErr w:type="spellStart"/>
            <w:r>
              <w:rPr>
                <w:sz w:val="20"/>
                <w:szCs w:val="20"/>
                <w:lang w:val="en-AU"/>
              </w:rPr>
              <w:t>Tanna</w:t>
            </w:r>
            <w:proofErr w:type="spellEnd"/>
          </w:p>
        </w:tc>
      </w:tr>
      <w:tr w:rsidR="00387DA2" w:rsidRPr="00ED793C">
        <w:tc>
          <w:tcPr>
            <w:tcW w:w="1384" w:type="dxa"/>
            <w:vMerge/>
            <w:shd w:val="clear" w:color="auto" w:fill="EAF1DD" w:themeFill="accent3" w:themeFillTint="33"/>
          </w:tcPr>
          <w:p w:rsidR="00387DA2" w:rsidRPr="00ED793C" w:rsidRDefault="00387DA2" w:rsidP="008F261C">
            <w:pPr>
              <w:spacing w:after="0"/>
              <w:jc w:val="both"/>
              <w:rPr>
                <w:b/>
                <w:sz w:val="20"/>
                <w:szCs w:val="20"/>
                <w:lang w:val="en-AU"/>
              </w:rPr>
            </w:pPr>
          </w:p>
        </w:tc>
        <w:tc>
          <w:tcPr>
            <w:tcW w:w="3686" w:type="dxa"/>
          </w:tcPr>
          <w:p w:rsidR="00387DA2" w:rsidRDefault="00387DA2" w:rsidP="008F261C">
            <w:pPr>
              <w:spacing w:after="0" w:line="240" w:lineRule="auto"/>
              <w:rPr>
                <w:sz w:val="20"/>
                <w:szCs w:val="20"/>
                <w:lang w:val="en-AU"/>
              </w:rPr>
            </w:pPr>
            <w:r>
              <w:rPr>
                <w:sz w:val="20"/>
                <w:szCs w:val="20"/>
                <w:lang w:val="en-AU"/>
              </w:rPr>
              <w:t>DWA FPA support</w:t>
            </w:r>
          </w:p>
        </w:tc>
        <w:tc>
          <w:tcPr>
            <w:tcW w:w="4536" w:type="dxa"/>
          </w:tcPr>
          <w:p w:rsidR="00387DA2" w:rsidRPr="00ED793C" w:rsidRDefault="00387DA2" w:rsidP="008F261C">
            <w:pPr>
              <w:spacing w:after="0" w:line="240" w:lineRule="auto"/>
              <w:rPr>
                <w:sz w:val="20"/>
                <w:szCs w:val="20"/>
                <w:lang w:val="en-AU"/>
              </w:rPr>
            </w:pPr>
            <w:r>
              <w:rPr>
                <w:sz w:val="20"/>
                <w:szCs w:val="20"/>
                <w:lang w:val="en-AU"/>
              </w:rPr>
              <w:t>Mapping and research occurred during reporting period</w:t>
            </w:r>
          </w:p>
        </w:tc>
        <w:tc>
          <w:tcPr>
            <w:tcW w:w="4536" w:type="dxa"/>
          </w:tcPr>
          <w:p w:rsidR="00387DA2" w:rsidRDefault="00387DA2" w:rsidP="008F261C">
            <w:pPr>
              <w:spacing w:after="0" w:line="240" w:lineRule="auto"/>
              <w:rPr>
                <w:sz w:val="20"/>
                <w:szCs w:val="20"/>
                <w:lang w:val="en-AU"/>
              </w:rPr>
            </w:pPr>
            <w:r>
              <w:rPr>
                <w:sz w:val="20"/>
                <w:szCs w:val="20"/>
                <w:lang w:val="en-AU"/>
              </w:rPr>
              <w:t xml:space="preserve">South Santo, Efate (Port Vila) and </w:t>
            </w:r>
            <w:proofErr w:type="spellStart"/>
            <w:r>
              <w:rPr>
                <w:sz w:val="20"/>
                <w:szCs w:val="20"/>
                <w:lang w:val="en-AU"/>
              </w:rPr>
              <w:t>Tanna</w:t>
            </w:r>
            <w:proofErr w:type="spellEnd"/>
          </w:p>
        </w:tc>
      </w:tr>
    </w:tbl>
    <w:p w:rsidR="00ED793C" w:rsidRPr="00763879" w:rsidRDefault="00ED793C" w:rsidP="00DB3FBD">
      <w:pPr>
        <w:jc w:val="both"/>
        <w:rPr>
          <w:lang w:val="en-AU"/>
        </w:rPr>
      </w:pPr>
    </w:p>
    <w:p w:rsidR="00C45A63" w:rsidRDefault="009D0758" w:rsidP="009D0758">
      <w:pPr>
        <w:jc w:val="both"/>
        <w:rPr>
          <w:lang w:val="en-AU"/>
        </w:rPr>
      </w:pPr>
      <w:r w:rsidRPr="009D0758">
        <w:rPr>
          <w:lang w:val="en-AU"/>
        </w:rPr>
        <w:t xml:space="preserve">The </w:t>
      </w:r>
      <w:r>
        <w:rPr>
          <w:lang w:val="en-AU"/>
        </w:rPr>
        <w:t>program is incrementally increasing the number of people that it reaches across the sector each reporting period to include heads of agencies, office managers, finance officers, human resource managers, lawyers, prosecutors, data entry staff, women within the police force, the police executive, the police CSU, key sector NGOs (</w:t>
      </w:r>
      <w:r w:rsidR="00745B13">
        <w:rPr>
          <w:lang w:val="en-AU"/>
        </w:rPr>
        <w:t xml:space="preserve">Wan </w:t>
      </w:r>
      <w:proofErr w:type="spellStart"/>
      <w:r w:rsidR="00745B13">
        <w:rPr>
          <w:lang w:val="en-AU"/>
        </w:rPr>
        <w:t>Smolbag</w:t>
      </w:r>
      <w:proofErr w:type="spellEnd"/>
      <w:r>
        <w:rPr>
          <w:lang w:val="en-AU"/>
        </w:rPr>
        <w:t xml:space="preserve">, </w:t>
      </w:r>
      <w:r w:rsidR="00745B13">
        <w:rPr>
          <w:lang w:val="en-AU"/>
        </w:rPr>
        <w:t>Vanuatu Women’s Centre</w:t>
      </w:r>
      <w:r>
        <w:rPr>
          <w:lang w:val="en-AU"/>
        </w:rPr>
        <w:t xml:space="preserve">, </w:t>
      </w:r>
      <w:r w:rsidR="00745B13">
        <w:rPr>
          <w:lang w:val="en-AU"/>
        </w:rPr>
        <w:t>Vanuatu Society for Disabled People</w:t>
      </w:r>
      <w:r>
        <w:rPr>
          <w:lang w:val="en-AU"/>
        </w:rPr>
        <w:t>). Whilst the coverage remains predominantly in Port Vila, there have been increases in support beyond Port Vila in terms of capacity building</w:t>
      </w:r>
      <w:r w:rsidR="006300D1">
        <w:rPr>
          <w:lang w:val="en-AU"/>
        </w:rPr>
        <w:t>,</w:t>
      </w:r>
      <w:r>
        <w:rPr>
          <w:lang w:val="en-AU"/>
        </w:rPr>
        <w:t xml:space="preserve"> in particular</w:t>
      </w:r>
      <w:r w:rsidR="006300D1">
        <w:rPr>
          <w:lang w:val="en-AU"/>
        </w:rPr>
        <w:t>,</w:t>
      </w:r>
      <w:r>
        <w:rPr>
          <w:lang w:val="en-AU"/>
        </w:rPr>
        <w:t xml:space="preserve"> where staff are brought in from the provinces for sector wide initiatives or supported through agency </w:t>
      </w:r>
      <w:r w:rsidR="00F02654">
        <w:rPr>
          <w:lang w:val="en-AU"/>
        </w:rPr>
        <w:t xml:space="preserve">supported </w:t>
      </w:r>
      <w:r>
        <w:rPr>
          <w:lang w:val="en-AU"/>
        </w:rPr>
        <w:t>initiatives to go out to the provinces</w:t>
      </w:r>
      <w:r w:rsidR="00F02654">
        <w:rPr>
          <w:lang w:val="en-AU"/>
        </w:rPr>
        <w:t xml:space="preserve">. The work to support women experiencing family based violence will also increase reach out of Port Vila (to include Malekula, Santo and </w:t>
      </w:r>
      <w:proofErr w:type="spellStart"/>
      <w:r w:rsidR="00F02654">
        <w:rPr>
          <w:lang w:val="en-AU"/>
        </w:rPr>
        <w:t>Tanna</w:t>
      </w:r>
      <w:proofErr w:type="spellEnd"/>
      <w:r w:rsidR="00F02654">
        <w:rPr>
          <w:lang w:val="en-AU"/>
        </w:rPr>
        <w:t xml:space="preserve"> as well as </w:t>
      </w:r>
      <w:r w:rsidR="00745B13">
        <w:rPr>
          <w:lang w:val="en-AU"/>
        </w:rPr>
        <w:t xml:space="preserve">rural </w:t>
      </w:r>
      <w:r w:rsidR="00F02654">
        <w:rPr>
          <w:lang w:val="en-AU"/>
        </w:rPr>
        <w:t>Efate). Quality at implementation has remained consistently high th</w:t>
      </w:r>
      <w:r w:rsidR="00286A72">
        <w:rPr>
          <w:lang w:val="en-AU"/>
        </w:rPr>
        <w:t xml:space="preserve">rough the commitment of the team </w:t>
      </w:r>
      <w:r w:rsidR="00F02654">
        <w:rPr>
          <w:lang w:val="en-AU"/>
        </w:rPr>
        <w:t>although there is little data to support this yet. This will increase  through the implementation of the PJSPV MEP and particularly through its evaluative work.</w:t>
      </w:r>
      <w:r>
        <w:rPr>
          <w:lang w:val="en-AU"/>
        </w:rPr>
        <w:t xml:space="preserve"> </w:t>
      </w:r>
    </w:p>
    <w:p w:rsidR="0060647D" w:rsidRDefault="0060647D" w:rsidP="009D0758">
      <w:pPr>
        <w:jc w:val="both"/>
        <w:rPr>
          <w:lang w:val="en-AU"/>
        </w:rPr>
        <w:sectPr w:rsidR="0060647D" w:rsidSect="005670D1">
          <w:footerReference w:type="default" r:id="rId19"/>
          <w:pgSz w:w="16838" w:h="11906" w:orient="landscape"/>
          <w:pgMar w:top="1440" w:right="1440" w:bottom="1440" w:left="1440" w:header="709" w:footer="709" w:gutter="0"/>
          <w:cols w:space="708"/>
          <w:docGrid w:linePitch="360"/>
        </w:sectPr>
      </w:pPr>
    </w:p>
    <w:p w:rsidR="00D90BAA" w:rsidRDefault="00D90BAA" w:rsidP="00D90BAA">
      <w:pPr>
        <w:pStyle w:val="Heading2"/>
      </w:pPr>
      <w:bookmarkStart w:id="30" w:name="_Toc411268953"/>
      <w:r>
        <w:lastRenderedPageBreak/>
        <w:t>Adequacy of Progress</w:t>
      </w:r>
      <w:bookmarkEnd w:id="30"/>
    </w:p>
    <w:p w:rsidR="00D90BAA" w:rsidRDefault="00D90BAA" w:rsidP="00D90BAA"/>
    <w:p w:rsidR="00D90BAA" w:rsidRDefault="00D90BAA" w:rsidP="00E9734A">
      <w:pPr>
        <w:pStyle w:val="Heading3"/>
        <w:numPr>
          <w:ilvl w:val="0"/>
          <w:numId w:val="16"/>
        </w:numPr>
      </w:pPr>
      <w:bookmarkStart w:id="31" w:name="_Toc411268954"/>
      <w:r>
        <w:t xml:space="preserve">Against the </w:t>
      </w:r>
      <w:proofErr w:type="spellStart"/>
      <w:r w:rsidR="00327BB9">
        <w:t>W</w:t>
      </w:r>
      <w:r w:rsidR="00986E3D">
        <w:t>ork</w:t>
      </w:r>
      <w:r>
        <w:t>plan</w:t>
      </w:r>
      <w:proofErr w:type="spellEnd"/>
      <w:r>
        <w:t>: On time</w:t>
      </w:r>
      <w:bookmarkEnd w:id="31"/>
    </w:p>
    <w:p w:rsidR="00771A71" w:rsidRDefault="00771A71" w:rsidP="008F261C">
      <w:pPr>
        <w:jc w:val="both"/>
        <w:rPr>
          <w:lang w:val="en-AU"/>
        </w:rPr>
      </w:pPr>
      <w:r>
        <w:rPr>
          <w:lang w:val="en-AU"/>
        </w:rPr>
        <w:t xml:space="preserve">Greater detail of the delays and variation to </w:t>
      </w:r>
      <w:r w:rsidR="00986E3D">
        <w:rPr>
          <w:lang w:val="en-AU"/>
        </w:rPr>
        <w:t xml:space="preserve">the </w:t>
      </w:r>
      <w:proofErr w:type="spellStart"/>
      <w:r w:rsidR="00B85F8E">
        <w:rPr>
          <w:lang w:val="en-AU"/>
        </w:rPr>
        <w:t>Workplan</w:t>
      </w:r>
      <w:proofErr w:type="spellEnd"/>
      <w:r w:rsidR="00B85F8E">
        <w:rPr>
          <w:lang w:val="en-AU"/>
        </w:rPr>
        <w:t xml:space="preserve"> </w:t>
      </w:r>
      <w:r w:rsidR="00986E3D">
        <w:rPr>
          <w:lang w:val="en-AU"/>
        </w:rPr>
        <w:t xml:space="preserve">are described in the section 2e, Variations to </w:t>
      </w:r>
      <w:proofErr w:type="spellStart"/>
      <w:r w:rsidR="00986E3D">
        <w:rPr>
          <w:lang w:val="en-AU"/>
        </w:rPr>
        <w:t>Workplan</w:t>
      </w:r>
      <w:proofErr w:type="spellEnd"/>
      <w:r w:rsidR="00986E3D">
        <w:rPr>
          <w:lang w:val="en-AU"/>
        </w:rPr>
        <w:t xml:space="preserve">. </w:t>
      </w:r>
    </w:p>
    <w:p w:rsidR="00771A71" w:rsidRDefault="00986E3D" w:rsidP="008F261C">
      <w:pPr>
        <w:jc w:val="both"/>
        <w:rPr>
          <w:lang w:val="en-AU"/>
        </w:rPr>
      </w:pPr>
      <w:r>
        <w:rPr>
          <w:lang w:val="en-AU"/>
        </w:rPr>
        <w:t xml:space="preserve">Overall the program is being delivered well (80%) in accordance with the </w:t>
      </w:r>
      <w:r w:rsidR="006300D1">
        <w:rPr>
          <w:lang w:val="en-AU"/>
        </w:rPr>
        <w:t>timing</w:t>
      </w:r>
      <w:r>
        <w:rPr>
          <w:lang w:val="en-AU"/>
        </w:rPr>
        <w:t xml:space="preserve"> described in the </w:t>
      </w:r>
      <w:proofErr w:type="spellStart"/>
      <w:r w:rsidR="00B85F8E">
        <w:rPr>
          <w:lang w:val="en-AU"/>
        </w:rPr>
        <w:t>Workplan</w:t>
      </w:r>
      <w:proofErr w:type="spellEnd"/>
      <w:r>
        <w:rPr>
          <w:lang w:val="en-AU"/>
        </w:rPr>
        <w:t xml:space="preserve">. </w:t>
      </w:r>
    </w:p>
    <w:p w:rsidR="00986E3D" w:rsidRDefault="00986E3D" w:rsidP="008F261C">
      <w:pPr>
        <w:jc w:val="both"/>
        <w:rPr>
          <w:lang w:val="en-AU"/>
        </w:rPr>
      </w:pPr>
      <w:r>
        <w:rPr>
          <w:lang w:val="en-AU"/>
        </w:rPr>
        <w:t xml:space="preserve">Delay against the </w:t>
      </w:r>
      <w:proofErr w:type="spellStart"/>
      <w:r w:rsidR="00B85F8E">
        <w:rPr>
          <w:lang w:val="en-AU"/>
        </w:rPr>
        <w:t>Workplan</w:t>
      </w:r>
      <w:proofErr w:type="spellEnd"/>
      <w:r w:rsidR="00B85F8E">
        <w:rPr>
          <w:lang w:val="en-AU"/>
        </w:rPr>
        <w:t xml:space="preserve"> </w:t>
      </w:r>
      <w:r>
        <w:rPr>
          <w:lang w:val="en-AU"/>
        </w:rPr>
        <w:t>has varyingly been caused by a decline in the momentum of leadership and counterparts in the support of an initiative (JCSSS) and a request for support from a key counterpart resulting in an expansion of scope of an initiative</w:t>
      </w:r>
      <w:r w:rsidR="00771A71">
        <w:rPr>
          <w:lang w:val="en-AU"/>
        </w:rPr>
        <w:t xml:space="preserve"> (violence against women work).</w:t>
      </w:r>
      <w:r>
        <w:rPr>
          <w:lang w:val="en-AU"/>
        </w:rPr>
        <w:t xml:space="preserve"> </w:t>
      </w:r>
      <w:r w:rsidR="00771A71">
        <w:rPr>
          <w:lang w:val="en-AU"/>
        </w:rPr>
        <w:t>This resulted</w:t>
      </w:r>
      <w:r>
        <w:rPr>
          <w:lang w:val="en-AU"/>
        </w:rPr>
        <w:t xml:space="preserve"> in the slowing of the delivery of outputs but the increase in the</w:t>
      </w:r>
      <w:r w:rsidR="00771A71">
        <w:rPr>
          <w:lang w:val="en-AU"/>
        </w:rPr>
        <w:t xml:space="preserve"> likely outcomes, breadth and sustainability of the initiative, that is, it was assessed to be a short term delay for a longer term benefit. </w:t>
      </w:r>
      <w:r w:rsidR="006300D1">
        <w:rPr>
          <w:lang w:val="en-AU"/>
        </w:rPr>
        <w:t>There has also been some delay in the recruitment of technical assistance which has caused delay of some outputs.</w:t>
      </w:r>
    </w:p>
    <w:p w:rsidR="00771A71" w:rsidRDefault="008F261C" w:rsidP="00EE519F">
      <w:pPr>
        <w:jc w:val="both"/>
        <w:rPr>
          <w:lang w:val="en-AU"/>
        </w:rPr>
      </w:pPr>
      <w:r w:rsidRPr="008F261C">
        <w:rPr>
          <w:lang w:val="en-AU"/>
        </w:rPr>
        <w:t xml:space="preserve">The overall progress of delivery of outputs and progress towards interim outcomes for the first six </w:t>
      </w:r>
      <w:r w:rsidR="00745B13">
        <w:rPr>
          <w:lang w:val="en-AU"/>
        </w:rPr>
        <w:t xml:space="preserve">months </w:t>
      </w:r>
      <w:r w:rsidRPr="008F261C">
        <w:rPr>
          <w:lang w:val="en-AU"/>
        </w:rPr>
        <w:t>is adequate and generally on time</w:t>
      </w:r>
      <w:r w:rsidR="00771A71">
        <w:rPr>
          <w:lang w:val="en-AU"/>
        </w:rPr>
        <w:t xml:space="preserve"> and no extension is anticipated at this time</w:t>
      </w:r>
      <w:r w:rsidRPr="008F261C">
        <w:rPr>
          <w:lang w:val="en-AU"/>
        </w:rPr>
        <w:t xml:space="preserve">. </w:t>
      </w:r>
    </w:p>
    <w:p w:rsidR="00952C39" w:rsidRDefault="00952C39" w:rsidP="00EE519F">
      <w:pPr>
        <w:jc w:val="both"/>
        <w:rPr>
          <w:lang w:val="en-AU"/>
        </w:rPr>
      </w:pPr>
    </w:p>
    <w:p w:rsidR="00D90BAA" w:rsidRDefault="00D90BAA" w:rsidP="00E9734A">
      <w:pPr>
        <w:pStyle w:val="Heading3"/>
      </w:pPr>
      <w:bookmarkStart w:id="32" w:name="_Toc411268955"/>
      <w:r>
        <w:t xml:space="preserve">Adequacy of inputs to meet </w:t>
      </w:r>
      <w:r w:rsidR="00861042">
        <w:t>end-of-program-outcomes</w:t>
      </w:r>
      <w:bookmarkEnd w:id="32"/>
    </w:p>
    <w:p w:rsidR="00314DC7" w:rsidRDefault="008F261C" w:rsidP="00EE519F">
      <w:pPr>
        <w:jc w:val="both"/>
        <w:rPr>
          <w:lang w:val="en-AU"/>
        </w:rPr>
      </w:pPr>
      <w:r w:rsidRPr="008F261C">
        <w:rPr>
          <w:lang w:val="en-AU"/>
        </w:rPr>
        <w:t>The inputs appear</w:t>
      </w:r>
      <w:r w:rsidR="00771A71">
        <w:rPr>
          <w:lang w:val="en-AU"/>
        </w:rPr>
        <w:t xml:space="preserve"> at this early point in Stage 2 of the program to be </w:t>
      </w:r>
      <w:r w:rsidR="006300D1">
        <w:rPr>
          <w:lang w:val="en-AU"/>
        </w:rPr>
        <w:t>adequate to meet end-of-program-</w:t>
      </w:r>
      <w:r w:rsidRPr="008F261C">
        <w:rPr>
          <w:lang w:val="en-AU"/>
        </w:rPr>
        <w:t>outcomes, despite feeling some limitations with respect to the robust implementation of component 3 under current budget constraints.</w:t>
      </w:r>
      <w:r w:rsidR="00771A71">
        <w:rPr>
          <w:lang w:val="en-AU"/>
        </w:rPr>
        <w:t xml:space="preserve"> There have been several occasions since the design of the program at which the budget has needed to be reduced and whilst there were cuts made across the program it may have most impact on component 3 which is arguably the most innovative.</w:t>
      </w:r>
    </w:p>
    <w:p w:rsidR="00952C39" w:rsidRPr="008F261C" w:rsidRDefault="00952C39" w:rsidP="00EE519F">
      <w:pPr>
        <w:jc w:val="both"/>
        <w:rPr>
          <w:lang w:val="en-AU"/>
        </w:rPr>
      </w:pPr>
    </w:p>
    <w:p w:rsidR="00D90BAA" w:rsidRDefault="00D90BAA" w:rsidP="00E9734A">
      <w:pPr>
        <w:pStyle w:val="Heading3"/>
      </w:pPr>
      <w:bookmarkStart w:id="33" w:name="_Toc411268956"/>
      <w:r>
        <w:t>Against Budget</w:t>
      </w:r>
      <w:bookmarkEnd w:id="33"/>
      <w:r w:rsidR="008D62C0">
        <w:t xml:space="preserve"> </w:t>
      </w:r>
    </w:p>
    <w:p w:rsidR="00286A72" w:rsidRPr="00286A72" w:rsidRDefault="00286A72" w:rsidP="00286A72">
      <w:pPr>
        <w:jc w:val="both"/>
      </w:pPr>
      <w:r w:rsidRPr="00286A72">
        <w:t xml:space="preserve">The program is progressing extremely well </w:t>
      </w:r>
      <w:r>
        <w:t>against</w:t>
      </w:r>
      <w:r w:rsidRPr="00286A72">
        <w:t xml:space="preserve"> its budget. In previous phases of the program, budget execution has been strong. The constant liaison between the program and DFAT about financial matters and the monthly summary process has meant that there has been a high level of transparency and mutual understanding about the budget.</w:t>
      </w:r>
    </w:p>
    <w:p w:rsidR="001B1423" w:rsidRDefault="00E27400" w:rsidP="00286A72">
      <w:pPr>
        <w:jc w:val="both"/>
      </w:pPr>
      <w:r>
        <w:t>SRBJ will advocate wherever possible for greater forward planning and forecasting of future expenditure with respect to both VAPP and the use of the VAPP operational fund by the VPF over the remainder of the program with the aim of increasing execution of program budget for the benefit of the VPF, dependent on DFAT and possible Australian Aid program cuts to Vanuatu to be announced in May 2015.</w:t>
      </w:r>
    </w:p>
    <w:p w:rsidR="00E27400" w:rsidRDefault="00E27400" w:rsidP="00286A72">
      <w:pPr>
        <w:jc w:val="both"/>
      </w:pPr>
    </w:p>
    <w:p w:rsidR="00E27400" w:rsidRDefault="00E27400" w:rsidP="00286A72">
      <w:pPr>
        <w:jc w:val="both"/>
      </w:pPr>
    </w:p>
    <w:p w:rsidR="001B1423" w:rsidRPr="00B664F1" w:rsidRDefault="001B1423" w:rsidP="001B1423">
      <w:pPr>
        <w:rPr>
          <w:b/>
        </w:rPr>
      </w:pPr>
      <w:r>
        <w:rPr>
          <w:b/>
        </w:rPr>
        <w:t>Budget as against</w:t>
      </w:r>
      <w:r w:rsidRPr="00B664F1">
        <w:rPr>
          <w:b/>
        </w:rPr>
        <w:t xml:space="preserve"> Actuals Stretem Rod Blong Jastis</w:t>
      </w:r>
    </w:p>
    <w:p w:rsidR="001B1423" w:rsidRDefault="001B1423" w:rsidP="001B1423">
      <w:pPr>
        <w:jc w:val="both"/>
      </w:pPr>
      <w:r>
        <w:t xml:space="preserve">Variances in Budget against Actuals in each line item reflect requested changes approved by DFAT in the budget of the program. Key changes in previous budget estimates have led to the variances in the table below. </w:t>
      </w:r>
    </w:p>
    <w:p w:rsidR="001B1423" w:rsidRDefault="001B1423" w:rsidP="001B1423">
      <w:pPr>
        <w:jc w:val="both"/>
      </w:pPr>
      <w:r>
        <w:t>Explanation for these variances are as follows:</w:t>
      </w:r>
    </w:p>
    <w:p w:rsidR="001B1423" w:rsidRDefault="001B1423" w:rsidP="001B1423">
      <w:pPr>
        <w:pStyle w:val="ListParagraph"/>
        <w:numPr>
          <w:ilvl w:val="0"/>
          <w:numId w:val="51"/>
        </w:numPr>
        <w:spacing w:after="160"/>
        <w:contextualSpacing/>
        <w:jc w:val="both"/>
      </w:pPr>
      <w:r>
        <w:t>Program Activity Costs</w:t>
      </w:r>
    </w:p>
    <w:p w:rsidR="001B1423" w:rsidRDefault="001B1423" w:rsidP="001B1423">
      <w:pPr>
        <w:pStyle w:val="ListParagraph"/>
        <w:numPr>
          <w:ilvl w:val="1"/>
          <w:numId w:val="51"/>
        </w:numPr>
        <w:spacing w:after="160"/>
        <w:contextualSpacing/>
        <w:jc w:val="both"/>
      </w:pPr>
      <w:r>
        <w:t>This is the area of greatest variance, this change is viewed by the program as a positive outcome as savings in other tables have allowed the program to spend more funds on Activities than previously anticipated.</w:t>
      </w:r>
    </w:p>
    <w:p w:rsidR="001B1423" w:rsidRDefault="001B1423" w:rsidP="001B1423">
      <w:pPr>
        <w:pStyle w:val="ListParagraph"/>
        <w:numPr>
          <w:ilvl w:val="1"/>
          <w:numId w:val="51"/>
        </w:numPr>
        <w:spacing w:after="160"/>
        <w:contextualSpacing/>
        <w:jc w:val="both"/>
      </w:pPr>
      <w:r>
        <w:t xml:space="preserve">The sector’s relationship with </w:t>
      </w:r>
      <w:r w:rsidRPr="00FB11E6">
        <w:rPr>
          <w:i/>
        </w:rPr>
        <w:t>Stretem Rod Blong Jastis</w:t>
      </w:r>
      <w:r>
        <w:t xml:space="preserve"> has matured and partners are seeking support from the grants facility relatively frequently.</w:t>
      </w:r>
    </w:p>
    <w:p w:rsidR="001B1423" w:rsidRDefault="001B1423" w:rsidP="001B1423">
      <w:pPr>
        <w:pStyle w:val="ListParagraph"/>
        <w:numPr>
          <w:ilvl w:val="1"/>
          <w:numId w:val="51"/>
        </w:numPr>
        <w:spacing w:after="160"/>
        <w:contextualSpacing/>
        <w:jc w:val="both"/>
      </w:pPr>
      <w:r>
        <w:t>The bulk of costs for the refurbishments of the Supreme Court and the Public Prosecutor’s Office were also paid during this period which had a disproportionately high impact during the financial year. Other significant grants which added to expenditure were:</w:t>
      </w:r>
    </w:p>
    <w:p w:rsidR="001B1423" w:rsidRDefault="001B1423" w:rsidP="001B1423">
      <w:pPr>
        <w:pStyle w:val="ListParagraph"/>
        <w:numPr>
          <w:ilvl w:val="2"/>
          <w:numId w:val="51"/>
        </w:numPr>
        <w:spacing w:after="160"/>
        <w:contextualSpacing/>
        <w:jc w:val="both"/>
      </w:pPr>
      <w:r>
        <w:t>CLMO grant</w:t>
      </w:r>
    </w:p>
    <w:p w:rsidR="001B1423" w:rsidRDefault="001B1423" w:rsidP="001B1423">
      <w:pPr>
        <w:pStyle w:val="ListParagraph"/>
        <w:numPr>
          <w:ilvl w:val="2"/>
          <w:numId w:val="51"/>
        </w:numPr>
        <w:spacing w:after="160"/>
        <w:contextualSpacing/>
        <w:jc w:val="both"/>
      </w:pPr>
      <w:r>
        <w:t>VSDP grant</w:t>
      </w:r>
    </w:p>
    <w:p w:rsidR="001B1423" w:rsidRDefault="001B1423" w:rsidP="001B1423">
      <w:pPr>
        <w:pStyle w:val="ListParagraph"/>
        <w:numPr>
          <w:ilvl w:val="2"/>
          <w:numId w:val="51"/>
        </w:numPr>
        <w:spacing w:after="160"/>
        <w:contextualSpacing/>
        <w:jc w:val="both"/>
      </w:pPr>
      <w:r>
        <w:t>Disability day grant</w:t>
      </w:r>
    </w:p>
    <w:p w:rsidR="001B1423" w:rsidRDefault="001B1423" w:rsidP="001B1423">
      <w:pPr>
        <w:pStyle w:val="ListParagraph"/>
        <w:numPr>
          <w:ilvl w:val="2"/>
          <w:numId w:val="51"/>
        </w:numPr>
        <w:spacing w:after="160"/>
        <w:contextualSpacing/>
        <w:jc w:val="both"/>
      </w:pPr>
      <w:r>
        <w:t>Provincial Disability Committee promotion grant</w:t>
      </w:r>
    </w:p>
    <w:p w:rsidR="001B1423" w:rsidRDefault="001B1423" w:rsidP="001B1423">
      <w:pPr>
        <w:pStyle w:val="ListParagraph"/>
        <w:ind w:left="2160"/>
      </w:pPr>
    </w:p>
    <w:p w:rsidR="001B1423" w:rsidRDefault="001B1423" w:rsidP="001B1423">
      <w:r>
        <w:rPr>
          <w:noProof/>
          <w:lang w:val="en-AU" w:eastAsia="en-AU"/>
        </w:rPr>
        <w:lastRenderedPageBreak/>
        <w:drawing>
          <wp:inline distT="0" distB="0" distL="0" distR="0" wp14:anchorId="18116BF5" wp14:editId="6F6756F7">
            <wp:extent cx="5619750" cy="4090988"/>
            <wp:effectExtent l="0" t="0" r="0"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B1423" w:rsidRDefault="001B1423" w:rsidP="001B1423">
      <w:pPr>
        <w:pStyle w:val="ListParagraph"/>
      </w:pPr>
    </w:p>
    <w:p w:rsidR="001B1423" w:rsidRDefault="001B1423" w:rsidP="001B1423">
      <w:pPr>
        <w:pStyle w:val="ListParagraph"/>
        <w:numPr>
          <w:ilvl w:val="0"/>
          <w:numId w:val="51"/>
        </w:numPr>
        <w:spacing w:after="160" w:line="259" w:lineRule="auto"/>
        <w:contextualSpacing/>
      </w:pPr>
      <w:r>
        <w:t>Operational costs</w:t>
      </w:r>
    </w:p>
    <w:p w:rsidR="001B1423" w:rsidRDefault="001B1423" w:rsidP="001B1423">
      <w:pPr>
        <w:pStyle w:val="ListParagraph"/>
        <w:numPr>
          <w:ilvl w:val="1"/>
          <w:numId w:val="51"/>
        </w:numPr>
        <w:spacing w:after="160"/>
        <w:contextualSpacing/>
        <w:jc w:val="both"/>
      </w:pPr>
      <w:r>
        <w:t xml:space="preserve">One notable change which has impacted on all adviser costs is the model for Technical Assistance to Monitoring and Evaluation. The design for the program previously envisaged a long term M &amp; E Adviser who would work across the program. In undertaking a recruitment, using GRM’s Adviser panels, GRM identified Steve Miller and Nicole Dicker as an effective team to undertake the work. With approval from DFAT the program engaged these short term Advisers. This change has affected operational costs as all short term per </w:t>
      </w:r>
      <w:proofErr w:type="spellStart"/>
      <w:r>
        <w:t>dia</w:t>
      </w:r>
      <w:proofErr w:type="spellEnd"/>
      <w:r>
        <w:t>, flights and accommodation are paid through this line item. There is therefore a slight excess of actual expenditure to this line item.</w:t>
      </w:r>
    </w:p>
    <w:p w:rsidR="001B1423" w:rsidRDefault="001B1423" w:rsidP="001B1423">
      <w:pPr>
        <w:pStyle w:val="ListParagraph"/>
        <w:numPr>
          <w:ilvl w:val="0"/>
          <w:numId w:val="51"/>
        </w:numPr>
        <w:spacing w:after="160"/>
        <w:contextualSpacing/>
        <w:jc w:val="both"/>
      </w:pPr>
      <w:r>
        <w:t>Adviser Support Costs</w:t>
      </w:r>
    </w:p>
    <w:p w:rsidR="001B1423" w:rsidRDefault="001B1423" w:rsidP="001B1423">
      <w:pPr>
        <w:pStyle w:val="ListParagraph"/>
        <w:numPr>
          <w:ilvl w:val="1"/>
          <w:numId w:val="51"/>
        </w:numPr>
        <w:spacing w:after="160"/>
        <w:contextualSpacing/>
        <w:jc w:val="both"/>
      </w:pPr>
      <w:r>
        <w:t>The corollary of point 2 above is that costs for Adviser Support (and Long Term Adviser Costs) are lower than budget as all long term M &amp; E costs have not been expensed in these tables, therefore they appear underspent.</w:t>
      </w:r>
    </w:p>
    <w:p w:rsidR="001B1423" w:rsidRDefault="001B1423" w:rsidP="001B1423">
      <w:pPr>
        <w:pStyle w:val="ListParagraph"/>
        <w:numPr>
          <w:ilvl w:val="0"/>
          <w:numId w:val="51"/>
        </w:numPr>
        <w:spacing w:after="160"/>
        <w:contextualSpacing/>
        <w:jc w:val="both"/>
      </w:pPr>
      <w:r>
        <w:t>Other Personnel Costs</w:t>
      </w:r>
    </w:p>
    <w:p w:rsidR="001B1423" w:rsidRDefault="001B1423" w:rsidP="001B1423">
      <w:pPr>
        <w:pStyle w:val="ListParagraph"/>
        <w:numPr>
          <w:ilvl w:val="1"/>
          <w:numId w:val="51"/>
        </w:numPr>
        <w:spacing w:after="160"/>
        <w:contextualSpacing/>
        <w:jc w:val="both"/>
      </w:pPr>
      <w:r>
        <w:t>This table is slightly over budget due to the work of the Eliminating Violence Against Women Adviser which was previously given inadequate budget during the design phase.</w:t>
      </w:r>
    </w:p>
    <w:p w:rsidR="001B1423" w:rsidRDefault="001B1423" w:rsidP="001B1423">
      <w:pPr>
        <w:pStyle w:val="ListParagraph"/>
        <w:numPr>
          <w:ilvl w:val="0"/>
          <w:numId w:val="51"/>
        </w:numPr>
        <w:spacing w:after="160"/>
        <w:contextualSpacing/>
        <w:jc w:val="both"/>
      </w:pPr>
      <w:r>
        <w:t>Short Term Adviser Costs</w:t>
      </w:r>
    </w:p>
    <w:p w:rsidR="001B1423" w:rsidRDefault="001B1423" w:rsidP="001B1423">
      <w:pPr>
        <w:pStyle w:val="ListParagraph"/>
        <w:numPr>
          <w:ilvl w:val="1"/>
          <w:numId w:val="51"/>
        </w:numPr>
        <w:spacing w:after="160"/>
        <w:contextualSpacing/>
        <w:jc w:val="both"/>
      </w:pPr>
      <w:r>
        <w:t>As mentioned the current overspend versus budget relates to M &amp; E costs shifting to this line item.</w:t>
      </w:r>
    </w:p>
    <w:p w:rsidR="001B1423" w:rsidRDefault="001B1423" w:rsidP="001B1423">
      <w:pPr>
        <w:pStyle w:val="ListParagraph"/>
        <w:numPr>
          <w:ilvl w:val="1"/>
          <w:numId w:val="51"/>
        </w:numPr>
        <w:spacing w:after="160"/>
        <w:contextualSpacing/>
        <w:jc w:val="both"/>
      </w:pPr>
      <w:r>
        <w:lastRenderedPageBreak/>
        <w:t>Further costs during the next 6 months in this line item will be for the Human Resource Management Adviser and Workplace Learning Adviser; these positions will absorb further funding into this item which was not previously anticipated. While this table will remain at variance with the original budget, there is sufficient underspend to support this expenditure.</w:t>
      </w:r>
    </w:p>
    <w:p w:rsidR="001B1423" w:rsidRDefault="001B1423" w:rsidP="001B1423">
      <w:pPr>
        <w:pStyle w:val="ListParagraph"/>
        <w:numPr>
          <w:ilvl w:val="0"/>
          <w:numId w:val="51"/>
        </w:numPr>
        <w:spacing w:after="160"/>
        <w:contextualSpacing/>
        <w:jc w:val="both"/>
      </w:pPr>
      <w:r>
        <w:t>Long Term Adviser Costs</w:t>
      </w:r>
    </w:p>
    <w:p w:rsidR="001B1423" w:rsidRPr="00C5313A" w:rsidRDefault="001B1423" w:rsidP="001B1423">
      <w:pPr>
        <w:pStyle w:val="ListParagraph"/>
        <w:numPr>
          <w:ilvl w:val="1"/>
          <w:numId w:val="51"/>
        </w:numPr>
        <w:spacing w:after="160"/>
        <w:contextualSpacing/>
        <w:jc w:val="both"/>
      </w:pPr>
      <w:r>
        <w:t>In addition to the M &amp; E change there has been no engagement of an adviser to the PPO at this stage. These two changes have led to an underspend in Long Term Adviser costs; this has helped to create the opportunity to spend more through program activities as discussed in point 1 above.</w:t>
      </w:r>
    </w:p>
    <w:p w:rsidR="001B1423" w:rsidRPr="00286A72" w:rsidRDefault="001B1423" w:rsidP="00286A72">
      <w:pPr>
        <w:jc w:val="both"/>
      </w:pPr>
    </w:p>
    <w:p w:rsidR="00286A72" w:rsidRPr="00286A72" w:rsidRDefault="00286A72" w:rsidP="00286A72">
      <w:pPr>
        <w:jc w:val="both"/>
      </w:pPr>
      <w:r w:rsidRPr="00286A72">
        <w:t>In addition</w:t>
      </w:r>
      <w:r>
        <w:t>,</w:t>
      </w:r>
      <w:r w:rsidRPr="00286A72">
        <w:t xml:space="preserve"> the VPF have requested support from the program in an </w:t>
      </w:r>
      <w:r w:rsidRPr="00261F0E">
        <w:rPr>
          <w:i/>
        </w:rPr>
        <w:t>ad</w:t>
      </w:r>
      <w:r w:rsidR="00261F0E" w:rsidRPr="00261F0E">
        <w:rPr>
          <w:i/>
        </w:rPr>
        <w:t xml:space="preserve"> </w:t>
      </w:r>
      <w:r w:rsidRPr="00261F0E">
        <w:rPr>
          <w:i/>
        </w:rPr>
        <w:t>hoc</w:t>
      </w:r>
      <w:r w:rsidRPr="00286A72">
        <w:t xml:space="preserve"> and often ‘last minute’ </w:t>
      </w:r>
      <w:r w:rsidR="00261F0E">
        <w:t>manner</w:t>
      </w:r>
      <w:r w:rsidRPr="00286A72">
        <w:t>. The failure of VPF to plan and carefully organise its budget has meant that it often has inadequate funds to conduct operations or even meet its core needs</w:t>
      </w:r>
      <w:r w:rsidR="00261F0E">
        <w:t xml:space="preserve"> and expenditure, such as utilities</w:t>
      </w:r>
      <w:r w:rsidRPr="00286A72">
        <w:t xml:space="preserve">. This issue has become central to the engagement of the program with the VPF and the program will continue to work with the VAPP and VPF to have an impact on resolving some of these issues. </w:t>
      </w:r>
    </w:p>
    <w:p w:rsidR="008F261C" w:rsidRPr="008F261C" w:rsidRDefault="008F261C" w:rsidP="008F261C">
      <w:pPr>
        <w:rPr>
          <w:lang w:val="en-AU"/>
        </w:rPr>
      </w:pPr>
    </w:p>
    <w:p w:rsidR="00D90BAA" w:rsidRDefault="00D90BAA" w:rsidP="00D90BAA">
      <w:pPr>
        <w:pStyle w:val="Heading2"/>
      </w:pPr>
      <w:bookmarkStart w:id="34" w:name="_Toc411268957"/>
      <w:r>
        <w:t>Effectiveness and Efficiency of Management Systems</w:t>
      </w:r>
      <w:bookmarkEnd w:id="34"/>
    </w:p>
    <w:p w:rsidR="00D90BAA" w:rsidRPr="00E9734A" w:rsidRDefault="00D90BAA" w:rsidP="00D90BAA">
      <w:pPr>
        <w:rPr>
          <w:sz w:val="16"/>
          <w:szCs w:val="16"/>
        </w:rPr>
      </w:pPr>
    </w:p>
    <w:p w:rsidR="00D90BAA" w:rsidRDefault="00D62687" w:rsidP="00E9734A">
      <w:pPr>
        <w:pStyle w:val="Heading3"/>
        <w:numPr>
          <w:ilvl w:val="0"/>
          <w:numId w:val="17"/>
        </w:numPr>
      </w:pPr>
      <w:bookmarkStart w:id="35" w:name="_Toc411268958"/>
      <w:proofErr w:type="spellStart"/>
      <w:r>
        <w:t>Workplan</w:t>
      </w:r>
      <w:bookmarkEnd w:id="35"/>
      <w:proofErr w:type="spellEnd"/>
    </w:p>
    <w:p w:rsidR="00D62687" w:rsidRPr="00EE519F" w:rsidRDefault="00406F83" w:rsidP="00EE519F">
      <w:pPr>
        <w:jc w:val="both"/>
        <w:rPr>
          <w:lang w:val="en-AU"/>
        </w:rPr>
      </w:pPr>
      <w:r w:rsidRPr="00EE519F">
        <w:rPr>
          <w:lang w:val="en-AU"/>
        </w:rPr>
        <w:t xml:space="preserve">In addition to the outputs identified in </w:t>
      </w:r>
      <w:r w:rsidR="00387DA2">
        <w:rPr>
          <w:lang w:val="en-AU"/>
        </w:rPr>
        <w:t xml:space="preserve">the </w:t>
      </w:r>
      <w:r w:rsidR="00D95BE8">
        <w:rPr>
          <w:lang w:val="en-AU"/>
        </w:rPr>
        <w:t xml:space="preserve">PJSPV SRBJ </w:t>
      </w:r>
      <w:proofErr w:type="spellStart"/>
      <w:r w:rsidRPr="00EE519F">
        <w:rPr>
          <w:lang w:val="en-AU"/>
        </w:rPr>
        <w:t>Workplan</w:t>
      </w:r>
      <w:proofErr w:type="spellEnd"/>
      <w:r w:rsidR="00D95BE8">
        <w:rPr>
          <w:lang w:val="en-AU"/>
        </w:rPr>
        <w:t xml:space="preserve"> July 2014-December 2015, the </w:t>
      </w:r>
      <w:proofErr w:type="spellStart"/>
      <w:r w:rsidR="00D95BE8">
        <w:rPr>
          <w:lang w:val="en-AU"/>
        </w:rPr>
        <w:t>Workplan</w:t>
      </w:r>
      <w:proofErr w:type="spellEnd"/>
      <w:r w:rsidRPr="00EE519F">
        <w:rPr>
          <w:lang w:val="en-AU"/>
        </w:rPr>
        <w:t xml:space="preserve"> </w:t>
      </w:r>
      <w:r w:rsidR="00387DA2">
        <w:rPr>
          <w:lang w:val="en-AU"/>
        </w:rPr>
        <w:t xml:space="preserve">also </w:t>
      </w:r>
      <w:r w:rsidRPr="00EE519F">
        <w:rPr>
          <w:lang w:val="en-AU"/>
        </w:rPr>
        <w:t xml:space="preserve">noted the increased demands on management during </w:t>
      </w:r>
      <w:r w:rsidR="00EE519F">
        <w:rPr>
          <w:lang w:val="en-AU"/>
        </w:rPr>
        <w:t>the</w:t>
      </w:r>
      <w:r w:rsidRPr="00EE519F">
        <w:rPr>
          <w:lang w:val="en-AU"/>
        </w:rPr>
        <w:t xml:space="preserve"> </w:t>
      </w:r>
      <w:r w:rsidR="00B85F8E">
        <w:rPr>
          <w:lang w:val="en-AU"/>
        </w:rPr>
        <w:t>initial period</w:t>
      </w:r>
      <w:r w:rsidR="00387DA2">
        <w:rPr>
          <w:lang w:val="en-AU"/>
        </w:rPr>
        <w:t xml:space="preserve"> of Stage 2 and the integrated program</w:t>
      </w:r>
      <w:r w:rsidRPr="00EE519F">
        <w:rPr>
          <w:lang w:val="en-AU"/>
        </w:rPr>
        <w:t xml:space="preserve">. </w:t>
      </w:r>
      <w:r w:rsidR="00EE519F">
        <w:rPr>
          <w:lang w:val="en-AU"/>
        </w:rPr>
        <w:t xml:space="preserve">The </w:t>
      </w:r>
      <w:r w:rsidR="00B85F8E">
        <w:rPr>
          <w:lang w:val="en-AU"/>
        </w:rPr>
        <w:t>heightened demand on</w:t>
      </w:r>
      <w:r w:rsidR="00EE519F">
        <w:rPr>
          <w:lang w:val="en-AU"/>
        </w:rPr>
        <w:t xml:space="preserve"> management was foreseen </w:t>
      </w:r>
      <w:r w:rsidR="00B85F8E">
        <w:rPr>
          <w:lang w:val="en-AU"/>
        </w:rPr>
        <w:t>and</w:t>
      </w:r>
      <w:r w:rsidR="00EE519F">
        <w:rPr>
          <w:lang w:val="en-AU"/>
        </w:rPr>
        <w:t xml:space="preserve"> has required significant</w:t>
      </w:r>
      <w:r w:rsidR="00B85F8E">
        <w:rPr>
          <w:lang w:val="en-AU"/>
        </w:rPr>
        <w:t xml:space="preserve"> additional</w:t>
      </w:r>
      <w:r w:rsidR="00EE519F">
        <w:rPr>
          <w:lang w:val="en-AU"/>
        </w:rPr>
        <w:t xml:space="preserve"> </w:t>
      </w:r>
      <w:r w:rsidR="00387DA2">
        <w:rPr>
          <w:lang w:val="en-AU"/>
        </w:rPr>
        <w:t>time</w:t>
      </w:r>
      <w:r w:rsidR="00EE519F">
        <w:rPr>
          <w:lang w:val="en-AU"/>
        </w:rPr>
        <w:t xml:space="preserve"> over the reporting period</w:t>
      </w:r>
      <w:r w:rsidR="00B85F8E">
        <w:rPr>
          <w:lang w:val="en-AU"/>
        </w:rPr>
        <w:t xml:space="preserve"> as </w:t>
      </w:r>
      <w:r w:rsidR="00387DA2">
        <w:rPr>
          <w:lang w:val="en-AU"/>
        </w:rPr>
        <w:t xml:space="preserve">was </w:t>
      </w:r>
      <w:r w:rsidR="00B85F8E">
        <w:rPr>
          <w:lang w:val="en-AU"/>
        </w:rPr>
        <w:t>anticipated</w:t>
      </w:r>
      <w:r w:rsidR="00EE519F">
        <w:rPr>
          <w:lang w:val="en-AU"/>
        </w:rPr>
        <w:t>.</w:t>
      </w:r>
      <w:r w:rsidRPr="00EE519F">
        <w:rPr>
          <w:lang w:val="en-AU"/>
        </w:rPr>
        <w:t xml:space="preserve"> </w:t>
      </w:r>
      <w:r w:rsidR="00EE519F">
        <w:rPr>
          <w:lang w:val="en-AU"/>
        </w:rPr>
        <w:t xml:space="preserve">The additional outputs </w:t>
      </w:r>
      <w:r w:rsidR="00C23A1A" w:rsidRPr="00EE519F">
        <w:rPr>
          <w:lang w:val="en-AU"/>
        </w:rPr>
        <w:t xml:space="preserve">are </w:t>
      </w:r>
      <w:r w:rsidR="00B85F8E">
        <w:rPr>
          <w:lang w:val="en-AU"/>
        </w:rPr>
        <w:t xml:space="preserve">taken from the </w:t>
      </w:r>
      <w:proofErr w:type="spellStart"/>
      <w:r w:rsidR="00B85F8E">
        <w:rPr>
          <w:lang w:val="en-AU"/>
        </w:rPr>
        <w:t>Workplan</w:t>
      </w:r>
      <w:proofErr w:type="spellEnd"/>
      <w:r w:rsidR="00387DA2">
        <w:rPr>
          <w:rStyle w:val="FootnoteReference"/>
          <w:lang w:val="en-AU"/>
        </w:rPr>
        <w:footnoteReference w:id="27"/>
      </w:r>
      <w:r w:rsidR="00B85F8E">
        <w:rPr>
          <w:lang w:val="en-AU"/>
        </w:rPr>
        <w:t xml:space="preserve"> with updating comments</w:t>
      </w:r>
      <w:r w:rsidR="006300D1">
        <w:rPr>
          <w:lang w:val="en-AU"/>
        </w:rPr>
        <w:t xml:space="preserve"> provided in the </w:t>
      </w:r>
      <w:r w:rsidR="003173A8">
        <w:rPr>
          <w:lang w:val="en-AU"/>
        </w:rPr>
        <w:t xml:space="preserve">right </w:t>
      </w:r>
      <w:r w:rsidR="006300D1">
        <w:rPr>
          <w:lang w:val="en-AU"/>
        </w:rPr>
        <w:t>column</w:t>
      </w:r>
      <w:r w:rsidR="00B85F8E">
        <w:rPr>
          <w:lang w:val="en-AU"/>
        </w:rPr>
        <w:t>:</w:t>
      </w:r>
      <w:r w:rsidR="00C23A1A" w:rsidRPr="00EE519F">
        <w:rPr>
          <w:lang w:val="en-AU"/>
        </w:rPr>
        <w:t xml:space="preserve"> </w:t>
      </w:r>
    </w:p>
    <w:tbl>
      <w:tblPr>
        <w:tblStyle w:val="TableGrid"/>
        <w:tblW w:w="0" w:type="auto"/>
        <w:tblLook w:val="04A0" w:firstRow="1" w:lastRow="0" w:firstColumn="1" w:lastColumn="0" w:noHBand="0" w:noVBand="1"/>
      </w:tblPr>
      <w:tblGrid>
        <w:gridCol w:w="4621"/>
        <w:gridCol w:w="4621"/>
      </w:tblGrid>
      <w:tr w:rsidR="00C23A1A" w:rsidRPr="00C23A1A">
        <w:tc>
          <w:tcPr>
            <w:tcW w:w="9242" w:type="dxa"/>
            <w:gridSpan w:val="2"/>
            <w:shd w:val="clear" w:color="auto" w:fill="D6E3BC" w:themeFill="accent3" w:themeFillTint="66"/>
          </w:tcPr>
          <w:p w:rsidR="00C23A1A" w:rsidRPr="00C23A1A" w:rsidRDefault="00C23A1A" w:rsidP="00C23A1A">
            <w:pPr>
              <w:spacing w:after="0" w:line="240" w:lineRule="auto"/>
              <w:jc w:val="center"/>
              <w:rPr>
                <w:b/>
                <w:lang w:val="en-AU"/>
              </w:rPr>
            </w:pPr>
            <w:r w:rsidRPr="00C23A1A">
              <w:rPr>
                <w:b/>
                <w:lang w:val="en-AU"/>
              </w:rPr>
              <w:t>Increased demands on management of the program during the commencement of PJSPV</w:t>
            </w:r>
          </w:p>
        </w:tc>
      </w:tr>
      <w:tr w:rsidR="00C23A1A" w:rsidRPr="00C23A1A">
        <w:tc>
          <w:tcPr>
            <w:tcW w:w="4621" w:type="dxa"/>
          </w:tcPr>
          <w:p w:rsidR="00C23A1A" w:rsidRPr="00C23A1A" w:rsidRDefault="00C23A1A" w:rsidP="00387DA2">
            <w:pPr>
              <w:spacing w:after="0"/>
              <w:rPr>
                <w:sz w:val="20"/>
                <w:szCs w:val="20"/>
                <w:lang w:val="en-AU"/>
              </w:rPr>
            </w:pPr>
            <w:r w:rsidRPr="00C23A1A">
              <w:rPr>
                <w:b/>
                <w:sz w:val="20"/>
                <w:szCs w:val="20"/>
                <w:lang w:val="en-AU"/>
              </w:rPr>
              <w:t>Ambit</w:t>
            </w:r>
            <w:r w:rsidRPr="00C23A1A">
              <w:rPr>
                <w:sz w:val="20"/>
                <w:szCs w:val="20"/>
                <w:lang w:val="en-AU"/>
              </w:rPr>
              <w:t>: The breadth of the integrated program has broadened requiring SRBJ interventions to increase their reach to VPF in addition to its former thirteen or more agencies, departments and organisations.</w:t>
            </w:r>
          </w:p>
        </w:tc>
        <w:tc>
          <w:tcPr>
            <w:tcW w:w="4621" w:type="dxa"/>
          </w:tcPr>
          <w:p w:rsidR="00C23A1A" w:rsidRPr="00C23A1A" w:rsidRDefault="00C23A1A" w:rsidP="00387DA2">
            <w:pPr>
              <w:spacing w:after="0"/>
              <w:rPr>
                <w:sz w:val="20"/>
                <w:szCs w:val="20"/>
                <w:lang w:val="en-AU"/>
              </w:rPr>
            </w:pPr>
            <w:r w:rsidRPr="00C23A1A">
              <w:rPr>
                <w:sz w:val="20"/>
                <w:szCs w:val="20"/>
                <w:lang w:val="en-AU"/>
              </w:rPr>
              <w:t xml:space="preserve">Team has </w:t>
            </w:r>
            <w:r>
              <w:rPr>
                <w:sz w:val="20"/>
                <w:szCs w:val="20"/>
                <w:lang w:val="en-AU"/>
              </w:rPr>
              <w:t xml:space="preserve">been working effectively </w:t>
            </w:r>
            <w:r w:rsidR="00387DA2">
              <w:rPr>
                <w:sz w:val="20"/>
                <w:szCs w:val="20"/>
                <w:lang w:val="en-AU"/>
              </w:rPr>
              <w:t>to provide</w:t>
            </w:r>
            <w:r>
              <w:rPr>
                <w:sz w:val="20"/>
                <w:szCs w:val="20"/>
                <w:lang w:val="en-AU"/>
              </w:rPr>
              <w:t xml:space="preserve"> support to police in the first 6 months of the program, for example; in financial and contracting support through the management of the operational fund; case and data management support; at the interface between state (police) prosecutions and investigations; working with the CSU; supporting the WAN; working with </w:t>
            </w:r>
            <w:r w:rsidR="003569B9">
              <w:rPr>
                <w:sz w:val="20"/>
                <w:szCs w:val="20"/>
                <w:lang w:val="en-AU"/>
              </w:rPr>
              <w:t>Head of Port Vila Station.</w:t>
            </w:r>
          </w:p>
        </w:tc>
      </w:tr>
      <w:tr w:rsidR="00C23A1A" w:rsidRPr="00C23A1A">
        <w:tc>
          <w:tcPr>
            <w:tcW w:w="4621" w:type="dxa"/>
          </w:tcPr>
          <w:p w:rsidR="00C23A1A" w:rsidRPr="00C23A1A" w:rsidRDefault="00C23A1A" w:rsidP="00387DA2">
            <w:pPr>
              <w:spacing w:after="0"/>
              <w:rPr>
                <w:sz w:val="20"/>
                <w:szCs w:val="20"/>
                <w:lang w:val="en-AU"/>
              </w:rPr>
            </w:pPr>
            <w:r w:rsidRPr="00C23A1A">
              <w:rPr>
                <w:b/>
                <w:sz w:val="20"/>
                <w:szCs w:val="20"/>
                <w:lang w:val="en-AU"/>
              </w:rPr>
              <w:t>Staff</w:t>
            </w:r>
            <w:r w:rsidRPr="00C23A1A">
              <w:rPr>
                <w:sz w:val="20"/>
                <w:szCs w:val="20"/>
                <w:lang w:val="en-AU"/>
              </w:rPr>
              <w:t xml:space="preserve">: SRBJ (and GRM) now manage more finance and administrative staff (with three recent additions). In addition, it will be recruiting and supporting additional technical advisers and additional in-line </w:t>
            </w:r>
            <w:r w:rsidRPr="00C23A1A">
              <w:rPr>
                <w:sz w:val="20"/>
                <w:szCs w:val="20"/>
                <w:lang w:val="en-AU"/>
              </w:rPr>
              <w:lastRenderedPageBreak/>
              <w:t xml:space="preserve">staff for the sector (more than seven) in addition to ongoing short term needs as appropriate. </w:t>
            </w:r>
          </w:p>
        </w:tc>
        <w:tc>
          <w:tcPr>
            <w:tcW w:w="4621" w:type="dxa"/>
          </w:tcPr>
          <w:p w:rsidR="00C23A1A" w:rsidRPr="00C23A1A" w:rsidRDefault="003569B9" w:rsidP="003569B9">
            <w:pPr>
              <w:spacing w:after="0"/>
              <w:rPr>
                <w:sz w:val="20"/>
                <w:szCs w:val="20"/>
                <w:lang w:val="en-AU"/>
              </w:rPr>
            </w:pPr>
            <w:r>
              <w:rPr>
                <w:sz w:val="20"/>
                <w:szCs w:val="20"/>
                <w:lang w:val="en-AU"/>
              </w:rPr>
              <w:lastRenderedPageBreak/>
              <w:t xml:space="preserve">SRBJ has effectively managed the finance and administrative staff of VAPP and SRBJ but one staff member has recently resigned increasing the workload for the remaining VAPP support staff. </w:t>
            </w:r>
            <w:r>
              <w:rPr>
                <w:sz w:val="20"/>
                <w:szCs w:val="20"/>
                <w:lang w:val="en-AU"/>
              </w:rPr>
              <w:lastRenderedPageBreak/>
              <w:t xml:space="preserve">Recruitment is currently underway for four positions. </w:t>
            </w:r>
          </w:p>
        </w:tc>
      </w:tr>
      <w:tr w:rsidR="00C23A1A" w:rsidRPr="00C23A1A">
        <w:tc>
          <w:tcPr>
            <w:tcW w:w="4621" w:type="dxa"/>
          </w:tcPr>
          <w:p w:rsidR="00C23A1A" w:rsidRPr="00C23A1A" w:rsidRDefault="00C23A1A" w:rsidP="00387DA2">
            <w:pPr>
              <w:spacing w:after="0"/>
              <w:rPr>
                <w:sz w:val="20"/>
                <w:szCs w:val="20"/>
                <w:lang w:val="en-AU"/>
              </w:rPr>
            </w:pPr>
            <w:r w:rsidRPr="00C23A1A">
              <w:rPr>
                <w:b/>
                <w:sz w:val="20"/>
                <w:szCs w:val="20"/>
                <w:lang w:val="en-AU"/>
              </w:rPr>
              <w:lastRenderedPageBreak/>
              <w:t>Funding and financial management</w:t>
            </w:r>
            <w:r w:rsidRPr="00C23A1A">
              <w:rPr>
                <w:sz w:val="20"/>
                <w:szCs w:val="20"/>
                <w:lang w:val="en-AU"/>
              </w:rPr>
              <w:t>: SRBJ (and GRM) manage an increased quantum of funds with an increased number of funding mechanisms (programmatic funds, significant grants [e.g. VLC, SCV], the SRBJ grants facility, the VPF operations fund, and differing requirements for personnel support costs) which requires significantly more investment in financial management and oversight.</w:t>
            </w:r>
          </w:p>
        </w:tc>
        <w:tc>
          <w:tcPr>
            <w:tcW w:w="4621" w:type="dxa"/>
          </w:tcPr>
          <w:p w:rsidR="00C23A1A" w:rsidRPr="00C23A1A" w:rsidRDefault="003569B9" w:rsidP="003569B9">
            <w:pPr>
              <w:spacing w:after="0"/>
              <w:rPr>
                <w:sz w:val="20"/>
                <w:szCs w:val="20"/>
                <w:lang w:val="en-AU"/>
              </w:rPr>
            </w:pPr>
            <w:r>
              <w:rPr>
                <w:sz w:val="20"/>
                <w:szCs w:val="20"/>
                <w:lang w:val="en-AU"/>
              </w:rPr>
              <w:t>Funding and financial management, despite increased quantum and number of funding mechanisms has remained consistently effective and has been able to provide increased transparency and accountability in some areas to DFAT.</w:t>
            </w:r>
          </w:p>
        </w:tc>
      </w:tr>
      <w:tr w:rsidR="00C23A1A" w:rsidRPr="00C23A1A">
        <w:tc>
          <w:tcPr>
            <w:tcW w:w="4621" w:type="dxa"/>
          </w:tcPr>
          <w:p w:rsidR="00C23A1A" w:rsidRPr="00C23A1A" w:rsidRDefault="00C23A1A" w:rsidP="00387DA2">
            <w:pPr>
              <w:spacing w:after="0"/>
              <w:rPr>
                <w:sz w:val="20"/>
                <w:szCs w:val="20"/>
                <w:lang w:val="en-AU"/>
              </w:rPr>
            </w:pPr>
            <w:r w:rsidRPr="00C23A1A">
              <w:rPr>
                <w:b/>
                <w:sz w:val="20"/>
                <w:szCs w:val="20"/>
                <w:lang w:val="en-AU"/>
              </w:rPr>
              <w:t>New implementation arrangements and partners</w:t>
            </w:r>
            <w:r w:rsidRPr="00C23A1A">
              <w:rPr>
                <w:sz w:val="20"/>
                <w:szCs w:val="20"/>
                <w:lang w:val="en-AU"/>
              </w:rPr>
              <w:t>: SRBJ has new implementation procedures and partners that need to be managed effectively and collaboratively to ensure the efficacy of the integrated program</w:t>
            </w:r>
          </w:p>
        </w:tc>
        <w:tc>
          <w:tcPr>
            <w:tcW w:w="4621" w:type="dxa"/>
          </w:tcPr>
          <w:p w:rsidR="00C23A1A" w:rsidRPr="00C23A1A" w:rsidRDefault="003569B9" w:rsidP="003569B9">
            <w:pPr>
              <w:spacing w:after="0"/>
              <w:rPr>
                <w:sz w:val="20"/>
                <w:szCs w:val="20"/>
                <w:lang w:val="en-AU"/>
              </w:rPr>
            </w:pPr>
            <w:r>
              <w:rPr>
                <w:sz w:val="20"/>
                <w:szCs w:val="20"/>
                <w:lang w:val="en-AU"/>
              </w:rPr>
              <w:t>New implementation arrangements with implementation partners have been agreed and implemented and are working effectively and collaboratively.</w:t>
            </w:r>
          </w:p>
        </w:tc>
      </w:tr>
      <w:tr w:rsidR="00C23A1A" w:rsidRPr="00C23A1A">
        <w:tc>
          <w:tcPr>
            <w:tcW w:w="4621" w:type="dxa"/>
          </w:tcPr>
          <w:p w:rsidR="00C23A1A" w:rsidRPr="00C23A1A" w:rsidRDefault="00C23A1A" w:rsidP="00387DA2">
            <w:pPr>
              <w:spacing w:after="0"/>
              <w:rPr>
                <w:sz w:val="20"/>
                <w:szCs w:val="20"/>
                <w:lang w:val="en-AU"/>
              </w:rPr>
            </w:pPr>
            <w:r w:rsidRPr="00C23A1A">
              <w:rPr>
                <w:b/>
                <w:sz w:val="20"/>
                <w:szCs w:val="20"/>
                <w:lang w:val="en-AU"/>
              </w:rPr>
              <w:t>Recruitment</w:t>
            </w:r>
            <w:r w:rsidRPr="00C23A1A">
              <w:rPr>
                <w:sz w:val="20"/>
                <w:szCs w:val="20"/>
                <w:lang w:val="en-AU"/>
              </w:rPr>
              <w:t xml:space="preserve">: The </w:t>
            </w:r>
            <w:proofErr w:type="spellStart"/>
            <w:r w:rsidR="00387DA2">
              <w:rPr>
                <w:sz w:val="20"/>
                <w:szCs w:val="20"/>
                <w:lang w:val="en-AU"/>
              </w:rPr>
              <w:t>Workplan</w:t>
            </w:r>
            <w:proofErr w:type="spellEnd"/>
            <w:r w:rsidRPr="00C23A1A">
              <w:rPr>
                <w:sz w:val="20"/>
                <w:szCs w:val="20"/>
                <w:lang w:val="en-AU"/>
              </w:rPr>
              <w:t xml:space="preserve"> covers a period of recruitment of more than seven long and short term positions which is an administration-heavy activity. </w:t>
            </w:r>
          </w:p>
        </w:tc>
        <w:tc>
          <w:tcPr>
            <w:tcW w:w="4621" w:type="dxa"/>
          </w:tcPr>
          <w:p w:rsidR="00C23A1A" w:rsidRPr="00C23A1A" w:rsidRDefault="003569B9" w:rsidP="003569B9">
            <w:pPr>
              <w:spacing w:after="0"/>
              <w:rPr>
                <w:sz w:val="20"/>
                <w:szCs w:val="20"/>
                <w:lang w:val="en-AU"/>
              </w:rPr>
            </w:pPr>
            <w:r>
              <w:rPr>
                <w:sz w:val="20"/>
                <w:szCs w:val="20"/>
                <w:lang w:val="en-AU"/>
              </w:rPr>
              <w:t xml:space="preserve">There has been delay in some recruitment although three positions have been recruited; one has a contract pending and four </w:t>
            </w:r>
            <w:r w:rsidR="00066148">
              <w:rPr>
                <w:sz w:val="20"/>
                <w:szCs w:val="20"/>
                <w:lang w:val="en-AU"/>
              </w:rPr>
              <w:t>are currently under recruitment (see section 5e Staffing &amp; Human Resource Management for more detail).</w:t>
            </w:r>
          </w:p>
        </w:tc>
      </w:tr>
      <w:tr w:rsidR="00C23A1A" w:rsidRPr="00C23A1A">
        <w:tc>
          <w:tcPr>
            <w:tcW w:w="4621" w:type="dxa"/>
          </w:tcPr>
          <w:p w:rsidR="00C23A1A" w:rsidRPr="00C23A1A" w:rsidRDefault="00C23A1A" w:rsidP="00387DA2">
            <w:pPr>
              <w:spacing w:after="0"/>
              <w:rPr>
                <w:sz w:val="20"/>
                <w:szCs w:val="20"/>
                <w:lang w:val="en-AU"/>
              </w:rPr>
            </w:pPr>
            <w:r w:rsidRPr="00C23A1A">
              <w:rPr>
                <w:b/>
                <w:sz w:val="20"/>
                <w:szCs w:val="20"/>
                <w:lang w:val="en-AU"/>
              </w:rPr>
              <w:t xml:space="preserve">Program Management deliverables: </w:t>
            </w:r>
            <w:r w:rsidRPr="00C23A1A">
              <w:rPr>
                <w:sz w:val="20"/>
                <w:szCs w:val="20"/>
                <w:lang w:val="en-AU"/>
              </w:rPr>
              <w:t>SRBJ will/has deliver/</w:t>
            </w:r>
            <w:proofErr w:type="spellStart"/>
            <w:r w:rsidRPr="00C23A1A">
              <w:rPr>
                <w:sz w:val="20"/>
                <w:szCs w:val="20"/>
                <w:lang w:val="en-AU"/>
              </w:rPr>
              <w:t>ed</w:t>
            </w:r>
            <w:proofErr w:type="spellEnd"/>
            <w:r w:rsidRPr="00C23A1A">
              <w:rPr>
                <w:sz w:val="20"/>
                <w:szCs w:val="20"/>
                <w:lang w:val="en-AU"/>
              </w:rPr>
              <w:t xml:space="preserve"> a number of key documents/activities required to guide the effective and efficient delivery of the program</w:t>
            </w:r>
            <w:r w:rsidRPr="00C23A1A">
              <w:rPr>
                <w:b/>
                <w:sz w:val="20"/>
                <w:szCs w:val="20"/>
                <w:lang w:val="en-AU"/>
              </w:rPr>
              <w:t xml:space="preserve"> </w:t>
            </w:r>
            <w:r w:rsidRPr="00C23A1A">
              <w:rPr>
                <w:sz w:val="20"/>
                <w:szCs w:val="20"/>
                <w:lang w:val="en-AU"/>
              </w:rPr>
              <w:t>in a truncated period of time since the commencement of PJSPV on 1 July 2014. These include:</w:t>
            </w:r>
          </w:p>
          <w:p w:rsidR="00C23A1A" w:rsidRPr="00C23A1A" w:rsidRDefault="00C23A1A" w:rsidP="007D2BBC">
            <w:pPr>
              <w:pStyle w:val="ListParagraph"/>
              <w:numPr>
                <w:ilvl w:val="0"/>
                <w:numId w:val="29"/>
              </w:numPr>
              <w:spacing w:after="0"/>
              <w:rPr>
                <w:sz w:val="20"/>
                <w:szCs w:val="20"/>
                <w:lang w:val="en-AU"/>
              </w:rPr>
            </w:pPr>
            <w:r w:rsidRPr="00C23A1A">
              <w:rPr>
                <w:sz w:val="20"/>
                <w:szCs w:val="20"/>
                <w:lang w:val="en-AU"/>
              </w:rPr>
              <w:t>Completion Report for SRBJ (1 March 2012-30 June 2014)</w:t>
            </w:r>
          </w:p>
          <w:p w:rsidR="00C23A1A" w:rsidRPr="00C23A1A" w:rsidRDefault="00C23A1A" w:rsidP="007D2BBC">
            <w:pPr>
              <w:pStyle w:val="ListParagraph"/>
              <w:numPr>
                <w:ilvl w:val="0"/>
                <w:numId w:val="29"/>
              </w:numPr>
              <w:spacing w:after="0"/>
              <w:rPr>
                <w:sz w:val="20"/>
                <w:szCs w:val="20"/>
                <w:lang w:val="en-AU"/>
              </w:rPr>
            </w:pPr>
            <w:r w:rsidRPr="00C23A1A">
              <w:rPr>
                <w:sz w:val="20"/>
                <w:szCs w:val="20"/>
                <w:lang w:val="en-AU"/>
              </w:rPr>
              <w:t xml:space="preserve">18 Month </w:t>
            </w:r>
            <w:proofErr w:type="spellStart"/>
            <w:r w:rsidRPr="00C23A1A">
              <w:rPr>
                <w:sz w:val="20"/>
                <w:szCs w:val="20"/>
                <w:lang w:val="en-AU"/>
              </w:rPr>
              <w:t>Workplan</w:t>
            </w:r>
            <w:proofErr w:type="spellEnd"/>
            <w:r w:rsidRPr="00C23A1A">
              <w:rPr>
                <w:sz w:val="20"/>
                <w:szCs w:val="20"/>
                <w:lang w:val="en-AU"/>
              </w:rPr>
              <w:t xml:space="preserve"> for SRBJ (30 June 2014 to 31 December 2015)</w:t>
            </w:r>
          </w:p>
          <w:p w:rsidR="00C23A1A" w:rsidRPr="00C23A1A" w:rsidRDefault="00C23A1A" w:rsidP="007D2BBC">
            <w:pPr>
              <w:pStyle w:val="ListParagraph"/>
              <w:numPr>
                <w:ilvl w:val="0"/>
                <w:numId w:val="29"/>
              </w:numPr>
              <w:spacing w:after="0"/>
              <w:rPr>
                <w:sz w:val="20"/>
                <w:szCs w:val="20"/>
                <w:lang w:val="en-AU"/>
              </w:rPr>
            </w:pPr>
            <w:r w:rsidRPr="00C23A1A">
              <w:rPr>
                <w:sz w:val="20"/>
                <w:szCs w:val="20"/>
                <w:lang w:val="en-AU"/>
              </w:rPr>
              <w:t xml:space="preserve">Monitoring &amp; Evaluation </w:t>
            </w:r>
            <w:r w:rsidR="003569B9">
              <w:rPr>
                <w:sz w:val="20"/>
                <w:szCs w:val="20"/>
                <w:lang w:val="en-AU"/>
              </w:rPr>
              <w:t>Plan</w:t>
            </w:r>
            <w:r w:rsidRPr="00C23A1A">
              <w:rPr>
                <w:sz w:val="20"/>
                <w:szCs w:val="20"/>
                <w:lang w:val="en-AU"/>
              </w:rPr>
              <w:t xml:space="preserve"> for PJSPV Stage 2 (30 June 2014-31 December 2016)</w:t>
            </w:r>
          </w:p>
          <w:p w:rsidR="00C23A1A" w:rsidRDefault="00C23A1A" w:rsidP="007D2BBC">
            <w:pPr>
              <w:pStyle w:val="ListParagraph"/>
              <w:numPr>
                <w:ilvl w:val="0"/>
                <w:numId w:val="29"/>
              </w:numPr>
              <w:spacing w:after="0"/>
              <w:rPr>
                <w:sz w:val="20"/>
                <w:szCs w:val="20"/>
                <w:lang w:val="en-AU"/>
              </w:rPr>
            </w:pPr>
            <w:r w:rsidRPr="00C23A1A">
              <w:rPr>
                <w:sz w:val="20"/>
                <w:szCs w:val="20"/>
                <w:lang w:val="en-AU"/>
              </w:rPr>
              <w:t>Review, update and communicate processes relating to the SRBJ Grant Facility</w:t>
            </w:r>
          </w:p>
          <w:p w:rsidR="003569B9" w:rsidRPr="003569B9" w:rsidRDefault="003569B9" w:rsidP="00387DA2">
            <w:pPr>
              <w:spacing w:after="0"/>
              <w:rPr>
                <w:sz w:val="20"/>
                <w:szCs w:val="20"/>
                <w:lang w:val="en-AU"/>
              </w:rPr>
            </w:pPr>
          </w:p>
          <w:p w:rsidR="00C23A1A" w:rsidRPr="00C23A1A" w:rsidRDefault="00C23A1A" w:rsidP="007D2BBC">
            <w:pPr>
              <w:pStyle w:val="ListParagraph"/>
              <w:numPr>
                <w:ilvl w:val="0"/>
                <w:numId w:val="29"/>
              </w:numPr>
              <w:spacing w:after="0"/>
              <w:rPr>
                <w:sz w:val="20"/>
                <w:szCs w:val="20"/>
                <w:lang w:val="en-AU"/>
              </w:rPr>
            </w:pPr>
            <w:r w:rsidRPr="00C23A1A">
              <w:rPr>
                <w:sz w:val="20"/>
                <w:szCs w:val="20"/>
                <w:lang w:val="en-AU"/>
              </w:rPr>
              <w:t>PJSPV Gender Strategy</w:t>
            </w:r>
          </w:p>
          <w:p w:rsidR="00C23A1A" w:rsidRPr="00C23A1A" w:rsidRDefault="00C23A1A" w:rsidP="007D2BBC">
            <w:pPr>
              <w:pStyle w:val="ListParagraph"/>
              <w:numPr>
                <w:ilvl w:val="0"/>
                <w:numId w:val="29"/>
              </w:numPr>
              <w:spacing w:after="0"/>
              <w:rPr>
                <w:sz w:val="20"/>
                <w:szCs w:val="20"/>
                <w:lang w:val="en-AU"/>
              </w:rPr>
            </w:pPr>
            <w:r w:rsidRPr="00C23A1A">
              <w:rPr>
                <w:sz w:val="20"/>
                <w:szCs w:val="20"/>
                <w:lang w:val="en-AU"/>
              </w:rPr>
              <w:t>Review of SCV’s Stage 2 Child Protection Program</w:t>
            </w:r>
          </w:p>
          <w:p w:rsidR="003569B9" w:rsidRPr="003569B9" w:rsidRDefault="003569B9" w:rsidP="00387DA2">
            <w:pPr>
              <w:spacing w:after="0"/>
              <w:rPr>
                <w:sz w:val="20"/>
                <w:szCs w:val="20"/>
                <w:lang w:val="en-AU"/>
              </w:rPr>
            </w:pPr>
          </w:p>
          <w:p w:rsidR="00C23A1A" w:rsidRPr="00C23A1A" w:rsidRDefault="00C23A1A" w:rsidP="007D2BBC">
            <w:pPr>
              <w:pStyle w:val="ListParagraph"/>
              <w:numPr>
                <w:ilvl w:val="0"/>
                <w:numId w:val="29"/>
              </w:numPr>
              <w:spacing w:after="0"/>
              <w:rPr>
                <w:sz w:val="20"/>
                <w:szCs w:val="20"/>
                <w:lang w:val="en-AU"/>
              </w:rPr>
            </w:pPr>
            <w:r w:rsidRPr="00C23A1A">
              <w:rPr>
                <w:sz w:val="20"/>
                <w:szCs w:val="20"/>
                <w:lang w:val="en-AU"/>
              </w:rPr>
              <w:t xml:space="preserve">Consultation on and framing of the youth justice research piece </w:t>
            </w:r>
          </w:p>
          <w:p w:rsidR="00C23A1A" w:rsidRPr="00C23A1A" w:rsidRDefault="00C23A1A" w:rsidP="007D2BBC">
            <w:pPr>
              <w:pStyle w:val="ListParagraph"/>
              <w:numPr>
                <w:ilvl w:val="0"/>
                <w:numId w:val="29"/>
              </w:numPr>
              <w:spacing w:after="0"/>
              <w:rPr>
                <w:b/>
                <w:sz w:val="20"/>
                <w:szCs w:val="20"/>
                <w:lang w:val="en-AU"/>
              </w:rPr>
            </w:pPr>
            <w:r w:rsidRPr="00C23A1A">
              <w:rPr>
                <w:sz w:val="20"/>
                <w:szCs w:val="20"/>
                <w:lang w:val="en-AU"/>
              </w:rPr>
              <w:t>Capacity Assessment and Planning for VPF.</w:t>
            </w:r>
          </w:p>
        </w:tc>
        <w:tc>
          <w:tcPr>
            <w:tcW w:w="4621" w:type="dxa"/>
          </w:tcPr>
          <w:p w:rsidR="00C23A1A" w:rsidRDefault="00EE519F" w:rsidP="003569B9">
            <w:pPr>
              <w:spacing w:after="0"/>
              <w:rPr>
                <w:sz w:val="20"/>
                <w:szCs w:val="20"/>
                <w:lang w:val="en-AU"/>
              </w:rPr>
            </w:pPr>
            <w:r>
              <w:rPr>
                <w:sz w:val="20"/>
                <w:szCs w:val="20"/>
                <w:lang w:val="en-AU"/>
              </w:rPr>
              <w:t>Program management deliverables have overall been provided on time and at good quality (based on the feedback from DFAT</w:t>
            </w:r>
            <w:r w:rsidR="00387DA2">
              <w:rPr>
                <w:sz w:val="20"/>
                <w:szCs w:val="20"/>
                <w:lang w:val="en-AU"/>
              </w:rPr>
              <w:t>)</w:t>
            </w:r>
            <w:r>
              <w:rPr>
                <w:sz w:val="20"/>
                <w:szCs w:val="20"/>
                <w:lang w:val="en-AU"/>
              </w:rPr>
              <w:t xml:space="preserve"> as follows:</w:t>
            </w:r>
          </w:p>
          <w:p w:rsidR="003569B9" w:rsidRDefault="003569B9" w:rsidP="003569B9">
            <w:pPr>
              <w:spacing w:after="0"/>
              <w:rPr>
                <w:sz w:val="20"/>
                <w:szCs w:val="20"/>
                <w:lang w:val="en-AU"/>
              </w:rPr>
            </w:pPr>
          </w:p>
          <w:p w:rsidR="003569B9" w:rsidRDefault="003569B9" w:rsidP="003569B9">
            <w:pPr>
              <w:spacing w:after="0"/>
              <w:rPr>
                <w:sz w:val="20"/>
                <w:szCs w:val="20"/>
                <w:lang w:val="en-AU"/>
              </w:rPr>
            </w:pPr>
          </w:p>
          <w:p w:rsidR="003569B9" w:rsidRDefault="003569B9" w:rsidP="003569B9">
            <w:pPr>
              <w:spacing w:after="0"/>
              <w:rPr>
                <w:sz w:val="20"/>
                <w:szCs w:val="20"/>
                <w:lang w:val="en-AU"/>
              </w:rPr>
            </w:pPr>
          </w:p>
          <w:p w:rsidR="003569B9" w:rsidRDefault="003569B9" w:rsidP="007D2BBC">
            <w:pPr>
              <w:pStyle w:val="ListParagraph"/>
              <w:numPr>
                <w:ilvl w:val="0"/>
                <w:numId w:val="29"/>
              </w:numPr>
              <w:spacing w:after="0"/>
              <w:rPr>
                <w:sz w:val="20"/>
                <w:szCs w:val="20"/>
                <w:lang w:val="en-AU"/>
              </w:rPr>
            </w:pPr>
            <w:r>
              <w:rPr>
                <w:sz w:val="20"/>
                <w:szCs w:val="20"/>
                <w:lang w:val="en-AU"/>
              </w:rPr>
              <w:t>Completion report was submitted on time, reviewed and finalised</w:t>
            </w:r>
          </w:p>
          <w:p w:rsidR="003569B9" w:rsidRDefault="003569B9" w:rsidP="007D2BBC">
            <w:pPr>
              <w:pStyle w:val="ListParagraph"/>
              <w:numPr>
                <w:ilvl w:val="0"/>
                <w:numId w:val="29"/>
              </w:numPr>
              <w:spacing w:after="0"/>
              <w:rPr>
                <w:sz w:val="20"/>
                <w:szCs w:val="20"/>
                <w:lang w:val="en-AU"/>
              </w:rPr>
            </w:pPr>
            <w:r>
              <w:rPr>
                <w:sz w:val="20"/>
                <w:szCs w:val="20"/>
                <w:lang w:val="en-AU"/>
              </w:rPr>
              <w:t xml:space="preserve">18 month </w:t>
            </w:r>
            <w:proofErr w:type="spellStart"/>
            <w:r>
              <w:rPr>
                <w:sz w:val="20"/>
                <w:szCs w:val="20"/>
                <w:lang w:val="en-AU"/>
              </w:rPr>
              <w:t>workplan</w:t>
            </w:r>
            <w:proofErr w:type="spellEnd"/>
            <w:r>
              <w:rPr>
                <w:sz w:val="20"/>
                <w:szCs w:val="20"/>
                <w:lang w:val="en-AU"/>
              </w:rPr>
              <w:t xml:space="preserve"> has been submitted on time, reviewed and finalised with minor amendment.</w:t>
            </w:r>
          </w:p>
          <w:p w:rsidR="003569B9" w:rsidRDefault="003569B9" w:rsidP="007D2BBC">
            <w:pPr>
              <w:pStyle w:val="ListParagraph"/>
              <w:numPr>
                <w:ilvl w:val="0"/>
                <w:numId w:val="29"/>
              </w:numPr>
              <w:spacing w:after="0"/>
              <w:rPr>
                <w:sz w:val="20"/>
                <w:szCs w:val="20"/>
                <w:lang w:val="en-AU"/>
              </w:rPr>
            </w:pPr>
            <w:r>
              <w:rPr>
                <w:sz w:val="20"/>
                <w:szCs w:val="20"/>
                <w:lang w:val="en-AU"/>
              </w:rPr>
              <w:t>M&amp;E Plan for PJSPV Stage 2 was submitted on time and approved with minor amendment</w:t>
            </w:r>
          </w:p>
          <w:p w:rsidR="003569B9" w:rsidRDefault="003569B9" w:rsidP="007D2BBC">
            <w:pPr>
              <w:pStyle w:val="ListParagraph"/>
              <w:numPr>
                <w:ilvl w:val="0"/>
                <w:numId w:val="29"/>
              </w:numPr>
              <w:spacing w:after="0"/>
              <w:rPr>
                <w:sz w:val="20"/>
                <w:szCs w:val="20"/>
                <w:lang w:val="en-AU"/>
              </w:rPr>
            </w:pPr>
            <w:r>
              <w:rPr>
                <w:sz w:val="20"/>
                <w:szCs w:val="20"/>
                <w:lang w:val="en-AU"/>
              </w:rPr>
              <w:t>The Grant Facility process has been reviewed and updated with several communications provided to the sector.</w:t>
            </w:r>
          </w:p>
          <w:p w:rsidR="003569B9" w:rsidRDefault="003569B9" w:rsidP="007D2BBC">
            <w:pPr>
              <w:pStyle w:val="ListParagraph"/>
              <w:numPr>
                <w:ilvl w:val="0"/>
                <w:numId w:val="29"/>
              </w:numPr>
              <w:spacing w:after="0"/>
              <w:rPr>
                <w:sz w:val="20"/>
                <w:szCs w:val="20"/>
                <w:lang w:val="en-AU"/>
              </w:rPr>
            </w:pPr>
            <w:r>
              <w:rPr>
                <w:sz w:val="20"/>
                <w:szCs w:val="20"/>
                <w:lang w:val="en-AU"/>
              </w:rPr>
              <w:t>PJSPV Gender Strategy is close to finalisation.</w:t>
            </w:r>
          </w:p>
          <w:p w:rsidR="003569B9" w:rsidRDefault="003569B9" w:rsidP="007D2BBC">
            <w:pPr>
              <w:pStyle w:val="ListParagraph"/>
              <w:numPr>
                <w:ilvl w:val="0"/>
                <w:numId w:val="29"/>
              </w:numPr>
              <w:spacing w:after="0"/>
              <w:rPr>
                <w:sz w:val="20"/>
                <w:szCs w:val="20"/>
                <w:lang w:val="en-AU"/>
              </w:rPr>
            </w:pPr>
            <w:r>
              <w:rPr>
                <w:sz w:val="20"/>
                <w:szCs w:val="20"/>
                <w:lang w:val="en-AU"/>
              </w:rPr>
              <w:t>SCV’s Stage 2 CPP has been reviewed and contracted.</w:t>
            </w:r>
          </w:p>
          <w:p w:rsidR="003569B9" w:rsidRDefault="003569B9" w:rsidP="007D2BBC">
            <w:pPr>
              <w:pStyle w:val="ListParagraph"/>
              <w:numPr>
                <w:ilvl w:val="0"/>
                <w:numId w:val="29"/>
              </w:numPr>
              <w:spacing w:after="0"/>
              <w:rPr>
                <w:sz w:val="20"/>
                <w:szCs w:val="20"/>
                <w:lang w:val="en-AU"/>
              </w:rPr>
            </w:pPr>
            <w:r>
              <w:rPr>
                <w:sz w:val="20"/>
                <w:szCs w:val="20"/>
                <w:lang w:val="en-AU"/>
              </w:rPr>
              <w:t xml:space="preserve">An approach for the research for Malekula and </w:t>
            </w:r>
            <w:proofErr w:type="spellStart"/>
            <w:r>
              <w:rPr>
                <w:sz w:val="20"/>
                <w:szCs w:val="20"/>
                <w:lang w:val="en-AU"/>
              </w:rPr>
              <w:t>Blacksands</w:t>
            </w:r>
            <w:proofErr w:type="spellEnd"/>
            <w:r>
              <w:rPr>
                <w:sz w:val="20"/>
                <w:szCs w:val="20"/>
                <w:lang w:val="en-AU"/>
              </w:rPr>
              <w:t xml:space="preserve"> pilots has been finalised.</w:t>
            </w:r>
          </w:p>
          <w:p w:rsidR="003569B9" w:rsidRPr="003569B9" w:rsidRDefault="003569B9" w:rsidP="007D2BBC">
            <w:pPr>
              <w:pStyle w:val="ListParagraph"/>
              <w:numPr>
                <w:ilvl w:val="0"/>
                <w:numId w:val="29"/>
              </w:numPr>
              <w:spacing w:after="0"/>
              <w:rPr>
                <w:sz w:val="20"/>
                <w:szCs w:val="20"/>
                <w:lang w:val="en-AU"/>
              </w:rPr>
            </w:pPr>
            <w:r>
              <w:rPr>
                <w:sz w:val="20"/>
                <w:szCs w:val="20"/>
                <w:lang w:val="en-AU"/>
              </w:rPr>
              <w:t>Capacity assessment and planning for VPF has commenced.</w:t>
            </w:r>
          </w:p>
        </w:tc>
      </w:tr>
      <w:tr w:rsidR="00C23A1A" w:rsidRPr="00C23A1A">
        <w:tc>
          <w:tcPr>
            <w:tcW w:w="4621" w:type="dxa"/>
          </w:tcPr>
          <w:p w:rsidR="00C23A1A" w:rsidRPr="00C23A1A" w:rsidRDefault="00C23A1A" w:rsidP="00387DA2">
            <w:pPr>
              <w:spacing w:after="0"/>
              <w:rPr>
                <w:b/>
                <w:sz w:val="20"/>
                <w:szCs w:val="20"/>
                <w:lang w:val="en-AU"/>
              </w:rPr>
            </w:pPr>
            <w:r w:rsidRPr="00C23A1A">
              <w:rPr>
                <w:b/>
                <w:sz w:val="20"/>
                <w:szCs w:val="20"/>
                <w:lang w:val="en-AU"/>
              </w:rPr>
              <w:t xml:space="preserve">Intensified implementation: </w:t>
            </w:r>
            <w:r w:rsidRPr="00C23A1A">
              <w:rPr>
                <w:sz w:val="20"/>
                <w:szCs w:val="20"/>
                <w:lang w:val="en-AU"/>
              </w:rPr>
              <w:t xml:space="preserve">the next 18 months represents a period of intensified implementation of activities including (but not limited to) conclusion of two significant infrastructure grants that have required very close support; case and data </w:t>
            </w:r>
            <w:r w:rsidRPr="00C23A1A">
              <w:rPr>
                <w:sz w:val="20"/>
                <w:szCs w:val="20"/>
                <w:lang w:val="en-AU"/>
              </w:rPr>
              <w:lastRenderedPageBreak/>
              <w:t>management simultaneous  implementation of a number of new systems;</w:t>
            </w:r>
            <w:r w:rsidRPr="00C23A1A">
              <w:rPr>
                <w:rStyle w:val="FootnoteReference"/>
                <w:sz w:val="20"/>
                <w:szCs w:val="20"/>
                <w:lang w:val="en-AU"/>
              </w:rPr>
              <w:footnoteReference w:id="28"/>
            </w:r>
            <w:r w:rsidRPr="00C23A1A">
              <w:rPr>
                <w:sz w:val="20"/>
                <w:szCs w:val="20"/>
                <w:lang w:val="en-AU"/>
              </w:rPr>
              <w:t xml:space="preserve"> and multiple interlinked and simultaneous interventions to support capacity development under component 2 whilst undertaking a more robust capacity development assessment and planning for VPF.</w:t>
            </w:r>
          </w:p>
        </w:tc>
        <w:tc>
          <w:tcPr>
            <w:tcW w:w="4621" w:type="dxa"/>
          </w:tcPr>
          <w:p w:rsidR="00C23A1A" w:rsidRDefault="00B85F8E" w:rsidP="003569B9">
            <w:pPr>
              <w:spacing w:after="0"/>
              <w:rPr>
                <w:sz w:val="20"/>
                <w:szCs w:val="20"/>
                <w:lang w:val="en-AU"/>
              </w:rPr>
            </w:pPr>
            <w:r>
              <w:rPr>
                <w:sz w:val="20"/>
                <w:szCs w:val="20"/>
                <w:lang w:val="en-AU"/>
              </w:rPr>
              <w:lastRenderedPageBreak/>
              <w:t xml:space="preserve">The two infrastructure grants were successfully concluded before the end of 2014 being largely on time despite variations requiring additional work and funds. </w:t>
            </w:r>
          </w:p>
          <w:p w:rsidR="00B85F8E" w:rsidRDefault="00B85F8E" w:rsidP="003569B9">
            <w:pPr>
              <w:spacing w:after="0"/>
              <w:rPr>
                <w:sz w:val="20"/>
                <w:szCs w:val="20"/>
                <w:lang w:val="en-AU"/>
              </w:rPr>
            </w:pPr>
            <w:r>
              <w:rPr>
                <w:sz w:val="20"/>
                <w:szCs w:val="20"/>
                <w:lang w:val="en-AU"/>
              </w:rPr>
              <w:t xml:space="preserve">Case and data management contracts and </w:t>
            </w:r>
            <w:r>
              <w:rPr>
                <w:sz w:val="20"/>
                <w:szCs w:val="20"/>
                <w:lang w:val="en-AU"/>
              </w:rPr>
              <w:lastRenderedPageBreak/>
              <w:t>developments have progressed as planned.</w:t>
            </w:r>
          </w:p>
          <w:p w:rsidR="00B85F8E" w:rsidRDefault="00B85F8E" w:rsidP="003569B9">
            <w:pPr>
              <w:spacing w:after="0"/>
              <w:rPr>
                <w:sz w:val="20"/>
                <w:szCs w:val="20"/>
                <w:lang w:val="en-AU"/>
              </w:rPr>
            </w:pPr>
            <w:r>
              <w:rPr>
                <w:sz w:val="20"/>
                <w:szCs w:val="20"/>
                <w:lang w:val="en-AU"/>
              </w:rPr>
              <w:t xml:space="preserve">Three capacity development initiatives were delivered in very quick succession near the end of </w:t>
            </w:r>
            <w:r w:rsidR="00387DA2">
              <w:rPr>
                <w:sz w:val="20"/>
                <w:szCs w:val="20"/>
                <w:lang w:val="en-AU"/>
              </w:rPr>
              <w:t>the</w:t>
            </w:r>
            <w:r>
              <w:rPr>
                <w:sz w:val="20"/>
                <w:szCs w:val="20"/>
                <w:lang w:val="en-AU"/>
              </w:rPr>
              <w:t xml:space="preserve"> year. </w:t>
            </w:r>
          </w:p>
          <w:p w:rsidR="00B85F8E" w:rsidRPr="00C23A1A" w:rsidRDefault="00B85F8E" w:rsidP="003569B9">
            <w:pPr>
              <w:spacing w:after="0"/>
              <w:rPr>
                <w:sz w:val="20"/>
                <w:szCs w:val="20"/>
                <w:lang w:val="en-AU"/>
              </w:rPr>
            </w:pPr>
            <w:r>
              <w:rPr>
                <w:sz w:val="20"/>
                <w:szCs w:val="20"/>
                <w:lang w:val="en-AU"/>
              </w:rPr>
              <w:t xml:space="preserve">VPF capacity assessment and planning </w:t>
            </w:r>
            <w:r w:rsidR="00261F0E">
              <w:rPr>
                <w:sz w:val="20"/>
                <w:szCs w:val="20"/>
                <w:lang w:val="en-AU"/>
              </w:rPr>
              <w:t xml:space="preserve">has </w:t>
            </w:r>
            <w:r>
              <w:rPr>
                <w:sz w:val="20"/>
                <w:szCs w:val="20"/>
                <w:lang w:val="en-AU"/>
              </w:rPr>
              <w:t>commenced</w:t>
            </w:r>
            <w:r w:rsidR="00261F0E">
              <w:rPr>
                <w:sz w:val="20"/>
                <w:szCs w:val="20"/>
                <w:lang w:val="en-AU"/>
              </w:rPr>
              <w:t>.</w:t>
            </w:r>
          </w:p>
        </w:tc>
      </w:tr>
      <w:tr w:rsidR="00EE519F" w:rsidRPr="00C23A1A">
        <w:tc>
          <w:tcPr>
            <w:tcW w:w="4621" w:type="dxa"/>
            <w:shd w:val="clear" w:color="auto" w:fill="EAF1DD" w:themeFill="accent3" w:themeFillTint="33"/>
          </w:tcPr>
          <w:p w:rsidR="00EE519F" w:rsidRPr="00EE519F" w:rsidRDefault="00EE519F" w:rsidP="00387DA2">
            <w:pPr>
              <w:spacing w:after="0"/>
              <w:rPr>
                <w:sz w:val="20"/>
                <w:szCs w:val="20"/>
                <w:lang w:val="en-AU"/>
              </w:rPr>
            </w:pPr>
            <w:r>
              <w:rPr>
                <w:b/>
                <w:sz w:val="20"/>
                <w:szCs w:val="20"/>
                <w:lang w:val="en-AU"/>
              </w:rPr>
              <w:lastRenderedPageBreak/>
              <w:t xml:space="preserve">Intensive oversight of SCV’s CPP </w:t>
            </w:r>
            <w:r>
              <w:rPr>
                <w:sz w:val="20"/>
                <w:szCs w:val="20"/>
                <w:lang w:val="en-AU"/>
              </w:rPr>
              <w:t xml:space="preserve">it was anticipated that with the recruitment of a new team (including Country Director, Finance Manager, Program Manager, M&amp;E Adviser) and additional Melbourne support to the CPP work, that there would be a noticeable decline in the management oversight required. </w:t>
            </w:r>
          </w:p>
        </w:tc>
        <w:tc>
          <w:tcPr>
            <w:tcW w:w="4621" w:type="dxa"/>
            <w:shd w:val="clear" w:color="auto" w:fill="EAF1DD" w:themeFill="accent3" w:themeFillTint="33"/>
          </w:tcPr>
          <w:p w:rsidR="00387DA2" w:rsidRDefault="00EE519F" w:rsidP="00387DA2">
            <w:pPr>
              <w:spacing w:after="0"/>
              <w:rPr>
                <w:sz w:val="20"/>
                <w:szCs w:val="20"/>
                <w:lang w:val="en-AU"/>
              </w:rPr>
            </w:pPr>
            <w:r w:rsidRPr="00387DA2">
              <w:rPr>
                <w:sz w:val="20"/>
                <w:szCs w:val="20"/>
                <w:lang w:val="en-AU"/>
              </w:rPr>
              <w:t xml:space="preserve">There has not been significant improvement in the quality of the deliverables noticeable to date which has </w:t>
            </w:r>
            <w:r w:rsidR="00387DA2" w:rsidRPr="00387DA2">
              <w:rPr>
                <w:sz w:val="20"/>
                <w:szCs w:val="20"/>
                <w:lang w:val="en-AU"/>
              </w:rPr>
              <w:t>resulted in</w:t>
            </w:r>
            <w:r w:rsidRPr="00387DA2">
              <w:rPr>
                <w:sz w:val="20"/>
                <w:szCs w:val="20"/>
                <w:lang w:val="en-AU"/>
              </w:rPr>
              <w:t xml:space="preserve"> significant program time</w:t>
            </w:r>
            <w:r w:rsidR="00387DA2" w:rsidRPr="00387DA2">
              <w:rPr>
                <w:sz w:val="20"/>
                <w:szCs w:val="20"/>
                <w:lang w:val="en-AU"/>
              </w:rPr>
              <w:t xml:space="preserve"> to support:</w:t>
            </w:r>
          </w:p>
          <w:p w:rsidR="00EE519F" w:rsidRPr="00387DA2" w:rsidRDefault="00EE519F" w:rsidP="007D2BBC">
            <w:pPr>
              <w:pStyle w:val="ListParagraph"/>
              <w:numPr>
                <w:ilvl w:val="0"/>
                <w:numId w:val="32"/>
              </w:numPr>
              <w:spacing w:after="0"/>
              <w:rPr>
                <w:sz w:val="20"/>
                <w:szCs w:val="20"/>
                <w:lang w:val="en-AU"/>
              </w:rPr>
            </w:pPr>
            <w:r w:rsidRPr="00387DA2">
              <w:rPr>
                <w:sz w:val="20"/>
                <w:szCs w:val="20"/>
                <w:lang w:val="en-AU"/>
              </w:rPr>
              <w:t>Finalisation of the CPP Stage 2 Design</w:t>
            </w:r>
          </w:p>
          <w:p w:rsidR="00EE519F" w:rsidRDefault="00EE519F" w:rsidP="007D2BBC">
            <w:pPr>
              <w:pStyle w:val="ListParagraph"/>
              <w:numPr>
                <w:ilvl w:val="0"/>
                <w:numId w:val="30"/>
              </w:numPr>
              <w:spacing w:after="0"/>
              <w:rPr>
                <w:sz w:val="20"/>
                <w:szCs w:val="20"/>
                <w:lang w:val="en-AU"/>
              </w:rPr>
            </w:pPr>
            <w:r>
              <w:rPr>
                <w:sz w:val="20"/>
                <w:szCs w:val="20"/>
                <w:lang w:val="en-AU"/>
              </w:rPr>
              <w:t>Financial management concerns (requiring an audit)</w:t>
            </w:r>
          </w:p>
          <w:p w:rsidR="00EE519F" w:rsidRDefault="00EE519F" w:rsidP="007D2BBC">
            <w:pPr>
              <w:pStyle w:val="ListParagraph"/>
              <w:numPr>
                <w:ilvl w:val="0"/>
                <w:numId w:val="30"/>
              </w:numPr>
              <w:spacing w:after="0"/>
              <w:rPr>
                <w:sz w:val="20"/>
                <w:szCs w:val="20"/>
                <w:lang w:val="en-AU"/>
              </w:rPr>
            </w:pPr>
            <w:r>
              <w:rPr>
                <w:sz w:val="20"/>
                <w:szCs w:val="20"/>
                <w:lang w:val="en-AU"/>
              </w:rPr>
              <w:t>Recruitment of the CP Manager</w:t>
            </w:r>
          </w:p>
          <w:p w:rsidR="00EE519F" w:rsidRDefault="00EE519F" w:rsidP="007D2BBC">
            <w:pPr>
              <w:pStyle w:val="ListParagraph"/>
              <w:numPr>
                <w:ilvl w:val="0"/>
                <w:numId w:val="30"/>
              </w:numPr>
              <w:spacing w:after="0"/>
              <w:rPr>
                <w:sz w:val="20"/>
                <w:szCs w:val="20"/>
                <w:lang w:val="en-AU"/>
              </w:rPr>
            </w:pPr>
            <w:proofErr w:type="spellStart"/>
            <w:r>
              <w:rPr>
                <w:sz w:val="20"/>
                <w:szCs w:val="20"/>
                <w:lang w:val="en-AU"/>
              </w:rPr>
              <w:t>Workplan</w:t>
            </w:r>
            <w:proofErr w:type="spellEnd"/>
          </w:p>
          <w:p w:rsidR="00EE519F" w:rsidRPr="00EE519F" w:rsidRDefault="00EE519F" w:rsidP="007D2BBC">
            <w:pPr>
              <w:pStyle w:val="ListParagraph"/>
              <w:numPr>
                <w:ilvl w:val="0"/>
                <w:numId w:val="30"/>
              </w:numPr>
              <w:spacing w:after="0"/>
              <w:rPr>
                <w:sz w:val="20"/>
                <w:szCs w:val="20"/>
                <w:lang w:val="en-AU"/>
              </w:rPr>
            </w:pPr>
            <w:r>
              <w:rPr>
                <w:sz w:val="20"/>
                <w:szCs w:val="20"/>
                <w:lang w:val="en-AU"/>
              </w:rPr>
              <w:t>Monitoring and Evaluation, Risk Management</w:t>
            </w:r>
          </w:p>
        </w:tc>
      </w:tr>
    </w:tbl>
    <w:p w:rsidR="00C23A1A" w:rsidRPr="00C23A1A" w:rsidRDefault="00C23A1A" w:rsidP="00406F83">
      <w:pPr>
        <w:rPr>
          <w:color w:val="FF0000"/>
          <w:sz w:val="20"/>
          <w:szCs w:val="20"/>
          <w:lang w:val="en-AU"/>
        </w:rPr>
      </w:pPr>
    </w:p>
    <w:p w:rsidR="00314DC7" w:rsidRPr="00066148" w:rsidRDefault="00066148" w:rsidP="00B85F8E">
      <w:pPr>
        <w:jc w:val="both"/>
        <w:rPr>
          <w:lang w:val="en-AU"/>
        </w:rPr>
      </w:pPr>
      <w:r w:rsidRPr="00066148">
        <w:rPr>
          <w:lang w:val="en-AU"/>
        </w:rPr>
        <w:t xml:space="preserve">The strategic direction of the PJSPV Design and the </w:t>
      </w:r>
      <w:proofErr w:type="spellStart"/>
      <w:r w:rsidRPr="00066148">
        <w:rPr>
          <w:lang w:val="en-AU"/>
        </w:rPr>
        <w:t>Workplan</w:t>
      </w:r>
      <w:proofErr w:type="spellEnd"/>
      <w:r w:rsidRPr="00066148">
        <w:rPr>
          <w:lang w:val="en-AU"/>
        </w:rPr>
        <w:t xml:space="preserve"> remain appropriate and relevant (see section </w:t>
      </w:r>
      <w:r>
        <w:rPr>
          <w:lang w:val="en-AU"/>
        </w:rPr>
        <w:t>1a – Continuing Relevance)</w:t>
      </w:r>
      <w:r w:rsidRPr="00066148">
        <w:rPr>
          <w:lang w:val="en-AU"/>
        </w:rPr>
        <w:t xml:space="preserve">. Changes in planned inputs and outputs are being / have been made with the approval of DFAT, (see section </w:t>
      </w:r>
      <w:r>
        <w:rPr>
          <w:lang w:val="en-AU"/>
        </w:rPr>
        <w:t>2e – Variations to Plan)</w:t>
      </w:r>
      <w:r w:rsidRPr="00066148">
        <w:rPr>
          <w:lang w:val="en-AU"/>
        </w:rPr>
        <w:t xml:space="preserve"> none of which alter the likely achieveme</w:t>
      </w:r>
      <w:r w:rsidR="00387DA2">
        <w:rPr>
          <w:lang w:val="en-AU"/>
        </w:rPr>
        <w:t xml:space="preserve">nt of end-of-program-outcomes </w:t>
      </w:r>
      <w:r w:rsidR="00B85F8E">
        <w:rPr>
          <w:lang w:val="en-AU"/>
        </w:rPr>
        <w:t>or</w:t>
      </w:r>
      <w:r w:rsidRPr="00066148">
        <w:rPr>
          <w:lang w:val="en-AU"/>
        </w:rPr>
        <w:t xml:space="preserve"> the strategic direction of the program. </w:t>
      </w:r>
    </w:p>
    <w:p w:rsidR="00C846BA" w:rsidRPr="00C846BA" w:rsidRDefault="00C846BA" w:rsidP="00C846BA">
      <w:pPr>
        <w:rPr>
          <w:lang w:val="en-AU"/>
        </w:rPr>
      </w:pPr>
      <w:r w:rsidRPr="00C846BA">
        <w:rPr>
          <w:lang w:val="en-AU"/>
        </w:rPr>
        <w:t xml:space="preserve">Some work carried out by the team </w:t>
      </w:r>
      <w:r w:rsidR="00B85F8E">
        <w:rPr>
          <w:lang w:val="en-AU"/>
        </w:rPr>
        <w:t>in addition</w:t>
      </w:r>
      <w:r w:rsidRPr="00C846BA">
        <w:rPr>
          <w:lang w:val="en-AU"/>
        </w:rPr>
        <w:t xml:space="preserve"> to the </w:t>
      </w:r>
      <w:proofErr w:type="spellStart"/>
      <w:r w:rsidRPr="00C846BA">
        <w:rPr>
          <w:lang w:val="en-AU"/>
        </w:rPr>
        <w:t>Workplan</w:t>
      </w:r>
      <w:proofErr w:type="spellEnd"/>
      <w:r w:rsidRPr="00C846BA">
        <w:rPr>
          <w:lang w:val="en-AU"/>
        </w:rPr>
        <w:t xml:space="preserve"> includes: </w:t>
      </w:r>
    </w:p>
    <w:p w:rsidR="00314DC7" w:rsidRPr="00C846BA" w:rsidRDefault="00C846BA" w:rsidP="007D2BBC">
      <w:pPr>
        <w:pStyle w:val="ListParagraph"/>
        <w:numPr>
          <w:ilvl w:val="0"/>
          <w:numId w:val="31"/>
        </w:numPr>
        <w:spacing w:after="0" w:line="240" w:lineRule="auto"/>
        <w:rPr>
          <w:lang w:val="en-AU"/>
        </w:rPr>
      </w:pPr>
      <w:r w:rsidRPr="00C846BA">
        <w:rPr>
          <w:lang w:val="en-AU"/>
        </w:rPr>
        <w:t>Support to the PPO</w:t>
      </w:r>
      <w:r>
        <w:rPr>
          <w:lang w:val="en-AU"/>
        </w:rPr>
        <w:t>.</w:t>
      </w:r>
    </w:p>
    <w:p w:rsidR="00314DC7" w:rsidRPr="00C846BA" w:rsidRDefault="00C846BA" w:rsidP="007D2BBC">
      <w:pPr>
        <w:pStyle w:val="ListParagraph"/>
        <w:numPr>
          <w:ilvl w:val="0"/>
          <w:numId w:val="18"/>
        </w:numPr>
        <w:spacing w:after="0" w:line="240" w:lineRule="auto"/>
        <w:rPr>
          <w:lang w:val="en-AU"/>
        </w:rPr>
      </w:pPr>
      <w:r>
        <w:rPr>
          <w:lang w:val="en-AU"/>
        </w:rPr>
        <w:t>Training with PSU, VPF.</w:t>
      </w:r>
    </w:p>
    <w:p w:rsidR="00314DC7" w:rsidRPr="00C846BA" w:rsidRDefault="00C846BA" w:rsidP="007D2BBC">
      <w:pPr>
        <w:pStyle w:val="ListParagraph"/>
        <w:numPr>
          <w:ilvl w:val="0"/>
          <w:numId w:val="18"/>
        </w:numPr>
        <w:spacing w:after="0" w:line="240" w:lineRule="auto"/>
        <w:rPr>
          <w:lang w:val="en-AU"/>
        </w:rPr>
      </w:pPr>
      <w:r w:rsidRPr="00C846BA">
        <w:rPr>
          <w:lang w:val="en-AU"/>
        </w:rPr>
        <w:t>Quality assurance</w:t>
      </w:r>
      <w:r w:rsidR="00314DC7" w:rsidRPr="00C846BA">
        <w:rPr>
          <w:lang w:val="en-AU"/>
        </w:rPr>
        <w:t xml:space="preserve"> and support to SCV</w:t>
      </w:r>
      <w:r>
        <w:rPr>
          <w:lang w:val="en-AU"/>
        </w:rPr>
        <w:t>.</w:t>
      </w:r>
    </w:p>
    <w:p w:rsidR="009E7977" w:rsidRDefault="009E7977" w:rsidP="007D2BBC">
      <w:pPr>
        <w:pStyle w:val="ListParagraph"/>
        <w:numPr>
          <w:ilvl w:val="0"/>
          <w:numId w:val="18"/>
        </w:numPr>
        <w:spacing w:after="0" w:line="240" w:lineRule="auto"/>
        <w:rPr>
          <w:lang w:val="en-AU"/>
        </w:rPr>
      </w:pPr>
      <w:r w:rsidRPr="00C846BA">
        <w:rPr>
          <w:lang w:val="en-AU"/>
        </w:rPr>
        <w:t>Mentoring to Youth Justice Vanuatu (MO)</w:t>
      </w:r>
      <w:r w:rsidR="00C846BA">
        <w:rPr>
          <w:lang w:val="en-AU"/>
        </w:rPr>
        <w:t>.</w:t>
      </w:r>
    </w:p>
    <w:p w:rsidR="00C846BA" w:rsidRPr="00C846BA" w:rsidRDefault="00C846BA" w:rsidP="007D2BBC">
      <w:pPr>
        <w:pStyle w:val="ListParagraph"/>
        <w:numPr>
          <w:ilvl w:val="0"/>
          <w:numId w:val="18"/>
        </w:numPr>
        <w:spacing w:after="0" w:line="240" w:lineRule="auto"/>
        <w:rPr>
          <w:lang w:val="en-AU"/>
        </w:rPr>
      </w:pPr>
      <w:r>
        <w:rPr>
          <w:lang w:val="en-AU"/>
        </w:rPr>
        <w:t>Significant comment on one VLC policy report</w:t>
      </w:r>
      <w:r w:rsidR="00E36699">
        <w:rPr>
          <w:lang w:val="en-AU"/>
        </w:rPr>
        <w:t>.</w:t>
      </w:r>
    </w:p>
    <w:p w:rsidR="009E7977" w:rsidRPr="004E50CB" w:rsidRDefault="009E7977" w:rsidP="004E50CB">
      <w:pPr>
        <w:rPr>
          <w:lang w:val="en-AU"/>
        </w:rPr>
      </w:pPr>
    </w:p>
    <w:p w:rsidR="004E50CB" w:rsidRPr="004E50CB" w:rsidRDefault="004E50CB" w:rsidP="00035C94">
      <w:pPr>
        <w:jc w:val="both"/>
        <w:rPr>
          <w:lang w:val="en-AU"/>
        </w:rPr>
      </w:pPr>
      <w:r w:rsidRPr="004E50CB">
        <w:rPr>
          <w:lang w:val="en-AU"/>
        </w:rPr>
        <w:t>As mentioned, the integration has presented increased demands on management during the initial period of Stage 2. In part this increase in workload can be attributed to the establishment of new systems within the VAPP, cultivating relationships with new partners, development of new cost codes, development of new financial summaries, training of staff in GRM systems and protoc</w:t>
      </w:r>
      <w:bookmarkStart w:id="36" w:name="_GoBack"/>
      <w:bookmarkEnd w:id="36"/>
      <w:r w:rsidRPr="004E50CB">
        <w:rPr>
          <w:lang w:val="en-AU"/>
        </w:rPr>
        <w:t>ols and understanding the nature of VAPP operations. A large part of the VAPP however is highly transactional and it is this element of all VAPP operations which has carried with it the largest management imposition. For example, behind every purchase of tyres (a common item of VAPP expenditure)</w:t>
      </w:r>
      <w:r w:rsidR="00C02405">
        <w:rPr>
          <w:lang w:val="en-AU"/>
        </w:rPr>
        <w:t xml:space="preserve"> at least</w:t>
      </w:r>
      <w:r w:rsidRPr="004E50CB">
        <w:rPr>
          <w:lang w:val="en-AU"/>
        </w:rPr>
        <w:t xml:space="preserve"> three quotes must be sought and a meaningful procurement assessment of the best value for money product must be undertaken. Initially the VAPP was conducting much of the procurement compliance work however the emphasis has shifted to place responsibility with CSU for effective administration underpinning every transaction. Both shifting the way the former system worked, and developing a new system required significant time investment from the program, similarly the ongoing task of ensuring CSU compliance in relation to handling acquittal and documenting transparent and appropriate procurement is a heavy burden for the SRBJ management and administration team.</w:t>
      </w:r>
    </w:p>
    <w:p w:rsidR="004E50CB" w:rsidRPr="00C846BA" w:rsidRDefault="004E50CB" w:rsidP="004E50CB">
      <w:pPr>
        <w:rPr>
          <w:color w:val="FF0000"/>
          <w:lang w:val="en-AU"/>
        </w:rPr>
      </w:pPr>
    </w:p>
    <w:p w:rsidR="008F261C" w:rsidRPr="008F261C" w:rsidRDefault="00D90BAA" w:rsidP="00E9734A">
      <w:pPr>
        <w:pStyle w:val="Heading3"/>
      </w:pPr>
      <w:bookmarkStart w:id="37" w:name="_Toc411268959"/>
      <w:r w:rsidRPr="008D62C0">
        <w:t>Financial Management Systems</w:t>
      </w:r>
      <w:bookmarkEnd w:id="37"/>
      <w:r w:rsidRPr="008D62C0">
        <w:t xml:space="preserve"> </w:t>
      </w:r>
    </w:p>
    <w:p w:rsidR="00261F0E" w:rsidRPr="00261F0E" w:rsidRDefault="00261F0E" w:rsidP="00261F0E">
      <w:pPr>
        <w:jc w:val="both"/>
      </w:pPr>
      <w:r w:rsidRPr="00261F0E">
        <w:t xml:space="preserve">Program Financial Management continues to be a challenging and complex area. Headline financial management is a major strength of the program with budget execution and budget management given significant attention both within the team and with DFAT. The Deputy Partnership Coordinator and DFAT’s Senior Program Manager intend to collaborate early in February to prepare agreed budgets to the end of the financial year. </w:t>
      </w:r>
    </w:p>
    <w:p w:rsidR="00261F0E" w:rsidRPr="00261F0E" w:rsidRDefault="00261F0E" w:rsidP="00261F0E">
      <w:pPr>
        <w:jc w:val="both"/>
      </w:pPr>
      <w:r w:rsidRPr="00261F0E">
        <w:t>The first six months of Stage 2 of the program has provided many demands on the program’s funds. Significant grants have included payment for temporary office accommodation for the PPO and the Supreme Court. Funds have also been provided for the CLMO and VSDP. In addition, there have been additional consultant costs for short term support to DWA both for mapping and piloting of work related to the Family Protection Act and to support the development of a National Gender Strategy.</w:t>
      </w:r>
    </w:p>
    <w:p w:rsidR="00261F0E" w:rsidRPr="00261F0E" w:rsidRDefault="00261F0E" w:rsidP="00261F0E">
      <w:pPr>
        <w:jc w:val="both"/>
      </w:pPr>
      <w:r w:rsidRPr="00261F0E">
        <w:t xml:space="preserve">Between December 2014 and February 2015 the program is being audited. This audit is investigating all aspects of administration and financial management of the </w:t>
      </w:r>
      <w:r w:rsidRPr="00952C39">
        <w:t>program. The Scope of Services for the Program’s audit</w:t>
      </w:r>
      <w:r w:rsidR="00952C39" w:rsidRPr="00952C39">
        <w:t xml:space="preserve"> (and the request for proposal)</w:t>
      </w:r>
      <w:r w:rsidRPr="00952C39">
        <w:t xml:space="preserve"> can be seen at Annex </w:t>
      </w:r>
      <w:r w:rsidR="00952C39" w:rsidRPr="00952C39">
        <w:t>7</w:t>
      </w:r>
      <w:r w:rsidRPr="00952C39">
        <w:t>. At this stage the audit has identified any major concerns, whilst it has highlighted the need to</w:t>
      </w:r>
      <w:r w:rsidRPr="00261F0E">
        <w:t xml:space="preserve"> maintain thoroughness of record keeping which has been a challenge with a small number of staff.</w:t>
      </w:r>
    </w:p>
    <w:p w:rsidR="00261F0E" w:rsidRPr="00261F0E" w:rsidRDefault="00261F0E" w:rsidP="00261F0E">
      <w:pPr>
        <w:jc w:val="both"/>
      </w:pPr>
      <w:r w:rsidRPr="00261F0E">
        <w:t>The program’s operations manual needs to be updated to reflect some of the newer processes and procedures (for example, as mentioned below relating to new procurement forms). A process of review of the operations manual has commenced and will be finalised once the audit is completed.</w:t>
      </w:r>
    </w:p>
    <w:p w:rsidR="00261F0E" w:rsidRDefault="00261F0E" w:rsidP="00261F0E">
      <w:pPr>
        <w:spacing w:after="0"/>
        <w:jc w:val="both"/>
      </w:pPr>
      <w:r w:rsidRPr="00261F0E">
        <w:t>In relation to procurement, the program has made advances in this area during the period. The development of a simple procurement checklist for partners has allowed the program to ensure value for money of procurement and compliance with the CPR’s. Formerly the program received multiple quotes and backup documentation was sent through email to justify a certain procurement. This system has changed and been improved so that partners now make an assessment about a preferred supplier. This is particularly effective with VAPP who undertake a large volume of procurements.</w:t>
      </w:r>
    </w:p>
    <w:p w:rsidR="00376CEA" w:rsidRPr="00261F0E" w:rsidRDefault="00376CEA" w:rsidP="00261F0E">
      <w:pPr>
        <w:spacing w:after="0"/>
        <w:jc w:val="both"/>
      </w:pPr>
    </w:p>
    <w:p w:rsidR="00261F0E" w:rsidRDefault="00261F0E" w:rsidP="00261F0E">
      <w:pPr>
        <w:spacing w:after="0"/>
        <w:rPr>
          <w:color w:val="FF0000"/>
        </w:rPr>
      </w:pPr>
    </w:p>
    <w:p w:rsidR="00314DC7" w:rsidRDefault="00314DC7" w:rsidP="00E9734A">
      <w:pPr>
        <w:pStyle w:val="Heading3"/>
      </w:pPr>
      <w:bookmarkStart w:id="38" w:name="_Toc411268960"/>
      <w:r>
        <w:t>Monitoring and Evaluation</w:t>
      </w:r>
      <w:bookmarkEnd w:id="38"/>
    </w:p>
    <w:p w:rsidR="008C0C6E" w:rsidRPr="008C0C6E" w:rsidRDefault="008C0C6E" w:rsidP="003A07F9">
      <w:pPr>
        <w:jc w:val="both"/>
        <w:rPr>
          <w:b/>
          <w:i/>
          <w:lang w:val="en-AU"/>
        </w:rPr>
      </w:pPr>
      <w:r w:rsidRPr="008C0C6E">
        <w:rPr>
          <w:b/>
          <w:i/>
          <w:lang w:val="en-AU"/>
        </w:rPr>
        <w:t>Strengthened M&amp;E support for the integrated program</w:t>
      </w:r>
    </w:p>
    <w:p w:rsidR="008C0C6E" w:rsidRDefault="008C0C6E" w:rsidP="003A07F9">
      <w:pPr>
        <w:jc w:val="both"/>
        <w:rPr>
          <w:lang w:val="en-AU"/>
        </w:rPr>
      </w:pPr>
      <w:r>
        <w:rPr>
          <w:lang w:val="en-AU"/>
        </w:rPr>
        <w:t xml:space="preserve">From the commencement of Stage 2 of the program, SRBJ recruited </w:t>
      </w:r>
      <w:r w:rsidR="00693CA6">
        <w:rPr>
          <w:lang w:val="en-AU"/>
        </w:rPr>
        <w:t>a</w:t>
      </w:r>
      <w:r>
        <w:rPr>
          <w:lang w:val="en-AU"/>
        </w:rPr>
        <w:t xml:space="preserve"> senior M&amp;E Specialist and an M&amp;E Adviser to provide </w:t>
      </w:r>
      <w:r w:rsidR="00401E58">
        <w:rPr>
          <w:lang w:val="en-AU"/>
        </w:rPr>
        <w:t xml:space="preserve">more </w:t>
      </w:r>
      <w:r>
        <w:rPr>
          <w:lang w:val="en-AU"/>
        </w:rPr>
        <w:t>robust support for the monitoring and evaluation of Stage 2 of the program. Stage 2 of the program represents not only an expansion of the ambit of the program but also a more intense period of implementation (</w:t>
      </w:r>
      <w:r w:rsidR="00401E58">
        <w:rPr>
          <w:lang w:val="en-AU"/>
        </w:rPr>
        <w:t>less assessment</w:t>
      </w:r>
      <w:r>
        <w:rPr>
          <w:lang w:val="en-AU"/>
        </w:rPr>
        <w:t xml:space="preserve"> </w:t>
      </w:r>
      <w:r w:rsidR="003A07F9">
        <w:rPr>
          <w:lang w:val="en-AU"/>
        </w:rPr>
        <w:t>and planning) and more</w:t>
      </w:r>
      <w:r w:rsidR="00401E58">
        <w:rPr>
          <w:lang w:val="en-AU"/>
        </w:rPr>
        <w:t xml:space="preserve"> innovative impl</w:t>
      </w:r>
      <w:r w:rsidR="003A07F9">
        <w:rPr>
          <w:lang w:val="en-AU"/>
        </w:rPr>
        <w:t>ementation, which justifies stro</w:t>
      </w:r>
      <w:r w:rsidR="00401E58">
        <w:rPr>
          <w:lang w:val="en-AU"/>
        </w:rPr>
        <w:t>nger support in this area.</w:t>
      </w:r>
    </w:p>
    <w:p w:rsidR="00401E58" w:rsidRPr="00401E58" w:rsidRDefault="00401E58" w:rsidP="003A07F9">
      <w:pPr>
        <w:jc w:val="both"/>
        <w:rPr>
          <w:b/>
          <w:i/>
          <w:lang w:val="en-AU"/>
        </w:rPr>
      </w:pPr>
      <w:r w:rsidRPr="00401E58">
        <w:rPr>
          <w:b/>
          <w:i/>
          <w:lang w:val="en-AU"/>
        </w:rPr>
        <w:t>Monitoring &amp; Evaluation Plan</w:t>
      </w:r>
    </w:p>
    <w:p w:rsidR="008C0C6E" w:rsidRDefault="008C0C6E" w:rsidP="003A07F9">
      <w:pPr>
        <w:jc w:val="both"/>
        <w:rPr>
          <w:lang w:val="en-AU"/>
        </w:rPr>
      </w:pPr>
      <w:r w:rsidRPr="008C0C6E">
        <w:rPr>
          <w:lang w:val="en-AU"/>
        </w:rPr>
        <w:lastRenderedPageBreak/>
        <w:t>The program</w:t>
      </w:r>
      <w:r w:rsidR="00401E58">
        <w:rPr>
          <w:lang w:val="en-AU"/>
        </w:rPr>
        <w:t xml:space="preserve"> with the technical support of the M&amp;E team (made up of the M&amp;E Specialist, Adviser and Monitoring Officer)</w:t>
      </w:r>
      <w:r w:rsidRPr="008C0C6E">
        <w:rPr>
          <w:lang w:val="en-AU"/>
        </w:rPr>
        <w:t xml:space="preserve"> finalised </w:t>
      </w:r>
      <w:r w:rsidR="00693CA6" w:rsidRPr="008C0C6E">
        <w:rPr>
          <w:lang w:val="en-AU"/>
        </w:rPr>
        <w:t>an</w:t>
      </w:r>
      <w:r w:rsidRPr="008C0C6E">
        <w:rPr>
          <w:lang w:val="en-AU"/>
        </w:rPr>
        <w:t xml:space="preserve"> M&amp;E Plan (MEP) for the integrated program which has been approved by DFAT with minimal amendments.</w:t>
      </w:r>
      <w:r w:rsidRPr="008C0C6E">
        <w:rPr>
          <w:rStyle w:val="FootnoteReference"/>
          <w:lang w:val="en-AU"/>
        </w:rPr>
        <w:footnoteReference w:id="29"/>
      </w:r>
      <w:r w:rsidRPr="008C0C6E">
        <w:rPr>
          <w:lang w:val="en-AU"/>
        </w:rPr>
        <w:t xml:space="preserve"> The MEP provides an approach to </w:t>
      </w:r>
      <w:r w:rsidR="00401E58">
        <w:rPr>
          <w:lang w:val="en-AU"/>
        </w:rPr>
        <w:t>tracking the progress and effectiveness of PJSPV with the assumption that activity completion or outputs are monitored by the program managers through other mechanisms. The MEP is instead focussed on contribution to the achievement of interim and end-of-program-outcomes.</w:t>
      </w:r>
      <w:r w:rsidR="003A07F9">
        <w:rPr>
          <w:lang w:val="en-AU"/>
        </w:rPr>
        <w:t xml:space="preserve"> The MEP is adequately resourced and scaled given the scope and length of the program.</w:t>
      </w:r>
    </w:p>
    <w:p w:rsidR="00401E58" w:rsidRDefault="00401E58" w:rsidP="003A07F9">
      <w:pPr>
        <w:jc w:val="both"/>
        <w:rPr>
          <w:b/>
          <w:i/>
          <w:lang w:val="en-AU"/>
        </w:rPr>
      </w:pPr>
      <w:r>
        <w:rPr>
          <w:b/>
          <w:i/>
          <w:lang w:val="en-AU"/>
        </w:rPr>
        <w:t xml:space="preserve">Sector Wide </w:t>
      </w:r>
      <w:r w:rsidRPr="00401E58">
        <w:rPr>
          <w:b/>
          <w:i/>
          <w:lang w:val="en-AU"/>
        </w:rPr>
        <w:t xml:space="preserve">Monitoring and Evaluation </w:t>
      </w:r>
      <w:r>
        <w:rPr>
          <w:b/>
          <w:i/>
          <w:lang w:val="en-AU"/>
        </w:rPr>
        <w:t>Plan</w:t>
      </w:r>
    </w:p>
    <w:p w:rsidR="006821F7" w:rsidRDefault="00401E58" w:rsidP="006821F7">
      <w:pPr>
        <w:jc w:val="both"/>
        <w:rPr>
          <w:lang w:val="en-AU"/>
        </w:rPr>
      </w:pPr>
      <w:r>
        <w:rPr>
          <w:lang w:val="en-AU"/>
        </w:rPr>
        <w:t xml:space="preserve">The MJCS Monitoring Officer has been supported by </w:t>
      </w:r>
      <w:r w:rsidR="003A07F9">
        <w:rPr>
          <w:lang w:val="en-AU"/>
        </w:rPr>
        <w:t>technical assistance</w:t>
      </w:r>
      <w:r>
        <w:rPr>
          <w:lang w:val="en-AU"/>
        </w:rPr>
        <w:t xml:space="preserve"> during the reporting period to develop a Monitoring and Evaluation </w:t>
      </w:r>
      <w:r w:rsidR="003A07F9">
        <w:rPr>
          <w:lang w:val="en-AU"/>
        </w:rPr>
        <w:t>Plan</w:t>
      </w:r>
      <w:r>
        <w:rPr>
          <w:lang w:val="en-AU"/>
        </w:rPr>
        <w:t xml:space="preserve"> for the sector which will be submitted to the heads </w:t>
      </w:r>
      <w:r w:rsidR="003A07F9">
        <w:rPr>
          <w:lang w:val="en-AU"/>
        </w:rPr>
        <w:t>of agencies</w:t>
      </w:r>
      <w:r>
        <w:rPr>
          <w:lang w:val="en-AU"/>
        </w:rPr>
        <w:t xml:space="preserve"> for consideration and approval over February and March.  This will support monitoring and reporting of the sector strategy and agency business plans. </w:t>
      </w:r>
    </w:p>
    <w:p w:rsidR="003A07F9" w:rsidRPr="003A07F9" w:rsidRDefault="003A07F9" w:rsidP="003A07F9">
      <w:pPr>
        <w:jc w:val="both"/>
        <w:rPr>
          <w:b/>
          <w:i/>
          <w:lang w:val="en-AU"/>
        </w:rPr>
      </w:pPr>
      <w:r w:rsidRPr="003A07F9">
        <w:rPr>
          <w:b/>
          <w:i/>
          <w:lang w:val="en-AU"/>
        </w:rPr>
        <w:t>Baseline</w:t>
      </w:r>
    </w:p>
    <w:p w:rsidR="00401E58" w:rsidRDefault="001A6FCF" w:rsidP="003A07F9">
      <w:pPr>
        <w:jc w:val="both"/>
        <w:rPr>
          <w:lang w:val="en-AU"/>
        </w:rPr>
      </w:pPr>
      <w:r>
        <w:rPr>
          <w:lang w:val="en-AU"/>
        </w:rPr>
        <w:t xml:space="preserve">The M&amp;E team are in the process of assessing baseline across all of the indicators in the MEP which </w:t>
      </w:r>
      <w:r w:rsidR="003A07F9">
        <w:rPr>
          <w:lang w:val="en-AU"/>
        </w:rPr>
        <w:t>is being</w:t>
      </w:r>
      <w:r>
        <w:rPr>
          <w:lang w:val="en-AU"/>
        </w:rPr>
        <w:t xml:space="preserve"> finalised and will be submitted as a baseline report in February. </w:t>
      </w:r>
    </w:p>
    <w:p w:rsidR="001A6FCF" w:rsidRPr="006821F7" w:rsidRDefault="006821F7" w:rsidP="008C0C6E">
      <w:pPr>
        <w:rPr>
          <w:lang w:val="en-AU"/>
        </w:rPr>
      </w:pPr>
      <w:r w:rsidRPr="006821F7">
        <w:rPr>
          <w:lang w:val="en-AU"/>
        </w:rPr>
        <w:t>A</w:t>
      </w:r>
      <w:r w:rsidR="001A6FCF" w:rsidRPr="006821F7">
        <w:rPr>
          <w:lang w:val="en-AU"/>
        </w:rPr>
        <w:t xml:space="preserve"> snapshot</w:t>
      </w:r>
      <w:r w:rsidR="003A07F9" w:rsidRPr="006821F7">
        <w:rPr>
          <w:lang w:val="en-AU"/>
        </w:rPr>
        <w:t>,</w:t>
      </w:r>
      <w:r w:rsidR="001A6FCF" w:rsidRPr="006821F7">
        <w:rPr>
          <w:lang w:val="en-AU"/>
        </w:rPr>
        <w:t xml:space="preserve"> the baseline</w:t>
      </w:r>
      <w:r w:rsidRPr="006821F7">
        <w:rPr>
          <w:lang w:val="en-AU"/>
        </w:rPr>
        <w:t xml:space="preserve"> as at 27 January 2015</w:t>
      </w:r>
      <w:r w:rsidR="001A6FCF" w:rsidRPr="006821F7">
        <w:rPr>
          <w:lang w:val="en-AU"/>
        </w:rPr>
        <w:t xml:space="preserve"> </w:t>
      </w:r>
      <w:r w:rsidRPr="006821F7">
        <w:rPr>
          <w:lang w:val="en-AU"/>
        </w:rPr>
        <w:t xml:space="preserve">is </w:t>
      </w:r>
      <w:r w:rsidRPr="00952C39">
        <w:rPr>
          <w:lang w:val="en-AU"/>
        </w:rPr>
        <w:t xml:space="preserve">shown in </w:t>
      </w:r>
      <w:r w:rsidR="00952C39" w:rsidRPr="00952C39">
        <w:rPr>
          <w:lang w:val="en-AU"/>
        </w:rPr>
        <w:t>Annex 8</w:t>
      </w:r>
      <w:r w:rsidR="001A6FCF" w:rsidRPr="006821F7">
        <w:rPr>
          <w:lang w:val="en-AU"/>
        </w:rPr>
        <w:t xml:space="preserve"> </w:t>
      </w:r>
    </w:p>
    <w:p w:rsidR="001A6FCF" w:rsidRPr="001A6FCF" w:rsidRDefault="001A6FCF" w:rsidP="001A6FCF">
      <w:pPr>
        <w:rPr>
          <w:b/>
          <w:i/>
          <w:lang w:val="en-AU"/>
        </w:rPr>
      </w:pPr>
      <w:r w:rsidRPr="001A6FCF">
        <w:rPr>
          <w:b/>
          <w:i/>
          <w:lang w:val="en-AU"/>
        </w:rPr>
        <w:t>Measuring Sustainability</w:t>
      </w:r>
    </w:p>
    <w:p w:rsidR="001A6FCF" w:rsidRDefault="00E4353A" w:rsidP="00E4353A">
      <w:pPr>
        <w:jc w:val="both"/>
        <w:rPr>
          <w:lang w:val="en-AU"/>
        </w:rPr>
      </w:pPr>
      <w:r w:rsidRPr="00E4353A">
        <w:rPr>
          <w:lang w:val="en-AU"/>
        </w:rPr>
        <w:t>It is intended that sustainability will be measured first, by analysis of the data from the indicators in the MEF that have a strong link with sustainability and reported on in progress reporting, and second, through an analysis prior to the completion of PJSPV to inform any subsequent initiative.</w:t>
      </w:r>
      <w:r w:rsidRPr="00E4353A">
        <w:rPr>
          <w:rStyle w:val="FootnoteReference"/>
          <w:lang w:val="en-AU"/>
        </w:rPr>
        <w:footnoteReference w:id="30"/>
      </w:r>
      <w:r w:rsidRPr="00E4353A">
        <w:rPr>
          <w:lang w:val="en-AU"/>
        </w:rPr>
        <w:t xml:space="preserve"> </w:t>
      </w:r>
    </w:p>
    <w:p w:rsidR="00102CDB" w:rsidRDefault="003A07F9" w:rsidP="00E4353A">
      <w:pPr>
        <w:jc w:val="both"/>
        <w:rPr>
          <w:lang w:val="en-AU"/>
        </w:rPr>
      </w:pPr>
      <w:r>
        <w:rPr>
          <w:lang w:val="en-AU"/>
        </w:rPr>
        <w:t>SRBJ</w:t>
      </w:r>
      <w:r w:rsidR="00102CDB">
        <w:rPr>
          <w:lang w:val="en-AU"/>
        </w:rPr>
        <w:t xml:space="preserve"> may have made some gains with respect to sustainability in the area</w:t>
      </w:r>
      <w:r>
        <w:rPr>
          <w:lang w:val="en-AU"/>
        </w:rPr>
        <w:t>s</w:t>
      </w:r>
      <w:r w:rsidR="00102CDB">
        <w:rPr>
          <w:lang w:val="en-AU"/>
        </w:rPr>
        <w:t xml:space="preserve"> of:</w:t>
      </w:r>
    </w:p>
    <w:p w:rsidR="00102CDB" w:rsidRDefault="00102CDB" w:rsidP="007D2BBC">
      <w:pPr>
        <w:pStyle w:val="ListParagraph"/>
        <w:numPr>
          <w:ilvl w:val="0"/>
          <w:numId w:val="40"/>
        </w:numPr>
        <w:jc w:val="both"/>
        <w:rPr>
          <w:lang w:val="en-AU"/>
        </w:rPr>
      </w:pPr>
      <w:r>
        <w:rPr>
          <w:lang w:val="en-AU"/>
        </w:rPr>
        <w:t>Increasing the culture of sharing knowledge and discussing cases (</w:t>
      </w:r>
      <w:r w:rsidR="00A6372C">
        <w:rPr>
          <w:lang w:val="en-AU"/>
        </w:rPr>
        <w:t xml:space="preserve">for example </w:t>
      </w:r>
      <w:r>
        <w:rPr>
          <w:lang w:val="en-AU"/>
        </w:rPr>
        <w:t>in the PSO).</w:t>
      </w:r>
    </w:p>
    <w:p w:rsidR="00102CDB" w:rsidRDefault="00102CDB" w:rsidP="007D2BBC">
      <w:pPr>
        <w:pStyle w:val="ListParagraph"/>
        <w:numPr>
          <w:ilvl w:val="0"/>
          <w:numId w:val="40"/>
        </w:numPr>
        <w:jc w:val="both"/>
        <w:rPr>
          <w:lang w:val="en-AU"/>
        </w:rPr>
      </w:pPr>
      <w:r>
        <w:rPr>
          <w:lang w:val="en-AU"/>
        </w:rPr>
        <w:t>Strengthened skills and knowledge transfer and capacity building with the MJCS monitoring officer.</w:t>
      </w:r>
    </w:p>
    <w:p w:rsidR="00102CDB" w:rsidRDefault="00102CDB" w:rsidP="007D2BBC">
      <w:pPr>
        <w:pStyle w:val="ListParagraph"/>
        <w:numPr>
          <w:ilvl w:val="0"/>
          <w:numId w:val="40"/>
        </w:numPr>
        <w:jc w:val="both"/>
        <w:rPr>
          <w:lang w:val="en-AU"/>
        </w:rPr>
      </w:pPr>
      <w:r>
        <w:rPr>
          <w:lang w:val="en-AU"/>
        </w:rPr>
        <w:t xml:space="preserve">Noticeable improvements in sector agencies in monitoring and reporting on business plans. </w:t>
      </w:r>
    </w:p>
    <w:p w:rsidR="00102CDB" w:rsidRDefault="00102CDB" w:rsidP="007D2BBC">
      <w:pPr>
        <w:pStyle w:val="ListParagraph"/>
        <w:numPr>
          <w:ilvl w:val="0"/>
          <w:numId w:val="40"/>
        </w:numPr>
        <w:jc w:val="both"/>
        <w:rPr>
          <w:lang w:val="en-AU"/>
        </w:rPr>
      </w:pPr>
      <w:r>
        <w:rPr>
          <w:lang w:val="en-AU"/>
        </w:rPr>
        <w:t>Working with GoV (DWA) to strengthen the implementation of the Family Protection Act (2008) through piloting the appointment of Authorised Persons and Registered Counsellors.</w:t>
      </w:r>
    </w:p>
    <w:p w:rsidR="00102CDB" w:rsidRPr="00102CDB" w:rsidRDefault="00102CDB" w:rsidP="007D2BBC">
      <w:pPr>
        <w:pStyle w:val="ListParagraph"/>
        <w:numPr>
          <w:ilvl w:val="0"/>
          <w:numId w:val="40"/>
        </w:numPr>
        <w:jc w:val="both"/>
        <w:rPr>
          <w:lang w:val="en-AU"/>
        </w:rPr>
      </w:pPr>
      <w:r>
        <w:rPr>
          <w:lang w:val="en-AU"/>
        </w:rPr>
        <w:t>Framing of a research approach that will have utility beyond the program interventions for other stakeholders working at the justice and community interface.</w:t>
      </w:r>
    </w:p>
    <w:p w:rsidR="00F77374" w:rsidRDefault="003835ED" w:rsidP="00F77374">
      <w:pPr>
        <w:jc w:val="both"/>
        <w:rPr>
          <w:lang w:val="en-AU"/>
        </w:rPr>
      </w:pPr>
      <w:r>
        <w:rPr>
          <w:lang w:val="en-AU"/>
        </w:rPr>
        <w:t>Areas in which the program is currently focusing attention to strengthen sustainability are</w:t>
      </w:r>
      <w:r w:rsidR="00F77374">
        <w:rPr>
          <w:lang w:val="en-AU"/>
        </w:rPr>
        <w:t>:</w:t>
      </w:r>
    </w:p>
    <w:p w:rsidR="003835ED" w:rsidRPr="00F77374" w:rsidRDefault="003835ED" w:rsidP="007D2BBC">
      <w:pPr>
        <w:pStyle w:val="ListParagraph"/>
        <w:numPr>
          <w:ilvl w:val="0"/>
          <w:numId w:val="41"/>
        </w:numPr>
        <w:jc w:val="both"/>
        <w:rPr>
          <w:lang w:val="en-AU"/>
        </w:rPr>
      </w:pPr>
      <w:r w:rsidRPr="00F77374">
        <w:rPr>
          <w:lang w:val="en-AU"/>
        </w:rPr>
        <w:t xml:space="preserve">Integration of the LSIP into the law clinic course at the USP School of Law. There will be increased activity in this area next reporting period as the new Manager for the Community Law Clinic has now arrived in Vanuatu. </w:t>
      </w:r>
    </w:p>
    <w:p w:rsidR="003835ED" w:rsidRPr="00F77374" w:rsidRDefault="003835ED" w:rsidP="007D2BBC">
      <w:pPr>
        <w:pStyle w:val="ListParagraph"/>
        <w:numPr>
          <w:ilvl w:val="0"/>
          <w:numId w:val="41"/>
        </w:numPr>
        <w:jc w:val="both"/>
        <w:rPr>
          <w:lang w:val="en-AU"/>
        </w:rPr>
      </w:pPr>
      <w:r w:rsidRPr="00F77374">
        <w:rPr>
          <w:lang w:val="en-AU"/>
        </w:rPr>
        <w:lastRenderedPageBreak/>
        <w:t>A stronger focus on systems, processes, policies and case management to strengthen the sustainability of the capacity development work within institutions, primarily PSO and SPD but other agencies as well.</w:t>
      </w:r>
    </w:p>
    <w:p w:rsidR="003835ED" w:rsidRPr="00F77374" w:rsidRDefault="00102CDB" w:rsidP="007D2BBC">
      <w:pPr>
        <w:pStyle w:val="ListParagraph"/>
        <w:numPr>
          <w:ilvl w:val="0"/>
          <w:numId w:val="41"/>
        </w:numPr>
        <w:jc w:val="both"/>
        <w:rPr>
          <w:lang w:val="en-AU"/>
        </w:rPr>
      </w:pPr>
      <w:r w:rsidRPr="00F77374">
        <w:rPr>
          <w:lang w:val="en-AU"/>
        </w:rPr>
        <w:t xml:space="preserve">Strengthening relationship with PMO’s M&amp;E Unit to enhance consistency of messaging and approach. </w:t>
      </w:r>
    </w:p>
    <w:p w:rsidR="00102CDB" w:rsidRPr="00F77374" w:rsidRDefault="002A50EC" w:rsidP="007D2BBC">
      <w:pPr>
        <w:pStyle w:val="ListParagraph"/>
        <w:numPr>
          <w:ilvl w:val="0"/>
          <w:numId w:val="41"/>
        </w:numPr>
        <w:jc w:val="both"/>
        <w:rPr>
          <w:lang w:val="en-AU"/>
        </w:rPr>
      </w:pPr>
      <w:r>
        <w:rPr>
          <w:lang w:val="en-AU"/>
        </w:rPr>
        <w:t>Recruitment</w:t>
      </w:r>
      <w:r w:rsidR="00C82812">
        <w:rPr>
          <w:lang w:val="en-AU"/>
        </w:rPr>
        <w:t xml:space="preserve"> of the positions within the corporate services part of the MJCS</w:t>
      </w:r>
      <w:r w:rsidR="003A07F9">
        <w:rPr>
          <w:lang w:val="en-AU"/>
        </w:rPr>
        <w:t xml:space="preserve"> which </w:t>
      </w:r>
      <w:r w:rsidR="00C82812">
        <w:rPr>
          <w:lang w:val="en-AU"/>
        </w:rPr>
        <w:t xml:space="preserve">will increase the </w:t>
      </w:r>
      <w:r>
        <w:rPr>
          <w:lang w:val="en-AU"/>
        </w:rPr>
        <w:t>opportunity</w:t>
      </w:r>
      <w:r w:rsidR="00C82812">
        <w:rPr>
          <w:lang w:val="en-AU"/>
        </w:rPr>
        <w:t xml:space="preserve"> for skills transfer </w:t>
      </w:r>
      <w:r w:rsidR="003A07F9">
        <w:rPr>
          <w:lang w:val="en-AU"/>
        </w:rPr>
        <w:t>to</w:t>
      </w:r>
      <w:r w:rsidR="00C82812">
        <w:rPr>
          <w:lang w:val="en-AU"/>
        </w:rPr>
        <w:t xml:space="preserve"> some of the current and future cross sector positions, including that of Capacity Development and Leadership Adviser and PFM Adviser for example.</w:t>
      </w:r>
    </w:p>
    <w:p w:rsidR="00474485" w:rsidRPr="00C82812" w:rsidRDefault="00C82812" w:rsidP="007D2BBC">
      <w:pPr>
        <w:pStyle w:val="ListParagraph"/>
        <w:numPr>
          <w:ilvl w:val="0"/>
          <w:numId w:val="41"/>
        </w:numPr>
        <w:spacing w:before="240" w:after="240"/>
        <w:jc w:val="both"/>
        <w:outlineLvl w:val="1"/>
        <w:rPr>
          <w:rFonts w:eastAsia="Times New Roman" w:cs="Times New Roman Bold"/>
          <w:szCs w:val="20"/>
          <w:lang w:eastAsia="fr-FR"/>
        </w:rPr>
      </w:pPr>
      <w:bookmarkStart w:id="39" w:name="_Toc411268961"/>
      <w:r w:rsidRPr="00C82812">
        <w:rPr>
          <w:rFonts w:eastAsia="Times New Roman" w:cs="Times New Roman Bold"/>
          <w:szCs w:val="20"/>
          <w:lang w:eastAsia="fr-FR"/>
        </w:rPr>
        <w:t>In relation to capacity development</w:t>
      </w:r>
      <w:r w:rsidR="003A07F9">
        <w:rPr>
          <w:rFonts w:eastAsia="Times New Roman" w:cs="Times New Roman Bold"/>
          <w:szCs w:val="20"/>
          <w:lang w:eastAsia="fr-FR"/>
        </w:rPr>
        <w:t>,</w:t>
      </w:r>
      <w:r w:rsidRPr="00C82812">
        <w:rPr>
          <w:rFonts w:eastAsia="Times New Roman" w:cs="Times New Roman Bold"/>
          <w:szCs w:val="20"/>
          <w:lang w:eastAsia="fr-FR"/>
        </w:rPr>
        <w:t xml:space="preserve"> t</w:t>
      </w:r>
      <w:r w:rsidR="00474485" w:rsidRPr="00C82812">
        <w:rPr>
          <w:rFonts w:eastAsia="Times New Roman" w:cs="Times New Roman Bold"/>
          <w:szCs w:val="20"/>
          <w:lang w:eastAsia="fr-FR"/>
        </w:rPr>
        <w:t>he core intention of the approach</w:t>
      </w:r>
      <w:r w:rsidRPr="00C82812">
        <w:rPr>
          <w:rFonts w:eastAsia="Times New Roman" w:cs="Times New Roman Bold"/>
          <w:szCs w:val="20"/>
          <w:lang w:eastAsia="fr-FR"/>
        </w:rPr>
        <w:t xml:space="preserve"> laid out in the strategy is to </w:t>
      </w:r>
      <w:r w:rsidR="00474485" w:rsidRPr="00C82812">
        <w:rPr>
          <w:rFonts w:eastAsia="Times New Roman" w:cs="Times New Roman Bold"/>
          <w:szCs w:val="20"/>
          <w:lang w:eastAsia="fr-FR"/>
        </w:rPr>
        <w:t xml:space="preserve">facilitate a systemic development that is effective and creates sustainable results. This holds its own risks, as it relies heavily on a balanced focus between improvements in organisational systems, leadership and practices, learning opportunities (e.g. training) and workplace application that shows up in improved (and measurable) performance. It also depends on effective coordination of effort between </w:t>
      </w:r>
      <w:r w:rsidRPr="00C82812">
        <w:rPr>
          <w:rFonts w:eastAsia="Times New Roman" w:cs="Times New Roman Bold"/>
          <w:szCs w:val="20"/>
          <w:lang w:eastAsia="fr-FR"/>
        </w:rPr>
        <w:t>the Capacity Development and Leadership Adviser</w:t>
      </w:r>
      <w:r w:rsidR="003A07F9">
        <w:rPr>
          <w:rFonts w:eastAsia="Times New Roman" w:cs="Times New Roman Bold"/>
          <w:szCs w:val="20"/>
          <w:lang w:eastAsia="fr-FR"/>
        </w:rPr>
        <w:t xml:space="preserve"> and other a</w:t>
      </w:r>
      <w:r w:rsidR="00474485" w:rsidRPr="00C82812">
        <w:rPr>
          <w:rFonts w:eastAsia="Times New Roman" w:cs="Times New Roman Bold"/>
          <w:szCs w:val="20"/>
          <w:lang w:eastAsia="fr-FR"/>
        </w:rPr>
        <w:t xml:space="preserve">dvisers so that </w:t>
      </w:r>
      <w:r w:rsidR="003A07F9">
        <w:rPr>
          <w:rFonts w:eastAsia="Times New Roman" w:cs="Times New Roman Bold"/>
          <w:szCs w:val="20"/>
          <w:lang w:eastAsia="fr-FR"/>
        </w:rPr>
        <w:t>SRBJ’s</w:t>
      </w:r>
      <w:r w:rsidR="00474485" w:rsidRPr="00C82812">
        <w:rPr>
          <w:rFonts w:eastAsia="Times New Roman" w:cs="Times New Roman Bold"/>
          <w:szCs w:val="20"/>
          <w:lang w:eastAsia="fr-FR"/>
        </w:rPr>
        <w:t xml:space="preserve"> efforts are integrated and build on each other.</w:t>
      </w:r>
      <w:bookmarkEnd w:id="39"/>
      <w:r w:rsidR="00474485" w:rsidRPr="00C82812">
        <w:rPr>
          <w:rFonts w:eastAsia="Times New Roman" w:cs="Times New Roman Bold"/>
          <w:szCs w:val="20"/>
          <w:lang w:eastAsia="fr-FR"/>
        </w:rPr>
        <w:t xml:space="preserve"> </w:t>
      </w:r>
    </w:p>
    <w:p w:rsidR="00474485" w:rsidRPr="00BB70F3" w:rsidRDefault="00474485" w:rsidP="007D2BBC">
      <w:pPr>
        <w:pStyle w:val="ListParagraph"/>
        <w:numPr>
          <w:ilvl w:val="0"/>
          <w:numId w:val="41"/>
        </w:numPr>
        <w:jc w:val="both"/>
        <w:rPr>
          <w:lang w:val="en-AU"/>
        </w:rPr>
      </w:pPr>
      <w:r w:rsidRPr="00C82812">
        <w:rPr>
          <w:rFonts w:eastAsia="Times New Roman" w:cs="Times New Roman Bold"/>
          <w:szCs w:val="20"/>
          <w:lang w:eastAsia="fr-FR"/>
        </w:rPr>
        <w:t>The new HR</w:t>
      </w:r>
      <w:r w:rsidR="00E36699">
        <w:rPr>
          <w:rFonts w:eastAsia="Times New Roman" w:cs="Times New Roman Bold"/>
          <w:szCs w:val="20"/>
          <w:lang w:eastAsia="fr-FR"/>
        </w:rPr>
        <w:t xml:space="preserve"> </w:t>
      </w:r>
      <w:r w:rsidRPr="00C82812">
        <w:rPr>
          <w:rFonts w:eastAsia="Times New Roman" w:cs="Times New Roman Bold"/>
          <w:szCs w:val="20"/>
          <w:lang w:eastAsia="fr-FR"/>
        </w:rPr>
        <w:t>M</w:t>
      </w:r>
      <w:r w:rsidR="00E36699">
        <w:rPr>
          <w:rFonts w:eastAsia="Times New Roman" w:cs="Times New Roman Bold"/>
          <w:szCs w:val="20"/>
          <w:lang w:eastAsia="fr-FR"/>
        </w:rPr>
        <w:t>anagement</w:t>
      </w:r>
      <w:r w:rsidRPr="00C82812">
        <w:rPr>
          <w:rFonts w:eastAsia="Times New Roman" w:cs="Times New Roman Bold"/>
          <w:szCs w:val="20"/>
          <w:lang w:eastAsia="fr-FR"/>
        </w:rPr>
        <w:t xml:space="preserve"> </w:t>
      </w:r>
      <w:r w:rsidR="003A07F9">
        <w:rPr>
          <w:rFonts w:eastAsia="Times New Roman" w:cs="Times New Roman Bold"/>
          <w:szCs w:val="20"/>
          <w:lang w:eastAsia="fr-FR"/>
        </w:rPr>
        <w:t xml:space="preserve">Adviser </w:t>
      </w:r>
      <w:r w:rsidRPr="00C82812">
        <w:rPr>
          <w:rFonts w:eastAsia="Times New Roman" w:cs="Times New Roman Bold"/>
          <w:szCs w:val="20"/>
          <w:lang w:eastAsia="fr-FR"/>
        </w:rPr>
        <w:t xml:space="preserve">and Workplace Learning Adviser roles in 2015 will offer some additional needed support in this area, and it will be essential to engage in 2015 with the new MJCS recruits </w:t>
      </w:r>
      <w:r w:rsidR="00FC5678">
        <w:rPr>
          <w:rFonts w:eastAsia="Times New Roman" w:cs="Times New Roman Bold"/>
          <w:szCs w:val="20"/>
          <w:lang w:eastAsia="fr-FR"/>
        </w:rPr>
        <w:t>to</w:t>
      </w:r>
      <w:r w:rsidRPr="00C82812">
        <w:rPr>
          <w:rFonts w:eastAsia="Times New Roman" w:cs="Times New Roman Bold"/>
          <w:szCs w:val="20"/>
          <w:lang w:eastAsia="fr-FR"/>
        </w:rPr>
        <w:t xml:space="preserve"> support </w:t>
      </w:r>
      <w:r w:rsidR="00C82812">
        <w:rPr>
          <w:rFonts w:eastAsia="Times New Roman" w:cs="Times New Roman Bold"/>
          <w:szCs w:val="20"/>
          <w:lang w:eastAsia="fr-FR"/>
        </w:rPr>
        <w:t xml:space="preserve">the MJCS </w:t>
      </w:r>
      <w:r w:rsidRPr="00C82812">
        <w:rPr>
          <w:rFonts w:eastAsia="Times New Roman" w:cs="Times New Roman Bold"/>
          <w:szCs w:val="20"/>
          <w:lang w:eastAsia="fr-FR"/>
        </w:rPr>
        <w:t>hub to build sustainable capacity in organisational improvement.</w:t>
      </w:r>
    </w:p>
    <w:p w:rsidR="00BB70F3" w:rsidRPr="00BB70F3" w:rsidRDefault="00BB70F3" w:rsidP="007D2BBC">
      <w:pPr>
        <w:pStyle w:val="ListParagraph"/>
        <w:numPr>
          <w:ilvl w:val="0"/>
          <w:numId w:val="41"/>
        </w:numPr>
        <w:jc w:val="both"/>
        <w:rPr>
          <w:lang w:val="en-AU"/>
        </w:rPr>
      </w:pPr>
      <w:r>
        <w:rPr>
          <w:rFonts w:eastAsia="Times New Roman" w:cs="Times New Roman Bold"/>
          <w:szCs w:val="20"/>
          <w:lang w:eastAsia="fr-FR"/>
        </w:rPr>
        <w:t>Recrui</w:t>
      </w:r>
      <w:r w:rsidR="00E979AE">
        <w:rPr>
          <w:rFonts w:eastAsia="Times New Roman" w:cs="Times New Roman Bold"/>
          <w:szCs w:val="20"/>
          <w:lang w:eastAsia="fr-FR"/>
        </w:rPr>
        <w:t>t</w:t>
      </w:r>
      <w:r>
        <w:rPr>
          <w:rFonts w:eastAsia="Times New Roman" w:cs="Times New Roman Bold"/>
          <w:szCs w:val="20"/>
          <w:lang w:eastAsia="fr-FR"/>
        </w:rPr>
        <w:t>ment of a sector counterpart for the CDMA.</w:t>
      </w:r>
    </w:p>
    <w:p w:rsidR="00BB70F3" w:rsidRPr="00C82812" w:rsidRDefault="00BB70F3" w:rsidP="00BB70F3">
      <w:pPr>
        <w:pStyle w:val="ListParagraph"/>
        <w:jc w:val="both"/>
        <w:rPr>
          <w:lang w:val="en-AU"/>
        </w:rPr>
      </w:pPr>
    </w:p>
    <w:p w:rsidR="00D90BAA" w:rsidRDefault="00D90BAA" w:rsidP="00E9734A">
      <w:pPr>
        <w:pStyle w:val="Heading3"/>
      </w:pPr>
      <w:bookmarkStart w:id="40" w:name="_Toc411268962"/>
      <w:r>
        <w:t>Risk Management</w:t>
      </w:r>
      <w:bookmarkEnd w:id="40"/>
    </w:p>
    <w:p w:rsidR="00AC0D5A" w:rsidRDefault="00AC0D5A" w:rsidP="00AC0D5A">
      <w:pPr>
        <w:spacing w:before="240"/>
        <w:jc w:val="both"/>
      </w:pPr>
      <w:r>
        <w:t>There are risks to all development programs in Vanuatu given the complexity and fluidity of the operating environment. Many of these risks are a given and are beyond the scope of the program to control, such as political instability and changing macroeconomic conditions. The approach to these high level risks that are outside of the scope of the program are to be vigilant in monitoring shifts in the operating environment so as to be able to mitigate negative impacts through a flexible and responsive approach to risk identification and management.</w:t>
      </w:r>
    </w:p>
    <w:p w:rsidR="00AC0D5A" w:rsidRDefault="00AC0D5A" w:rsidP="00AC0D5A">
      <w:pPr>
        <w:jc w:val="both"/>
      </w:pPr>
      <w:r>
        <w:t xml:space="preserve">The management of risk is a continuous part of the approach to implementation in that all SRBJ team members are aware and raise risks that impact on their particular areas of intervention regularly. These are often discussed at team meetings in an effort to identify appropriate risk mitigation strategies. Integral to this attentiveness to risk is a solid and effective tripartite relationship between SRBJ (PJSPV), DFAT and the </w:t>
      </w:r>
      <w:proofErr w:type="spellStart"/>
      <w:r>
        <w:t>GoV.</w:t>
      </w:r>
      <w:proofErr w:type="spellEnd"/>
      <w:r>
        <w:t xml:space="preserve"> This open and effective relationship has allowed for the identification and analysis of risks as they arise and a collaborative approach to the management of those risks. Collocation of SRBJ staff within agencies, within the MJCS and in the future within VPF strengthens not only the relationships but also the ability to observe likely risks to the program first hand. </w:t>
      </w:r>
    </w:p>
    <w:p w:rsidR="00AC0D5A" w:rsidRDefault="00AC0D5A" w:rsidP="00AC0D5A">
      <w:pPr>
        <w:jc w:val="both"/>
      </w:pPr>
      <w:r>
        <w:lastRenderedPageBreak/>
        <w:t>SRBJ will increasingly seek to strengthen integration with GoV policies, processes, systems and procedures, whilst building stakeholder relationships. The monitoring and evaluation processes of the program and the relevant GoV agencies will be consistent and aligned where possible; the processes for approval of funding will be consistent where possible; planning and reporting will be aligned with the requirements of MJCS and PMO; GoV policy guidelines will be supported so that the program’s support can be better aligned with clear government intentions and priorities (for example, in the areas of gender and child protection); case and data systems are aligned and developed in partnership with MJCS and OGCIO; and the program will increasingly seek to use the GoV systems for funding. Whilst integration and alignment strengthen sustainability and capacity and are generally good development practice, it has an additional benefit with respect to risk. It moderates against risks being perceived as those of the program alone to be borne and managed by the program; but rather spreads the responsibility for risk more widely to those who feel ownership and commitment in its intended objectives.</w:t>
      </w:r>
    </w:p>
    <w:p w:rsidR="00AC0D5A" w:rsidRDefault="00AC0D5A" w:rsidP="00AC0D5A">
      <w:pPr>
        <w:jc w:val="both"/>
      </w:pPr>
      <w:r>
        <w:t xml:space="preserve">In </w:t>
      </w:r>
      <w:r w:rsidRPr="00952C39">
        <w:t>addition to these general approaches to the management of risk, SRBJ has a risk management table which is reviewed every six months- and has been reviewed as part of the preparation of this report (</w:t>
      </w:r>
      <w:r w:rsidR="00952C39" w:rsidRPr="00952C39">
        <w:t>see Annex 9</w:t>
      </w:r>
      <w:r w:rsidRPr="00952C39">
        <w:t xml:space="preserve">).  </w:t>
      </w:r>
    </w:p>
    <w:p w:rsidR="00E979AE" w:rsidRPr="00952C39" w:rsidRDefault="00E979AE" w:rsidP="00AC0D5A">
      <w:pPr>
        <w:jc w:val="both"/>
      </w:pPr>
    </w:p>
    <w:p w:rsidR="00D90BAA" w:rsidRPr="00952C39" w:rsidRDefault="00D90BAA" w:rsidP="00E9734A">
      <w:pPr>
        <w:pStyle w:val="Heading3"/>
      </w:pPr>
      <w:bookmarkStart w:id="41" w:name="_Toc411268963"/>
      <w:r w:rsidRPr="00952C39">
        <w:t>Staffing and human resource management</w:t>
      </w:r>
      <w:bookmarkEnd w:id="41"/>
    </w:p>
    <w:p w:rsidR="00A945E9" w:rsidRDefault="00A945E9" w:rsidP="00A945E9">
      <w:pPr>
        <w:jc w:val="both"/>
        <w:rPr>
          <w:lang w:val="en-AU"/>
        </w:rPr>
      </w:pPr>
      <w:r w:rsidRPr="00952C39">
        <w:rPr>
          <w:lang w:val="en-AU"/>
        </w:rPr>
        <w:t>During the reporting period GRM International</w:t>
      </w:r>
      <w:r>
        <w:rPr>
          <w:lang w:val="en-AU"/>
        </w:rPr>
        <w:t xml:space="preserve"> Pty Limited (GRM), the managing contractor, formerly for SRBJ, and now for PJSPV contracted the two administrative support staff to VAPP (whose contracts were previously with DFAT). </w:t>
      </w:r>
    </w:p>
    <w:p w:rsidR="0060647D" w:rsidRPr="0060647D" w:rsidRDefault="00A945E9" w:rsidP="0060647D">
      <w:pPr>
        <w:jc w:val="both"/>
        <w:rPr>
          <w:lang w:val="en-AU"/>
        </w:rPr>
      </w:pPr>
      <w:r w:rsidRPr="0060647D">
        <w:rPr>
          <w:lang w:val="en-AU"/>
        </w:rPr>
        <w:t xml:space="preserve">One of the VAPP support staff resigned in November 2014 for personal reasons having been with that program </w:t>
      </w:r>
      <w:r w:rsidR="0060647D" w:rsidRPr="0060647D">
        <w:rPr>
          <w:lang w:val="en-AU"/>
        </w:rPr>
        <w:t>since 2006</w:t>
      </w:r>
      <w:r w:rsidRPr="0060647D">
        <w:rPr>
          <w:lang w:val="en-AU"/>
        </w:rPr>
        <w:t xml:space="preserve">. That position is currently under local recruitment and it is anticipated will be filled shortly. </w:t>
      </w:r>
      <w:r w:rsidR="0060647D" w:rsidRPr="0060647D">
        <w:rPr>
          <w:lang w:val="en-AU"/>
        </w:rPr>
        <w:t>. The program is conducting a recruitment for the position of Senior Finance and Administration Officer, it is hoped that an effective senior resource will be able to fill the post as there is such a high volume of requests through the VAPP office. This position will provide ongoing support to the Deputy Partnership Coordinator in particular who manages the operational side of the program.</w:t>
      </w:r>
    </w:p>
    <w:p w:rsidR="00A945E9" w:rsidRDefault="00A945E9" w:rsidP="00A945E9">
      <w:pPr>
        <w:jc w:val="both"/>
        <w:rPr>
          <w:lang w:val="en-AU"/>
        </w:rPr>
      </w:pPr>
      <w:r>
        <w:rPr>
          <w:lang w:val="en-AU"/>
        </w:rPr>
        <w:t xml:space="preserve">Technical advisers currently being internationally recruited are the </w:t>
      </w:r>
      <w:r w:rsidR="007346D6">
        <w:rPr>
          <w:lang w:val="en-AU"/>
        </w:rPr>
        <w:t>Human Resource Management</w:t>
      </w:r>
      <w:r>
        <w:rPr>
          <w:lang w:val="en-AU"/>
        </w:rPr>
        <w:t xml:space="preserve"> Adviser, the Workplace Learning Adviser and the </w:t>
      </w:r>
      <w:r w:rsidR="00FC5678">
        <w:rPr>
          <w:lang w:val="en-AU"/>
        </w:rPr>
        <w:t xml:space="preserve">Public </w:t>
      </w:r>
      <w:r>
        <w:rPr>
          <w:lang w:val="en-AU"/>
        </w:rPr>
        <w:t xml:space="preserve">Financial Management Adviser. All positions have been shortlisted and interviews have been or are being arranged. </w:t>
      </w:r>
    </w:p>
    <w:p w:rsidR="0060647D" w:rsidRPr="0060647D" w:rsidRDefault="0060647D" w:rsidP="0060647D">
      <w:pPr>
        <w:jc w:val="both"/>
        <w:rPr>
          <w:lang w:val="en-AU"/>
        </w:rPr>
      </w:pPr>
      <w:r w:rsidRPr="0060647D">
        <w:rPr>
          <w:lang w:val="en-AU"/>
        </w:rPr>
        <w:t xml:space="preserve">The program also engaged its M&amp;E team during the period by utilising the GRM Advisory M&amp;E panel. The M&amp;E Specialist and a more Junior Adviser have been working extremely well together and this method of recruitment has been effective in engaging pre-vetted technical assistance at short notice. </w:t>
      </w:r>
    </w:p>
    <w:p w:rsidR="00A945E9" w:rsidRDefault="00A945E9" w:rsidP="00A945E9">
      <w:pPr>
        <w:jc w:val="both"/>
        <w:rPr>
          <w:lang w:val="en-AU"/>
        </w:rPr>
      </w:pPr>
      <w:r>
        <w:rPr>
          <w:lang w:val="en-AU"/>
        </w:rPr>
        <w:t xml:space="preserve">GRM has conducted a performance appraisal of the Partnership Coordinator which has been </w:t>
      </w:r>
      <w:r w:rsidR="007346D6">
        <w:rPr>
          <w:lang w:val="en-AU"/>
        </w:rPr>
        <w:t>approved and is being finalised</w:t>
      </w:r>
      <w:r>
        <w:rPr>
          <w:lang w:val="en-AU"/>
        </w:rPr>
        <w:t xml:space="preserve">. SRBJ is in the process of completing performance appraisals for all of the advisory team during February 2015. </w:t>
      </w:r>
    </w:p>
    <w:p w:rsidR="00E979AE" w:rsidRDefault="00E979AE" w:rsidP="00A945E9">
      <w:pPr>
        <w:jc w:val="both"/>
        <w:rPr>
          <w:lang w:val="en-AU"/>
        </w:rPr>
      </w:pPr>
    </w:p>
    <w:p w:rsidR="00D90BAA" w:rsidRPr="002C4809" w:rsidRDefault="00D90BAA" w:rsidP="00E9734A">
      <w:pPr>
        <w:pStyle w:val="Heading3"/>
      </w:pPr>
      <w:bookmarkStart w:id="42" w:name="_Toc411268964"/>
      <w:r w:rsidRPr="002C4809">
        <w:lastRenderedPageBreak/>
        <w:t xml:space="preserve">Special Management issues </w:t>
      </w:r>
      <w:r w:rsidR="00861042" w:rsidRPr="002C4809">
        <w:t xml:space="preserve">related to </w:t>
      </w:r>
      <w:r w:rsidRPr="002C4809">
        <w:t>Grants Facility</w:t>
      </w:r>
      <w:bookmarkEnd w:id="42"/>
      <w:r w:rsidR="008D62C0" w:rsidRPr="002C4809">
        <w:t xml:space="preserve"> </w:t>
      </w:r>
    </w:p>
    <w:p w:rsidR="00D90BAA" w:rsidRPr="007346D6" w:rsidRDefault="007346D6" w:rsidP="0060647D">
      <w:pPr>
        <w:jc w:val="both"/>
      </w:pPr>
      <w:r w:rsidRPr="007346D6">
        <w:t xml:space="preserve">The program currently administers a Grant Facility. Funding under the Grants Facility continues to be managed separately by the program and does not use government processes and systems so is relatively resource heavy. </w:t>
      </w:r>
    </w:p>
    <w:p w:rsidR="007346D6" w:rsidRPr="007346D6" w:rsidRDefault="007346D6" w:rsidP="0060647D">
      <w:pPr>
        <w:jc w:val="both"/>
      </w:pPr>
      <w:r w:rsidRPr="007346D6">
        <w:t xml:space="preserve">As the PFM recommendations arising fr4om the DFAT funded PFM assessment are implemented there will be increasing opportunity to use GoV financial systems. </w:t>
      </w:r>
    </w:p>
    <w:p w:rsidR="007346D6" w:rsidRPr="007346D6" w:rsidRDefault="007346D6" w:rsidP="0060647D">
      <w:pPr>
        <w:jc w:val="both"/>
      </w:pPr>
      <w:r w:rsidRPr="007346D6">
        <w:t xml:space="preserve">From the commencement of 2015 the PMG has agreed to a tightening of the criteria of the Grants Facility and a reduction in the frequency of acceptance of applications from monthly to quarterly. The first applications to the Grants Facility will be considered at the first PMG for the year on 28 January. </w:t>
      </w:r>
    </w:p>
    <w:p w:rsidR="00D90BAA" w:rsidRDefault="007346D6" w:rsidP="0060647D">
      <w:pPr>
        <w:jc w:val="both"/>
      </w:pPr>
      <w:r>
        <w:t>Some analysis of the Grants Facility was provided for the SRBJ Stage 1 Completion Report and an evaluation of the outcomes of the Grants Facility to date will be conducted at the end of February beginning of March by the Quality Assurance and Technical Adviser.</w:t>
      </w:r>
    </w:p>
    <w:p w:rsidR="0060647D" w:rsidRPr="0060647D" w:rsidRDefault="0060647D" w:rsidP="0060647D">
      <w:pPr>
        <w:jc w:val="both"/>
      </w:pPr>
      <w:r w:rsidRPr="0060647D">
        <w:t xml:space="preserve">During the period a number of grants have been </w:t>
      </w:r>
      <w:r>
        <w:t>approved, finalised</w:t>
      </w:r>
      <w:r w:rsidRPr="0060647D">
        <w:t xml:space="preserve"> and acquitted, key grants during the period were: </w:t>
      </w:r>
    </w:p>
    <w:p w:rsidR="0060647D" w:rsidRPr="0060647D" w:rsidRDefault="0060647D" w:rsidP="0060647D">
      <w:pPr>
        <w:pStyle w:val="ListParagraph"/>
        <w:numPr>
          <w:ilvl w:val="0"/>
          <w:numId w:val="47"/>
        </w:numPr>
        <w:spacing w:after="0"/>
        <w:ind w:left="714" w:hanging="357"/>
        <w:jc w:val="both"/>
      </w:pPr>
      <w:r>
        <w:t>Supreme Court</w:t>
      </w:r>
      <w:r w:rsidRPr="0060647D">
        <w:t xml:space="preserve"> Renovation</w:t>
      </w:r>
    </w:p>
    <w:p w:rsidR="0060647D" w:rsidRPr="0060647D" w:rsidRDefault="0060647D" w:rsidP="0060647D">
      <w:pPr>
        <w:pStyle w:val="ListParagraph"/>
        <w:numPr>
          <w:ilvl w:val="0"/>
          <w:numId w:val="47"/>
        </w:numPr>
        <w:spacing w:after="0"/>
        <w:ind w:left="714" w:hanging="357"/>
        <w:jc w:val="both"/>
      </w:pPr>
      <w:r>
        <w:t>Supreme Court T</w:t>
      </w:r>
      <w:r w:rsidRPr="0060647D">
        <w:t>emporary Office Space</w:t>
      </w:r>
    </w:p>
    <w:p w:rsidR="0060647D" w:rsidRPr="0060647D" w:rsidRDefault="0060647D" w:rsidP="0060647D">
      <w:pPr>
        <w:pStyle w:val="ListParagraph"/>
        <w:numPr>
          <w:ilvl w:val="0"/>
          <w:numId w:val="47"/>
        </w:numPr>
        <w:spacing w:after="0"/>
        <w:ind w:left="714" w:hanging="357"/>
        <w:jc w:val="both"/>
      </w:pPr>
      <w:r w:rsidRPr="0060647D">
        <w:t>PPO Renovation</w:t>
      </w:r>
    </w:p>
    <w:p w:rsidR="0060647D" w:rsidRPr="0060647D" w:rsidRDefault="0060647D" w:rsidP="0060647D">
      <w:pPr>
        <w:pStyle w:val="ListParagraph"/>
        <w:numPr>
          <w:ilvl w:val="0"/>
          <w:numId w:val="47"/>
        </w:numPr>
        <w:spacing w:after="0"/>
        <w:ind w:left="714" w:hanging="357"/>
        <w:jc w:val="both"/>
      </w:pPr>
      <w:r w:rsidRPr="0060647D">
        <w:t>PPO Temporary Office Space</w:t>
      </w:r>
    </w:p>
    <w:p w:rsidR="0060647D" w:rsidRPr="0060647D" w:rsidRDefault="0060647D" w:rsidP="0060647D">
      <w:pPr>
        <w:pStyle w:val="ListParagraph"/>
        <w:numPr>
          <w:ilvl w:val="0"/>
          <w:numId w:val="47"/>
        </w:numPr>
        <w:spacing w:after="0"/>
        <w:ind w:left="714" w:hanging="357"/>
        <w:jc w:val="both"/>
      </w:pPr>
      <w:r w:rsidRPr="0060647D">
        <w:t>SPD Document Serving</w:t>
      </w:r>
    </w:p>
    <w:p w:rsidR="0060647D" w:rsidRPr="0060647D" w:rsidRDefault="0060647D" w:rsidP="0060647D">
      <w:pPr>
        <w:pStyle w:val="ListParagraph"/>
        <w:numPr>
          <w:ilvl w:val="0"/>
          <w:numId w:val="47"/>
        </w:numPr>
        <w:spacing w:after="0"/>
        <w:ind w:left="714" w:hanging="357"/>
        <w:jc w:val="both"/>
      </w:pPr>
      <w:r w:rsidRPr="0060647D">
        <w:t>CLMO Support</w:t>
      </w:r>
    </w:p>
    <w:p w:rsidR="0060647D" w:rsidRPr="0060647D" w:rsidRDefault="0060647D" w:rsidP="0060647D">
      <w:pPr>
        <w:pStyle w:val="ListParagraph"/>
        <w:numPr>
          <w:ilvl w:val="0"/>
          <w:numId w:val="47"/>
        </w:numPr>
        <w:spacing w:after="0"/>
        <w:ind w:left="714" w:hanging="357"/>
        <w:jc w:val="both"/>
      </w:pPr>
      <w:r w:rsidRPr="0060647D">
        <w:t xml:space="preserve">VSDP </w:t>
      </w:r>
      <w:r>
        <w:t>Early Intervention and Community Based Rehabilitation work</w:t>
      </w:r>
      <w:r w:rsidRPr="0060647D">
        <w:t xml:space="preserve"> </w:t>
      </w:r>
    </w:p>
    <w:p w:rsidR="0060647D" w:rsidRPr="0060647D" w:rsidRDefault="0060647D" w:rsidP="0060647D">
      <w:pPr>
        <w:pStyle w:val="ListParagraph"/>
        <w:numPr>
          <w:ilvl w:val="0"/>
          <w:numId w:val="47"/>
        </w:numPr>
        <w:spacing w:after="0"/>
        <w:ind w:left="714" w:hanging="357"/>
        <w:jc w:val="both"/>
      </w:pPr>
      <w:r w:rsidRPr="0060647D">
        <w:t>Provincial Disability Committee Establishment</w:t>
      </w:r>
    </w:p>
    <w:p w:rsidR="0060647D" w:rsidRPr="0060647D" w:rsidRDefault="0060647D" w:rsidP="0060647D">
      <w:pPr>
        <w:pStyle w:val="ListParagraph"/>
        <w:numPr>
          <w:ilvl w:val="0"/>
          <w:numId w:val="47"/>
        </w:numPr>
        <w:spacing w:after="0"/>
        <w:ind w:left="714" w:hanging="357"/>
        <w:jc w:val="both"/>
      </w:pPr>
      <w:r w:rsidRPr="0060647D">
        <w:t>2014 Disability Day</w:t>
      </w:r>
    </w:p>
    <w:p w:rsidR="0060647D" w:rsidRPr="0060647D" w:rsidRDefault="0060647D" w:rsidP="0060647D">
      <w:pPr>
        <w:spacing w:after="0"/>
        <w:jc w:val="both"/>
      </w:pPr>
    </w:p>
    <w:p w:rsidR="0060647D" w:rsidRPr="0060647D" w:rsidRDefault="0060647D" w:rsidP="0060647D">
      <w:pPr>
        <w:spacing w:after="0"/>
        <w:jc w:val="both"/>
      </w:pPr>
      <w:r w:rsidRPr="0060647D">
        <w:t xml:space="preserve">A frustration for the program in managing grants relates to the timeliness and quality of return of documentation sent to the program by grantees. Acquittal information often takes a long time to be received after </w:t>
      </w:r>
      <w:r>
        <w:t>completion of the implementation of the grant activities</w:t>
      </w:r>
      <w:r w:rsidRPr="0060647D">
        <w:t xml:space="preserve">. Similar </w:t>
      </w:r>
      <w:r>
        <w:t>reporting is often not timely and of variable quality</w:t>
      </w:r>
      <w:r w:rsidRPr="0060647D">
        <w:t>. Notable grantees, such as VLC who receives strong ongoing support from the Program have not provided any significant reporting despite very strong and regular promptings by the Program.</w:t>
      </w:r>
      <w:r w:rsidR="00914CE8">
        <w:t xml:space="preserve"> The program has some remaining concerns regarding the quality assurance of policy reports and recommendations made by the VLC. Significant time was spent preparing feedback on one such report by the VLC which has chosen not to collaborate with SRBJ to strengthen the report. Once the VLC has reported to the program and made a presentation on the conference in Samoa, SRBJ would like to explore possibilities for a secondment from a law reform commission and / or a twinning arrangement with another law reform commission of calibre.</w:t>
      </w:r>
    </w:p>
    <w:p w:rsidR="0060647D" w:rsidRPr="0060647D" w:rsidRDefault="0060647D" w:rsidP="0060647D">
      <w:pPr>
        <w:spacing w:after="0"/>
        <w:jc w:val="both"/>
      </w:pPr>
    </w:p>
    <w:p w:rsidR="0060647D" w:rsidRPr="0060647D" w:rsidRDefault="0060647D" w:rsidP="0060647D">
      <w:pPr>
        <w:spacing w:after="0"/>
        <w:jc w:val="both"/>
      </w:pPr>
      <w:r w:rsidRPr="0060647D">
        <w:t xml:space="preserve">The Program </w:t>
      </w:r>
      <w:r>
        <w:t xml:space="preserve">has under the grants facility in the past required acquittal and reporting before further grants were approved. The program </w:t>
      </w:r>
      <w:r w:rsidRPr="0060647D">
        <w:t xml:space="preserve">will </w:t>
      </w:r>
      <w:r>
        <w:t>raise for consideration with the PMG as a standard requirement for all grants</w:t>
      </w:r>
      <w:r w:rsidRPr="0060647D">
        <w:t xml:space="preserve">. </w:t>
      </w:r>
    </w:p>
    <w:p w:rsidR="0060647D" w:rsidRPr="0060647D" w:rsidRDefault="0060647D" w:rsidP="0060647D">
      <w:pPr>
        <w:spacing w:after="0"/>
        <w:jc w:val="both"/>
      </w:pPr>
    </w:p>
    <w:p w:rsidR="0060647D" w:rsidRDefault="0060647D" w:rsidP="0060647D">
      <w:pPr>
        <w:spacing w:after="0"/>
        <w:jc w:val="both"/>
      </w:pPr>
      <w:r w:rsidRPr="0060647D">
        <w:t xml:space="preserve">The Program has also more </w:t>
      </w:r>
      <w:r>
        <w:t>strengthened</w:t>
      </w:r>
      <w:r w:rsidRPr="0060647D">
        <w:t xml:space="preserve"> processes associated with the </w:t>
      </w:r>
      <w:r>
        <w:t>approval</w:t>
      </w:r>
      <w:r w:rsidRPr="0060647D">
        <w:t xml:space="preserve"> of grants. Score</w:t>
      </w:r>
      <w:r>
        <w:t xml:space="preserve"> </w:t>
      </w:r>
      <w:r w:rsidRPr="0060647D">
        <w:t xml:space="preserve">sheets will become a tool for </w:t>
      </w:r>
      <w:r w:rsidR="00645B1E">
        <w:t>assessing and ranking of grant</w:t>
      </w:r>
      <w:r w:rsidRPr="0060647D">
        <w:t xml:space="preserve"> applications. This will also enable the program to evaluate the grants more effectively </w:t>
      </w:r>
      <w:r w:rsidR="00645B1E">
        <w:t>on international development criteria as well as alignment with the programs intended priorities</w:t>
      </w:r>
      <w:r w:rsidRPr="0060647D">
        <w:t>.</w:t>
      </w:r>
    </w:p>
    <w:p w:rsidR="00645B1E" w:rsidRPr="0060647D" w:rsidRDefault="00645B1E" w:rsidP="0060647D">
      <w:pPr>
        <w:spacing w:after="0"/>
        <w:jc w:val="both"/>
      </w:pPr>
    </w:p>
    <w:p w:rsidR="007346D6" w:rsidRDefault="007E26E6" w:rsidP="007E26E6">
      <w:pPr>
        <w:pStyle w:val="Heading2"/>
      </w:pPr>
      <w:bookmarkStart w:id="43" w:name="_Toc411268965"/>
      <w:r>
        <w:t>Overall conclusion</w:t>
      </w:r>
      <w:bookmarkEnd w:id="43"/>
    </w:p>
    <w:p w:rsidR="007E26E6" w:rsidRDefault="007E26E6" w:rsidP="007E26E6"/>
    <w:p w:rsidR="007E26E6" w:rsidRDefault="007E26E6" w:rsidP="007E26E6">
      <w:pPr>
        <w:jc w:val="both"/>
      </w:pPr>
      <w:r>
        <w:t xml:space="preserve">SRBJ has made effective progress against its </w:t>
      </w:r>
      <w:proofErr w:type="spellStart"/>
      <w:r>
        <w:t>Workplan</w:t>
      </w:r>
      <w:proofErr w:type="spellEnd"/>
      <w:r>
        <w:t xml:space="preserve"> over the first six months of Stage 2 under the integrated PJSPV. There has been some delay in delivery of outputs but it is anticipated that these will be implemented during the next reporting period with minimal impact on the progress towards outcomes. Small delays of this nature were anticipated given the increased </w:t>
      </w:r>
      <w:r w:rsidR="00F85052">
        <w:t xml:space="preserve">burdens on </w:t>
      </w:r>
      <w:r>
        <w:t xml:space="preserve">management </w:t>
      </w:r>
      <w:r w:rsidR="00F85052">
        <w:t>time, resulting from the establishment of new processes and relationships; intensive recruitment and completion of a number of contract deliverables.</w:t>
      </w:r>
      <w:r>
        <w:t xml:space="preserve"> Predominantly these have been achieved </w:t>
      </w:r>
      <w:r w:rsidR="00F85052">
        <w:t xml:space="preserve">or are nearing completion </w:t>
      </w:r>
      <w:r>
        <w:t>and it is anticipated that outputs will be on track over the next six months.</w:t>
      </w:r>
    </w:p>
    <w:p w:rsidR="007E26E6" w:rsidRPr="007E26E6" w:rsidRDefault="007E26E6" w:rsidP="007E26E6">
      <w:pPr>
        <w:jc w:val="both"/>
      </w:pPr>
      <w:r>
        <w:t xml:space="preserve">The SRBJ team as a whole is starting to look more intensively at progress towards intermediate and end-of-program outcomes and at strengthening the sustainability of support in their areas of practice as the program now moves into its final two years of implementation. Collaboration and the sharing of information, knowledge and learning will be increasingly supported to ensure the consistency and </w:t>
      </w:r>
      <w:r w:rsidR="00F85052">
        <w:t xml:space="preserve">a </w:t>
      </w:r>
      <w:r>
        <w:t xml:space="preserve">holistic approach envisaged by the program design. The MEP is more robustly supporting effort in this regard and the baseline which will be available shortly will provide a better base from which to measure contribution of the program than the sector has had to date. </w:t>
      </w:r>
    </w:p>
    <w:sectPr w:rsidR="007E26E6" w:rsidRPr="007E26E6" w:rsidSect="0060647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E1F" w:rsidRDefault="004F7E1F" w:rsidP="004A4CD4">
      <w:pPr>
        <w:spacing w:after="0" w:line="240" w:lineRule="auto"/>
      </w:pPr>
      <w:r>
        <w:separator/>
      </w:r>
    </w:p>
  </w:endnote>
  <w:endnote w:type="continuationSeparator" w:id="0">
    <w:p w:rsidR="004F7E1F" w:rsidRDefault="004F7E1F" w:rsidP="004A4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color w:val="8C8C8C" w:themeColor="background1" w:themeShade="8C"/>
        <w:sz w:val="20"/>
        <w:szCs w:val="20"/>
      </w:rPr>
      <w:alias w:val="Company"/>
      <w:id w:val="270665196"/>
      <w:dataBinding w:prefixMappings="xmlns:ns0='http://schemas.openxmlformats.org/officeDocument/2006/extended-properties'" w:xpath="/ns0:Properties[1]/ns0:Company[1]" w:storeItemID="{6668398D-A668-4E3E-A5EB-62B293D839F1}"/>
      <w:text/>
    </w:sdtPr>
    <w:sdtEndPr/>
    <w:sdtContent>
      <w:p w:rsidR="00171462" w:rsidRDefault="00171462">
        <w:pPr>
          <w:pStyle w:val="Footer"/>
          <w:pBdr>
            <w:top w:val="single" w:sz="24" w:space="5" w:color="9BBB59" w:themeColor="accent3"/>
          </w:pBdr>
          <w:jc w:val="right"/>
          <w:rPr>
            <w:i/>
            <w:iCs/>
            <w:color w:val="8C8C8C" w:themeColor="background1" w:themeShade="8C"/>
          </w:rPr>
        </w:pPr>
        <w:r>
          <w:rPr>
            <w:i/>
            <w:iCs/>
            <w:color w:val="8C8C8C" w:themeColor="background1" w:themeShade="8C"/>
            <w:sz w:val="20"/>
            <w:szCs w:val="20"/>
            <w:lang w:val="en-AU"/>
          </w:rPr>
          <w:t>Stretem Rod Blong Jastis Stage 2 Progress Report - January 2015</w:t>
        </w:r>
      </w:p>
    </w:sdtContent>
  </w:sdt>
  <w:p w:rsidR="00171462" w:rsidRDefault="001714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62" w:rsidRPr="00CC623C" w:rsidRDefault="00171462" w:rsidP="00DA1C5D">
    <w:pPr>
      <w:pStyle w:val="Footer"/>
      <w:pBdr>
        <w:top w:val="thinThickSmallGap" w:sz="24" w:space="1" w:color="622423" w:themeColor="accent2" w:themeShade="7F"/>
      </w:pBdr>
      <w:rPr>
        <w:rFonts w:asciiTheme="minorHAnsi" w:eastAsiaTheme="majorEastAsia" w:hAnsiTheme="minorHAnsi" w:cstheme="minorHAnsi"/>
        <w:b/>
        <w:i/>
        <w:sz w:val="20"/>
        <w:szCs w:val="20"/>
      </w:rPr>
    </w:pPr>
    <w:r w:rsidRPr="00CC623C">
      <w:rPr>
        <w:rFonts w:asciiTheme="minorHAnsi" w:eastAsiaTheme="majorEastAsia" w:hAnsiTheme="minorHAnsi" w:cstheme="minorHAnsi"/>
        <w:b/>
        <w:i/>
        <w:color w:val="4F6228" w:themeColor="accent3" w:themeShade="80"/>
        <w:sz w:val="20"/>
        <w:szCs w:val="20"/>
      </w:rPr>
      <w:t>Stretem Rod Blong Jastis – Stage One Completion Report</w:t>
    </w:r>
    <w:r w:rsidRPr="00CC623C">
      <w:rPr>
        <w:rFonts w:asciiTheme="minorHAnsi" w:eastAsiaTheme="majorEastAsia" w:hAnsiTheme="minorHAnsi" w:cstheme="minorHAnsi"/>
        <w:b/>
        <w:i/>
        <w:sz w:val="20"/>
        <w:szCs w:val="20"/>
      </w:rPr>
      <w:ptab w:relativeTo="margin" w:alignment="right" w:leader="none"/>
    </w:r>
    <w:r w:rsidRPr="00CC623C">
      <w:rPr>
        <w:rFonts w:asciiTheme="minorHAnsi" w:eastAsiaTheme="majorEastAsia" w:hAnsiTheme="minorHAnsi" w:cstheme="minorHAnsi"/>
        <w:b/>
        <w:i/>
        <w:color w:val="4F6228" w:themeColor="accent3" w:themeShade="80"/>
        <w:sz w:val="20"/>
        <w:szCs w:val="20"/>
      </w:rPr>
      <w:t xml:space="preserve">Page </w:t>
    </w:r>
    <w:r>
      <w:fldChar w:fldCharType="begin"/>
    </w:r>
    <w:r>
      <w:instrText xml:space="preserve"> PAGE   \* MERGEFORMAT </w:instrText>
    </w:r>
    <w:r>
      <w:fldChar w:fldCharType="separate"/>
    </w:r>
    <w:r w:rsidRPr="00D90BAA">
      <w:rPr>
        <w:rFonts w:asciiTheme="minorHAnsi" w:eastAsiaTheme="majorEastAsia" w:hAnsiTheme="minorHAnsi" w:cstheme="minorHAnsi"/>
        <w:b/>
        <w:i/>
        <w:noProof/>
        <w:color w:val="4F6228" w:themeColor="accent3" w:themeShade="80"/>
        <w:sz w:val="20"/>
        <w:szCs w:val="20"/>
      </w:rPr>
      <w:t>2</w:t>
    </w:r>
    <w:r>
      <w:rPr>
        <w:rFonts w:asciiTheme="minorHAnsi" w:eastAsiaTheme="majorEastAsia" w:hAnsiTheme="minorHAnsi" w:cstheme="minorHAnsi"/>
        <w:b/>
        <w:i/>
        <w:noProof/>
        <w:color w:val="4F6228" w:themeColor="accent3" w:themeShade="80"/>
        <w:sz w:val="20"/>
        <w:szCs w:val="20"/>
      </w:rPr>
      <w:fldChar w:fldCharType="end"/>
    </w:r>
  </w:p>
  <w:p w:rsidR="00171462" w:rsidRDefault="001714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62" w:rsidRPr="00CC623C" w:rsidRDefault="00171462" w:rsidP="00DA1C5D">
    <w:pPr>
      <w:pStyle w:val="Footer"/>
      <w:pBdr>
        <w:top w:val="thinThickSmallGap" w:sz="24" w:space="1" w:color="622423" w:themeColor="accent2" w:themeShade="7F"/>
      </w:pBdr>
      <w:rPr>
        <w:rFonts w:asciiTheme="minorHAnsi" w:eastAsiaTheme="majorEastAsia" w:hAnsiTheme="minorHAnsi" w:cstheme="minorHAnsi"/>
        <w:b/>
        <w:i/>
        <w:sz w:val="20"/>
        <w:szCs w:val="20"/>
      </w:rPr>
    </w:pPr>
    <w:r w:rsidRPr="00CC623C">
      <w:rPr>
        <w:rFonts w:asciiTheme="minorHAnsi" w:eastAsiaTheme="majorEastAsia" w:hAnsiTheme="minorHAnsi" w:cstheme="minorHAnsi"/>
        <w:b/>
        <w:i/>
        <w:color w:val="4F6228" w:themeColor="accent3" w:themeShade="80"/>
        <w:sz w:val="20"/>
        <w:szCs w:val="20"/>
      </w:rPr>
      <w:t>Stretem Rod Blong Jastis – Stage One Completion Report</w:t>
    </w:r>
    <w:r w:rsidRPr="00CC623C">
      <w:rPr>
        <w:rFonts w:asciiTheme="minorHAnsi" w:eastAsiaTheme="majorEastAsia" w:hAnsiTheme="minorHAnsi" w:cstheme="minorHAnsi"/>
        <w:b/>
        <w:i/>
        <w:sz w:val="20"/>
        <w:szCs w:val="20"/>
      </w:rPr>
      <w:ptab w:relativeTo="margin" w:alignment="right" w:leader="none"/>
    </w:r>
    <w:r w:rsidRPr="00CC623C">
      <w:rPr>
        <w:rFonts w:asciiTheme="minorHAnsi" w:eastAsiaTheme="majorEastAsia" w:hAnsiTheme="minorHAnsi" w:cstheme="minorHAnsi"/>
        <w:b/>
        <w:i/>
        <w:color w:val="4F6228" w:themeColor="accent3" w:themeShade="80"/>
        <w:sz w:val="20"/>
        <w:szCs w:val="20"/>
      </w:rPr>
      <w:t xml:space="preserve">Page </w:t>
    </w:r>
    <w:r>
      <w:fldChar w:fldCharType="begin"/>
    </w:r>
    <w:r>
      <w:instrText xml:space="preserve"> PAGE   \* MERGEFORMAT </w:instrText>
    </w:r>
    <w:r>
      <w:fldChar w:fldCharType="separate"/>
    </w:r>
    <w:r w:rsidRPr="00D90BAA">
      <w:rPr>
        <w:rFonts w:asciiTheme="minorHAnsi" w:eastAsiaTheme="majorEastAsia" w:hAnsiTheme="minorHAnsi" w:cstheme="minorHAnsi"/>
        <w:b/>
        <w:i/>
        <w:noProof/>
        <w:color w:val="4F6228" w:themeColor="accent3" w:themeShade="80"/>
        <w:sz w:val="20"/>
        <w:szCs w:val="20"/>
      </w:rPr>
      <w:t>2</w:t>
    </w:r>
    <w:r>
      <w:rPr>
        <w:rFonts w:asciiTheme="minorHAnsi" w:eastAsiaTheme="majorEastAsia" w:hAnsiTheme="minorHAnsi" w:cstheme="minorHAnsi"/>
        <w:b/>
        <w:i/>
        <w:noProof/>
        <w:color w:val="4F6228" w:themeColor="accent3" w:themeShade="80"/>
        <w:sz w:val="20"/>
        <w:szCs w:val="20"/>
      </w:rPr>
      <w:fldChar w:fldCharType="end"/>
    </w:r>
  </w:p>
  <w:p w:rsidR="00171462" w:rsidRDefault="001714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489482"/>
      <w:docPartObj>
        <w:docPartGallery w:val="Page Numbers (Bottom of Page)"/>
        <w:docPartUnique/>
      </w:docPartObj>
    </w:sdtPr>
    <w:sdtEndPr>
      <w:rPr>
        <w:noProof/>
      </w:rPr>
    </w:sdtEndPr>
    <w:sdtContent>
      <w:p w:rsidR="00171462" w:rsidRDefault="00171462">
        <w:pPr>
          <w:pStyle w:val="Footer"/>
          <w:jc w:val="center"/>
        </w:pPr>
        <w:r>
          <w:fldChar w:fldCharType="begin"/>
        </w:r>
        <w:r>
          <w:instrText xml:space="preserve"> PAGE   \* MERGEFORMAT </w:instrText>
        </w:r>
        <w:r>
          <w:fldChar w:fldCharType="separate"/>
        </w:r>
        <w:r w:rsidR="00530F64">
          <w:rPr>
            <w:noProof/>
          </w:rPr>
          <w:t>54</w:t>
        </w:r>
        <w:r>
          <w:rPr>
            <w:noProof/>
          </w:rPr>
          <w:fldChar w:fldCharType="end"/>
        </w:r>
      </w:p>
    </w:sdtContent>
  </w:sdt>
  <w:p w:rsidR="00171462" w:rsidRDefault="001714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E1F" w:rsidRDefault="004F7E1F" w:rsidP="004A4CD4">
      <w:pPr>
        <w:spacing w:after="0" w:line="240" w:lineRule="auto"/>
      </w:pPr>
      <w:r>
        <w:separator/>
      </w:r>
    </w:p>
  </w:footnote>
  <w:footnote w:type="continuationSeparator" w:id="0">
    <w:p w:rsidR="004F7E1F" w:rsidRDefault="004F7E1F" w:rsidP="004A4CD4">
      <w:pPr>
        <w:spacing w:after="0" w:line="240" w:lineRule="auto"/>
      </w:pPr>
      <w:r>
        <w:continuationSeparator/>
      </w:r>
    </w:p>
  </w:footnote>
  <w:footnote w:id="1">
    <w:p w:rsidR="00171462" w:rsidRPr="00BC6A70" w:rsidRDefault="00171462">
      <w:pPr>
        <w:pStyle w:val="FootnoteText"/>
        <w:rPr>
          <w:lang w:val="en-US"/>
        </w:rPr>
      </w:pPr>
      <w:r>
        <w:rPr>
          <w:rStyle w:val="FootnoteReference"/>
        </w:rPr>
        <w:footnoteRef/>
      </w:r>
      <w:r>
        <w:t xml:space="preserve"> In particular, the Capacity Development &amp; Leadership Adviser, the Case and Data Management Adviser and the SPD Adviser.</w:t>
      </w:r>
    </w:p>
  </w:footnote>
  <w:footnote w:id="2">
    <w:p w:rsidR="00171462" w:rsidRPr="00076AF8" w:rsidRDefault="00171462">
      <w:pPr>
        <w:pStyle w:val="FootnoteText"/>
        <w:rPr>
          <w:lang w:val="en-US"/>
        </w:rPr>
      </w:pPr>
      <w:r>
        <w:rPr>
          <w:rStyle w:val="FootnoteReference"/>
        </w:rPr>
        <w:footnoteRef/>
      </w:r>
      <w:r>
        <w:t xml:space="preserve"> </w:t>
      </w:r>
      <w:r>
        <w:rPr>
          <w:lang w:val="en-US"/>
        </w:rPr>
        <w:t>See Annex 6</w:t>
      </w:r>
    </w:p>
  </w:footnote>
  <w:footnote w:id="3">
    <w:p w:rsidR="00171462" w:rsidRPr="00980A16" w:rsidRDefault="00171462">
      <w:pPr>
        <w:pStyle w:val="FootnoteText"/>
        <w:rPr>
          <w:lang w:val="en-US"/>
        </w:rPr>
      </w:pPr>
      <w:r>
        <w:rPr>
          <w:rStyle w:val="FootnoteReference"/>
        </w:rPr>
        <w:footnoteRef/>
      </w:r>
      <w:r>
        <w:t xml:space="preserve"> Greater detail of delay and variation against </w:t>
      </w:r>
      <w:proofErr w:type="spellStart"/>
      <w:r>
        <w:t>workplan</w:t>
      </w:r>
      <w:proofErr w:type="spellEnd"/>
      <w:r>
        <w:t xml:space="preserve"> is provided in section 2(e) below</w:t>
      </w:r>
    </w:p>
  </w:footnote>
  <w:footnote w:id="4">
    <w:p w:rsidR="00171462" w:rsidRPr="00E61E39" w:rsidRDefault="00171462">
      <w:pPr>
        <w:pStyle w:val="FootnoteText"/>
        <w:rPr>
          <w:lang w:val="en-US"/>
        </w:rPr>
      </w:pPr>
      <w:r>
        <w:rPr>
          <w:rStyle w:val="FootnoteReference"/>
        </w:rPr>
        <w:footnoteRef/>
      </w:r>
      <w:r>
        <w:t xml:space="preserve"> Draft </w:t>
      </w:r>
      <w:r w:rsidRPr="00711A28">
        <w:rPr>
          <w:i/>
          <w:sz w:val="18"/>
          <w:szCs w:val="18"/>
          <w:lang w:val="en-US"/>
        </w:rPr>
        <w:t>Stretem Rod Blong Jastis</w:t>
      </w:r>
      <w:r w:rsidRPr="001664AC">
        <w:rPr>
          <w:sz w:val="18"/>
          <w:szCs w:val="18"/>
          <w:lang w:val="en-US"/>
        </w:rPr>
        <w:t xml:space="preserve"> Stage 2 Design July 2013</w:t>
      </w:r>
    </w:p>
  </w:footnote>
  <w:footnote w:id="5">
    <w:p w:rsidR="00171462" w:rsidRPr="00711A28" w:rsidRDefault="00171462">
      <w:pPr>
        <w:pStyle w:val="FootnoteText"/>
        <w:rPr>
          <w:sz w:val="18"/>
          <w:szCs w:val="18"/>
          <w:lang w:val="en-US"/>
        </w:rPr>
      </w:pPr>
      <w:r>
        <w:rPr>
          <w:rStyle w:val="FootnoteReference"/>
        </w:rPr>
        <w:footnoteRef/>
      </w:r>
      <w:r>
        <w:t xml:space="preserve"> </w:t>
      </w:r>
      <w:r w:rsidRPr="00711A28">
        <w:rPr>
          <w:sz w:val="18"/>
          <w:szCs w:val="18"/>
          <w:lang w:val="en-US"/>
        </w:rPr>
        <w:t>This is articulated in more detail pp 21-22 of the Completion Report July 2014</w:t>
      </w:r>
    </w:p>
  </w:footnote>
  <w:footnote w:id="6">
    <w:p w:rsidR="00171462" w:rsidRPr="00711A28" w:rsidRDefault="00171462">
      <w:pPr>
        <w:pStyle w:val="FootnoteText"/>
        <w:rPr>
          <w:sz w:val="18"/>
          <w:szCs w:val="18"/>
          <w:lang w:val="en-US"/>
        </w:rPr>
      </w:pPr>
      <w:r w:rsidRPr="00711A28">
        <w:rPr>
          <w:rStyle w:val="FootnoteReference"/>
          <w:sz w:val="18"/>
          <w:szCs w:val="18"/>
        </w:rPr>
        <w:footnoteRef/>
      </w:r>
      <w:r w:rsidRPr="00711A28">
        <w:rPr>
          <w:sz w:val="18"/>
          <w:szCs w:val="18"/>
        </w:rPr>
        <w:t xml:space="preserve"> </w:t>
      </w:r>
      <w:r w:rsidRPr="00711A28">
        <w:rPr>
          <w:sz w:val="18"/>
          <w:szCs w:val="18"/>
          <w:lang w:val="en-US"/>
        </w:rPr>
        <w:t xml:space="preserve">See p22 of the Stage 1 Completion Report </w:t>
      </w:r>
    </w:p>
  </w:footnote>
  <w:footnote w:id="7">
    <w:p w:rsidR="00171462" w:rsidRPr="00BC6A70" w:rsidRDefault="00171462">
      <w:pPr>
        <w:pStyle w:val="FootnoteText"/>
        <w:rPr>
          <w:lang w:val="en-US"/>
        </w:rPr>
      </w:pPr>
      <w:r>
        <w:rPr>
          <w:rStyle w:val="FootnoteReference"/>
        </w:rPr>
        <w:footnoteRef/>
      </w:r>
      <w:r>
        <w:t xml:space="preserve"> More specifically, the Capacity Development and Leadership Adviser, the Case and Data Management Adviser and the SPD Adviser.</w:t>
      </w:r>
    </w:p>
  </w:footnote>
  <w:footnote w:id="8">
    <w:p w:rsidR="00171462" w:rsidRPr="004776D0" w:rsidRDefault="00171462">
      <w:pPr>
        <w:pStyle w:val="FootnoteText"/>
        <w:rPr>
          <w:lang w:val="en-US"/>
        </w:rPr>
      </w:pPr>
      <w:r>
        <w:rPr>
          <w:rStyle w:val="FootnoteReference"/>
        </w:rPr>
        <w:footnoteRef/>
      </w:r>
      <w:r>
        <w:t xml:space="preserve"> </w:t>
      </w:r>
      <w:r w:rsidRPr="00D62687">
        <w:rPr>
          <w:sz w:val="18"/>
          <w:szCs w:val="18"/>
          <w:lang w:val="en-US"/>
        </w:rPr>
        <w:t>For example the HOAG of December 2014.</w:t>
      </w:r>
    </w:p>
  </w:footnote>
  <w:footnote w:id="9">
    <w:p w:rsidR="00171462" w:rsidRPr="00824730" w:rsidRDefault="00171462">
      <w:pPr>
        <w:pStyle w:val="FootnoteText"/>
        <w:rPr>
          <w:sz w:val="18"/>
          <w:szCs w:val="18"/>
          <w:lang w:val="en-US"/>
        </w:rPr>
      </w:pPr>
      <w:r>
        <w:rPr>
          <w:rStyle w:val="FootnoteReference"/>
        </w:rPr>
        <w:footnoteRef/>
      </w:r>
      <w:r>
        <w:t xml:space="preserve"> </w:t>
      </w:r>
      <w:r w:rsidRPr="00824730">
        <w:rPr>
          <w:sz w:val="18"/>
          <w:szCs w:val="18"/>
          <w:lang w:val="en-US"/>
        </w:rPr>
        <w:t xml:space="preserve">Through the process of development of a M&amp;E plan and Framework for the program; development of a </w:t>
      </w:r>
      <w:proofErr w:type="spellStart"/>
      <w:r w:rsidRPr="00824730">
        <w:rPr>
          <w:sz w:val="18"/>
          <w:szCs w:val="18"/>
          <w:lang w:val="en-US"/>
        </w:rPr>
        <w:t>workplan</w:t>
      </w:r>
      <w:proofErr w:type="spellEnd"/>
      <w:r w:rsidRPr="00824730">
        <w:rPr>
          <w:sz w:val="18"/>
          <w:szCs w:val="18"/>
          <w:lang w:val="en-US"/>
        </w:rPr>
        <w:t xml:space="preserve"> for some of the piloting work under component 3 and on advice from the DFAT Evaluation Capacity Building Program.</w:t>
      </w:r>
    </w:p>
  </w:footnote>
  <w:footnote w:id="10">
    <w:p w:rsidR="00171462" w:rsidRPr="00477805" w:rsidRDefault="00171462">
      <w:pPr>
        <w:pStyle w:val="FootnoteText"/>
        <w:rPr>
          <w:sz w:val="18"/>
          <w:szCs w:val="18"/>
          <w:lang w:val="en-US"/>
        </w:rPr>
      </w:pPr>
      <w:r>
        <w:rPr>
          <w:rStyle w:val="FootnoteReference"/>
        </w:rPr>
        <w:footnoteRef/>
      </w:r>
      <w:r>
        <w:t xml:space="preserve"> </w:t>
      </w:r>
      <w:r w:rsidRPr="00477805">
        <w:rPr>
          <w:sz w:val="18"/>
          <w:szCs w:val="18"/>
          <w:lang w:val="en-US"/>
        </w:rPr>
        <w:t>The</w:t>
      </w:r>
      <w:r>
        <w:rPr>
          <w:sz w:val="18"/>
          <w:szCs w:val="18"/>
          <w:lang w:val="en-US"/>
        </w:rPr>
        <w:t>s</w:t>
      </w:r>
      <w:r w:rsidRPr="00477805">
        <w:rPr>
          <w:sz w:val="18"/>
          <w:szCs w:val="18"/>
          <w:lang w:val="en-US"/>
        </w:rPr>
        <w:t xml:space="preserve">e are identified in greater detail in section </w:t>
      </w:r>
      <w:r w:rsidRPr="004206ED">
        <w:rPr>
          <w:sz w:val="18"/>
          <w:szCs w:val="18"/>
          <w:lang w:val="en-US"/>
        </w:rPr>
        <w:t>5a</w:t>
      </w:r>
    </w:p>
  </w:footnote>
  <w:footnote w:id="11">
    <w:p w:rsidR="00171462" w:rsidRPr="00477805" w:rsidRDefault="00171462" w:rsidP="00756231">
      <w:pPr>
        <w:pStyle w:val="FootnoteText"/>
        <w:rPr>
          <w:sz w:val="18"/>
          <w:szCs w:val="18"/>
          <w:lang w:val="en-US"/>
        </w:rPr>
      </w:pPr>
      <w:r>
        <w:rPr>
          <w:rStyle w:val="FootnoteReference"/>
        </w:rPr>
        <w:footnoteRef/>
      </w:r>
      <w:r>
        <w:t xml:space="preserve"> </w:t>
      </w:r>
      <w:r w:rsidRPr="00477805">
        <w:rPr>
          <w:sz w:val="18"/>
          <w:szCs w:val="18"/>
          <w:lang w:val="en-US"/>
        </w:rPr>
        <w:t xml:space="preserve">This </w:t>
      </w:r>
      <w:r>
        <w:rPr>
          <w:sz w:val="18"/>
          <w:szCs w:val="18"/>
          <w:lang w:val="en-US"/>
        </w:rPr>
        <w:t>paragraph</w:t>
      </w:r>
      <w:r w:rsidRPr="00477805">
        <w:rPr>
          <w:sz w:val="18"/>
          <w:szCs w:val="18"/>
          <w:lang w:val="en-US"/>
        </w:rPr>
        <w:t xml:space="preserve"> is a discussion about the achievement of outcomes rather tha</w:t>
      </w:r>
      <w:r>
        <w:rPr>
          <w:sz w:val="18"/>
          <w:szCs w:val="18"/>
          <w:lang w:val="en-US"/>
        </w:rPr>
        <w:t>n</w:t>
      </w:r>
      <w:r w:rsidRPr="00477805">
        <w:rPr>
          <w:sz w:val="18"/>
          <w:szCs w:val="18"/>
          <w:lang w:val="en-US"/>
        </w:rPr>
        <w:t xml:space="preserve"> about adequate progress in the delivery of the </w:t>
      </w:r>
      <w:r>
        <w:rPr>
          <w:sz w:val="18"/>
          <w:szCs w:val="18"/>
          <w:lang w:val="en-US"/>
        </w:rPr>
        <w:t>initiative</w:t>
      </w:r>
      <w:r w:rsidRPr="00477805">
        <w:rPr>
          <w:sz w:val="18"/>
          <w:szCs w:val="18"/>
          <w:lang w:val="en-US"/>
        </w:rPr>
        <w:t xml:space="preserve"> as planned (</w:t>
      </w:r>
      <w:r>
        <w:rPr>
          <w:sz w:val="18"/>
          <w:szCs w:val="18"/>
          <w:lang w:val="en-US"/>
        </w:rPr>
        <w:t xml:space="preserve">see </w:t>
      </w:r>
      <w:r w:rsidRPr="00477805">
        <w:rPr>
          <w:sz w:val="18"/>
          <w:szCs w:val="18"/>
          <w:lang w:val="en-US"/>
        </w:rPr>
        <w:t>p6</w:t>
      </w:r>
      <w:r>
        <w:rPr>
          <w:sz w:val="18"/>
          <w:szCs w:val="18"/>
          <w:lang w:val="en-US"/>
        </w:rPr>
        <w:t xml:space="preserve"> </w:t>
      </w:r>
      <w:r w:rsidRPr="006119FC">
        <w:rPr>
          <w:i/>
          <w:sz w:val="18"/>
          <w:szCs w:val="18"/>
          <w:lang w:val="en-US"/>
        </w:rPr>
        <w:t>DFAT IET and Pacific Branches ECB Program: Guidance to Implementation Partners on Progress reporting (2014 Update)</w:t>
      </w:r>
      <w:r w:rsidRPr="00477805">
        <w:rPr>
          <w:sz w:val="18"/>
          <w:szCs w:val="18"/>
          <w:lang w:val="en-US"/>
        </w:rPr>
        <w:t>.</w:t>
      </w:r>
    </w:p>
    <w:p w:rsidR="00171462" w:rsidRPr="00756231" w:rsidRDefault="00171462">
      <w:pPr>
        <w:pStyle w:val="FootnoteText"/>
        <w:rPr>
          <w:lang w:val="en-US"/>
        </w:rPr>
      </w:pPr>
    </w:p>
  </w:footnote>
  <w:footnote w:id="12">
    <w:p w:rsidR="00171462" w:rsidRPr="008F6BF1" w:rsidRDefault="00171462">
      <w:pPr>
        <w:pStyle w:val="FootnoteText"/>
        <w:rPr>
          <w:lang w:val="en-US"/>
        </w:rPr>
      </w:pPr>
      <w:r>
        <w:rPr>
          <w:rStyle w:val="FootnoteReference"/>
        </w:rPr>
        <w:footnoteRef/>
      </w:r>
      <w:r>
        <w:t xml:space="preserve"> Draft sector wide monitoring and evaluation plan is still being quality assured by the M&amp;E Specialist and will be available to comment soon.</w:t>
      </w:r>
    </w:p>
  </w:footnote>
  <w:footnote w:id="13">
    <w:p w:rsidR="00171462" w:rsidRPr="00CD1052" w:rsidRDefault="00171462">
      <w:pPr>
        <w:pStyle w:val="FootnoteText"/>
        <w:rPr>
          <w:lang w:val="en-US"/>
        </w:rPr>
      </w:pPr>
      <w:r>
        <w:rPr>
          <w:rStyle w:val="FootnoteReference"/>
        </w:rPr>
        <w:footnoteRef/>
      </w:r>
      <w:r>
        <w:t xml:space="preserve"> </w:t>
      </w:r>
      <w:r w:rsidRPr="00D23BA1">
        <w:rPr>
          <w:sz w:val="18"/>
          <w:szCs w:val="18"/>
          <w:lang w:val="en-AU"/>
        </w:rPr>
        <w:t xml:space="preserve">see page 15 of the PJSPV SRBJ </w:t>
      </w:r>
      <w:proofErr w:type="spellStart"/>
      <w:r w:rsidRPr="00D23BA1">
        <w:rPr>
          <w:sz w:val="18"/>
          <w:szCs w:val="18"/>
          <w:lang w:val="en-AU"/>
        </w:rPr>
        <w:t>Workplan</w:t>
      </w:r>
      <w:proofErr w:type="spellEnd"/>
      <w:r w:rsidRPr="00D23BA1">
        <w:rPr>
          <w:sz w:val="18"/>
          <w:szCs w:val="18"/>
          <w:lang w:val="en-AU"/>
        </w:rPr>
        <w:t xml:space="preserve"> July 2014 – December 2015</w:t>
      </w:r>
    </w:p>
  </w:footnote>
  <w:footnote w:id="14">
    <w:p w:rsidR="00171462" w:rsidRPr="00D23BA1" w:rsidRDefault="00171462">
      <w:pPr>
        <w:pStyle w:val="FootnoteText"/>
        <w:rPr>
          <w:sz w:val="18"/>
          <w:szCs w:val="18"/>
          <w:lang w:val="en-US"/>
        </w:rPr>
      </w:pPr>
      <w:r>
        <w:rPr>
          <w:rStyle w:val="FootnoteReference"/>
        </w:rPr>
        <w:footnoteRef/>
      </w:r>
      <w:r>
        <w:t xml:space="preserve"> </w:t>
      </w:r>
      <w:r w:rsidRPr="00D23BA1">
        <w:rPr>
          <w:sz w:val="18"/>
          <w:szCs w:val="18"/>
          <w:lang w:val="en-US"/>
        </w:rPr>
        <w:t>As a result of the design progress for VAPP to allow the development of the Integrated Design in 2013</w:t>
      </w:r>
    </w:p>
  </w:footnote>
  <w:footnote w:id="15">
    <w:p w:rsidR="00171462" w:rsidRPr="00D23BA1" w:rsidRDefault="00171462">
      <w:pPr>
        <w:pStyle w:val="FootnoteText"/>
        <w:rPr>
          <w:sz w:val="18"/>
          <w:szCs w:val="18"/>
          <w:lang w:val="en-US"/>
        </w:rPr>
      </w:pPr>
      <w:r w:rsidRPr="00D23BA1">
        <w:rPr>
          <w:rStyle w:val="FootnoteReference"/>
          <w:sz w:val="18"/>
          <w:szCs w:val="18"/>
        </w:rPr>
        <w:footnoteRef/>
      </w:r>
      <w:r w:rsidRPr="00D23BA1">
        <w:rPr>
          <w:sz w:val="18"/>
          <w:szCs w:val="18"/>
        </w:rPr>
        <w:t xml:space="preserve"> </w:t>
      </w:r>
      <w:r w:rsidRPr="00D23BA1">
        <w:rPr>
          <w:sz w:val="18"/>
          <w:szCs w:val="18"/>
          <w:lang w:val="en-US"/>
        </w:rPr>
        <w:t xml:space="preserve">Matthew Allen, Sinclair </w:t>
      </w:r>
      <w:proofErr w:type="spellStart"/>
      <w:r w:rsidRPr="00D23BA1">
        <w:rPr>
          <w:sz w:val="18"/>
          <w:szCs w:val="18"/>
          <w:lang w:val="en-US"/>
        </w:rPr>
        <w:t>Dinnen</w:t>
      </w:r>
      <w:proofErr w:type="spellEnd"/>
      <w:r w:rsidRPr="00D23BA1">
        <w:rPr>
          <w:sz w:val="18"/>
          <w:szCs w:val="18"/>
          <w:lang w:val="en-US"/>
        </w:rPr>
        <w:t>, Daniel Evans and Rebecca Monson, Justice Delivered Locally – Systems, Challenges and Innovations in Solomon Islands, Research Report August 2013, J4P, The World Bank.</w:t>
      </w:r>
    </w:p>
  </w:footnote>
  <w:footnote w:id="16">
    <w:p w:rsidR="00171462" w:rsidRPr="00765DA2" w:rsidRDefault="00171462">
      <w:pPr>
        <w:pStyle w:val="FootnoteText"/>
        <w:rPr>
          <w:lang w:val="en-US"/>
        </w:rPr>
      </w:pPr>
      <w:r w:rsidRPr="00D23BA1">
        <w:rPr>
          <w:rStyle w:val="FootnoteReference"/>
          <w:sz w:val="18"/>
          <w:szCs w:val="18"/>
        </w:rPr>
        <w:footnoteRef/>
      </w:r>
      <w:r w:rsidRPr="00D23BA1">
        <w:rPr>
          <w:sz w:val="18"/>
          <w:szCs w:val="18"/>
        </w:rPr>
        <w:t xml:space="preserve"> </w:t>
      </w:r>
      <w:r w:rsidRPr="00D23BA1">
        <w:rPr>
          <w:sz w:val="18"/>
          <w:szCs w:val="18"/>
          <w:lang w:val="en-US"/>
        </w:rPr>
        <w:t>Miranda Forsyth, Spinning a Conflict Management Web in Vanuatu: Creating and Strengthening Links between State and Non-State Legal Institutions (2011) 63 Journal of Legal Pluralism and Unofficial Law 179-205</w:t>
      </w:r>
    </w:p>
  </w:footnote>
  <w:footnote w:id="17">
    <w:p w:rsidR="00171462" w:rsidRPr="00140396" w:rsidRDefault="00171462">
      <w:pPr>
        <w:pStyle w:val="FootnoteText"/>
        <w:rPr>
          <w:lang w:val="en-US"/>
        </w:rPr>
      </w:pPr>
      <w:r>
        <w:rPr>
          <w:rStyle w:val="FootnoteReference"/>
        </w:rPr>
        <w:footnoteRef/>
      </w:r>
      <w:r>
        <w:t xml:space="preserve"> </w:t>
      </w:r>
      <w:r>
        <w:rPr>
          <w:lang w:val="en-US"/>
        </w:rPr>
        <w:t>Including the interface of kastom, human rights, formal justice agencies and social justice issues.</w:t>
      </w:r>
    </w:p>
  </w:footnote>
  <w:footnote w:id="18">
    <w:p w:rsidR="00171462" w:rsidRPr="00DF4666" w:rsidRDefault="00171462">
      <w:pPr>
        <w:pStyle w:val="FootnoteText"/>
        <w:rPr>
          <w:lang w:val="en-US"/>
        </w:rPr>
      </w:pPr>
      <w:r>
        <w:rPr>
          <w:rStyle w:val="FootnoteReference"/>
        </w:rPr>
        <w:footnoteRef/>
      </w:r>
      <w:r>
        <w:t xml:space="preserve"> </w:t>
      </w:r>
      <w:r>
        <w:rPr>
          <w:lang w:val="en-US"/>
        </w:rPr>
        <w:t>Other those encompassed in the three significant variations above.</w:t>
      </w:r>
    </w:p>
  </w:footnote>
  <w:footnote w:id="19">
    <w:p w:rsidR="00171462" w:rsidRPr="008F1471" w:rsidRDefault="00171462">
      <w:pPr>
        <w:pStyle w:val="FootnoteText"/>
        <w:rPr>
          <w:sz w:val="18"/>
          <w:szCs w:val="18"/>
          <w:lang w:val="en-US"/>
        </w:rPr>
      </w:pPr>
      <w:r>
        <w:rPr>
          <w:rStyle w:val="FootnoteReference"/>
        </w:rPr>
        <w:footnoteRef/>
      </w:r>
      <w:r>
        <w:t xml:space="preserve"> </w:t>
      </w:r>
      <w:r w:rsidRPr="008F1471">
        <w:rPr>
          <w:sz w:val="18"/>
          <w:szCs w:val="18"/>
          <w:lang w:val="en-US"/>
        </w:rPr>
        <w:t>There may be more but these are of the four who agreed to participate in the initial tracer study.</w:t>
      </w:r>
    </w:p>
  </w:footnote>
  <w:footnote w:id="20">
    <w:p w:rsidR="00171462" w:rsidRPr="008F1471" w:rsidRDefault="00171462">
      <w:pPr>
        <w:pStyle w:val="FootnoteText"/>
        <w:rPr>
          <w:sz w:val="18"/>
          <w:szCs w:val="18"/>
          <w:lang w:val="en-US"/>
        </w:rPr>
      </w:pPr>
      <w:r w:rsidRPr="008F1471">
        <w:rPr>
          <w:rStyle w:val="FootnoteReference"/>
          <w:sz w:val="18"/>
          <w:szCs w:val="18"/>
        </w:rPr>
        <w:footnoteRef/>
      </w:r>
      <w:r w:rsidRPr="008F1471">
        <w:rPr>
          <w:sz w:val="18"/>
          <w:szCs w:val="18"/>
        </w:rPr>
        <w:t xml:space="preserve"> </w:t>
      </w:r>
      <w:r w:rsidRPr="008F1471">
        <w:rPr>
          <w:sz w:val="18"/>
          <w:szCs w:val="18"/>
          <w:lang w:val="en-US"/>
        </w:rPr>
        <w:t>The program is seeing if it might be possible to extract the numbers or percentage of cases that support female clients in these types of matters</w:t>
      </w:r>
      <w:r>
        <w:rPr>
          <w:sz w:val="18"/>
          <w:szCs w:val="18"/>
          <w:lang w:val="en-US"/>
        </w:rPr>
        <w:t xml:space="preserve"> in the future</w:t>
      </w:r>
      <w:r w:rsidRPr="008F1471">
        <w:rPr>
          <w:sz w:val="18"/>
          <w:szCs w:val="18"/>
          <w:lang w:val="en-US"/>
        </w:rPr>
        <w:t>.</w:t>
      </w:r>
    </w:p>
  </w:footnote>
  <w:footnote w:id="21">
    <w:p w:rsidR="00171462" w:rsidRPr="00D22FAE" w:rsidRDefault="00171462" w:rsidP="0082359D">
      <w:pPr>
        <w:pStyle w:val="FootnoteText"/>
        <w:rPr>
          <w:sz w:val="18"/>
          <w:szCs w:val="18"/>
          <w:lang w:val="en-AU"/>
        </w:rPr>
      </w:pPr>
      <w:r w:rsidRPr="0007699C">
        <w:rPr>
          <w:rStyle w:val="FootnoteReference"/>
          <w:sz w:val="18"/>
          <w:szCs w:val="18"/>
        </w:rPr>
        <w:footnoteRef/>
      </w:r>
      <w:r w:rsidRPr="0007699C">
        <w:rPr>
          <w:sz w:val="18"/>
          <w:szCs w:val="18"/>
        </w:rPr>
        <w:t xml:space="preserve"> </w:t>
      </w:r>
      <w:r w:rsidRPr="00D22FAE">
        <w:rPr>
          <w:sz w:val="18"/>
          <w:szCs w:val="18"/>
          <w:lang w:val="en-AU"/>
        </w:rPr>
        <w:t xml:space="preserve">The evidence of waves of failures in this area is well synthesized in the article of Caroline Sage &amp; Michael </w:t>
      </w:r>
      <w:proofErr w:type="spellStart"/>
      <w:r w:rsidRPr="00D22FAE">
        <w:rPr>
          <w:sz w:val="18"/>
          <w:szCs w:val="18"/>
          <w:lang w:val="en-AU"/>
        </w:rPr>
        <w:t>Woolcock</w:t>
      </w:r>
      <w:proofErr w:type="spellEnd"/>
      <w:r w:rsidRPr="00D22FAE">
        <w:rPr>
          <w:sz w:val="18"/>
          <w:szCs w:val="18"/>
          <w:lang w:val="en-AU"/>
        </w:rPr>
        <w:t xml:space="preserve">, World Bank, Breaking Legal Inequality Traps: New Approaches to Building Justice Systems for the Poor in Developing Countries, Arusha Conference, “New Frontiers of Social Policy – December 12-15, 2005 </w:t>
      </w:r>
      <w:proofErr w:type="spellStart"/>
      <w:r w:rsidRPr="00D22FAE">
        <w:rPr>
          <w:sz w:val="18"/>
          <w:szCs w:val="18"/>
          <w:lang w:val="en-AU"/>
        </w:rPr>
        <w:t>cf</w:t>
      </w:r>
      <w:proofErr w:type="spellEnd"/>
      <w:r w:rsidRPr="00D22FAE">
        <w:rPr>
          <w:sz w:val="18"/>
          <w:szCs w:val="18"/>
          <w:lang w:val="en-AU"/>
        </w:rPr>
        <w:t xml:space="preserve"> pp11,12.</w:t>
      </w:r>
    </w:p>
  </w:footnote>
  <w:footnote w:id="22">
    <w:p w:rsidR="00171462" w:rsidRPr="00D22FAE" w:rsidRDefault="00171462">
      <w:pPr>
        <w:pStyle w:val="FootnoteText"/>
        <w:rPr>
          <w:sz w:val="18"/>
          <w:szCs w:val="18"/>
          <w:lang w:val="en-US"/>
        </w:rPr>
      </w:pPr>
      <w:r w:rsidRPr="00D22FAE">
        <w:rPr>
          <w:rStyle w:val="FootnoteReference"/>
          <w:sz w:val="18"/>
          <w:szCs w:val="18"/>
        </w:rPr>
        <w:footnoteRef/>
      </w:r>
      <w:r w:rsidRPr="00D22FAE">
        <w:rPr>
          <w:sz w:val="18"/>
          <w:szCs w:val="18"/>
        </w:rPr>
        <w:t xml:space="preserve"> </w:t>
      </w:r>
      <w:r w:rsidRPr="00D22FAE">
        <w:rPr>
          <w:sz w:val="18"/>
          <w:szCs w:val="18"/>
          <w:lang w:val="en-US"/>
        </w:rPr>
        <w:t>Stretem Rod Blong Jastis, Stage 2 Draft Design, July 2013, p28</w:t>
      </w:r>
    </w:p>
  </w:footnote>
  <w:footnote w:id="23">
    <w:p w:rsidR="00171462" w:rsidRPr="00D22FAE" w:rsidRDefault="00171462" w:rsidP="0082359D">
      <w:pPr>
        <w:pStyle w:val="FootnoteText"/>
        <w:rPr>
          <w:sz w:val="18"/>
          <w:szCs w:val="18"/>
          <w:lang w:val="en-AU"/>
        </w:rPr>
      </w:pPr>
      <w:r w:rsidRPr="00D22FAE">
        <w:rPr>
          <w:rStyle w:val="FootnoteReference"/>
          <w:sz w:val="18"/>
          <w:szCs w:val="18"/>
        </w:rPr>
        <w:footnoteRef/>
      </w:r>
      <w:r w:rsidRPr="00D22FAE">
        <w:rPr>
          <w:sz w:val="18"/>
          <w:szCs w:val="18"/>
        </w:rPr>
        <w:t xml:space="preserve"> </w:t>
      </w:r>
      <w:r w:rsidRPr="00D22FAE">
        <w:rPr>
          <w:sz w:val="18"/>
          <w:szCs w:val="18"/>
          <w:lang w:val="en-AU"/>
        </w:rPr>
        <w:t xml:space="preserve">Caroline Sage &amp; Michael </w:t>
      </w:r>
      <w:proofErr w:type="spellStart"/>
      <w:r w:rsidRPr="00D22FAE">
        <w:rPr>
          <w:sz w:val="18"/>
          <w:szCs w:val="18"/>
          <w:lang w:val="en-AU"/>
        </w:rPr>
        <w:t>Woolcock</w:t>
      </w:r>
      <w:proofErr w:type="spellEnd"/>
      <w:r w:rsidRPr="00D22FAE">
        <w:rPr>
          <w:sz w:val="18"/>
          <w:szCs w:val="18"/>
          <w:lang w:val="en-AU"/>
        </w:rPr>
        <w:t xml:space="preserve">  p4.</w:t>
      </w:r>
    </w:p>
  </w:footnote>
  <w:footnote w:id="24">
    <w:p w:rsidR="00171462" w:rsidRPr="00D22FAE" w:rsidRDefault="00171462" w:rsidP="00B62F97">
      <w:pPr>
        <w:pStyle w:val="FootnoteText"/>
        <w:rPr>
          <w:sz w:val="18"/>
          <w:szCs w:val="18"/>
          <w:lang w:val="en-AU"/>
        </w:rPr>
      </w:pPr>
      <w:r w:rsidRPr="00D22FAE">
        <w:rPr>
          <w:rStyle w:val="FootnoteReference"/>
          <w:sz w:val="18"/>
          <w:szCs w:val="18"/>
        </w:rPr>
        <w:footnoteRef/>
      </w:r>
      <w:r w:rsidRPr="00D22FAE">
        <w:rPr>
          <w:sz w:val="18"/>
          <w:szCs w:val="18"/>
        </w:rPr>
        <w:t xml:space="preserve"> </w:t>
      </w:r>
      <w:r w:rsidRPr="00D22FAE">
        <w:rPr>
          <w:sz w:val="18"/>
          <w:szCs w:val="18"/>
          <w:lang w:val="en-AU"/>
        </w:rPr>
        <w:t>Components 1 and 2 represent the interests of the decision-makers and power holders, they are more accessible and understandable to donors, government to government support can become a default setting, government has a greater (potentially infinite) absorptive capacity; government generally has a louder voice.</w:t>
      </w:r>
    </w:p>
  </w:footnote>
  <w:footnote w:id="25">
    <w:p w:rsidR="00171462" w:rsidRPr="00D22FAE" w:rsidRDefault="00171462">
      <w:pPr>
        <w:pStyle w:val="FootnoteText"/>
        <w:rPr>
          <w:sz w:val="18"/>
          <w:szCs w:val="18"/>
          <w:lang w:val="en-US"/>
        </w:rPr>
      </w:pPr>
      <w:r w:rsidRPr="00D22FAE">
        <w:rPr>
          <w:rStyle w:val="FootnoteReference"/>
          <w:sz w:val="18"/>
          <w:szCs w:val="18"/>
        </w:rPr>
        <w:footnoteRef/>
      </w:r>
      <w:r w:rsidRPr="00D22FAE">
        <w:rPr>
          <w:sz w:val="18"/>
          <w:szCs w:val="18"/>
        </w:rPr>
        <w:t xml:space="preserve"> </w:t>
      </w:r>
      <w:r w:rsidRPr="00D22FAE">
        <w:rPr>
          <w:sz w:val="18"/>
          <w:szCs w:val="18"/>
          <w:lang w:val="en-US"/>
        </w:rPr>
        <w:t>These are in addition to the high level lessons learned identified in the Stage 1 Completion Report Section 2e)</w:t>
      </w:r>
    </w:p>
  </w:footnote>
  <w:footnote w:id="26">
    <w:p w:rsidR="00171462" w:rsidRPr="00387DA2" w:rsidRDefault="00171462">
      <w:pPr>
        <w:pStyle w:val="FootnoteText"/>
        <w:rPr>
          <w:sz w:val="18"/>
          <w:szCs w:val="18"/>
          <w:lang w:val="en-US"/>
        </w:rPr>
      </w:pPr>
      <w:r>
        <w:rPr>
          <w:rStyle w:val="FootnoteReference"/>
        </w:rPr>
        <w:footnoteRef/>
      </w:r>
      <w:r>
        <w:t xml:space="preserve"> </w:t>
      </w:r>
      <w:r w:rsidRPr="00387DA2">
        <w:rPr>
          <w:sz w:val="18"/>
          <w:szCs w:val="18"/>
          <w:lang w:val="en-US"/>
        </w:rPr>
        <w:t xml:space="preserve">For greater detail of outputs refer to the Table in section </w:t>
      </w:r>
      <w:r>
        <w:rPr>
          <w:sz w:val="18"/>
          <w:szCs w:val="18"/>
          <w:lang w:val="en-US"/>
        </w:rPr>
        <w:t>2</w:t>
      </w:r>
      <w:r w:rsidRPr="00387DA2">
        <w:rPr>
          <w:sz w:val="18"/>
          <w:szCs w:val="18"/>
          <w:lang w:val="en-US"/>
        </w:rPr>
        <w:t xml:space="preserve">b headed Summary of Key Achievements </w:t>
      </w:r>
    </w:p>
  </w:footnote>
  <w:footnote w:id="27">
    <w:p w:rsidR="00171462" w:rsidRPr="00387DA2" w:rsidRDefault="00171462">
      <w:pPr>
        <w:pStyle w:val="FootnoteText"/>
        <w:rPr>
          <w:lang w:val="en-US"/>
        </w:rPr>
      </w:pPr>
      <w:r>
        <w:rPr>
          <w:rStyle w:val="FootnoteReference"/>
        </w:rPr>
        <w:footnoteRef/>
      </w:r>
      <w:r>
        <w:t xml:space="preserve"> </w:t>
      </w:r>
      <w:r w:rsidRPr="00387DA2">
        <w:rPr>
          <w:sz w:val="18"/>
          <w:szCs w:val="18"/>
          <w:lang w:val="en-US"/>
        </w:rPr>
        <w:t>But for the additional one highlighted at the bottom of the table</w:t>
      </w:r>
    </w:p>
  </w:footnote>
  <w:footnote w:id="28">
    <w:p w:rsidR="00171462" w:rsidRPr="00463E00" w:rsidRDefault="00171462" w:rsidP="00C23A1A">
      <w:pPr>
        <w:pStyle w:val="FootnoteText"/>
        <w:rPr>
          <w:sz w:val="18"/>
          <w:szCs w:val="18"/>
          <w:lang w:val="en-US"/>
        </w:rPr>
      </w:pPr>
      <w:r>
        <w:rPr>
          <w:rStyle w:val="FootnoteReference"/>
        </w:rPr>
        <w:footnoteRef/>
      </w:r>
      <w:r>
        <w:t xml:space="preserve"> </w:t>
      </w:r>
      <w:r w:rsidRPr="00463E00">
        <w:rPr>
          <w:sz w:val="18"/>
          <w:szCs w:val="18"/>
          <w:lang w:val="en-US"/>
        </w:rPr>
        <w:t xml:space="preserve">See Annex </w:t>
      </w:r>
      <w:r>
        <w:rPr>
          <w:sz w:val="18"/>
          <w:szCs w:val="18"/>
          <w:lang w:val="en-US"/>
        </w:rPr>
        <w:t>6 – Case &amp; Data Management Timeline Stage 2</w:t>
      </w:r>
    </w:p>
  </w:footnote>
  <w:footnote w:id="29">
    <w:p w:rsidR="00171462" w:rsidRPr="008C0C6E" w:rsidRDefault="00171462">
      <w:pPr>
        <w:pStyle w:val="FootnoteText"/>
        <w:rPr>
          <w:lang w:val="en-US"/>
        </w:rPr>
      </w:pPr>
      <w:r>
        <w:rPr>
          <w:rStyle w:val="FootnoteReference"/>
        </w:rPr>
        <w:footnoteRef/>
      </w:r>
      <w:r>
        <w:t xml:space="preserve"> </w:t>
      </w:r>
      <w:r>
        <w:rPr>
          <w:lang w:val="en-US"/>
        </w:rPr>
        <w:t>Policing and Justice Support Program (Vanuatu) Monitoring &amp; Evaluation Plan, November 2014.</w:t>
      </w:r>
    </w:p>
  </w:footnote>
  <w:footnote w:id="30">
    <w:p w:rsidR="00171462" w:rsidRPr="00E4353A" w:rsidRDefault="00171462">
      <w:pPr>
        <w:pStyle w:val="FootnoteText"/>
        <w:rPr>
          <w:lang w:val="en-US"/>
        </w:rPr>
      </w:pPr>
      <w:r>
        <w:rPr>
          <w:rStyle w:val="FootnoteReference"/>
        </w:rPr>
        <w:footnoteRef/>
      </w:r>
      <w:r>
        <w:t xml:space="preserve"> </w:t>
      </w:r>
      <w:r>
        <w:rPr>
          <w:lang w:val="en-US"/>
        </w:rPr>
        <w:t>Paraphrased from Annex 9 of the PJSPV MEF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743290"/>
      <w:docPartObj>
        <w:docPartGallery w:val="Page Numbers (Margins)"/>
        <w:docPartUnique/>
      </w:docPartObj>
    </w:sdtPr>
    <w:sdtEndPr/>
    <w:sdtContent>
      <w:p w:rsidR="00171462" w:rsidRDefault="00171462">
        <w:pPr>
          <w:pStyle w:val="Header"/>
        </w:pPr>
        <w:r>
          <w:rPr>
            <w:noProof/>
            <w:lang w:val="en-AU" w:eastAsia="en-AU"/>
          </w:rPr>
          <mc:AlternateContent>
            <mc:Choice Requires="wps">
              <w:drawing>
                <wp:anchor distT="0" distB="0" distL="114300" distR="114300" simplePos="0" relativeHeight="251659264" behindDoc="0" locked="0" layoutInCell="0" allowOverlap="1" wp14:anchorId="2D90D32C" wp14:editId="28021920">
                  <wp:simplePos x="0" y="0"/>
                  <wp:positionH relativeFrom="rightMargin">
                    <wp:align>right</wp:align>
                  </wp:positionH>
                  <wp:positionV relativeFrom="margin">
                    <wp:align>center</wp:align>
                  </wp:positionV>
                  <wp:extent cx="731520" cy="329565"/>
                  <wp:effectExtent l="0" t="0" r="0" b="0"/>
                  <wp:wrapNone/>
                  <wp:docPr id="5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171462" w:rsidRDefault="00171462">
                              <w:pPr>
                                <w:pBdr>
                                  <w:bottom w:val="single" w:sz="4" w:space="1" w:color="auto"/>
                                </w:pBdr>
                              </w:pPr>
                              <w:r>
                                <w:fldChar w:fldCharType="begin"/>
                              </w:r>
                              <w:r>
                                <w:instrText xml:space="preserve"> PAGE   \* MERGEFORMAT </w:instrText>
                              </w:r>
                              <w:r>
                                <w:fldChar w:fldCharType="separate"/>
                              </w:r>
                              <w:r w:rsidR="00530F64">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4" o:spid="_x0000_s1027" style="position:absolute;margin-left:6.4pt;margin-top:0;width:57.6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" o:allowincell="f" stroked="f">
                  <v:textbox>
                    <w:txbxContent>
                      <w:p w:rsidR="00171462" w:rsidRDefault="00171462">
                        <w:pPr>
                          <w:pBdr>
                            <w:bottom w:val="single" w:sz="4" w:space="1" w:color="auto"/>
                          </w:pBdr>
                        </w:pPr>
                        <w:r>
                          <w:fldChar w:fldCharType="begin"/>
                        </w:r>
                        <w:r>
                          <w:instrText xml:space="preserve"> PAGE   \* MERGEFORMAT </w:instrText>
                        </w:r>
                        <w:r>
                          <w:fldChar w:fldCharType="separate"/>
                        </w:r>
                        <w:r w:rsidR="00530F64">
                          <w:rPr>
                            <w:noProof/>
                          </w:rPr>
                          <w:t>1</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CF3"/>
    <w:multiLevelType w:val="hybridMultilevel"/>
    <w:tmpl w:val="53507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666A24"/>
    <w:multiLevelType w:val="hybridMultilevel"/>
    <w:tmpl w:val="543039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9971BC1"/>
    <w:multiLevelType w:val="hybridMultilevel"/>
    <w:tmpl w:val="33E4288A"/>
    <w:lvl w:ilvl="0" w:tplc="91C0DBAE">
      <w:start w:val="1"/>
      <w:numFmt w:val="decimal"/>
      <w:lvlText w:val="3.%1"/>
      <w:lvlJc w:val="left"/>
      <w:pPr>
        <w:ind w:left="643"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D79189B"/>
    <w:multiLevelType w:val="hybridMultilevel"/>
    <w:tmpl w:val="5D9E0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800B9A"/>
    <w:multiLevelType w:val="hybridMultilevel"/>
    <w:tmpl w:val="52E21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353"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4C0DFF"/>
    <w:multiLevelType w:val="hybridMultilevel"/>
    <w:tmpl w:val="000073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2CB27BF"/>
    <w:multiLevelType w:val="hybridMultilevel"/>
    <w:tmpl w:val="FD401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CD241D"/>
    <w:multiLevelType w:val="singleLevel"/>
    <w:tmpl w:val="36E2D78E"/>
    <w:lvl w:ilvl="0">
      <w:start w:val="1"/>
      <w:numFmt w:val="bullet"/>
      <w:pStyle w:val="NormColon"/>
      <w:lvlText w:val=""/>
      <w:lvlJc w:val="left"/>
      <w:pPr>
        <w:tabs>
          <w:tab w:val="num" w:pos="1191"/>
        </w:tabs>
        <w:ind w:left="1191" w:hanging="397"/>
      </w:pPr>
      <w:rPr>
        <w:rFonts w:ascii="Symbol" w:hAnsi="Symbol" w:cs="Symbol" w:hint="default"/>
      </w:rPr>
    </w:lvl>
  </w:abstractNum>
  <w:abstractNum w:abstractNumId="8">
    <w:nsid w:val="165736D3"/>
    <w:multiLevelType w:val="hybridMultilevel"/>
    <w:tmpl w:val="F8AC933A"/>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6CE04AD"/>
    <w:multiLevelType w:val="hybridMultilevel"/>
    <w:tmpl w:val="1F4AE32A"/>
    <w:lvl w:ilvl="0" w:tplc="F2DC65A0">
      <w:start w:val="1"/>
      <w:numFmt w:val="lowerRoman"/>
      <w:pStyle w:val="Heading4"/>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A5734F6"/>
    <w:multiLevelType w:val="hybridMultilevel"/>
    <w:tmpl w:val="D6E48E10"/>
    <w:lvl w:ilvl="0" w:tplc="8FB46CE6">
      <w:start w:val="1"/>
      <w:numFmt w:val="decimal"/>
      <w:lvlText w:val="%1)"/>
      <w:lvlJc w:val="left"/>
      <w:pPr>
        <w:ind w:left="502" w:hanging="360"/>
      </w:pPr>
      <w:rPr>
        <w:rFonts w:hint="default"/>
        <w:b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C220B9A"/>
    <w:multiLevelType w:val="hybridMultilevel"/>
    <w:tmpl w:val="C07CEEB4"/>
    <w:lvl w:ilvl="0" w:tplc="7FBA98AC">
      <w:start w:val="1"/>
      <w:numFmt w:val="decimal"/>
      <w:lvlText w:val="%1)"/>
      <w:lvlJc w:val="left"/>
      <w:pPr>
        <w:ind w:left="360" w:hanging="360"/>
      </w:pPr>
      <w:rPr>
        <w:rFonts w:hint="default"/>
      </w:rPr>
    </w:lvl>
    <w:lvl w:ilvl="1" w:tplc="0C090019">
      <w:start w:val="1"/>
      <w:numFmt w:val="lowerLetter"/>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4157256"/>
    <w:multiLevelType w:val="hybridMultilevel"/>
    <w:tmpl w:val="E514EB10"/>
    <w:lvl w:ilvl="0" w:tplc="53C4F2B4">
      <w:start w:val="1"/>
      <w:numFmt w:val="lowerRoman"/>
      <w:pStyle w:val="CONLevela"/>
      <w:lvlText w:val="%1."/>
      <w:lvlJc w:val="left"/>
      <w:pPr>
        <w:ind w:left="1080" w:hanging="360"/>
      </w:pPr>
      <w:rPr>
        <w:rFonts w:hint="default"/>
        <w:i w:val="0"/>
        <w:iCs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3">
    <w:nsid w:val="242F6023"/>
    <w:multiLevelType w:val="hybridMultilevel"/>
    <w:tmpl w:val="E7648E48"/>
    <w:lvl w:ilvl="0" w:tplc="E9A63164">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71637B1"/>
    <w:multiLevelType w:val="hybridMultilevel"/>
    <w:tmpl w:val="D71612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8DC2CEF"/>
    <w:multiLevelType w:val="hybridMultilevel"/>
    <w:tmpl w:val="8AC8C19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9C46F30"/>
    <w:multiLevelType w:val="hybridMultilevel"/>
    <w:tmpl w:val="9B1607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9C93679"/>
    <w:multiLevelType w:val="hybridMultilevel"/>
    <w:tmpl w:val="08C49E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ADF6EC3"/>
    <w:multiLevelType w:val="hybridMultilevel"/>
    <w:tmpl w:val="D78CADFC"/>
    <w:lvl w:ilvl="0" w:tplc="7FBA98AC">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B4700F0"/>
    <w:multiLevelType w:val="hybridMultilevel"/>
    <w:tmpl w:val="7458E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33A74C4"/>
    <w:multiLevelType w:val="hybridMultilevel"/>
    <w:tmpl w:val="9AC4B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4794F13"/>
    <w:multiLevelType w:val="hybridMultilevel"/>
    <w:tmpl w:val="D384FC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59D16FE"/>
    <w:multiLevelType w:val="hybridMultilevel"/>
    <w:tmpl w:val="68FE4E62"/>
    <w:lvl w:ilvl="0" w:tplc="7FBA98A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6807B5E"/>
    <w:multiLevelType w:val="hybridMultilevel"/>
    <w:tmpl w:val="4740C6C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6CA258B"/>
    <w:multiLevelType w:val="hybridMultilevel"/>
    <w:tmpl w:val="97504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BC81FD8"/>
    <w:multiLevelType w:val="hybridMultilevel"/>
    <w:tmpl w:val="BAEEF38E"/>
    <w:lvl w:ilvl="0" w:tplc="0C090011">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3CC872B9"/>
    <w:multiLevelType w:val="hybridMultilevel"/>
    <w:tmpl w:val="5D10A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0705AD8"/>
    <w:multiLevelType w:val="hybridMultilevel"/>
    <w:tmpl w:val="912A6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6CE21B4"/>
    <w:multiLevelType w:val="hybridMultilevel"/>
    <w:tmpl w:val="9A6497DE"/>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76A60E0"/>
    <w:multiLevelType w:val="hybridMultilevel"/>
    <w:tmpl w:val="129AFA5E"/>
    <w:lvl w:ilvl="0" w:tplc="82825C84">
      <w:start w:val="1"/>
      <w:numFmt w:val="decimal"/>
      <w:lvlText w:val="%1."/>
      <w:lvlJc w:val="left"/>
      <w:pPr>
        <w:ind w:left="580" w:hanging="360"/>
      </w:pPr>
      <w:rPr>
        <w:rFonts w:asciiTheme="majorHAnsi" w:eastAsia="Calibri" w:hAnsiTheme="majorHAnsi" w:cs="Times New Roman" w:hint="default"/>
        <w:b/>
        <w:color w:val="auto"/>
        <w:u w:val="none"/>
      </w:rPr>
    </w:lvl>
    <w:lvl w:ilvl="1" w:tplc="0C090019" w:tentative="1">
      <w:start w:val="1"/>
      <w:numFmt w:val="lowerLetter"/>
      <w:lvlText w:val="%2."/>
      <w:lvlJc w:val="left"/>
      <w:pPr>
        <w:ind w:left="1300" w:hanging="360"/>
      </w:pPr>
    </w:lvl>
    <w:lvl w:ilvl="2" w:tplc="0C09001B" w:tentative="1">
      <w:start w:val="1"/>
      <w:numFmt w:val="lowerRoman"/>
      <w:lvlText w:val="%3."/>
      <w:lvlJc w:val="right"/>
      <w:pPr>
        <w:ind w:left="2020" w:hanging="180"/>
      </w:pPr>
    </w:lvl>
    <w:lvl w:ilvl="3" w:tplc="0C09000F" w:tentative="1">
      <w:start w:val="1"/>
      <w:numFmt w:val="decimal"/>
      <w:lvlText w:val="%4."/>
      <w:lvlJc w:val="left"/>
      <w:pPr>
        <w:ind w:left="2740" w:hanging="360"/>
      </w:pPr>
    </w:lvl>
    <w:lvl w:ilvl="4" w:tplc="0C090019" w:tentative="1">
      <w:start w:val="1"/>
      <w:numFmt w:val="lowerLetter"/>
      <w:lvlText w:val="%5."/>
      <w:lvlJc w:val="left"/>
      <w:pPr>
        <w:ind w:left="3460" w:hanging="360"/>
      </w:pPr>
    </w:lvl>
    <w:lvl w:ilvl="5" w:tplc="0C09001B" w:tentative="1">
      <w:start w:val="1"/>
      <w:numFmt w:val="lowerRoman"/>
      <w:lvlText w:val="%6."/>
      <w:lvlJc w:val="right"/>
      <w:pPr>
        <w:ind w:left="4180" w:hanging="180"/>
      </w:pPr>
    </w:lvl>
    <w:lvl w:ilvl="6" w:tplc="0C09000F" w:tentative="1">
      <w:start w:val="1"/>
      <w:numFmt w:val="decimal"/>
      <w:lvlText w:val="%7."/>
      <w:lvlJc w:val="left"/>
      <w:pPr>
        <w:ind w:left="4900" w:hanging="360"/>
      </w:pPr>
    </w:lvl>
    <w:lvl w:ilvl="7" w:tplc="0C090019" w:tentative="1">
      <w:start w:val="1"/>
      <w:numFmt w:val="lowerLetter"/>
      <w:lvlText w:val="%8."/>
      <w:lvlJc w:val="left"/>
      <w:pPr>
        <w:ind w:left="5620" w:hanging="360"/>
      </w:pPr>
    </w:lvl>
    <w:lvl w:ilvl="8" w:tplc="0C09001B" w:tentative="1">
      <w:start w:val="1"/>
      <w:numFmt w:val="lowerRoman"/>
      <w:lvlText w:val="%9."/>
      <w:lvlJc w:val="right"/>
      <w:pPr>
        <w:ind w:left="6340" w:hanging="180"/>
      </w:pPr>
    </w:lvl>
  </w:abstractNum>
  <w:abstractNum w:abstractNumId="30">
    <w:nsid w:val="476F43BE"/>
    <w:multiLevelType w:val="hybridMultilevel"/>
    <w:tmpl w:val="4A76FC3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91328A3"/>
    <w:multiLevelType w:val="hybridMultilevel"/>
    <w:tmpl w:val="7AA0D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1C258D4"/>
    <w:multiLevelType w:val="multilevel"/>
    <w:tmpl w:val="F8127FBA"/>
    <w:lvl w:ilvl="0">
      <w:start w:val="1"/>
      <w:numFmt w:val="decimal"/>
      <w:pStyle w:val="Heading2"/>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3">
    <w:nsid w:val="532F7F4A"/>
    <w:multiLevelType w:val="hybridMultilevel"/>
    <w:tmpl w:val="A74A60F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54657A19"/>
    <w:multiLevelType w:val="multilevel"/>
    <w:tmpl w:val="F96E79C6"/>
    <w:lvl w:ilvl="0">
      <w:start w:val="1"/>
      <w:numFmt w:val="lowerLetter"/>
      <w:pStyle w:val="Heading3"/>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56C5963"/>
    <w:multiLevelType w:val="hybridMultilevel"/>
    <w:tmpl w:val="1E88CD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55BD6E1C"/>
    <w:multiLevelType w:val="hybridMultilevel"/>
    <w:tmpl w:val="EA2E977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94444C7"/>
    <w:multiLevelType w:val="hybridMultilevel"/>
    <w:tmpl w:val="AB567B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nsid w:val="5C0731E5"/>
    <w:multiLevelType w:val="hybridMultilevel"/>
    <w:tmpl w:val="8BFCC0DA"/>
    <w:lvl w:ilvl="0" w:tplc="49AA61B4">
      <w:start w:val="1"/>
      <w:numFmt w:val="decimal"/>
      <w:pStyle w:val="Heading1"/>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nsid w:val="5E17560E"/>
    <w:multiLevelType w:val="hybridMultilevel"/>
    <w:tmpl w:val="46769F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64FE38A2"/>
    <w:multiLevelType w:val="hybridMultilevel"/>
    <w:tmpl w:val="C83070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6E516A65"/>
    <w:multiLevelType w:val="hybridMultilevel"/>
    <w:tmpl w:val="0354FF2A"/>
    <w:lvl w:ilvl="0" w:tplc="7FBA98A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1A80F54"/>
    <w:multiLevelType w:val="hybridMultilevel"/>
    <w:tmpl w:val="6B6A464C"/>
    <w:lvl w:ilvl="0" w:tplc="0C090011">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6CE1EBD"/>
    <w:multiLevelType w:val="hybridMultilevel"/>
    <w:tmpl w:val="C55CF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77C062F4"/>
    <w:multiLevelType w:val="hybridMultilevel"/>
    <w:tmpl w:val="E9249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A9578A2"/>
    <w:multiLevelType w:val="hybridMultilevel"/>
    <w:tmpl w:val="DFA0A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BD84DA6"/>
    <w:multiLevelType w:val="hybridMultilevel"/>
    <w:tmpl w:val="B0C2A0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nsid w:val="7DF61A81"/>
    <w:multiLevelType w:val="hybridMultilevel"/>
    <w:tmpl w:val="06EE377A"/>
    <w:lvl w:ilvl="0" w:tplc="D6947272">
      <w:start w:val="4"/>
      <w:numFmt w:val="decimal"/>
      <w:lvlText w:val="%1)"/>
      <w:lvlJc w:val="left"/>
      <w:pPr>
        <w:ind w:left="1222"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8"/>
  </w:num>
  <w:num w:numId="2">
    <w:abstractNumId w:val="12"/>
  </w:num>
  <w:num w:numId="3">
    <w:abstractNumId w:val="7"/>
  </w:num>
  <w:num w:numId="4">
    <w:abstractNumId w:val="32"/>
  </w:num>
  <w:num w:numId="5">
    <w:abstractNumId w:val="34"/>
  </w:num>
  <w:num w:numId="6">
    <w:abstractNumId w:val="9"/>
  </w:num>
  <w:num w:numId="7">
    <w:abstractNumId w:val="26"/>
  </w:num>
  <w:num w:numId="8">
    <w:abstractNumId w:val="35"/>
  </w:num>
  <w:num w:numId="9">
    <w:abstractNumId w:val="19"/>
  </w:num>
  <w:num w:numId="10">
    <w:abstractNumId w:val="16"/>
  </w:num>
  <w:num w:numId="11">
    <w:abstractNumId w:val="17"/>
  </w:num>
  <w:num w:numId="12">
    <w:abstractNumId w:val="45"/>
  </w:num>
  <w:num w:numId="13">
    <w:abstractNumId w:val="14"/>
  </w:num>
  <w:num w:numId="14">
    <w:abstractNumId w:val="33"/>
  </w:num>
  <w:num w:numId="15">
    <w:abstractNumId w:val="20"/>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5"/>
  </w:num>
  <w:num w:numId="22">
    <w:abstractNumId w:val="22"/>
  </w:num>
  <w:num w:numId="23">
    <w:abstractNumId w:val="41"/>
  </w:num>
  <w:num w:numId="24">
    <w:abstractNumId w:val="18"/>
  </w:num>
  <w:num w:numId="25">
    <w:abstractNumId w:val="28"/>
  </w:num>
  <w:num w:numId="26">
    <w:abstractNumId w:val="11"/>
  </w:num>
  <w:num w:numId="27">
    <w:abstractNumId w:val="47"/>
  </w:num>
  <w:num w:numId="28">
    <w:abstractNumId w:val="24"/>
  </w:num>
  <w:num w:numId="29">
    <w:abstractNumId w:val="21"/>
  </w:num>
  <w:num w:numId="30">
    <w:abstractNumId w:val="43"/>
  </w:num>
  <w:num w:numId="31">
    <w:abstractNumId w:val="6"/>
  </w:num>
  <w:num w:numId="32">
    <w:abstractNumId w:val="40"/>
  </w:num>
  <w:num w:numId="33">
    <w:abstractNumId w:val="8"/>
  </w:num>
  <w:num w:numId="34">
    <w:abstractNumId w:val="46"/>
  </w:num>
  <w:num w:numId="35">
    <w:abstractNumId w:val="5"/>
  </w:num>
  <w:num w:numId="36">
    <w:abstractNumId w:val="42"/>
  </w:num>
  <w:num w:numId="37">
    <w:abstractNumId w:val="13"/>
  </w:num>
  <w:num w:numId="38">
    <w:abstractNumId w:val="30"/>
  </w:num>
  <w:num w:numId="39">
    <w:abstractNumId w:val="0"/>
  </w:num>
  <w:num w:numId="40">
    <w:abstractNumId w:val="23"/>
  </w:num>
  <w:num w:numId="41">
    <w:abstractNumId w:val="36"/>
  </w:num>
  <w:num w:numId="42">
    <w:abstractNumId w:val="31"/>
  </w:num>
  <w:num w:numId="43">
    <w:abstractNumId w:val="44"/>
  </w:num>
  <w:num w:numId="44">
    <w:abstractNumId w:val="2"/>
  </w:num>
  <w:num w:numId="45">
    <w:abstractNumId w:val="27"/>
  </w:num>
  <w:num w:numId="46">
    <w:abstractNumId w:val="37"/>
  </w:num>
  <w:num w:numId="47">
    <w:abstractNumId w:val="3"/>
  </w:num>
  <w:num w:numId="48">
    <w:abstractNumId w:val="39"/>
  </w:num>
  <w:num w:numId="49">
    <w:abstractNumId w:val="32"/>
  </w:num>
  <w:num w:numId="50">
    <w:abstractNumId w:val="29"/>
  </w:num>
  <w:num w:numId="51">
    <w:abstractNumId w:val="15"/>
  </w:num>
  <w:num w:numId="52">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isplayBackgroundShape/>
  <w:embedSystemFonts/>
  <w:proofState w:spelling="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D2F"/>
    <w:rsid w:val="000003EF"/>
    <w:rsid w:val="000016A2"/>
    <w:rsid w:val="0000190E"/>
    <w:rsid w:val="00001D51"/>
    <w:rsid w:val="000035A5"/>
    <w:rsid w:val="00003E08"/>
    <w:rsid w:val="0000486E"/>
    <w:rsid w:val="00005001"/>
    <w:rsid w:val="0000795A"/>
    <w:rsid w:val="00010644"/>
    <w:rsid w:val="00011343"/>
    <w:rsid w:val="000117B8"/>
    <w:rsid w:val="00011B3C"/>
    <w:rsid w:val="00012C05"/>
    <w:rsid w:val="000131B8"/>
    <w:rsid w:val="000158A8"/>
    <w:rsid w:val="0001640F"/>
    <w:rsid w:val="0002038F"/>
    <w:rsid w:val="00021025"/>
    <w:rsid w:val="00022EA5"/>
    <w:rsid w:val="0002768B"/>
    <w:rsid w:val="0002777D"/>
    <w:rsid w:val="00030690"/>
    <w:rsid w:val="00034345"/>
    <w:rsid w:val="00034E15"/>
    <w:rsid w:val="00035C94"/>
    <w:rsid w:val="00037A1B"/>
    <w:rsid w:val="0004165F"/>
    <w:rsid w:val="00041A56"/>
    <w:rsid w:val="00042844"/>
    <w:rsid w:val="00045628"/>
    <w:rsid w:val="0004676C"/>
    <w:rsid w:val="00047A57"/>
    <w:rsid w:val="00047CBE"/>
    <w:rsid w:val="0005211E"/>
    <w:rsid w:val="0005300C"/>
    <w:rsid w:val="00053818"/>
    <w:rsid w:val="00053848"/>
    <w:rsid w:val="0005387E"/>
    <w:rsid w:val="0006212D"/>
    <w:rsid w:val="0006293E"/>
    <w:rsid w:val="00063B43"/>
    <w:rsid w:val="00064AA3"/>
    <w:rsid w:val="00066148"/>
    <w:rsid w:val="0006646B"/>
    <w:rsid w:val="00067377"/>
    <w:rsid w:val="00071037"/>
    <w:rsid w:val="00071EA2"/>
    <w:rsid w:val="000750E9"/>
    <w:rsid w:val="000750F4"/>
    <w:rsid w:val="0007667E"/>
    <w:rsid w:val="0007699C"/>
    <w:rsid w:val="00076AF8"/>
    <w:rsid w:val="00077812"/>
    <w:rsid w:val="0008102A"/>
    <w:rsid w:val="00081111"/>
    <w:rsid w:val="00081D4B"/>
    <w:rsid w:val="00081DD4"/>
    <w:rsid w:val="00082634"/>
    <w:rsid w:val="00082E61"/>
    <w:rsid w:val="000842F9"/>
    <w:rsid w:val="0008587F"/>
    <w:rsid w:val="00085CF7"/>
    <w:rsid w:val="00085EDD"/>
    <w:rsid w:val="00087A12"/>
    <w:rsid w:val="00087FF3"/>
    <w:rsid w:val="00090009"/>
    <w:rsid w:val="00090371"/>
    <w:rsid w:val="000903AE"/>
    <w:rsid w:val="00090514"/>
    <w:rsid w:val="0009234A"/>
    <w:rsid w:val="00092DE7"/>
    <w:rsid w:val="00095AB4"/>
    <w:rsid w:val="0009680A"/>
    <w:rsid w:val="000975A4"/>
    <w:rsid w:val="000A14E5"/>
    <w:rsid w:val="000A2239"/>
    <w:rsid w:val="000A2BF1"/>
    <w:rsid w:val="000A3EAE"/>
    <w:rsid w:val="000A3FDE"/>
    <w:rsid w:val="000A4C66"/>
    <w:rsid w:val="000A5399"/>
    <w:rsid w:val="000A67C5"/>
    <w:rsid w:val="000A6824"/>
    <w:rsid w:val="000A6E81"/>
    <w:rsid w:val="000B047E"/>
    <w:rsid w:val="000B0EAF"/>
    <w:rsid w:val="000B1235"/>
    <w:rsid w:val="000B408A"/>
    <w:rsid w:val="000B724E"/>
    <w:rsid w:val="000C019D"/>
    <w:rsid w:val="000C027E"/>
    <w:rsid w:val="000C28AC"/>
    <w:rsid w:val="000C2FFB"/>
    <w:rsid w:val="000C717E"/>
    <w:rsid w:val="000C7AF3"/>
    <w:rsid w:val="000D1936"/>
    <w:rsid w:val="000D2D3B"/>
    <w:rsid w:val="000D3F50"/>
    <w:rsid w:val="000D4BC0"/>
    <w:rsid w:val="000D63EA"/>
    <w:rsid w:val="000D6C2B"/>
    <w:rsid w:val="000D7762"/>
    <w:rsid w:val="000E2ABD"/>
    <w:rsid w:val="000E3D9F"/>
    <w:rsid w:val="000E4187"/>
    <w:rsid w:val="000E4A29"/>
    <w:rsid w:val="000E4A52"/>
    <w:rsid w:val="000E4EC1"/>
    <w:rsid w:val="000E5465"/>
    <w:rsid w:val="000E6C2B"/>
    <w:rsid w:val="000F01B6"/>
    <w:rsid w:val="000F18DD"/>
    <w:rsid w:val="000F1E3B"/>
    <w:rsid w:val="000F2D34"/>
    <w:rsid w:val="000F3627"/>
    <w:rsid w:val="000F368D"/>
    <w:rsid w:val="000F62D2"/>
    <w:rsid w:val="000F7194"/>
    <w:rsid w:val="000F75DF"/>
    <w:rsid w:val="000F798C"/>
    <w:rsid w:val="00100D6D"/>
    <w:rsid w:val="001012E5"/>
    <w:rsid w:val="001013F3"/>
    <w:rsid w:val="00102CDB"/>
    <w:rsid w:val="001033E7"/>
    <w:rsid w:val="0010461E"/>
    <w:rsid w:val="001059C1"/>
    <w:rsid w:val="00106CAE"/>
    <w:rsid w:val="00106D0C"/>
    <w:rsid w:val="0010794D"/>
    <w:rsid w:val="001104CB"/>
    <w:rsid w:val="00110808"/>
    <w:rsid w:val="00113755"/>
    <w:rsid w:val="001159E0"/>
    <w:rsid w:val="0011605A"/>
    <w:rsid w:val="00116CA0"/>
    <w:rsid w:val="001177C9"/>
    <w:rsid w:val="00117838"/>
    <w:rsid w:val="00120737"/>
    <w:rsid w:val="00120C84"/>
    <w:rsid w:val="00120C95"/>
    <w:rsid w:val="00121422"/>
    <w:rsid w:val="00121920"/>
    <w:rsid w:val="0012245A"/>
    <w:rsid w:val="0012261D"/>
    <w:rsid w:val="00124C34"/>
    <w:rsid w:val="001271FC"/>
    <w:rsid w:val="00127EE0"/>
    <w:rsid w:val="001301E1"/>
    <w:rsid w:val="001308E6"/>
    <w:rsid w:val="001315E2"/>
    <w:rsid w:val="0013240B"/>
    <w:rsid w:val="0013360A"/>
    <w:rsid w:val="00133C0C"/>
    <w:rsid w:val="001340AA"/>
    <w:rsid w:val="00136F8A"/>
    <w:rsid w:val="00140396"/>
    <w:rsid w:val="001404C5"/>
    <w:rsid w:val="00140BE2"/>
    <w:rsid w:val="001411F7"/>
    <w:rsid w:val="001416E4"/>
    <w:rsid w:val="00141BB5"/>
    <w:rsid w:val="00147FAE"/>
    <w:rsid w:val="0015058B"/>
    <w:rsid w:val="00150A0C"/>
    <w:rsid w:val="00150E39"/>
    <w:rsid w:val="00151578"/>
    <w:rsid w:val="00152191"/>
    <w:rsid w:val="00153742"/>
    <w:rsid w:val="0015570F"/>
    <w:rsid w:val="00161419"/>
    <w:rsid w:val="001615EB"/>
    <w:rsid w:val="0016379A"/>
    <w:rsid w:val="00163D50"/>
    <w:rsid w:val="001641D2"/>
    <w:rsid w:val="00166192"/>
    <w:rsid w:val="001664AC"/>
    <w:rsid w:val="00167E13"/>
    <w:rsid w:val="001706E4"/>
    <w:rsid w:val="00171462"/>
    <w:rsid w:val="00171493"/>
    <w:rsid w:val="00171A9D"/>
    <w:rsid w:val="00171E35"/>
    <w:rsid w:val="00172B5E"/>
    <w:rsid w:val="00172DCA"/>
    <w:rsid w:val="001731C2"/>
    <w:rsid w:val="00174802"/>
    <w:rsid w:val="00174F33"/>
    <w:rsid w:val="0017657E"/>
    <w:rsid w:val="00180E21"/>
    <w:rsid w:val="00181F55"/>
    <w:rsid w:val="001829E0"/>
    <w:rsid w:val="001830E6"/>
    <w:rsid w:val="00184690"/>
    <w:rsid w:val="00184966"/>
    <w:rsid w:val="00186366"/>
    <w:rsid w:val="0018637E"/>
    <w:rsid w:val="00187FF2"/>
    <w:rsid w:val="00190CE4"/>
    <w:rsid w:val="00192819"/>
    <w:rsid w:val="0019290B"/>
    <w:rsid w:val="00192E29"/>
    <w:rsid w:val="00193197"/>
    <w:rsid w:val="00194051"/>
    <w:rsid w:val="00194AE0"/>
    <w:rsid w:val="00194CF2"/>
    <w:rsid w:val="0019595D"/>
    <w:rsid w:val="00196534"/>
    <w:rsid w:val="0019681D"/>
    <w:rsid w:val="001971E3"/>
    <w:rsid w:val="00197D38"/>
    <w:rsid w:val="001A0A6D"/>
    <w:rsid w:val="001A0F3F"/>
    <w:rsid w:val="001A29CD"/>
    <w:rsid w:val="001A2B67"/>
    <w:rsid w:val="001A4485"/>
    <w:rsid w:val="001A527C"/>
    <w:rsid w:val="001A58D1"/>
    <w:rsid w:val="001A6B0C"/>
    <w:rsid w:val="001A6E2F"/>
    <w:rsid w:val="001A6FCF"/>
    <w:rsid w:val="001A7641"/>
    <w:rsid w:val="001B0681"/>
    <w:rsid w:val="001B09E9"/>
    <w:rsid w:val="001B0A03"/>
    <w:rsid w:val="001B11DF"/>
    <w:rsid w:val="001B1423"/>
    <w:rsid w:val="001B2835"/>
    <w:rsid w:val="001B3B68"/>
    <w:rsid w:val="001B3EE8"/>
    <w:rsid w:val="001B5A1B"/>
    <w:rsid w:val="001B7D80"/>
    <w:rsid w:val="001C21EE"/>
    <w:rsid w:val="001C2B23"/>
    <w:rsid w:val="001C3734"/>
    <w:rsid w:val="001C4A78"/>
    <w:rsid w:val="001C5771"/>
    <w:rsid w:val="001C5EC6"/>
    <w:rsid w:val="001C735C"/>
    <w:rsid w:val="001D4109"/>
    <w:rsid w:val="001D4CF7"/>
    <w:rsid w:val="001D582E"/>
    <w:rsid w:val="001D6FE0"/>
    <w:rsid w:val="001E1A6E"/>
    <w:rsid w:val="001E1F0F"/>
    <w:rsid w:val="001E3B26"/>
    <w:rsid w:val="001E3F90"/>
    <w:rsid w:val="001E429B"/>
    <w:rsid w:val="001E462A"/>
    <w:rsid w:val="001E4DBF"/>
    <w:rsid w:val="001E653E"/>
    <w:rsid w:val="001E7049"/>
    <w:rsid w:val="001F0C55"/>
    <w:rsid w:val="001F3960"/>
    <w:rsid w:val="001F4C7E"/>
    <w:rsid w:val="001F4CBF"/>
    <w:rsid w:val="001F563C"/>
    <w:rsid w:val="001F5ECA"/>
    <w:rsid w:val="00200946"/>
    <w:rsid w:val="00200B1D"/>
    <w:rsid w:val="00201C28"/>
    <w:rsid w:val="00201E1A"/>
    <w:rsid w:val="0020236E"/>
    <w:rsid w:val="00204688"/>
    <w:rsid w:val="00206C80"/>
    <w:rsid w:val="0020742E"/>
    <w:rsid w:val="00207B54"/>
    <w:rsid w:val="00207BEC"/>
    <w:rsid w:val="002109C1"/>
    <w:rsid w:val="00211FB2"/>
    <w:rsid w:val="0021431E"/>
    <w:rsid w:val="00215007"/>
    <w:rsid w:val="00215469"/>
    <w:rsid w:val="00215656"/>
    <w:rsid w:val="0021590C"/>
    <w:rsid w:val="00215B3D"/>
    <w:rsid w:val="002162D1"/>
    <w:rsid w:val="00216A70"/>
    <w:rsid w:val="0022351E"/>
    <w:rsid w:val="00223FE3"/>
    <w:rsid w:val="00226649"/>
    <w:rsid w:val="002269BD"/>
    <w:rsid w:val="002271B6"/>
    <w:rsid w:val="00232121"/>
    <w:rsid w:val="0023245B"/>
    <w:rsid w:val="0023621B"/>
    <w:rsid w:val="002370E3"/>
    <w:rsid w:val="0024149A"/>
    <w:rsid w:val="0024323E"/>
    <w:rsid w:val="00244C71"/>
    <w:rsid w:val="00246F13"/>
    <w:rsid w:val="002476B5"/>
    <w:rsid w:val="00247889"/>
    <w:rsid w:val="0025026C"/>
    <w:rsid w:val="00250348"/>
    <w:rsid w:val="002517BC"/>
    <w:rsid w:val="00257034"/>
    <w:rsid w:val="00257093"/>
    <w:rsid w:val="0025715D"/>
    <w:rsid w:val="00261344"/>
    <w:rsid w:val="00261F0E"/>
    <w:rsid w:val="00261FBB"/>
    <w:rsid w:val="00265258"/>
    <w:rsid w:val="0026543C"/>
    <w:rsid w:val="002656E9"/>
    <w:rsid w:val="00265FAF"/>
    <w:rsid w:val="002664BA"/>
    <w:rsid w:val="00266D19"/>
    <w:rsid w:val="00266DB0"/>
    <w:rsid w:val="00270795"/>
    <w:rsid w:val="00271E58"/>
    <w:rsid w:val="002731D9"/>
    <w:rsid w:val="002733A2"/>
    <w:rsid w:val="00273A09"/>
    <w:rsid w:val="002740F0"/>
    <w:rsid w:val="002745D8"/>
    <w:rsid w:val="002758D3"/>
    <w:rsid w:val="00275C27"/>
    <w:rsid w:val="00276450"/>
    <w:rsid w:val="00276545"/>
    <w:rsid w:val="0027667B"/>
    <w:rsid w:val="00276D53"/>
    <w:rsid w:val="00277247"/>
    <w:rsid w:val="00280AC3"/>
    <w:rsid w:val="00282532"/>
    <w:rsid w:val="00282A62"/>
    <w:rsid w:val="00282BBA"/>
    <w:rsid w:val="002833A2"/>
    <w:rsid w:val="00284F0D"/>
    <w:rsid w:val="00286A72"/>
    <w:rsid w:val="00286B8F"/>
    <w:rsid w:val="00286CF2"/>
    <w:rsid w:val="00286D07"/>
    <w:rsid w:val="00286E7A"/>
    <w:rsid w:val="00287F36"/>
    <w:rsid w:val="00291266"/>
    <w:rsid w:val="002921A3"/>
    <w:rsid w:val="00292419"/>
    <w:rsid w:val="002924BB"/>
    <w:rsid w:val="00293A03"/>
    <w:rsid w:val="00294630"/>
    <w:rsid w:val="00295140"/>
    <w:rsid w:val="00295C4B"/>
    <w:rsid w:val="00296D62"/>
    <w:rsid w:val="00297AB3"/>
    <w:rsid w:val="002A0E1B"/>
    <w:rsid w:val="002A1453"/>
    <w:rsid w:val="002A3E78"/>
    <w:rsid w:val="002A50EC"/>
    <w:rsid w:val="002A54DF"/>
    <w:rsid w:val="002A5722"/>
    <w:rsid w:val="002A6066"/>
    <w:rsid w:val="002A6107"/>
    <w:rsid w:val="002A6E23"/>
    <w:rsid w:val="002A7FF4"/>
    <w:rsid w:val="002B0275"/>
    <w:rsid w:val="002B359F"/>
    <w:rsid w:val="002B4036"/>
    <w:rsid w:val="002C029E"/>
    <w:rsid w:val="002C0E8F"/>
    <w:rsid w:val="002C1271"/>
    <w:rsid w:val="002C1510"/>
    <w:rsid w:val="002C20C0"/>
    <w:rsid w:val="002C3084"/>
    <w:rsid w:val="002C4809"/>
    <w:rsid w:val="002C48FB"/>
    <w:rsid w:val="002C520B"/>
    <w:rsid w:val="002C5E02"/>
    <w:rsid w:val="002C5EBC"/>
    <w:rsid w:val="002C6636"/>
    <w:rsid w:val="002C66C3"/>
    <w:rsid w:val="002C6890"/>
    <w:rsid w:val="002C72F2"/>
    <w:rsid w:val="002D1656"/>
    <w:rsid w:val="002D23A7"/>
    <w:rsid w:val="002D2DA8"/>
    <w:rsid w:val="002D40F5"/>
    <w:rsid w:val="002D5513"/>
    <w:rsid w:val="002D6108"/>
    <w:rsid w:val="002D61B8"/>
    <w:rsid w:val="002D7162"/>
    <w:rsid w:val="002E18CB"/>
    <w:rsid w:val="002E2276"/>
    <w:rsid w:val="002E46B0"/>
    <w:rsid w:val="002E4714"/>
    <w:rsid w:val="002E702B"/>
    <w:rsid w:val="002F1410"/>
    <w:rsid w:val="002F1C82"/>
    <w:rsid w:val="002F1D5D"/>
    <w:rsid w:val="002F25FC"/>
    <w:rsid w:val="002F2E90"/>
    <w:rsid w:val="002F3262"/>
    <w:rsid w:val="002F49BB"/>
    <w:rsid w:val="002F4FBD"/>
    <w:rsid w:val="002F59B7"/>
    <w:rsid w:val="002F6662"/>
    <w:rsid w:val="002F7578"/>
    <w:rsid w:val="002F783E"/>
    <w:rsid w:val="00301E52"/>
    <w:rsid w:val="00303AD3"/>
    <w:rsid w:val="00304183"/>
    <w:rsid w:val="00305A10"/>
    <w:rsid w:val="0031148E"/>
    <w:rsid w:val="00313B11"/>
    <w:rsid w:val="00314DC7"/>
    <w:rsid w:val="0031574C"/>
    <w:rsid w:val="0031612B"/>
    <w:rsid w:val="0031651B"/>
    <w:rsid w:val="00316EE1"/>
    <w:rsid w:val="003173A8"/>
    <w:rsid w:val="003204DD"/>
    <w:rsid w:val="003214C1"/>
    <w:rsid w:val="00321CFC"/>
    <w:rsid w:val="00323A75"/>
    <w:rsid w:val="003240D4"/>
    <w:rsid w:val="0032548F"/>
    <w:rsid w:val="00325751"/>
    <w:rsid w:val="00326436"/>
    <w:rsid w:val="00326C11"/>
    <w:rsid w:val="0032724E"/>
    <w:rsid w:val="003274A1"/>
    <w:rsid w:val="00327958"/>
    <w:rsid w:val="00327BB9"/>
    <w:rsid w:val="00332E21"/>
    <w:rsid w:val="00333D33"/>
    <w:rsid w:val="00334F86"/>
    <w:rsid w:val="003367B1"/>
    <w:rsid w:val="00340B14"/>
    <w:rsid w:val="003410D3"/>
    <w:rsid w:val="00342632"/>
    <w:rsid w:val="00343500"/>
    <w:rsid w:val="0034679D"/>
    <w:rsid w:val="003470AF"/>
    <w:rsid w:val="0035146F"/>
    <w:rsid w:val="0035180C"/>
    <w:rsid w:val="00351D07"/>
    <w:rsid w:val="00351E6C"/>
    <w:rsid w:val="00352114"/>
    <w:rsid w:val="0035264D"/>
    <w:rsid w:val="00353380"/>
    <w:rsid w:val="00353460"/>
    <w:rsid w:val="003542EA"/>
    <w:rsid w:val="003545E6"/>
    <w:rsid w:val="00355544"/>
    <w:rsid w:val="003569B9"/>
    <w:rsid w:val="00356E8D"/>
    <w:rsid w:val="00360127"/>
    <w:rsid w:val="003617F9"/>
    <w:rsid w:val="00362A21"/>
    <w:rsid w:val="003646AF"/>
    <w:rsid w:val="00365E59"/>
    <w:rsid w:val="00365F94"/>
    <w:rsid w:val="003668E0"/>
    <w:rsid w:val="00367B35"/>
    <w:rsid w:val="00370AB5"/>
    <w:rsid w:val="00373CAA"/>
    <w:rsid w:val="0037451B"/>
    <w:rsid w:val="003754B8"/>
    <w:rsid w:val="00376CEA"/>
    <w:rsid w:val="00377658"/>
    <w:rsid w:val="00377F92"/>
    <w:rsid w:val="00380DCA"/>
    <w:rsid w:val="003835ED"/>
    <w:rsid w:val="003867BB"/>
    <w:rsid w:val="00386EAA"/>
    <w:rsid w:val="003870A5"/>
    <w:rsid w:val="00387DA2"/>
    <w:rsid w:val="00390F62"/>
    <w:rsid w:val="00391B94"/>
    <w:rsid w:val="00392345"/>
    <w:rsid w:val="003936D9"/>
    <w:rsid w:val="00396A5D"/>
    <w:rsid w:val="00397995"/>
    <w:rsid w:val="003A0433"/>
    <w:rsid w:val="003A07F9"/>
    <w:rsid w:val="003A18DF"/>
    <w:rsid w:val="003A203B"/>
    <w:rsid w:val="003A4C9B"/>
    <w:rsid w:val="003A5C8D"/>
    <w:rsid w:val="003A702A"/>
    <w:rsid w:val="003B133E"/>
    <w:rsid w:val="003B153D"/>
    <w:rsid w:val="003B3B76"/>
    <w:rsid w:val="003B41B7"/>
    <w:rsid w:val="003B66C0"/>
    <w:rsid w:val="003C01DE"/>
    <w:rsid w:val="003C0D90"/>
    <w:rsid w:val="003C2779"/>
    <w:rsid w:val="003C2B3C"/>
    <w:rsid w:val="003C2EFC"/>
    <w:rsid w:val="003C33A9"/>
    <w:rsid w:val="003C378C"/>
    <w:rsid w:val="003C6795"/>
    <w:rsid w:val="003D0308"/>
    <w:rsid w:val="003D19BB"/>
    <w:rsid w:val="003D1BA0"/>
    <w:rsid w:val="003D46D9"/>
    <w:rsid w:val="003D490B"/>
    <w:rsid w:val="003D678C"/>
    <w:rsid w:val="003D6B09"/>
    <w:rsid w:val="003D799D"/>
    <w:rsid w:val="003D7CE9"/>
    <w:rsid w:val="003D7CF6"/>
    <w:rsid w:val="003E0CD5"/>
    <w:rsid w:val="003E148F"/>
    <w:rsid w:val="003E18F5"/>
    <w:rsid w:val="003E346C"/>
    <w:rsid w:val="003E5EB1"/>
    <w:rsid w:val="003E7D8F"/>
    <w:rsid w:val="003F002E"/>
    <w:rsid w:val="003F0F64"/>
    <w:rsid w:val="003F659E"/>
    <w:rsid w:val="004007E9"/>
    <w:rsid w:val="004017EC"/>
    <w:rsid w:val="00401E58"/>
    <w:rsid w:val="004023F8"/>
    <w:rsid w:val="00402E3F"/>
    <w:rsid w:val="00402F2E"/>
    <w:rsid w:val="00403692"/>
    <w:rsid w:val="00403818"/>
    <w:rsid w:val="004047BD"/>
    <w:rsid w:val="00404EFD"/>
    <w:rsid w:val="00406075"/>
    <w:rsid w:val="00406F83"/>
    <w:rsid w:val="00407F7B"/>
    <w:rsid w:val="0041189B"/>
    <w:rsid w:val="00413339"/>
    <w:rsid w:val="00415220"/>
    <w:rsid w:val="00415708"/>
    <w:rsid w:val="004206ED"/>
    <w:rsid w:val="004236D6"/>
    <w:rsid w:val="00423840"/>
    <w:rsid w:val="00424016"/>
    <w:rsid w:val="004254BB"/>
    <w:rsid w:val="00425EA7"/>
    <w:rsid w:val="004261FA"/>
    <w:rsid w:val="00427CA6"/>
    <w:rsid w:val="00427DFB"/>
    <w:rsid w:val="00430851"/>
    <w:rsid w:val="00432A90"/>
    <w:rsid w:val="00433855"/>
    <w:rsid w:val="0043599A"/>
    <w:rsid w:val="00435C1F"/>
    <w:rsid w:val="00437097"/>
    <w:rsid w:val="00440553"/>
    <w:rsid w:val="00440D5E"/>
    <w:rsid w:val="00442814"/>
    <w:rsid w:val="00443277"/>
    <w:rsid w:val="004438E5"/>
    <w:rsid w:val="00443CF3"/>
    <w:rsid w:val="00443DBB"/>
    <w:rsid w:val="00443DD3"/>
    <w:rsid w:val="00444827"/>
    <w:rsid w:val="00445CC1"/>
    <w:rsid w:val="00446319"/>
    <w:rsid w:val="00447250"/>
    <w:rsid w:val="00447418"/>
    <w:rsid w:val="00447851"/>
    <w:rsid w:val="00447A97"/>
    <w:rsid w:val="004508AA"/>
    <w:rsid w:val="004510FD"/>
    <w:rsid w:val="00451220"/>
    <w:rsid w:val="0045232D"/>
    <w:rsid w:val="0045248C"/>
    <w:rsid w:val="00453EED"/>
    <w:rsid w:val="00454C3B"/>
    <w:rsid w:val="004600B2"/>
    <w:rsid w:val="004605EF"/>
    <w:rsid w:val="00460A72"/>
    <w:rsid w:val="00460F5E"/>
    <w:rsid w:val="00462868"/>
    <w:rsid w:val="004637C2"/>
    <w:rsid w:val="00465101"/>
    <w:rsid w:val="00466C98"/>
    <w:rsid w:val="00467301"/>
    <w:rsid w:val="00467711"/>
    <w:rsid w:val="00470533"/>
    <w:rsid w:val="00471DBF"/>
    <w:rsid w:val="00472667"/>
    <w:rsid w:val="00473399"/>
    <w:rsid w:val="0047416E"/>
    <w:rsid w:val="00474485"/>
    <w:rsid w:val="0047489C"/>
    <w:rsid w:val="00474C58"/>
    <w:rsid w:val="00475ED4"/>
    <w:rsid w:val="00476A3C"/>
    <w:rsid w:val="00476F8F"/>
    <w:rsid w:val="004776D0"/>
    <w:rsid w:val="00477805"/>
    <w:rsid w:val="004851B0"/>
    <w:rsid w:val="004851BE"/>
    <w:rsid w:val="00485203"/>
    <w:rsid w:val="004855E6"/>
    <w:rsid w:val="0048770A"/>
    <w:rsid w:val="00487E3B"/>
    <w:rsid w:val="00487E8E"/>
    <w:rsid w:val="00491431"/>
    <w:rsid w:val="00491E57"/>
    <w:rsid w:val="0049279F"/>
    <w:rsid w:val="00492DA0"/>
    <w:rsid w:val="00494C49"/>
    <w:rsid w:val="00496AAA"/>
    <w:rsid w:val="00497F1E"/>
    <w:rsid w:val="004A05B8"/>
    <w:rsid w:val="004A0C57"/>
    <w:rsid w:val="004A0CC0"/>
    <w:rsid w:val="004A2143"/>
    <w:rsid w:val="004A4CD4"/>
    <w:rsid w:val="004A534E"/>
    <w:rsid w:val="004A5887"/>
    <w:rsid w:val="004A725F"/>
    <w:rsid w:val="004A74AD"/>
    <w:rsid w:val="004B02FD"/>
    <w:rsid w:val="004B4F72"/>
    <w:rsid w:val="004B5DD8"/>
    <w:rsid w:val="004B616A"/>
    <w:rsid w:val="004B6F23"/>
    <w:rsid w:val="004B7BFA"/>
    <w:rsid w:val="004C0216"/>
    <w:rsid w:val="004C0325"/>
    <w:rsid w:val="004C0336"/>
    <w:rsid w:val="004C0979"/>
    <w:rsid w:val="004C319F"/>
    <w:rsid w:val="004C3751"/>
    <w:rsid w:val="004C382A"/>
    <w:rsid w:val="004C4315"/>
    <w:rsid w:val="004C52DF"/>
    <w:rsid w:val="004C63A4"/>
    <w:rsid w:val="004D053D"/>
    <w:rsid w:val="004D1213"/>
    <w:rsid w:val="004D12E8"/>
    <w:rsid w:val="004D2DFB"/>
    <w:rsid w:val="004D31CA"/>
    <w:rsid w:val="004D4751"/>
    <w:rsid w:val="004D55E7"/>
    <w:rsid w:val="004D6304"/>
    <w:rsid w:val="004D63A4"/>
    <w:rsid w:val="004D6D59"/>
    <w:rsid w:val="004D7F7C"/>
    <w:rsid w:val="004E0FF7"/>
    <w:rsid w:val="004E1918"/>
    <w:rsid w:val="004E1CA0"/>
    <w:rsid w:val="004E3077"/>
    <w:rsid w:val="004E3ADA"/>
    <w:rsid w:val="004E50CB"/>
    <w:rsid w:val="004E50F9"/>
    <w:rsid w:val="004E5809"/>
    <w:rsid w:val="004E6B29"/>
    <w:rsid w:val="004E719F"/>
    <w:rsid w:val="004F115A"/>
    <w:rsid w:val="004F1402"/>
    <w:rsid w:val="004F5375"/>
    <w:rsid w:val="004F54D5"/>
    <w:rsid w:val="004F5C48"/>
    <w:rsid w:val="004F5F1C"/>
    <w:rsid w:val="004F718F"/>
    <w:rsid w:val="004F76F8"/>
    <w:rsid w:val="004F78B3"/>
    <w:rsid w:val="004F7E1F"/>
    <w:rsid w:val="00500B8F"/>
    <w:rsid w:val="00504CBB"/>
    <w:rsid w:val="00513B76"/>
    <w:rsid w:val="00514CF0"/>
    <w:rsid w:val="005153D3"/>
    <w:rsid w:val="00516291"/>
    <w:rsid w:val="00517D72"/>
    <w:rsid w:val="00520122"/>
    <w:rsid w:val="00521111"/>
    <w:rsid w:val="005218CD"/>
    <w:rsid w:val="00522DC0"/>
    <w:rsid w:val="00522ED4"/>
    <w:rsid w:val="005239DB"/>
    <w:rsid w:val="00526F29"/>
    <w:rsid w:val="0053093E"/>
    <w:rsid w:val="00530F64"/>
    <w:rsid w:val="00531835"/>
    <w:rsid w:val="00531E5A"/>
    <w:rsid w:val="00532936"/>
    <w:rsid w:val="005337C9"/>
    <w:rsid w:val="00534143"/>
    <w:rsid w:val="00534FAF"/>
    <w:rsid w:val="005418F0"/>
    <w:rsid w:val="005421BB"/>
    <w:rsid w:val="005424AA"/>
    <w:rsid w:val="0054266C"/>
    <w:rsid w:val="00543511"/>
    <w:rsid w:val="005437D6"/>
    <w:rsid w:val="0054589E"/>
    <w:rsid w:val="00545A35"/>
    <w:rsid w:val="00546DCB"/>
    <w:rsid w:val="00550553"/>
    <w:rsid w:val="00552753"/>
    <w:rsid w:val="005534F4"/>
    <w:rsid w:val="00553B2B"/>
    <w:rsid w:val="00554EB8"/>
    <w:rsid w:val="00554EC0"/>
    <w:rsid w:val="005552F5"/>
    <w:rsid w:val="005557B4"/>
    <w:rsid w:val="00556E47"/>
    <w:rsid w:val="00557CC2"/>
    <w:rsid w:val="00557F14"/>
    <w:rsid w:val="00560200"/>
    <w:rsid w:val="00560C16"/>
    <w:rsid w:val="00563AEF"/>
    <w:rsid w:val="00564F43"/>
    <w:rsid w:val="00565CAA"/>
    <w:rsid w:val="0056706F"/>
    <w:rsid w:val="005670D1"/>
    <w:rsid w:val="00567C9E"/>
    <w:rsid w:val="00570DB2"/>
    <w:rsid w:val="00570F91"/>
    <w:rsid w:val="0057140A"/>
    <w:rsid w:val="005724E9"/>
    <w:rsid w:val="00572ED0"/>
    <w:rsid w:val="00574489"/>
    <w:rsid w:val="0057669A"/>
    <w:rsid w:val="00576A73"/>
    <w:rsid w:val="00576E1A"/>
    <w:rsid w:val="00577AB9"/>
    <w:rsid w:val="00581808"/>
    <w:rsid w:val="0058189C"/>
    <w:rsid w:val="00582346"/>
    <w:rsid w:val="005830D5"/>
    <w:rsid w:val="00583442"/>
    <w:rsid w:val="00584E6B"/>
    <w:rsid w:val="0058558F"/>
    <w:rsid w:val="00587C49"/>
    <w:rsid w:val="00591311"/>
    <w:rsid w:val="0059217D"/>
    <w:rsid w:val="00592442"/>
    <w:rsid w:val="005931D6"/>
    <w:rsid w:val="00596A5F"/>
    <w:rsid w:val="00597805"/>
    <w:rsid w:val="005A0328"/>
    <w:rsid w:val="005A1FEC"/>
    <w:rsid w:val="005A23FB"/>
    <w:rsid w:val="005A24C6"/>
    <w:rsid w:val="005A3CBC"/>
    <w:rsid w:val="005A7710"/>
    <w:rsid w:val="005B02F7"/>
    <w:rsid w:val="005B16C8"/>
    <w:rsid w:val="005B20D4"/>
    <w:rsid w:val="005B285C"/>
    <w:rsid w:val="005B4389"/>
    <w:rsid w:val="005B5C56"/>
    <w:rsid w:val="005B6A8A"/>
    <w:rsid w:val="005C076D"/>
    <w:rsid w:val="005C1107"/>
    <w:rsid w:val="005C14AF"/>
    <w:rsid w:val="005C3809"/>
    <w:rsid w:val="005C6646"/>
    <w:rsid w:val="005C677C"/>
    <w:rsid w:val="005C74EF"/>
    <w:rsid w:val="005D1272"/>
    <w:rsid w:val="005D275F"/>
    <w:rsid w:val="005D31C3"/>
    <w:rsid w:val="005D3548"/>
    <w:rsid w:val="005D3F6E"/>
    <w:rsid w:val="005D77E5"/>
    <w:rsid w:val="005E06E1"/>
    <w:rsid w:val="005E224D"/>
    <w:rsid w:val="005E26EC"/>
    <w:rsid w:val="005E2AF7"/>
    <w:rsid w:val="005E471D"/>
    <w:rsid w:val="005E59A3"/>
    <w:rsid w:val="005E65D4"/>
    <w:rsid w:val="005E73CD"/>
    <w:rsid w:val="005F134E"/>
    <w:rsid w:val="005F1A6F"/>
    <w:rsid w:val="005F2266"/>
    <w:rsid w:val="005F231E"/>
    <w:rsid w:val="005F36CF"/>
    <w:rsid w:val="005F3FC5"/>
    <w:rsid w:val="005F61C9"/>
    <w:rsid w:val="005F6404"/>
    <w:rsid w:val="005F6853"/>
    <w:rsid w:val="0060025D"/>
    <w:rsid w:val="006027A3"/>
    <w:rsid w:val="006036F0"/>
    <w:rsid w:val="0060445D"/>
    <w:rsid w:val="006046C2"/>
    <w:rsid w:val="0060647D"/>
    <w:rsid w:val="00606494"/>
    <w:rsid w:val="00607607"/>
    <w:rsid w:val="006119FC"/>
    <w:rsid w:val="00611BE9"/>
    <w:rsid w:val="00611E75"/>
    <w:rsid w:val="00612701"/>
    <w:rsid w:val="00613267"/>
    <w:rsid w:val="006158BD"/>
    <w:rsid w:val="0061786A"/>
    <w:rsid w:val="00617AFF"/>
    <w:rsid w:val="00617B13"/>
    <w:rsid w:val="00621C6D"/>
    <w:rsid w:val="006220D1"/>
    <w:rsid w:val="0062367B"/>
    <w:rsid w:val="006236DC"/>
    <w:rsid w:val="006259DE"/>
    <w:rsid w:val="00625E27"/>
    <w:rsid w:val="006300D1"/>
    <w:rsid w:val="0063040F"/>
    <w:rsid w:val="0063525B"/>
    <w:rsid w:val="00636C82"/>
    <w:rsid w:val="0063704D"/>
    <w:rsid w:val="00637447"/>
    <w:rsid w:val="00637704"/>
    <w:rsid w:val="00640723"/>
    <w:rsid w:val="00640E74"/>
    <w:rsid w:val="00643B99"/>
    <w:rsid w:val="00644F30"/>
    <w:rsid w:val="00645B1E"/>
    <w:rsid w:val="00645D6C"/>
    <w:rsid w:val="00645E3A"/>
    <w:rsid w:val="00647937"/>
    <w:rsid w:val="00647E76"/>
    <w:rsid w:val="006503A2"/>
    <w:rsid w:val="00650593"/>
    <w:rsid w:val="00652FE3"/>
    <w:rsid w:val="006530EE"/>
    <w:rsid w:val="0065436C"/>
    <w:rsid w:val="00656D17"/>
    <w:rsid w:val="00657591"/>
    <w:rsid w:val="00661CBF"/>
    <w:rsid w:val="00662348"/>
    <w:rsid w:val="006623D7"/>
    <w:rsid w:val="0066253C"/>
    <w:rsid w:val="006643C9"/>
    <w:rsid w:val="006669EB"/>
    <w:rsid w:val="0067039E"/>
    <w:rsid w:val="0067234D"/>
    <w:rsid w:val="00673FEC"/>
    <w:rsid w:val="006769DC"/>
    <w:rsid w:val="00677100"/>
    <w:rsid w:val="006777A2"/>
    <w:rsid w:val="00677BCA"/>
    <w:rsid w:val="00677E14"/>
    <w:rsid w:val="006820C6"/>
    <w:rsid w:val="006821F7"/>
    <w:rsid w:val="00683A07"/>
    <w:rsid w:val="00683B32"/>
    <w:rsid w:val="00683C8C"/>
    <w:rsid w:val="006846DE"/>
    <w:rsid w:val="00685BE0"/>
    <w:rsid w:val="00686DCA"/>
    <w:rsid w:val="0069075E"/>
    <w:rsid w:val="00690FC0"/>
    <w:rsid w:val="006910CB"/>
    <w:rsid w:val="00692745"/>
    <w:rsid w:val="00692C58"/>
    <w:rsid w:val="00693CA6"/>
    <w:rsid w:val="00693F09"/>
    <w:rsid w:val="00695E49"/>
    <w:rsid w:val="00695E97"/>
    <w:rsid w:val="00696180"/>
    <w:rsid w:val="006A1387"/>
    <w:rsid w:val="006A19B2"/>
    <w:rsid w:val="006A1C4B"/>
    <w:rsid w:val="006A2703"/>
    <w:rsid w:val="006A2ABF"/>
    <w:rsid w:val="006A33D1"/>
    <w:rsid w:val="006A360F"/>
    <w:rsid w:val="006A42F0"/>
    <w:rsid w:val="006A4D7E"/>
    <w:rsid w:val="006A5057"/>
    <w:rsid w:val="006B10B2"/>
    <w:rsid w:val="006B1BE3"/>
    <w:rsid w:val="006B257F"/>
    <w:rsid w:val="006B3401"/>
    <w:rsid w:val="006B38D9"/>
    <w:rsid w:val="006B3E6C"/>
    <w:rsid w:val="006B42EA"/>
    <w:rsid w:val="006B51C3"/>
    <w:rsid w:val="006B5805"/>
    <w:rsid w:val="006B5A4A"/>
    <w:rsid w:val="006C114E"/>
    <w:rsid w:val="006C21EF"/>
    <w:rsid w:val="006C4453"/>
    <w:rsid w:val="006C47E0"/>
    <w:rsid w:val="006C58AA"/>
    <w:rsid w:val="006C646C"/>
    <w:rsid w:val="006C7B1E"/>
    <w:rsid w:val="006D0FC8"/>
    <w:rsid w:val="006D22D6"/>
    <w:rsid w:val="006D23C6"/>
    <w:rsid w:val="006D2BB5"/>
    <w:rsid w:val="006D3CD2"/>
    <w:rsid w:val="006D4725"/>
    <w:rsid w:val="006D540F"/>
    <w:rsid w:val="006D64D1"/>
    <w:rsid w:val="006D77CC"/>
    <w:rsid w:val="006D7A90"/>
    <w:rsid w:val="006D7AD2"/>
    <w:rsid w:val="006D7E47"/>
    <w:rsid w:val="006E1534"/>
    <w:rsid w:val="006E265A"/>
    <w:rsid w:val="006E39A2"/>
    <w:rsid w:val="006E51AC"/>
    <w:rsid w:val="006E75E2"/>
    <w:rsid w:val="006F062F"/>
    <w:rsid w:val="006F1913"/>
    <w:rsid w:val="006F1FD2"/>
    <w:rsid w:val="006F272C"/>
    <w:rsid w:val="006F49D2"/>
    <w:rsid w:val="006F6773"/>
    <w:rsid w:val="007033B4"/>
    <w:rsid w:val="00704143"/>
    <w:rsid w:val="00704784"/>
    <w:rsid w:val="00704E26"/>
    <w:rsid w:val="00706BC5"/>
    <w:rsid w:val="007106F0"/>
    <w:rsid w:val="00710FC7"/>
    <w:rsid w:val="00711833"/>
    <w:rsid w:val="00711A28"/>
    <w:rsid w:val="00712080"/>
    <w:rsid w:val="00712B7C"/>
    <w:rsid w:val="007132D0"/>
    <w:rsid w:val="00714DBA"/>
    <w:rsid w:val="00715023"/>
    <w:rsid w:val="00715D57"/>
    <w:rsid w:val="00715E79"/>
    <w:rsid w:val="00721745"/>
    <w:rsid w:val="00721C9F"/>
    <w:rsid w:val="007221F8"/>
    <w:rsid w:val="00722F0B"/>
    <w:rsid w:val="0072473C"/>
    <w:rsid w:val="00724B50"/>
    <w:rsid w:val="00725146"/>
    <w:rsid w:val="00725783"/>
    <w:rsid w:val="007261E8"/>
    <w:rsid w:val="00730624"/>
    <w:rsid w:val="007313AC"/>
    <w:rsid w:val="00731E8F"/>
    <w:rsid w:val="0073240D"/>
    <w:rsid w:val="00733249"/>
    <w:rsid w:val="00734124"/>
    <w:rsid w:val="007346D6"/>
    <w:rsid w:val="00735037"/>
    <w:rsid w:val="00735484"/>
    <w:rsid w:val="00735CE7"/>
    <w:rsid w:val="00736945"/>
    <w:rsid w:val="00740950"/>
    <w:rsid w:val="0074259F"/>
    <w:rsid w:val="007433FB"/>
    <w:rsid w:val="0074396A"/>
    <w:rsid w:val="007459B6"/>
    <w:rsid w:val="00745B13"/>
    <w:rsid w:val="00746894"/>
    <w:rsid w:val="00747234"/>
    <w:rsid w:val="007473A3"/>
    <w:rsid w:val="0074759F"/>
    <w:rsid w:val="007554B1"/>
    <w:rsid w:val="00756231"/>
    <w:rsid w:val="0075645B"/>
    <w:rsid w:val="00757DE9"/>
    <w:rsid w:val="00760813"/>
    <w:rsid w:val="00760864"/>
    <w:rsid w:val="00760CFA"/>
    <w:rsid w:val="00760F00"/>
    <w:rsid w:val="00761591"/>
    <w:rsid w:val="00761882"/>
    <w:rsid w:val="00761E05"/>
    <w:rsid w:val="007620B7"/>
    <w:rsid w:val="007622B4"/>
    <w:rsid w:val="00763879"/>
    <w:rsid w:val="00765C81"/>
    <w:rsid w:val="00765DA2"/>
    <w:rsid w:val="007672A1"/>
    <w:rsid w:val="0077056F"/>
    <w:rsid w:val="00770918"/>
    <w:rsid w:val="0077129E"/>
    <w:rsid w:val="007716CC"/>
    <w:rsid w:val="00771A71"/>
    <w:rsid w:val="0077235E"/>
    <w:rsid w:val="00772D1C"/>
    <w:rsid w:val="007740FD"/>
    <w:rsid w:val="007749EF"/>
    <w:rsid w:val="00774A1C"/>
    <w:rsid w:val="00776552"/>
    <w:rsid w:val="00776C4B"/>
    <w:rsid w:val="0077775B"/>
    <w:rsid w:val="00777CA4"/>
    <w:rsid w:val="00781536"/>
    <w:rsid w:val="007832C1"/>
    <w:rsid w:val="00783519"/>
    <w:rsid w:val="00786197"/>
    <w:rsid w:val="007901F5"/>
    <w:rsid w:val="0079237F"/>
    <w:rsid w:val="00792AEE"/>
    <w:rsid w:val="00796190"/>
    <w:rsid w:val="00796729"/>
    <w:rsid w:val="00796A84"/>
    <w:rsid w:val="00797807"/>
    <w:rsid w:val="007A3145"/>
    <w:rsid w:val="007A3B87"/>
    <w:rsid w:val="007A3C5D"/>
    <w:rsid w:val="007A4FE0"/>
    <w:rsid w:val="007A6A4B"/>
    <w:rsid w:val="007A74BF"/>
    <w:rsid w:val="007B0EFB"/>
    <w:rsid w:val="007B0F5C"/>
    <w:rsid w:val="007B111F"/>
    <w:rsid w:val="007B123B"/>
    <w:rsid w:val="007B36FD"/>
    <w:rsid w:val="007B4D03"/>
    <w:rsid w:val="007B6428"/>
    <w:rsid w:val="007B70D0"/>
    <w:rsid w:val="007C05D5"/>
    <w:rsid w:val="007C1C1E"/>
    <w:rsid w:val="007C2053"/>
    <w:rsid w:val="007C2C77"/>
    <w:rsid w:val="007C3FDC"/>
    <w:rsid w:val="007C4363"/>
    <w:rsid w:val="007C509E"/>
    <w:rsid w:val="007C579F"/>
    <w:rsid w:val="007C6579"/>
    <w:rsid w:val="007C7D2B"/>
    <w:rsid w:val="007D0510"/>
    <w:rsid w:val="007D2B93"/>
    <w:rsid w:val="007D2BBC"/>
    <w:rsid w:val="007D3195"/>
    <w:rsid w:val="007D3FD2"/>
    <w:rsid w:val="007D5E3D"/>
    <w:rsid w:val="007D5F19"/>
    <w:rsid w:val="007D62E4"/>
    <w:rsid w:val="007D78B0"/>
    <w:rsid w:val="007E0E9B"/>
    <w:rsid w:val="007E129A"/>
    <w:rsid w:val="007E2171"/>
    <w:rsid w:val="007E26E6"/>
    <w:rsid w:val="007E2BA7"/>
    <w:rsid w:val="007E4C9F"/>
    <w:rsid w:val="007E6BD0"/>
    <w:rsid w:val="007E6C35"/>
    <w:rsid w:val="007E7063"/>
    <w:rsid w:val="007E732E"/>
    <w:rsid w:val="007E7994"/>
    <w:rsid w:val="007F14AE"/>
    <w:rsid w:val="007F1DBB"/>
    <w:rsid w:val="007F23AC"/>
    <w:rsid w:val="007F4FE5"/>
    <w:rsid w:val="007F58AC"/>
    <w:rsid w:val="007F728E"/>
    <w:rsid w:val="007F767F"/>
    <w:rsid w:val="008011A3"/>
    <w:rsid w:val="0080272D"/>
    <w:rsid w:val="00803DC1"/>
    <w:rsid w:val="00810022"/>
    <w:rsid w:val="00811120"/>
    <w:rsid w:val="00811AB7"/>
    <w:rsid w:val="00813BA6"/>
    <w:rsid w:val="00813E43"/>
    <w:rsid w:val="00814A45"/>
    <w:rsid w:val="008150A4"/>
    <w:rsid w:val="008157B4"/>
    <w:rsid w:val="00815F79"/>
    <w:rsid w:val="0081604B"/>
    <w:rsid w:val="0081653C"/>
    <w:rsid w:val="00816AFB"/>
    <w:rsid w:val="00817379"/>
    <w:rsid w:val="008218A2"/>
    <w:rsid w:val="00822F6B"/>
    <w:rsid w:val="0082359D"/>
    <w:rsid w:val="00823660"/>
    <w:rsid w:val="008244CB"/>
    <w:rsid w:val="00824730"/>
    <w:rsid w:val="00826EB2"/>
    <w:rsid w:val="00827852"/>
    <w:rsid w:val="00830BC1"/>
    <w:rsid w:val="0083162C"/>
    <w:rsid w:val="0083240D"/>
    <w:rsid w:val="00833D91"/>
    <w:rsid w:val="00834209"/>
    <w:rsid w:val="00834752"/>
    <w:rsid w:val="00835762"/>
    <w:rsid w:val="00840F97"/>
    <w:rsid w:val="008416AC"/>
    <w:rsid w:val="00841C04"/>
    <w:rsid w:val="0084453B"/>
    <w:rsid w:val="008447B4"/>
    <w:rsid w:val="0084503F"/>
    <w:rsid w:val="00851B75"/>
    <w:rsid w:val="00852EC9"/>
    <w:rsid w:val="00860029"/>
    <w:rsid w:val="008605A0"/>
    <w:rsid w:val="008608FD"/>
    <w:rsid w:val="00861042"/>
    <w:rsid w:val="00861716"/>
    <w:rsid w:val="00861896"/>
    <w:rsid w:val="008619BB"/>
    <w:rsid w:val="00861C96"/>
    <w:rsid w:val="0086297D"/>
    <w:rsid w:val="00864385"/>
    <w:rsid w:val="00864658"/>
    <w:rsid w:val="00864A0D"/>
    <w:rsid w:val="00866AE8"/>
    <w:rsid w:val="0086709D"/>
    <w:rsid w:val="00870293"/>
    <w:rsid w:val="00870BC3"/>
    <w:rsid w:val="00871A52"/>
    <w:rsid w:val="008739A1"/>
    <w:rsid w:val="0087561C"/>
    <w:rsid w:val="00875CC7"/>
    <w:rsid w:val="00876777"/>
    <w:rsid w:val="00882022"/>
    <w:rsid w:val="00882296"/>
    <w:rsid w:val="00882386"/>
    <w:rsid w:val="008833BE"/>
    <w:rsid w:val="008859B3"/>
    <w:rsid w:val="00885BC4"/>
    <w:rsid w:val="00885CD3"/>
    <w:rsid w:val="0089078C"/>
    <w:rsid w:val="00890ACA"/>
    <w:rsid w:val="00893B65"/>
    <w:rsid w:val="00894007"/>
    <w:rsid w:val="00894EAF"/>
    <w:rsid w:val="008A16F6"/>
    <w:rsid w:val="008A25AC"/>
    <w:rsid w:val="008A4C66"/>
    <w:rsid w:val="008A5D98"/>
    <w:rsid w:val="008A6ADF"/>
    <w:rsid w:val="008A7599"/>
    <w:rsid w:val="008A7BDD"/>
    <w:rsid w:val="008B31B5"/>
    <w:rsid w:val="008B3317"/>
    <w:rsid w:val="008B46FB"/>
    <w:rsid w:val="008B489C"/>
    <w:rsid w:val="008B6373"/>
    <w:rsid w:val="008B6A39"/>
    <w:rsid w:val="008C028C"/>
    <w:rsid w:val="008C06B7"/>
    <w:rsid w:val="008C090B"/>
    <w:rsid w:val="008C0C6E"/>
    <w:rsid w:val="008C25DE"/>
    <w:rsid w:val="008C2FC0"/>
    <w:rsid w:val="008C3C15"/>
    <w:rsid w:val="008C6587"/>
    <w:rsid w:val="008C6862"/>
    <w:rsid w:val="008C752E"/>
    <w:rsid w:val="008D1BBF"/>
    <w:rsid w:val="008D3FCB"/>
    <w:rsid w:val="008D5C2E"/>
    <w:rsid w:val="008D62C0"/>
    <w:rsid w:val="008D6693"/>
    <w:rsid w:val="008E046C"/>
    <w:rsid w:val="008E1234"/>
    <w:rsid w:val="008E1754"/>
    <w:rsid w:val="008E1896"/>
    <w:rsid w:val="008E2153"/>
    <w:rsid w:val="008E3A38"/>
    <w:rsid w:val="008E428B"/>
    <w:rsid w:val="008E5B58"/>
    <w:rsid w:val="008E5E87"/>
    <w:rsid w:val="008E5F63"/>
    <w:rsid w:val="008E5FB6"/>
    <w:rsid w:val="008E6709"/>
    <w:rsid w:val="008E6F81"/>
    <w:rsid w:val="008F0821"/>
    <w:rsid w:val="008F1471"/>
    <w:rsid w:val="008F1959"/>
    <w:rsid w:val="008F1A6C"/>
    <w:rsid w:val="008F261C"/>
    <w:rsid w:val="008F26E3"/>
    <w:rsid w:val="008F4EED"/>
    <w:rsid w:val="008F6BDD"/>
    <w:rsid w:val="008F6BF1"/>
    <w:rsid w:val="00900568"/>
    <w:rsid w:val="00900599"/>
    <w:rsid w:val="00901F10"/>
    <w:rsid w:val="00901F7A"/>
    <w:rsid w:val="009038E7"/>
    <w:rsid w:val="009062DE"/>
    <w:rsid w:val="00906A16"/>
    <w:rsid w:val="009073AC"/>
    <w:rsid w:val="00907784"/>
    <w:rsid w:val="009109E3"/>
    <w:rsid w:val="0091101C"/>
    <w:rsid w:val="009114E9"/>
    <w:rsid w:val="0091233E"/>
    <w:rsid w:val="009127D5"/>
    <w:rsid w:val="00914CE8"/>
    <w:rsid w:val="00921A79"/>
    <w:rsid w:val="00922998"/>
    <w:rsid w:val="00923AA4"/>
    <w:rsid w:val="00923D0B"/>
    <w:rsid w:val="00924581"/>
    <w:rsid w:val="00924F5D"/>
    <w:rsid w:val="00927B5B"/>
    <w:rsid w:val="00932D45"/>
    <w:rsid w:val="009334A4"/>
    <w:rsid w:val="009356CE"/>
    <w:rsid w:val="009373DB"/>
    <w:rsid w:val="00940D64"/>
    <w:rsid w:val="00940DC7"/>
    <w:rsid w:val="009412E7"/>
    <w:rsid w:val="00943757"/>
    <w:rsid w:val="00943E37"/>
    <w:rsid w:val="00944597"/>
    <w:rsid w:val="00944B7B"/>
    <w:rsid w:val="009464EC"/>
    <w:rsid w:val="009509F1"/>
    <w:rsid w:val="00951476"/>
    <w:rsid w:val="009524F1"/>
    <w:rsid w:val="00952C39"/>
    <w:rsid w:val="00956894"/>
    <w:rsid w:val="00956B0B"/>
    <w:rsid w:val="0096084F"/>
    <w:rsid w:val="009621DD"/>
    <w:rsid w:val="0096229F"/>
    <w:rsid w:val="009630E3"/>
    <w:rsid w:val="009631C2"/>
    <w:rsid w:val="009634D5"/>
    <w:rsid w:val="00963822"/>
    <w:rsid w:val="00964D74"/>
    <w:rsid w:val="00964FFD"/>
    <w:rsid w:val="009675B4"/>
    <w:rsid w:val="00970C07"/>
    <w:rsid w:val="00971894"/>
    <w:rsid w:val="0097281E"/>
    <w:rsid w:val="0097358C"/>
    <w:rsid w:val="0097421D"/>
    <w:rsid w:val="00976F11"/>
    <w:rsid w:val="009778D5"/>
    <w:rsid w:val="00977939"/>
    <w:rsid w:val="00977EAD"/>
    <w:rsid w:val="00980A16"/>
    <w:rsid w:val="00981C4C"/>
    <w:rsid w:val="009866F2"/>
    <w:rsid w:val="00986E3D"/>
    <w:rsid w:val="00987C13"/>
    <w:rsid w:val="0099228D"/>
    <w:rsid w:val="00992941"/>
    <w:rsid w:val="00994542"/>
    <w:rsid w:val="00994E36"/>
    <w:rsid w:val="00995509"/>
    <w:rsid w:val="0099579C"/>
    <w:rsid w:val="009958EF"/>
    <w:rsid w:val="00996F6C"/>
    <w:rsid w:val="00997D5A"/>
    <w:rsid w:val="009A2536"/>
    <w:rsid w:val="009A3017"/>
    <w:rsid w:val="009A42BC"/>
    <w:rsid w:val="009A46BC"/>
    <w:rsid w:val="009B022C"/>
    <w:rsid w:val="009B15EB"/>
    <w:rsid w:val="009B2869"/>
    <w:rsid w:val="009B385A"/>
    <w:rsid w:val="009B4C2F"/>
    <w:rsid w:val="009B50DA"/>
    <w:rsid w:val="009C0979"/>
    <w:rsid w:val="009C0E52"/>
    <w:rsid w:val="009C168C"/>
    <w:rsid w:val="009C27A1"/>
    <w:rsid w:val="009C36E0"/>
    <w:rsid w:val="009C3BA3"/>
    <w:rsid w:val="009C3D53"/>
    <w:rsid w:val="009C4608"/>
    <w:rsid w:val="009C7C1A"/>
    <w:rsid w:val="009D0758"/>
    <w:rsid w:val="009D2248"/>
    <w:rsid w:val="009D2C1E"/>
    <w:rsid w:val="009D35ED"/>
    <w:rsid w:val="009D5789"/>
    <w:rsid w:val="009D743C"/>
    <w:rsid w:val="009E1A2F"/>
    <w:rsid w:val="009E2C44"/>
    <w:rsid w:val="009E2D31"/>
    <w:rsid w:val="009E5B11"/>
    <w:rsid w:val="009E5EE4"/>
    <w:rsid w:val="009E7977"/>
    <w:rsid w:val="009F0C9F"/>
    <w:rsid w:val="009F1416"/>
    <w:rsid w:val="009F2C17"/>
    <w:rsid w:val="009F2D0F"/>
    <w:rsid w:val="009F4187"/>
    <w:rsid w:val="009F5F4A"/>
    <w:rsid w:val="009F67CB"/>
    <w:rsid w:val="009F7233"/>
    <w:rsid w:val="009F769D"/>
    <w:rsid w:val="00A003D1"/>
    <w:rsid w:val="00A00418"/>
    <w:rsid w:val="00A00FF4"/>
    <w:rsid w:val="00A0211C"/>
    <w:rsid w:val="00A02339"/>
    <w:rsid w:val="00A0240D"/>
    <w:rsid w:val="00A037CA"/>
    <w:rsid w:val="00A044E5"/>
    <w:rsid w:val="00A045E3"/>
    <w:rsid w:val="00A0604C"/>
    <w:rsid w:val="00A07644"/>
    <w:rsid w:val="00A07D6E"/>
    <w:rsid w:val="00A1011B"/>
    <w:rsid w:val="00A11741"/>
    <w:rsid w:val="00A1421A"/>
    <w:rsid w:val="00A175C0"/>
    <w:rsid w:val="00A175F8"/>
    <w:rsid w:val="00A1766E"/>
    <w:rsid w:val="00A21866"/>
    <w:rsid w:val="00A22DFC"/>
    <w:rsid w:val="00A23E3E"/>
    <w:rsid w:val="00A25BE5"/>
    <w:rsid w:val="00A25F18"/>
    <w:rsid w:val="00A26778"/>
    <w:rsid w:val="00A267AF"/>
    <w:rsid w:val="00A278B0"/>
    <w:rsid w:val="00A302B5"/>
    <w:rsid w:val="00A30C3D"/>
    <w:rsid w:val="00A327D2"/>
    <w:rsid w:val="00A33019"/>
    <w:rsid w:val="00A340C6"/>
    <w:rsid w:val="00A34496"/>
    <w:rsid w:val="00A372BA"/>
    <w:rsid w:val="00A3747E"/>
    <w:rsid w:val="00A374BB"/>
    <w:rsid w:val="00A403CC"/>
    <w:rsid w:val="00A41277"/>
    <w:rsid w:val="00A42D87"/>
    <w:rsid w:val="00A43F60"/>
    <w:rsid w:val="00A44D4E"/>
    <w:rsid w:val="00A50006"/>
    <w:rsid w:val="00A5371A"/>
    <w:rsid w:val="00A540F1"/>
    <w:rsid w:val="00A54203"/>
    <w:rsid w:val="00A5455E"/>
    <w:rsid w:val="00A5456E"/>
    <w:rsid w:val="00A54839"/>
    <w:rsid w:val="00A55C10"/>
    <w:rsid w:val="00A608F7"/>
    <w:rsid w:val="00A6186E"/>
    <w:rsid w:val="00A61FCE"/>
    <w:rsid w:val="00A62A31"/>
    <w:rsid w:val="00A62FB2"/>
    <w:rsid w:val="00A6372C"/>
    <w:rsid w:val="00A638F4"/>
    <w:rsid w:val="00A63CFB"/>
    <w:rsid w:val="00A65DBB"/>
    <w:rsid w:val="00A6635E"/>
    <w:rsid w:val="00A70563"/>
    <w:rsid w:val="00A70C26"/>
    <w:rsid w:val="00A71A04"/>
    <w:rsid w:val="00A747B2"/>
    <w:rsid w:val="00A77E62"/>
    <w:rsid w:val="00A80EDC"/>
    <w:rsid w:val="00A81C55"/>
    <w:rsid w:val="00A82395"/>
    <w:rsid w:val="00A84297"/>
    <w:rsid w:val="00A84414"/>
    <w:rsid w:val="00A85C2F"/>
    <w:rsid w:val="00A877EA"/>
    <w:rsid w:val="00A91D2F"/>
    <w:rsid w:val="00A92F28"/>
    <w:rsid w:val="00A945E9"/>
    <w:rsid w:val="00A946A9"/>
    <w:rsid w:val="00A96877"/>
    <w:rsid w:val="00AA05B3"/>
    <w:rsid w:val="00AA0644"/>
    <w:rsid w:val="00AA2DB3"/>
    <w:rsid w:val="00AA4275"/>
    <w:rsid w:val="00AA4D79"/>
    <w:rsid w:val="00AA51D6"/>
    <w:rsid w:val="00AA5B3F"/>
    <w:rsid w:val="00AA5F9D"/>
    <w:rsid w:val="00AA6EFF"/>
    <w:rsid w:val="00AA7D54"/>
    <w:rsid w:val="00AB3168"/>
    <w:rsid w:val="00AB4142"/>
    <w:rsid w:val="00AB49E3"/>
    <w:rsid w:val="00AB5D10"/>
    <w:rsid w:val="00AB615B"/>
    <w:rsid w:val="00AB66EB"/>
    <w:rsid w:val="00AC0D5A"/>
    <w:rsid w:val="00AC1F65"/>
    <w:rsid w:val="00AC3287"/>
    <w:rsid w:val="00AC3D84"/>
    <w:rsid w:val="00AD0681"/>
    <w:rsid w:val="00AD0800"/>
    <w:rsid w:val="00AD0EFB"/>
    <w:rsid w:val="00AD2E27"/>
    <w:rsid w:val="00AD326D"/>
    <w:rsid w:val="00AD3941"/>
    <w:rsid w:val="00AD4628"/>
    <w:rsid w:val="00AD5879"/>
    <w:rsid w:val="00AD60DF"/>
    <w:rsid w:val="00AD6670"/>
    <w:rsid w:val="00AD7620"/>
    <w:rsid w:val="00AE34F4"/>
    <w:rsid w:val="00AE3838"/>
    <w:rsid w:val="00AE4051"/>
    <w:rsid w:val="00AE4801"/>
    <w:rsid w:val="00AE4CF6"/>
    <w:rsid w:val="00AE4EFD"/>
    <w:rsid w:val="00AE5788"/>
    <w:rsid w:val="00AE59E6"/>
    <w:rsid w:val="00AE5B90"/>
    <w:rsid w:val="00AE6A6C"/>
    <w:rsid w:val="00AE7B54"/>
    <w:rsid w:val="00AE7EFA"/>
    <w:rsid w:val="00AF27A6"/>
    <w:rsid w:val="00AF2B03"/>
    <w:rsid w:val="00AF2D86"/>
    <w:rsid w:val="00AF320F"/>
    <w:rsid w:val="00AF6209"/>
    <w:rsid w:val="00AF7B0D"/>
    <w:rsid w:val="00B00A2C"/>
    <w:rsid w:val="00B01E7F"/>
    <w:rsid w:val="00B021F4"/>
    <w:rsid w:val="00B0405D"/>
    <w:rsid w:val="00B07D3A"/>
    <w:rsid w:val="00B11F4D"/>
    <w:rsid w:val="00B12CB8"/>
    <w:rsid w:val="00B1325F"/>
    <w:rsid w:val="00B14308"/>
    <w:rsid w:val="00B15140"/>
    <w:rsid w:val="00B16454"/>
    <w:rsid w:val="00B20BFA"/>
    <w:rsid w:val="00B22058"/>
    <w:rsid w:val="00B22868"/>
    <w:rsid w:val="00B24FAC"/>
    <w:rsid w:val="00B263BA"/>
    <w:rsid w:val="00B266AD"/>
    <w:rsid w:val="00B27DEF"/>
    <w:rsid w:val="00B30C55"/>
    <w:rsid w:val="00B31DC0"/>
    <w:rsid w:val="00B3294C"/>
    <w:rsid w:val="00B34CB6"/>
    <w:rsid w:val="00B36641"/>
    <w:rsid w:val="00B37DFD"/>
    <w:rsid w:val="00B402D4"/>
    <w:rsid w:val="00B4240B"/>
    <w:rsid w:val="00B45A4B"/>
    <w:rsid w:val="00B46AD0"/>
    <w:rsid w:val="00B47318"/>
    <w:rsid w:val="00B47C2B"/>
    <w:rsid w:val="00B50C9F"/>
    <w:rsid w:val="00B5198B"/>
    <w:rsid w:val="00B53AF5"/>
    <w:rsid w:val="00B576AA"/>
    <w:rsid w:val="00B62D1A"/>
    <w:rsid w:val="00B62F97"/>
    <w:rsid w:val="00B6360A"/>
    <w:rsid w:val="00B64EBC"/>
    <w:rsid w:val="00B65022"/>
    <w:rsid w:val="00B66A43"/>
    <w:rsid w:val="00B67AE0"/>
    <w:rsid w:val="00B71C03"/>
    <w:rsid w:val="00B72F55"/>
    <w:rsid w:val="00B73746"/>
    <w:rsid w:val="00B74BAF"/>
    <w:rsid w:val="00B74F3A"/>
    <w:rsid w:val="00B756F2"/>
    <w:rsid w:val="00B75F9B"/>
    <w:rsid w:val="00B7670B"/>
    <w:rsid w:val="00B7689B"/>
    <w:rsid w:val="00B76CC0"/>
    <w:rsid w:val="00B773A0"/>
    <w:rsid w:val="00B774A4"/>
    <w:rsid w:val="00B80C59"/>
    <w:rsid w:val="00B81B47"/>
    <w:rsid w:val="00B821E2"/>
    <w:rsid w:val="00B82B33"/>
    <w:rsid w:val="00B831AE"/>
    <w:rsid w:val="00B834EF"/>
    <w:rsid w:val="00B835FF"/>
    <w:rsid w:val="00B83E9B"/>
    <w:rsid w:val="00B84123"/>
    <w:rsid w:val="00B84C30"/>
    <w:rsid w:val="00B85990"/>
    <w:rsid w:val="00B85BC7"/>
    <w:rsid w:val="00B85F8E"/>
    <w:rsid w:val="00B8653C"/>
    <w:rsid w:val="00B86825"/>
    <w:rsid w:val="00B86959"/>
    <w:rsid w:val="00B869C9"/>
    <w:rsid w:val="00B86E57"/>
    <w:rsid w:val="00B9147D"/>
    <w:rsid w:val="00B91520"/>
    <w:rsid w:val="00B920D7"/>
    <w:rsid w:val="00B97B09"/>
    <w:rsid w:val="00BA11F1"/>
    <w:rsid w:val="00BA1482"/>
    <w:rsid w:val="00BA39E8"/>
    <w:rsid w:val="00BA486D"/>
    <w:rsid w:val="00BA6E54"/>
    <w:rsid w:val="00BA7039"/>
    <w:rsid w:val="00BB0B2A"/>
    <w:rsid w:val="00BB1C36"/>
    <w:rsid w:val="00BB2892"/>
    <w:rsid w:val="00BB2F26"/>
    <w:rsid w:val="00BB39E3"/>
    <w:rsid w:val="00BB4EE4"/>
    <w:rsid w:val="00BB5728"/>
    <w:rsid w:val="00BB70F3"/>
    <w:rsid w:val="00BC2820"/>
    <w:rsid w:val="00BC6A70"/>
    <w:rsid w:val="00BC77BC"/>
    <w:rsid w:val="00BD035D"/>
    <w:rsid w:val="00BD0480"/>
    <w:rsid w:val="00BD1E33"/>
    <w:rsid w:val="00BD305F"/>
    <w:rsid w:val="00BD31FC"/>
    <w:rsid w:val="00BD34CF"/>
    <w:rsid w:val="00BD41EB"/>
    <w:rsid w:val="00BD67F8"/>
    <w:rsid w:val="00BE0C99"/>
    <w:rsid w:val="00BE2943"/>
    <w:rsid w:val="00BE38F0"/>
    <w:rsid w:val="00BE3D39"/>
    <w:rsid w:val="00BE4396"/>
    <w:rsid w:val="00BE598A"/>
    <w:rsid w:val="00BE5E60"/>
    <w:rsid w:val="00BE6C2C"/>
    <w:rsid w:val="00BE7637"/>
    <w:rsid w:val="00BE7780"/>
    <w:rsid w:val="00BF0763"/>
    <w:rsid w:val="00BF1015"/>
    <w:rsid w:val="00BF3544"/>
    <w:rsid w:val="00BF4BA7"/>
    <w:rsid w:val="00BF5224"/>
    <w:rsid w:val="00BF5873"/>
    <w:rsid w:val="00BF7E34"/>
    <w:rsid w:val="00C0103F"/>
    <w:rsid w:val="00C02405"/>
    <w:rsid w:val="00C03AD6"/>
    <w:rsid w:val="00C0470F"/>
    <w:rsid w:val="00C0492E"/>
    <w:rsid w:val="00C04E37"/>
    <w:rsid w:val="00C05906"/>
    <w:rsid w:val="00C0606D"/>
    <w:rsid w:val="00C0614B"/>
    <w:rsid w:val="00C071CA"/>
    <w:rsid w:val="00C12E4D"/>
    <w:rsid w:val="00C12EE3"/>
    <w:rsid w:val="00C16562"/>
    <w:rsid w:val="00C16DDB"/>
    <w:rsid w:val="00C205B7"/>
    <w:rsid w:val="00C212C9"/>
    <w:rsid w:val="00C220B7"/>
    <w:rsid w:val="00C23A1A"/>
    <w:rsid w:val="00C24DA3"/>
    <w:rsid w:val="00C26408"/>
    <w:rsid w:val="00C26573"/>
    <w:rsid w:val="00C270DE"/>
    <w:rsid w:val="00C2734D"/>
    <w:rsid w:val="00C31D58"/>
    <w:rsid w:val="00C32BB4"/>
    <w:rsid w:val="00C33410"/>
    <w:rsid w:val="00C33532"/>
    <w:rsid w:val="00C37A9F"/>
    <w:rsid w:val="00C37C09"/>
    <w:rsid w:val="00C40F6C"/>
    <w:rsid w:val="00C41D93"/>
    <w:rsid w:val="00C423DD"/>
    <w:rsid w:val="00C45180"/>
    <w:rsid w:val="00C452AF"/>
    <w:rsid w:val="00C453EF"/>
    <w:rsid w:val="00C45A63"/>
    <w:rsid w:val="00C4662C"/>
    <w:rsid w:val="00C50120"/>
    <w:rsid w:val="00C5142C"/>
    <w:rsid w:val="00C51D8C"/>
    <w:rsid w:val="00C534FB"/>
    <w:rsid w:val="00C54097"/>
    <w:rsid w:val="00C55D10"/>
    <w:rsid w:val="00C57D93"/>
    <w:rsid w:val="00C60E25"/>
    <w:rsid w:val="00C613BF"/>
    <w:rsid w:val="00C62CCE"/>
    <w:rsid w:val="00C63440"/>
    <w:rsid w:val="00C63EDE"/>
    <w:rsid w:val="00C63F56"/>
    <w:rsid w:val="00C64C1B"/>
    <w:rsid w:val="00C7006F"/>
    <w:rsid w:val="00C725A9"/>
    <w:rsid w:val="00C75FBF"/>
    <w:rsid w:val="00C76A7A"/>
    <w:rsid w:val="00C771AA"/>
    <w:rsid w:val="00C80290"/>
    <w:rsid w:val="00C82812"/>
    <w:rsid w:val="00C836A1"/>
    <w:rsid w:val="00C841F1"/>
    <w:rsid w:val="00C846BA"/>
    <w:rsid w:val="00C84C5F"/>
    <w:rsid w:val="00C857AC"/>
    <w:rsid w:val="00C85E44"/>
    <w:rsid w:val="00C85EF3"/>
    <w:rsid w:val="00C863D7"/>
    <w:rsid w:val="00C87B52"/>
    <w:rsid w:val="00C9023E"/>
    <w:rsid w:val="00C90727"/>
    <w:rsid w:val="00C90BA8"/>
    <w:rsid w:val="00C91EA6"/>
    <w:rsid w:val="00C92B6A"/>
    <w:rsid w:val="00C96D29"/>
    <w:rsid w:val="00C96F5A"/>
    <w:rsid w:val="00CA0115"/>
    <w:rsid w:val="00CA0312"/>
    <w:rsid w:val="00CA34C6"/>
    <w:rsid w:val="00CA7313"/>
    <w:rsid w:val="00CA7F41"/>
    <w:rsid w:val="00CB4009"/>
    <w:rsid w:val="00CB4373"/>
    <w:rsid w:val="00CB4682"/>
    <w:rsid w:val="00CB4703"/>
    <w:rsid w:val="00CB5085"/>
    <w:rsid w:val="00CB5F15"/>
    <w:rsid w:val="00CB7E17"/>
    <w:rsid w:val="00CC2DCA"/>
    <w:rsid w:val="00CC3E00"/>
    <w:rsid w:val="00CC4087"/>
    <w:rsid w:val="00CC4149"/>
    <w:rsid w:val="00CC4805"/>
    <w:rsid w:val="00CC4A93"/>
    <w:rsid w:val="00CC623C"/>
    <w:rsid w:val="00CD1052"/>
    <w:rsid w:val="00CD2086"/>
    <w:rsid w:val="00CD5149"/>
    <w:rsid w:val="00CD5881"/>
    <w:rsid w:val="00CD5DE0"/>
    <w:rsid w:val="00CD635E"/>
    <w:rsid w:val="00CD6612"/>
    <w:rsid w:val="00CD6E5B"/>
    <w:rsid w:val="00CD7DFA"/>
    <w:rsid w:val="00CE18A5"/>
    <w:rsid w:val="00CE1E91"/>
    <w:rsid w:val="00CE2D22"/>
    <w:rsid w:val="00CE47EB"/>
    <w:rsid w:val="00CE491A"/>
    <w:rsid w:val="00CE510C"/>
    <w:rsid w:val="00CE78DC"/>
    <w:rsid w:val="00CF0393"/>
    <w:rsid w:val="00CF0397"/>
    <w:rsid w:val="00CF7D80"/>
    <w:rsid w:val="00D0004D"/>
    <w:rsid w:val="00D00358"/>
    <w:rsid w:val="00D0188C"/>
    <w:rsid w:val="00D01ED4"/>
    <w:rsid w:val="00D02219"/>
    <w:rsid w:val="00D04150"/>
    <w:rsid w:val="00D05020"/>
    <w:rsid w:val="00D0606F"/>
    <w:rsid w:val="00D1023A"/>
    <w:rsid w:val="00D11629"/>
    <w:rsid w:val="00D11673"/>
    <w:rsid w:val="00D12614"/>
    <w:rsid w:val="00D127AB"/>
    <w:rsid w:val="00D129ED"/>
    <w:rsid w:val="00D13CEE"/>
    <w:rsid w:val="00D151FD"/>
    <w:rsid w:val="00D163C7"/>
    <w:rsid w:val="00D166D3"/>
    <w:rsid w:val="00D16779"/>
    <w:rsid w:val="00D17473"/>
    <w:rsid w:val="00D17A75"/>
    <w:rsid w:val="00D20487"/>
    <w:rsid w:val="00D2077C"/>
    <w:rsid w:val="00D21402"/>
    <w:rsid w:val="00D21D3E"/>
    <w:rsid w:val="00D22355"/>
    <w:rsid w:val="00D22474"/>
    <w:rsid w:val="00D22761"/>
    <w:rsid w:val="00D22FAE"/>
    <w:rsid w:val="00D23BA1"/>
    <w:rsid w:val="00D24114"/>
    <w:rsid w:val="00D272A5"/>
    <w:rsid w:val="00D27331"/>
    <w:rsid w:val="00D27658"/>
    <w:rsid w:val="00D278CA"/>
    <w:rsid w:val="00D30DCD"/>
    <w:rsid w:val="00D31E79"/>
    <w:rsid w:val="00D32047"/>
    <w:rsid w:val="00D33FE6"/>
    <w:rsid w:val="00D351BF"/>
    <w:rsid w:val="00D3773D"/>
    <w:rsid w:val="00D40896"/>
    <w:rsid w:val="00D410BC"/>
    <w:rsid w:val="00D41796"/>
    <w:rsid w:val="00D4225C"/>
    <w:rsid w:val="00D43F85"/>
    <w:rsid w:val="00D477AD"/>
    <w:rsid w:val="00D501E4"/>
    <w:rsid w:val="00D506DD"/>
    <w:rsid w:val="00D51601"/>
    <w:rsid w:val="00D51BA3"/>
    <w:rsid w:val="00D5394A"/>
    <w:rsid w:val="00D53DEE"/>
    <w:rsid w:val="00D551D3"/>
    <w:rsid w:val="00D554F4"/>
    <w:rsid w:val="00D571DD"/>
    <w:rsid w:val="00D578AE"/>
    <w:rsid w:val="00D57AF7"/>
    <w:rsid w:val="00D57F79"/>
    <w:rsid w:val="00D6001B"/>
    <w:rsid w:val="00D61F66"/>
    <w:rsid w:val="00D62687"/>
    <w:rsid w:val="00D6270D"/>
    <w:rsid w:val="00D6458C"/>
    <w:rsid w:val="00D71655"/>
    <w:rsid w:val="00D72298"/>
    <w:rsid w:val="00D722D3"/>
    <w:rsid w:val="00D7477B"/>
    <w:rsid w:val="00D75F19"/>
    <w:rsid w:val="00D76C6D"/>
    <w:rsid w:val="00D77481"/>
    <w:rsid w:val="00D776A4"/>
    <w:rsid w:val="00D777AB"/>
    <w:rsid w:val="00D81032"/>
    <w:rsid w:val="00D811AD"/>
    <w:rsid w:val="00D81B17"/>
    <w:rsid w:val="00D8214C"/>
    <w:rsid w:val="00D83F80"/>
    <w:rsid w:val="00D843EE"/>
    <w:rsid w:val="00D856C9"/>
    <w:rsid w:val="00D87216"/>
    <w:rsid w:val="00D902BE"/>
    <w:rsid w:val="00D9047B"/>
    <w:rsid w:val="00D908E0"/>
    <w:rsid w:val="00D90BAA"/>
    <w:rsid w:val="00D90CB2"/>
    <w:rsid w:val="00D90E05"/>
    <w:rsid w:val="00D922E7"/>
    <w:rsid w:val="00D924D0"/>
    <w:rsid w:val="00D927E3"/>
    <w:rsid w:val="00D93644"/>
    <w:rsid w:val="00D93C38"/>
    <w:rsid w:val="00D95265"/>
    <w:rsid w:val="00D95BE8"/>
    <w:rsid w:val="00D961CD"/>
    <w:rsid w:val="00DA0CA4"/>
    <w:rsid w:val="00DA1289"/>
    <w:rsid w:val="00DA1B31"/>
    <w:rsid w:val="00DA1C5D"/>
    <w:rsid w:val="00DA1FA5"/>
    <w:rsid w:val="00DA2839"/>
    <w:rsid w:val="00DA37BD"/>
    <w:rsid w:val="00DA445B"/>
    <w:rsid w:val="00DA475D"/>
    <w:rsid w:val="00DA4DD6"/>
    <w:rsid w:val="00DA576B"/>
    <w:rsid w:val="00DA6939"/>
    <w:rsid w:val="00DA719B"/>
    <w:rsid w:val="00DA7C48"/>
    <w:rsid w:val="00DB0CEF"/>
    <w:rsid w:val="00DB2218"/>
    <w:rsid w:val="00DB27B0"/>
    <w:rsid w:val="00DB28E5"/>
    <w:rsid w:val="00DB2AA9"/>
    <w:rsid w:val="00DB2E86"/>
    <w:rsid w:val="00DB2F10"/>
    <w:rsid w:val="00DB347B"/>
    <w:rsid w:val="00DB3712"/>
    <w:rsid w:val="00DB3FBD"/>
    <w:rsid w:val="00DB5E5E"/>
    <w:rsid w:val="00DB6051"/>
    <w:rsid w:val="00DB6C10"/>
    <w:rsid w:val="00DC0A87"/>
    <w:rsid w:val="00DC218A"/>
    <w:rsid w:val="00DC267C"/>
    <w:rsid w:val="00DC3976"/>
    <w:rsid w:val="00DC5AA2"/>
    <w:rsid w:val="00DC68A2"/>
    <w:rsid w:val="00DC68D8"/>
    <w:rsid w:val="00DC735C"/>
    <w:rsid w:val="00DC764D"/>
    <w:rsid w:val="00DD2549"/>
    <w:rsid w:val="00DD29C7"/>
    <w:rsid w:val="00DD34EE"/>
    <w:rsid w:val="00DD4684"/>
    <w:rsid w:val="00DD57A8"/>
    <w:rsid w:val="00DD58F8"/>
    <w:rsid w:val="00DD5DFC"/>
    <w:rsid w:val="00DD64DF"/>
    <w:rsid w:val="00DD6CA8"/>
    <w:rsid w:val="00DD6D35"/>
    <w:rsid w:val="00DD6F30"/>
    <w:rsid w:val="00DE2D20"/>
    <w:rsid w:val="00DE3986"/>
    <w:rsid w:val="00DE3B7B"/>
    <w:rsid w:val="00DE6966"/>
    <w:rsid w:val="00DE710D"/>
    <w:rsid w:val="00DE7F30"/>
    <w:rsid w:val="00DF03AF"/>
    <w:rsid w:val="00DF0512"/>
    <w:rsid w:val="00DF0ACB"/>
    <w:rsid w:val="00DF1119"/>
    <w:rsid w:val="00DF1D42"/>
    <w:rsid w:val="00DF20FA"/>
    <w:rsid w:val="00DF4666"/>
    <w:rsid w:val="00DF4AF5"/>
    <w:rsid w:val="00DF591F"/>
    <w:rsid w:val="00DF5E69"/>
    <w:rsid w:val="00DF767E"/>
    <w:rsid w:val="00DF7857"/>
    <w:rsid w:val="00E00901"/>
    <w:rsid w:val="00E00E0A"/>
    <w:rsid w:val="00E02A86"/>
    <w:rsid w:val="00E047F6"/>
    <w:rsid w:val="00E048B2"/>
    <w:rsid w:val="00E04DB7"/>
    <w:rsid w:val="00E04FE4"/>
    <w:rsid w:val="00E07637"/>
    <w:rsid w:val="00E077DE"/>
    <w:rsid w:val="00E100C5"/>
    <w:rsid w:val="00E108F8"/>
    <w:rsid w:val="00E1104E"/>
    <w:rsid w:val="00E11139"/>
    <w:rsid w:val="00E11836"/>
    <w:rsid w:val="00E13E1B"/>
    <w:rsid w:val="00E14CC2"/>
    <w:rsid w:val="00E14F74"/>
    <w:rsid w:val="00E15E6F"/>
    <w:rsid w:val="00E15F7D"/>
    <w:rsid w:val="00E16648"/>
    <w:rsid w:val="00E168AC"/>
    <w:rsid w:val="00E17074"/>
    <w:rsid w:val="00E2127A"/>
    <w:rsid w:val="00E2138D"/>
    <w:rsid w:val="00E23D95"/>
    <w:rsid w:val="00E25E09"/>
    <w:rsid w:val="00E27110"/>
    <w:rsid w:val="00E27341"/>
    <w:rsid w:val="00E27400"/>
    <w:rsid w:val="00E2771A"/>
    <w:rsid w:val="00E27FD3"/>
    <w:rsid w:val="00E311C0"/>
    <w:rsid w:val="00E31FB1"/>
    <w:rsid w:val="00E3556D"/>
    <w:rsid w:val="00E35580"/>
    <w:rsid w:val="00E36119"/>
    <w:rsid w:val="00E36421"/>
    <w:rsid w:val="00E36699"/>
    <w:rsid w:val="00E37152"/>
    <w:rsid w:val="00E37FDE"/>
    <w:rsid w:val="00E40C57"/>
    <w:rsid w:val="00E4353A"/>
    <w:rsid w:val="00E43F7C"/>
    <w:rsid w:val="00E44FB0"/>
    <w:rsid w:val="00E45220"/>
    <w:rsid w:val="00E45589"/>
    <w:rsid w:val="00E46769"/>
    <w:rsid w:val="00E475A1"/>
    <w:rsid w:val="00E47C87"/>
    <w:rsid w:val="00E506F1"/>
    <w:rsid w:val="00E50AFF"/>
    <w:rsid w:val="00E52205"/>
    <w:rsid w:val="00E5238F"/>
    <w:rsid w:val="00E531A0"/>
    <w:rsid w:val="00E54299"/>
    <w:rsid w:val="00E5457A"/>
    <w:rsid w:val="00E55D22"/>
    <w:rsid w:val="00E55D92"/>
    <w:rsid w:val="00E55F81"/>
    <w:rsid w:val="00E61E39"/>
    <w:rsid w:val="00E62896"/>
    <w:rsid w:val="00E6492E"/>
    <w:rsid w:val="00E66C88"/>
    <w:rsid w:val="00E66E7A"/>
    <w:rsid w:val="00E70449"/>
    <w:rsid w:val="00E72976"/>
    <w:rsid w:val="00E74C5D"/>
    <w:rsid w:val="00E74FBC"/>
    <w:rsid w:val="00E75943"/>
    <w:rsid w:val="00E75D04"/>
    <w:rsid w:val="00E76068"/>
    <w:rsid w:val="00E7756D"/>
    <w:rsid w:val="00E801F6"/>
    <w:rsid w:val="00E8112E"/>
    <w:rsid w:val="00E821C3"/>
    <w:rsid w:val="00E82C29"/>
    <w:rsid w:val="00E835A2"/>
    <w:rsid w:val="00E84A74"/>
    <w:rsid w:val="00E84FD3"/>
    <w:rsid w:val="00E855E4"/>
    <w:rsid w:val="00E86BB4"/>
    <w:rsid w:val="00E876FB"/>
    <w:rsid w:val="00E908EC"/>
    <w:rsid w:val="00E9734A"/>
    <w:rsid w:val="00E979AE"/>
    <w:rsid w:val="00EA00F4"/>
    <w:rsid w:val="00EA013E"/>
    <w:rsid w:val="00EA1069"/>
    <w:rsid w:val="00EA121C"/>
    <w:rsid w:val="00EA1A31"/>
    <w:rsid w:val="00EA3A60"/>
    <w:rsid w:val="00EA4DE7"/>
    <w:rsid w:val="00EB1A86"/>
    <w:rsid w:val="00EB1FDA"/>
    <w:rsid w:val="00EB22DC"/>
    <w:rsid w:val="00EB37B1"/>
    <w:rsid w:val="00EB4F5B"/>
    <w:rsid w:val="00EB52D0"/>
    <w:rsid w:val="00EB6EC3"/>
    <w:rsid w:val="00EB7712"/>
    <w:rsid w:val="00EC0EA8"/>
    <w:rsid w:val="00EC58C9"/>
    <w:rsid w:val="00EC5956"/>
    <w:rsid w:val="00EC5D40"/>
    <w:rsid w:val="00EC6A46"/>
    <w:rsid w:val="00ED110F"/>
    <w:rsid w:val="00ED19F5"/>
    <w:rsid w:val="00ED296B"/>
    <w:rsid w:val="00ED2C77"/>
    <w:rsid w:val="00ED41E9"/>
    <w:rsid w:val="00ED4870"/>
    <w:rsid w:val="00ED50F4"/>
    <w:rsid w:val="00ED5A4A"/>
    <w:rsid w:val="00ED5D49"/>
    <w:rsid w:val="00ED6B21"/>
    <w:rsid w:val="00ED7540"/>
    <w:rsid w:val="00ED793C"/>
    <w:rsid w:val="00EE012F"/>
    <w:rsid w:val="00EE060D"/>
    <w:rsid w:val="00EE1085"/>
    <w:rsid w:val="00EE235D"/>
    <w:rsid w:val="00EE34C0"/>
    <w:rsid w:val="00EE3FC5"/>
    <w:rsid w:val="00EE519F"/>
    <w:rsid w:val="00EE51DE"/>
    <w:rsid w:val="00EE5ECB"/>
    <w:rsid w:val="00EE70E9"/>
    <w:rsid w:val="00EE75B8"/>
    <w:rsid w:val="00EF122B"/>
    <w:rsid w:val="00EF34D0"/>
    <w:rsid w:val="00EF35C6"/>
    <w:rsid w:val="00EF40EA"/>
    <w:rsid w:val="00EF4B7D"/>
    <w:rsid w:val="00EF62A9"/>
    <w:rsid w:val="00EF6371"/>
    <w:rsid w:val="00EF6BF4"/>
    <w:rsid w:val="00EF7A43"/>
    <w:rsid w:val="00F01AE9"/>
    <w:rsid w:val="00F024F8"/>
    <w:rsid w:val="00F02654"/>
    <w:rsid w:val="00F02A81"/>
    <w:rsid w:val="00F04BC8"/>
    <w:rsid w:val="00F05F1A"/>
    <w:rsid w:val="00F05F60"/>
    <w:rsid w:val="00F066FF"/>
    <w:rsid w:val="00F10DE2"/>
    <w:rsid w:val="00F117CF"/>
    <w:rsid w:val="00F1295F"/>
    <w:rsid w:val="00F13A94"/>
    <w:rsid w:val="00F13E54"/>
    <w:rsid w:val="00F142D9"/>
    <w:rsid w:val="00F15734"/>
    <w:rsid w:val="00F160A9"/>
    <w:rsid w:val="00F175BB"/>
    <w:rsid w:val="00F17F5B"/>
    <w:rsid w:val="00F21BE3"/>
    <w:rsid w:val="00F22123"/>
    <w:rsid w:val="00F22C22"/>
    <w:rsid w:val="00F23C74"/>
    <w:rsid w:val="00F2575E"/>
    <w:rsid w:val="00F25961"/>
    <w:rsid w:val="00F25AF9"/>
    <w:rsid w:val="00F263FB"/>
    <w:rsid w:val="00F279AC"/>
    <w:rsid w:val="00F27EBB"/>
    <w:rsid w:val="00F30188"/>
    <w:rsid w:val="00F31D8D"/>
    <w:rsid w:val="00F323ED"/>
    <w:rsid w:val="00F3283C"/>
    <w:rsid w:val="00F33091"/>
    <w:rsid w:val="00F3391D"/>
    <w:rsid w:val="00F33EF4"/>
    <w:rsid w:val="00F349AC"/>
    <w:rsid w:val="00F36866"/>
    <w:rsid w:val="00F36879"/>
    <w:rsid w:val="00F36900"/>
    <w:rsid w:val="00F41843"/>
    <w:rsid w:val="00F41E65"/>
    <w:rsid w:val="00F44C55"/>
    <w:rsid w:val="00F4578C"/>
    <w:rsid w:val="00F45FD7"/>
    <w:rsid w:val="00F4618E"/>
    <w:rsid w:val="00F47FAD"/>
    <w:rsid w:val="00F50A98"/>
    <w:rsid w:val="00F50FB4"/>
    <w:rsid w:val="00F515D1"/>
    <w:rsid w:val="00F515DF"/>
    <w:rsid w:val="00F52781"/>
    <w:rsid w:val="00F5352D"/>
    <w:rsid w:val="00F540EB"/>
    <w:rsid w:val="00F55477"/>
    <w:rsid w:val="00F55F61"/>
    <w:rsid w:val="00F56534"/>
    <w:rsid w:val="00F64866"/>
    <w:rsid w:val="00F64F5D"/>
    <w:rsid w:val="00F651B5"/>
    <w:rsid w:val="00F6552D"/>
    <w:rsid w:val="00F65852"/>
    <w:rsid w:val="00F665B9"/>
    <w:rsid w:val="00F6675F"/>
    <w:rsid w:val="00F67DD3"/>
    <w:rsid w:val="00F726CB"/>
    <w:rsid w:val="00F75F90"/>
    <w:rsid w:val="00F771FE"/>
    <w:rsid w:val="00F77374"/>
    <w:rsid w:val="00F805A2"/>
    <w:rsid w:val="00F8164A"/>
    <w:rsid w:val="00F81BFD"/>
    <w:rsid w:val="00F83F34"/>
    <w:rsid w:val="00F85052"/>
    <w:rsid w:val="00F855F6"/>
    <w:rsid w:val="00F87124"/>
    <w:rsid w:val="00F907E6"/>
    <w:rsid w:val="00F92029"/>
    <w:rsid w:val="00F93505"/>
    <w:rsid w:val="00F9367B"/>
    <w:rsid w:val="00F947C5"/>
    <w:rsid w:val="00F9536F"/>
    <w:rsid w:val="00F95CAA"/>
    <w:rsid w:val="00F97053"/>
    <w:rsid w:val="00F9744E"/>
    <w:rsid w:val="00F9773F"/>
    <w:rsid w:val="00F979BB"/>
    <w:rsid w:val="00F97D4B"/>
    <w:rsid w:val="00FA0CE8"/>
    <w:rsid w:val="00FA15F6"/>
    <w:rsid w:val="00FA4387"/>
    <w:rsid w:val="00FA5660"/>
    <w:rsid w:val="00FA6DB7"/>
    <w:rsid w:val="00FA6F43"/>
    <w:rsid w:val="00FB0751"/>
    <w:rsid w:val="00FB121C"/>
    <w:rsid w:val="00FB3BCD"/>
    <w:rsid w:val="00FB475A"/>
    <w:rsid w:val="00FB4DD7"/>
    <w:rsid w:val="00FB62FC"/>
    <w:rsid w:val="00FB6CE2"/>
    <w:rsid w:val="00FC02A3"/>
    <w:rsid w:val="00FC076B"/>
    <w:rsid w:val="00FC177A"/>
    <w:rsid w:val="00FC18F7"/>
    <w:rsid w:val="00FC5678"/>
    <w:rsid w:val="00FC5DDA"/>
    <w:rsid w:val="00FC6CD9"/>
    <w:rsid w:val="00FD52CE"/>
    <w:rsid w:val="00FD7176"/>
    <w:rsid w:val="00FD740F"/>
    <w:rsid w:val="00FD7CAA"/>
    <w:rsid w:val="00FE0C31"/>
    <w:rsid w:val="00FE1E1A"/>
    <w:rsid w:val="00FE3A7F"/>
    <w:rsid w:val="00FE3F0B"/>
    <w:rsid w:val="00FE426C"/>
    <w:rsid w:val="00FE4E56"/>
    <w:rsid w:val="00FE52B0"/>
    <w:rsid w:val="00FE6F29"/>
    <w:rsid w:val="00FE744D"/>
    <w:rsid w:val="00FE74D5"/>
    <w:rsid w:val="00FE7F28"/>
    <w:rsid w:val="00FF2959"/>
    <w:rsid w:val="00FF4AD8"/>
    <w:rsid w:val="00FF5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aunPenh"/>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rFonts w:cs="Calibri"/>
      <w:sz w:val="22"/>
      <w:szCs w:val="22"/>
      <w:lang w:val="en-GB" w:eastAsia="en-US"/>
    </w:rPr>
  </w:style>
  <w:style w:type="paragraph" w:styleId="Heading1">
    <w:name w:val="heading 1"/>
    <w:next w:val="Normal"/>
    <w:link w:val="Heading1Char"/>
    <w:uiPriority w:val="99"/>
    <w:rsid w:val="00870BC3"/>
    <w:pPr>
      <w:numPr>
        <w:numId w:val="1"/>
      </w:numPr>
      <w:ind w:left="0" w:firstLine="357"/>
      <w:jc w:val="both"/>
      <w:outlineLvl w:val="0"/>
    </w:pPr>
    <w:rPr>
      <w:rFonts w:ascii="Arial Black" w:hAnsi="Arial Black" w:cs="Calibri"/>
      <w:b/>
      <w:bCs/>
      <w:color w:val="4F6228" w:themeColor="accent3" w:themeShade="80"/>
      <w:sz w:val="24"/>
      <w:szCs w:val="24"/>
      <w:lang w:eastAsia="en-US"/>
    </w:rPr>
  </w:style>
  <w:style w:type="paragraph" w:styleId="Heading2">
    <w:name w:val="heading 2"/>
    <w:basedOn w:val="Normal"/>
    <w:next w:val="Normal"/>
    <w:link w:val="Heading2Char"/>
    <w:uiPriority w:val="99"/>
    <w:qFormat/>
    <w:rsid w:val="002E2276"/>
    <w:pPr>
      <w:keepNext/>
      <w:keepLines/>
      <w:numPr>
        <w:numId w:val="4"/>
      </w:numPr>
      <w:spacing w:before="200" w:after="0"/>
      <w:outlineLvl w:val="1"/>
    </w:pPr>
    <w:rPr>
      <w:rFonts w:ascii="Arial Black" w:eastAsia="MS Gothic" w:hAnsi="Arial Black" w:cs="Cambria"/>
      <w:b/>
      <w:bCs/>
      <w:color w:val="4F6228" w:themeColor="accent3" w:themeShade="80"/>
      <w:sz w:val="28"/>
      <w:szCs w:val="26"/>
    </w:rPr>
  </w:style>
  <w:style w:type="paragraph" w:styleId="Heading3">
    <w:name w:val="heading 3"/>
    <w:basedOn w:val="Normal"/>
    <w:next w:val="Normal"/>
    <w:link w:val="Heading3Char"/>
    <w:autoRedefine/>
    <w:uiPriority w:val="99"/>
    <w:qFormat/>
    <w:rsid w:val="00E9734A"/>
    <w:pPr>
      <w:numPr>
        <w:numId w:val="5"/>
      </w:numPr>
      <w:spacing w:after="240"/>
      <w:ind w:left="357" w:hanging="357"/>
      <w:jc w:val="both"/>
      <w:outlineLvl w:val="2"/>
    </w:pPr>
    <w:rPr>
      <w:rFonts w:asciiTheme="majorHAnsi" w:hAnsiTheme="majorHAnsi" w:cstheme="minorHAnsi"/>
      <w:b/>
      <w:bCs/>
      <w:color w:val="4F6228" w:themeColor="accent3" w:themeShade="80"/>
      <w:sz w:val="24"/>
      <w:lang w:val="en-AU"/>
    </w:rPr>
  </w:style>
  <w:style w:type="paragraph" w:styleId="Heading4">
    <w:name w:val="heading 4"/>
    <w:basedOn w:val="Normal"/>
    <w:next w:val="Normal"/>
    <w:link w:val="Heading4Char"/>
    <w:uiPriority w:val="99"/>
    <w:qFormat/>
    <w:rsid w:val="00041A56"/>
    <w:pPr>
      <w:keepNext/>
      <w:keepLines/>
      <w:numPr>
        <w:numId w:val="6"/>
      </w:numPr>
      <w:spacing w:before="200" w:after="0"/>
      <w:outlineLvl w:val="3"/>
    </w:pPr>
    <w:rPr>
      <w:rFonts w:asciiTheme="majorHAnsi" w:eastAsia="MS Gothic" w:hAnsiTheme="majorHAnsi" w:cs="Cambria"/>
      <w:b/>
      <w:bCs/>
      <w:iCs/>
    </w:rPr>
  </w:style>
  <w:style w:type="paragraph" w:styleId="Heading5">
    <w:name w:val="heading 5"/>
    <w:basedOn w:val="Normal"/>
    <w:next w:val="Normal"/>
    <w:link w:val="Heading5Char"/>
    <w:semiHidden/>
    <w:unhideWhenUsed/>
    <w:qFormat/>
    <w:locked/>
    <w:rsid w:val="009F2C1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70BC3"/>
    <w:rPr>
      <w:rFonts w:ascii="Arial Black" w:hAnsi="Arial Black" w:cs="Calibri"/>
      <w:b/>
      <w:bCs/>
      <w:color w:val="4F6228" w:themeColor="accent3" w:themeShade="80"/>
      <w:sz w:val="24"/>
      <w:szCs w:val="24"/>
      <w:lang w:eastAsia="en-US"/>
    </w:rPr>
  </w:style>
  <w:style w:type="character" w:customStyle="1" w:styleId="Heading2Char">
    <w:name w:val="Heading 2 Char"/>
    <w:link w:val="Heading2"/>
    <w:uiPriority w:val="99"/>
    <w:locked/>
    <w:rsid w:val="002E2276"/>
    <w:rPr>
      <w:rFonts w:ascii="Arial Black" w:eastAsia="MS Gothic" w:hAnsi="Arial Black" w:cs="Cambria"/>
      <w:b/>
      <w:bCs/>
      <w:color w:val="4F6228" w:themeColor="accent3" w:themeShade="80"/>
      <w:sz w:val="28"/>
      <w:szCs w:val="26"/>
      <w:lang w:val="en-GB" w:eastAsia="en-US"/>
    </w:rPr>
  </w:style>
  <w:style w:type="character" w:customStyle="1" w:styleId="Heading3Char">
    <w:name w:val="Heading 3 Char"/>
    <w:link w:val="Heading3"/>
    <w:uiPriority w:val="99"/>
    <w:locked/>
    <w:rsid w:val="00E9734A"/>
    <w:rPr>
      <w:rFonts w:asciiTheme="majorHAnsi" w:hAnsiTheme="majorHAnsi" w:cstheme="minorHAnsi"/>
      <w:b/>
      <w:bCs/>
      <w:color w:val="4F6228" w:themeColor="accent3" w:themeShade="80"/>
      <w:sz w:val="24"/>
      <w:szCs w:val="22"/>
      <w:lang w:eastAsia="en-US"/>
    </w:rPr>
  </w:style>
  <w:style w:type="character" w:customStyle="1" w:styleId="Heading4Char">
    <w:name w:val="Heading 4 Char"/>
    <w:link w:val="Heading4"/>
    <w:uiPriority w:val="99"/>
    <w:locked/>
    <w:rsid w:val="00041A56"/>
    <w:rPr>
      <w:rFonts w:asciiTheme="majorHAnsi" w:eastAsia="MS Gothic" w:hAnsiTheme="majorHAnsi" w:cs="Cambria"/>
      <w:b/>
      <w:bCs/>
      <w:iCs/>
      <w:sz w:val="22"/>
      <w:szCs w:val="22"/>
      <w:lang w:val="en-GB" w:eastAsia="en-US"/>
    </w:rPr>
  </w:style>
  <w:style w:type="paragraph" w:styleId="ListParagraph">
    <w:name w:val="List Paragraph"/>
    <w:aliases w:val="Recommendation,L,List Paragraph1,List Paragraph11"/>
    <w:basedOn w:val="Normal"/>
    <w:link w:val="ListParagraphChar"/>
    <w:uiPriority w:val="34"/>
    <w:qFormat/>
    <w:rsid w:val="00A91D2F"/>
    <w:pPr>
      <w:ind w:left="720"/>
    </w:pPr>
  </w:style>
  <w:style w:type="paragraph" w:styleId="BalloonText">
    <w:name w:val="Balloon Text"/>
    <w:basedOn w:val="Normal"/>
    <w:link w:val="BalloonTextChar"/>
    <w:uiPriority w:val="99"/>
    <w:semiHidden/>
    <w:rsid w:val="00BB1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B1C36"/>
    <w:rPr>
      <w:rFonts w:ascii="Tahoma" w:hAnsi="Tahoma" w:cs="Tahoma"/>
      <w:sz w:val="16"/>
      <w:szCs w:val="16"/>
    </w:rPr>
  </w:style>
  <w:style w:type="paragraph" w:styleId="FootnoteText">
    <w:name w:val="footnote text"/>
    <w:aliases w:val="Footnote Text1,FOOTNOTES,fn,single space Char,single space,ft,Fußnote,ft Char Char,Footnote Text Char Char Char Char,Footnote Text Char Char Char Char Char,Footnote Text Char Char Char Char Char Char Char Char Char"/>
    <w:basedOn w:val="Normal"/>
    <w:link w:val="FootnoteTextChar"/>
    <w:uiPriority w:val="99"/>
    <w:rsid w:val="004A4CD4"/>
    <w:pPr>
      <w:spacing w:after="0" w:line="240" w:lineRule="auto"/>
    </w:pPr>
    <w:rPr>
      <w:sz w:val="20"/>
      <w:szCs w:val="20"/>
    </w:rPr>
  </w:style>
  <w:style w:type="character" w:customStyle="1" w:styleId="FootnoteTextChar">
    <w:name w:val="Footnote Text Char"/>
    <w:aliases w:val="Footnote Text1 Char,FOOTNOTES Char,fn Char,single space Char Char,single space Char1,ft Char,Fußnote Char,ft Char Char Char,Footnote Text Char Char Char Char Char1,Footnote Text Char Char Char Char Char Char"/>
    <w:link w:val="FootnoteText"/>
    <w:uiPriority w:val="99"/>
    <w:locked/>
    <w:rsid w:val="004A4CD4"/>
    <w:rPr>
      <w:sz w:val="20"/>
      <w:szCs w:val="20"/>
    </w:rPr>
  </w:style>
  <w:style w:type="character" w:styleId="FootnoteReference">
    <w:name w:val="footnote reference"/>
    <w:aliases w:val="ftref,16 Point,Superscript 6 Point,BVI fnr,Footnote text,Footnotes refss,Ref,de nota al pie"/>
    <w:uiPriority w:val="99"/>
    <w:qFormat/>
    <w:rsid w:val="004A4CD4"/>
    <w:rPr>
      <w:vertAlign w:val="superscript"/>
    </w:rPr>
  </w:style>
  <w:style w:type="paragraph" w:styleId="NormalWeb">
    <w:name w:val="Normal (Web)"/>
    <w:basedOn w:val="Normal"/>
    <w:uiPriority w:val="99"/>
    <w:rsid w:val="00AA7D54"/>
    <w:pPr>
      <w:spacing w:after="0" w:line="240" w:lineRule="auto"/>
    </w:pPr>
    <w:rPr>
      <w:rFonts w:ascii="Times New Roman" w:eastAsia="Times New Roman" w:hAnsi="Times New Roman" w:cs="Times New Roman"/>
      <w:sz w:val="24"/>
      <w:szCs w:val="24"/>
      <w:lang w:eastAsia="en-GB"/>
    </w:rPr>
  </w:style>
  <w:style w:type="character" w:customStyle="1" w:styleId="CONLevelaChar">
    <w:name w:val=".CON  Level  (a) Char"/>
    <w:link w:val="CONLevela"/>
    <w:uiPriority w:val="99"/>
    <w:locked/>
    <w:rsid w:val="004A05B8"/>
    <w:rPr>
      <w:rFonts w:cs="Calibri"/>
      <w:sz w:val="24"/>
      <w:szCs w:val="24"/>
      <w:lang w:val="en-GB" w:eastAsia="en-US"/>
    </w:rPr>
  </w:style>
  <w:style w:type="paragraph" w:customStyle="1" w:styleId="CONLevela">
    <w:name w:val=".CON  Level  (a)"/>
    <w:basedOn w:val="Normal"/>
    <w:next w:val="Normal"/>
    <w:link w:val="CONLevelaChar"/>
    <w:uiPriority w:val="99"/>
    <w:rsid w:val="004A05B8"/>
    <w:pPr>
      <w:numPr>
        <w:numId w:val="2"/>
      </w:numPr>
      <w:spacing w:before="240" w:after="0" w:line="240" w:lineRule="auto"/>
      <w:outlineLvl w:val="3"/>
    </w:pPr>
    <w:rPr>
      <w:sz w:val="24"/>
      <w:szCs w:val="24"/>
    </w:rPr>
  </w:style>
  <w:style w:type="table" w:styleId="TableGrid">
    <w:name w:val="Table Grid"/>
    <w:basedOn w:val="TableNormal"/>
    <w:uiPriority w:val="59"/>
    <w:rsid w:val="00DA7C4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D12E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12E8"/>
  </w:style>
  <w:style w:type="paragraph" w:styleId="Footer">
    <w:name w:val="footer"/>
    <w:basedOn w:val="Normal"/>
    <w:link w:val="FooterChar"/>
    <w:uiPriority w:val="99"/>
    <w:rsid w:val="004D12E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12E8"/>
  </w:style>
  <w:style w:type="paragraph" w:customStyle="1" w:styleId="NormColon">
    <w:name w:val="Norm_Colon"/>
    <w:basedOn w:val="Normal"/>
    <w:uiPriority w:val="99"/>
    <w:rsid w:val="008B31B5"/>
    <w:pPr>
      <w:numPr>
        <w:numId w:val="3"/>
      </w:numPr>
    </w:pPr>
    <w:rPr>
      <w:rFonts w:eastAsia="Times New Roman"/>
      <w:lang w:val="en-US"/>
    </w:rPr>
  </w:style>
  <w:style w:type="character" w:styleId="CommentReference">
    <w:name w:val="annotation reference"/>
    <w:uiPriority w:val="99"/>
    <w:semiHidden/>
    <w:rsid w:val="0086297D"/>
    <w:rPr>
      <w:sz w:val="16"/>
      <w:szCs w:val="16"/>
    </w:rPr>
  </w:style>
  <w:style w:type="paragraph" w:styleId="CommentText">
    <w:name w:val="annotation text"/>
    <w:basedOn w:val="Normal"/>
    <w:link w:val="CommentTextChar"/>
    <w:uiPriority w:val="99"/>
    <w:semiHidden/>
    <w:rsid w:val="0086297D"/>
    <w:pPr>
      <w:spacing w:line="240" w:lineRule="auto"/>
    </w:pPr>
    <w:rPr>
      <w:sz w:val="20"/>
      <w:szCs w:val="20"/>
    </w:rPr>
  </w:style>
  <w:style w:type="character" w:customStyle="1" w:styleId="CommentTextChar">
    <w:name w:val="Comment Text Char"/>
    <w:link w:val="CommentText"/>
    <w:uiPriority w:val="99"/>
    <w:locked/>
    <w:rsid w:val="0086297D"/>
    <w:rPr>
      <w:sz w:val="20"/>
      <w:szCs w:val="20"/>
    </w:rPr>
  </w:style>
  <w:style w:type="paragraph" w:styleId="CommentSubject">
    <w:name w:val="annotation subject"/>
    <w:basedOn w:val="CommentText"/>
    <w:next w:val="CommentText"/>
    <w:link w:val="CommentSubjectChar"/>
    <w:uiPriority w:val="99"/>
    <w:semiHidden/>
    <w:rsid w:val="00923AA4"/>
    <w:rPr>
      <w:b/>
      <w:bCs/>
    </w:rPr>
  </w:style>
  <w:style w:type="character" w:customStyle="1" w:styleId="CommentSubjectChar">
    <w:name w:val="Comment Subject Char"/>
    <w:link w:val="CommentSubject"/>
    <w:uiPriority w:val="99"/>
    <w:semiHidden/>
    <w:locked/>
    <w:rsid w:val="00923AA4"/>
    <w:rPr>
      <w:b/>
      <w:bCs/>
      <w:sz w:val="20"/>
      <w:szCs w:val="20"/>
    </w:rPr>
  </w:style>
  <w:style w:type="paragraph" w:styleId="TOCHeading">
    <w:name w:val="TOC Heading"/>
    <w:basedOn w:val="Heading1"/>
    <w:next w:val="Normal"/>
    <w:uiPriority w:val="39"/>
    <w:qFormat/>
    <w:rsid w:val="004F718F"/>
    <w:pPr>
      <w:outlineLvl w:val="9"/>
    </w:pPr>
    <w:rPr>
      <w:lang w:val="en-US" w:eastAsia="ja-JP"/>
    </w:rPr>
  </w:style>
  <w:style w:type="character" w:styleId="Hyperlink">
    <w:name w:val="Hyperlink"/>
    <w:uiPriority w:val="99"/>
    <w:rsid w:val="00BB0B2A"/>
    <w:rPr>
      <w:rFonts w:ascii="Times New Roman" w:hAnsi="Times New Roman" w:cs="Times New Roman"/>
      <w:color w:val="0000FF"/>
      <w:u w:val="single"/>
    </w:rPr>
  </w:style>
  <w:style w:type="paragraph" w:customStyle="1" w:styleId="Default">
    <w:name w:val="Default"/>
    <w:rsid w:val="00BB0B2A"/>
    <w:pPr>
      <w:autoSpaceDE w:val="0"/>
      <w:autoSpaceDN w:val="0"/>
      <w:adjustRightInd w:val="0"/>
    </w:pPr>
    <w:rPr>
      <w:rFonts w:ascii="Franklin Gothic Demi" w:eastAsia="PMingLiU" w:hAnsi="Franklin Gothic Demi" w:cs="Franklin Gothic Demi"/>
      <w:color w:val="000000"/>
      <w:sz w:val="24"/>
      <w:szCs w:val="24"/>
      <w:lang w:eastAsia="zh-TW"/>
    </w:rPr>
  </w:style>
  <w:style w:type="paragraph" w:styleId="NoSpacing">
    <w:name w:val="No Spacing"/>
    <w:link w:val="NoSpacingChar"/>
    <w:uiPriority w:val="99"/>
    <w:qFormat/>
    <w:rsid w:val="00710FC7"/>
    <w:rPr>
      <w:rFonts w:eastAsia="MS Mincho" w:cs="Calibri"/>
      <w:sz w:val="22"/>
      <w:szCs w:val="22"/>
      <w:lang w:val="en-US" w:eastAsia="ja-JP"/>
    </w:rPr>
  </w:style>
  <w:style w:type="character" w:customStyle="1" w:styleId="NoSpacingChar">
    <w:name w:val="No Spacing Char"/>
    <w:link w:val="NoSpacing"/>
    <w:uiPriority w:val="99"/>
    <w:locked/>
    <w:rsid w:val="00710FC7"/>
    <w:rPr>
      <w:rFonts w:eastAsia="MS Mincho"/>
      <w:lang w:val="en-US" w:eastAsia="ja-JP"/>
    </w:rPr>
  </w:style>
  <w:style w:type="paragraph" w:styleId="TOC2">
    <w:name w:val="toc 2"/>
    <w:basedOn w:val="Normal"/>
    <w:next w:val="Normal"/>
    <w:autoRedefine/>
    <w:uiPriority w:val="39"/>
    <w:qFormat/>
    <w:rsid w:val="002E18CB"/>
    <w:pPr>
      <w:tabs>
        <w:tab w:val="left" w:pos="720"/>
        <w:tab w:val="right" w:leader="dot" w:pos="9072"/>
      </w:tabs>
      <w:spacing w:after="100"/>
      <w:ind w:left="220" w:right="142"/>
    </w:pPr>
  </w:style>
  <w:style w:type="paragraph" w:styleId="TOC1">
    <w:name w:val="toc 1"/>
    <w:basedOn w:val="Normal"/>
    <w:next w:val="Normal"/>
    <w:autoRedefine/>
    <w:uiPriority w:val="39"/>
    <w:qFormat/>
    <w:rsid w:val="009F0C9F"/>
    <w:pPr>
      <w:tabs>
        <w:tab w:val="left" w:pos="426"/>
        <w:tab w:val="right" w:leader="dot" w:pos="8931"/>
      </w:tabs>
      <w:spacing w:after="100"/>
      <w:ind w:right="-194"/>
    </w:pPr>
    <w:rPr>
      <w:rFonts w:eastAsia="MS Mincho"/>
      <w:lang w:val="en-US" w:eastAsia="ja-JP"/>
    </w:rPr>
  </w:style>
  <w:style w:type="paragraph" w:styleId="TOC3">
    <w:name w:val="toc 3"/>
    <w:basedOn w:val="Normal"/>
    <w:next w:val="Normal"/>
    <w:autoRedefine/>
    <w:uiPriority w:val="39"/>
    <w:qFormat/>
    <w:rsid w:val="001731C2"/>
    <w:pPr>
      <w:tabs>
        <w:tab w:val="right" w:leader="dot" w:pos="8789"/>
      </w:tabs>
      <w:spacing w:after="100"/>
      <w:ind w:left="720"/>
    </w:pPr>
    <w:rPr>
      <w:rFonts w:asciiTheme="minorHAnsi" w:eastAsia="MS Mincho" w:hAnsiTheme="minorHAnsi" w:cstheme="minorHAnsi"/>
      <w:noProof/>
      <w:lang w:val="en-US" w:eastAsia="ja-JP"/>
    </w:rPr>
  </w:style>
  <w:style w:type="paragraph" w:styleId="Title">
    <w:name w:val="Title"/>
    <w:basedOn w:val="Normal"/>
    <w:next w:val="Normal"/>
    <w:link w:val="TitleChar"/>
    <w:uiPriority w:val="99"/>
    <w:qFormat/>
    <w:rsid w:val="00C16DDB"/>
    <w:pPr>
      <w:pBdr>
        <w:bottom w:val="single" w:sz="8" w:space="4" w:color="4F81BD"/>
      </w:pBdr>
      <w:spacing w:after="300" w:line="240" w:lineRule="auto"/>
    </w:pPr>
    <w:rPr>
      <w:rFonts w:ascii="Cambria" w:eastAsia="MS Gothic" w:hAnsi="Cambria" w:cs="Cambria"/>
      <w:color w:val="17365D"/>
      <w:spacing w:val="5"/>
      <w:kern w:val="28"/>
      <w:sz w:val="52"/>
      <w:szCs w:val="52"/>
      <w:lang w:val="en-US" w:eastAsia="ja-JP"/>
    </w:rPr>
  </w:style>
  <w:style w:type="character" w:customStyle="1" w:styleId="TitleChar">
    <w:name w:val="Title Char"/>
    <w:link w:val="Title"/>
    <w:uiPriority w:val="99"/>
    <w:locked/>
    <w:rsid w:val="00C16DDB"/>
    <w:rPr>
      <w:rFonts w:ascii="Cambria" w:eastAsia="MS Gothic" w:hAnsi="Cambria" w:cs="Cambria"/>
      <w:color w:val="17365D"/>
      <w:spacing w:val="5"/>
      <w:kern w:val="28"/>
      <w:sz w:val="52"/>
      <w:szCs w:val="52"/>
      <w:lang w:val="en-US" w:eastAsia="ja-JP"/>
    </w:rPr>
  </w:style>
  <w:style w:type="paragraph" w:styleId="Subtitle">
    <w:name w:val="Subtitle"/>
    <w:basedOn w:val="Normal"/>
    <w:next w:val="Normal"/>
    <w:link w:val="SubtitleChar"/>
    <w:uiPriority w:val="99"/>
    <w:qFormat/>
    <w:rsid w:val="00C16DDB"/>
    <w:pPr>
      <w:numPr>
        <w:ilvl w:val="1"/>
      </w:numPr>
    </w:pPr>
    <w:rPr>
      <w:rFonts w:ascii="Cambria" w:eastAsia="MS Gothic" w:hAnsi="Cambria" w:cs="Cambria"/>
      <w:i/>
      <w:iCs/>
      <w:color w:val="4F81BD"/>
      <w:spacing w:val="15"/>
      <w:sz w:val="24"/>
      <w:szCs w:val="24"/>
      <w:lang w:val="en-US" w:eastAsia="ja-JP"/>
    </w:rPr>
  </w:style>
  <w:style w:type="character" w:customStyle="1" w:styleId="SubtitleChar">
    <w:name w:val="Subtitle Char"/>
    <w:link w:val="Subtitle"/>
    <w:uiPriority w:val="99"/>
    <w:locked/>
    <w:rsid w:val="00C16DDB"/>
    <w:rPr>
      <w:rFonts w:ascii="Cambria" w:eastAsia="MS Gothic" w:hAnsi="Cambria" w:cs="Cambria"/>
      <w:i/>
      <w:iCs/>
      <w:color w:val="4F81BD"/>
      <w:spacing w:val="15"/>
      <w:sz w:val="24"/>
      <w:szCs w:val="24"/>
      <w:lang w:val="en-US" w:eastAsia="ja-JP"/>
    </w:rPr>
  </w:style>
  <w:style w:type="paragraph" w:styleId="Revision">
    <w:name w:val="Revision"/>
    <w:hidden/>
    <w:uiPriority w:val="99"/>
    <w:semiHidden/>
    <w:rsid w:val="00172DCA"/>
    <w:rPr>
      <w:rFonts w:cs="Calibri"/>
      <w:sz w:val="22"/>
      <w:szCs w:val="22"/>
      <w:lang w:val="en-GB" w:eastAsia="en-US"/>
    </w:rPr>
  </w:style>
  <w:style w:type="character" w:styleId="SubtleReference">
    <w:name w:val="Subtle Reference"/>
    <w:uiPriority w:val="31"/>
    <w:qFormat/>
    <w:rsid w:val="00D13CEE"/>
    <w:rPr>
      <w:smallCaps/>
      <w:color w:val="C0504D"/>
      <w:u w:val="single"/>
    </w:rPr>
  </w:style>
  <w:style w:type="character" w:customStyle="1" w:styleId="Heading5Char">
    <w:name w:val="Heading 5 Char"/>
    <w:basedOn w:val="DefaultParagraphFont"/>
    <w:link w:val="Heading5"/>
    <w:semiHidden/>
    <w:rsid w:val="009F2C17"/>
    <w:rPr>
      <w:rFonts w:asciiTheme="majorHAnsi" w:eastAsiaTheme="majorEastAsia" w:hAnsiTheme="majorHAnsi" w:cstheme="majorBidi"/>
      <w:color w:val="365F91" w:themeColor="accent1" w:themeShade="BF"/>
      <w:sz w:val="22"/>
      <w:szCs w:val="22"/>
      <w:lang w:val="en-GB" w:eastAsia="en-US"/>
    </w:rPr>
  </w:style>
  <w:style w:type="paragraph" w:customStyle="1" w:styleId="BuFootnote">
    <w:name w:val="Bu Footnote"/>
    <w:basedOn w:val="FootnoteText"/>
    <w:qFormat/>
    <w:rsid w:val="0005387E"/>
    <w:pPr>
      <w:jc w:val="both"/>
    </w:pPr>
    <w:rPr>
      <w:rFonts w:asciiTheme="minorHAnsi" w:eastAsiaTheme="minorHAnsi" w:hAnsiTheme="minorHAnsi" w:cstheme="minorBidi"/>
      <w:szCs w:val="24"/>
      <w:lang w:val="en-US"/>
    </w:rPr>
  </w:style>
  <w:style w:type="paragraph" w:customStyle="1" w:styleId="BuTableBody">
    <w:name w:val="Bu Table Body"/>
    <w:basedOn w:val="Normal"/>
    <w:qFormat/>
    <w:rsid w:val="0005387E"/>
    <w:pPr>
      <w:spacing w:after="0" w:line="240" w:lineRule="auto"/>
      <w:jc w:val="both"/>
    </w:pPr>
    <w:rPr>
      <w:rFonts w:asciiTheme="minorHAnsi" w:eastAsiaTheme="minorHAnsi" w:hAnsiTheme="minorHAnsi" w:cstheme="minorBidi"/>
      <w:lang w:val="en-US"/>
    </w:rPr>
  </w:style>
  <w:style w:type="character" w:customStyle="1" w:styleId="ListParagraphChar">
    <w:name w:val="List Paragraph Char"/>
    <w:aliases w:val="Recommendation Char,L Char,List Paragraph1 Char,List Paragraph11 Char"/>
    <w:link w:val="ListParagraph"/>
    <w:uiPriority w:val="34"/>
    <w:locked/>
    <w:rsid w:val="00415708"/>
    <w:rPr>
      <w:rFonts w:cs="Calibri"/>
      <w:sz w:val="22"/>
      <w:szCs w:val="22"/>
      <w:lang w:val="en-GB" w:eastAsia="en-US"/>
    </w:rPr>
  </w:style>
  <w:style w:type="character" w:styleId="Emphasis">
    <w:name w:val="Emphasis"/>
    <w:basedOn w:val="DefaultParagraphFont"/>
    <w:uiPriority w:val="20"/>
    <w:qFormat/>
    <w:locked/>
    <w:rsid w:val="006821F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aunPenh"/>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rFonts w:cs="Calibri"/>
      <w:sz w:val="22"/>
      <w:szCs w:val="22"/>
      <w:lang w:val="en-GB" w:eastAsia="en-US"/>
    </w:rPr>
  </w:style>
  <w:style w:type="paragraph" w:styleId="Heading1">
    <w:name w:val="heading 1"/>
    <w:next w:val="Normal"/>
    <w:link w:val="Heading1Char"/>
    <w:uiPriority w:val="99"/>
    <w:rsid w:val="00870BC3"/>
    <w:pPr>
      <w:numPr>
        <w:numId w:val="1"/>
      </w:numPr>
      <w:ind w:left="0" w:firstLine="357"/>
      <w:jc w:val="both"/>
      <w:outlineLvl w:val="0"/>
    </w:pPr>
    <w:rPr>
      <w:rFonts w:ascii="Arial Black" w:hAnsi="Arial Black" w:cs="Calibri"/>
      <w:b/>
      <w:bCs/>
      <w:color w:val="4F6228" w:themeColor="accent3" w:themeShade="80"/>
      <w:sz w:val="24"/>
      <w:szCs w:val="24"/>
      <w:lang w:eastAsia="en-US"/>
    </w:rPr>
  </w:style>
  <w:style w:type="paragraph" w:styleId="Heading2">
    <w:name w:val="heading 2"/>
    <w:basedOn w:val="Normal"/>
    <w:next w:val="Normal"/>
    <w:link w:val="Heading2Char"/>
    <w:uiPriority w:val="99"/>
    <w:qFormat/>
    <w:rsid w:val="002E2276"/>
    <w:pPr>
      <w:keepNext/>
      <w:keepLines/>
      <w:numPr>
        <w:numId w:val="4"/>
      </w:numPr>
      <w:spacing w:before="200" w:after="0"/>
      <w:outlineLvl w:val="1"/>
    </w:pPr>
    <w:rPr>
      <w:rFonts w:ascii="Arial Black" w:eastAsia="MS Gothic" w:hAnsi="Arial Black" w:cs="Cambria"/>
      <w:b/>
      <w:bCs/>
      <w:color w:val="4F6228" w:themeColor="accent3" w:themeShade="80"/>
      <w:sz w:val="28"/>
      <w:szCs w:val="26"/>
    </w:rPr>
  </w:style>
  <w:style w:type="paragraph" w:styleId="Heading3">
    <w:name w:val="heading 3"/>
    <w:basedOn w:val="Normal"/>
    <w:next w:val="Normal"/>
    <w:link w:val="Heading3Char"/>
    <w:autoRedefine/>
    <w:uiPriority w:val="99"/>
    <w:qFormat/>
    <w:rsid w:val="00E9734A"/>
    <w:pPr>
      <w:numPr>
        <w:numId w:val="5"/>
      </w:numPr>
      <w:spacing w:after="240"/>
      <w:ind w:left="357" w:hanging="357"/>
      <w:jc w:val="both"/>
      <w:outlineLvl w:val="2"/>
    </w:pPr>
    <w:rPr>
      <w:rFonts w:asciiTheme="majorHAnsi" w:hAnsiTheme="majorHAnsi" w:cstheme="minorHAnsi"/>
      <w:b/>
      <w:bCs/>
      <w:color w:val="4F6228" w:themeColor="accent3" w:themeShade="80"/>
      <w:sz w:val="24"/>
      <w:lang w:val="en-AU"/>
    </w:rPr>
  </w:style>
  <w:style w:type="paragraph" w:styleId="Heading4">
    <w:name w:val="heading 4"/>
    <w:basedOn w:val="Normal"/>
    <w:next w:val="Normal"/>
    <w:link w:val="Heading4Char"/>
    <w:uiPriority w:val="99"/>
    <w:qFormat/>
    <w:rsid w:val="00041A56"/>
    <w:pPr>
      <w:keepNext/>
      <w:keepLines/>
      <w:numPr>
        <w:numId w:val="6"/>
      </w:numPr>
      <w:spacing w:before="200" w:after="0"/>
      <w:outlineLvl w:val="3"/>
    </w:pPr>
    <w:rPr>
      <w:rFonts w:asciiTheme="majorHAnsi" w:eastAsia="MS Gothic" w:hAnsiTheme="majorHAnsi" w:cs="Cambria"/>
      <w:b/>
      <w:bCs/>
      <w:iCs/>
    </w:rPr>
  </w:style>
  <w:style w:type="paragraph" w:styleId="Heading5">
    <w:name w:val="heading 5"/>
    <w:basedOn w:val="Normal"/>
    <w:next w:val="Normal"/>
    <w:link w:val="Heading5Char"/>
    <w:semiHidden/>
    <w:unhideWhenUsed/>
    <w:qFormat/>
    <w:locked/>
    <w:rsid w:val="009F2C1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70BC3"/>
    <w:rPr>
      <w:rFonts w:ascii="Arial Black" w:hAnsi="Arial Black" w:cs="Calibri"/>
      <w:b/>
      <w:bCs/>
      <w:color w:val="4F6228" w:themeColor="accent3" w:themeShade="80"/>
      <w:sz w:val="24"/>
      <w:szCs w:val="24"/>
      <w:lang w:eastAsia="en-US"/>
    </w:rPr>
  </w:style>
  <w:style w:type="character" w:customStyle="1" w:styleId="Heading2Char">
    <w:name w:val="Heading 2 Char"/>
    <w:link w:val="Heading2"/>
    <w:uiPriority w:val="99"/>
    <w:locked/>
    <w:rsid w:val="002E2276"/>
    <w:rPr>
      <w:rFonts w:ascii="Arial Black" w:eastAsia="MS Gothic" w:hAnsi="Arial Black" w:cs="Cambria"/>
      <w:b/>
      <w:bCs/>
      <w:color w:val="4F6228" w:themeColor="accent3" w:themeShade="80"/>
      <w:sz w:val="28"/>
      <w:szCs w:val="26"/>
      <w:lang w:val="en-GB" w:eastAsia="en-US"/>
    </w:rPr>
  </w:style>
  <w:style w:type="character" w:customStyle="1" w:styleId="Heading3Char">
    <w:name w:val="Heading 3 Char"/>
    <w:link w:val="Heading3"/>
    <w:uiPriority w:val="99"/>
    <w:locked/>
    <w:rsid w:val="00E9734A"/>
    <w:rPr>
      <w:rFonts w:asciiTheme="majorHAnsi" w:hAnsiTheme="majorHAnsi" w:cstheme="minorHAnsi"/>
      <w:b/>
      <w:bCs/>
      <w:color w:val="4F6228" w:themeColor="accent3" w:themeShade="80"/>
      <w:sz w:val="24"/>
      <w:szCs w:val="22"/>
      <w:lang w:eastAsia="en-US"/>
    </w:rPr>
  </w:style>
  <w:style w:type="character" w:customStyle="1" w:styleId="Heading4Char">
    <w:name w:val="Heading 4 Char"/>
    <w:link w:val="Heading4"/>
    <w:uiPriority w:val="99"/>
    <w:locked/>
    <w:rsid w:val="00041A56"/>
    <w:rPr>
      <w:rFonts w:asciiTheme="majorHAnsi" w:eastAsia="MS Gothic" w:hAnsiTheme="majorHAnsi" w:cs="Cambria"/>
      <w:b/>
      <w:bCs/>
      <w:iCs/>
      <w:sz w:val="22"/>
      <w:szCs w:val="22"/>
      <w:lang w:val="en-GB" w:eastAsia="en-US"/>
    </w:rPr>
  </w:style>
  <w:style w:type="paragraph" w:styleId="ListParagraph">
    <w:name w:val="List Paragraph"/>
    <w:aliases w:val="Recommendation,L,List Paragraph1,List Paragraph11"/>
    <w:basedOn w:val="Normal"/>
    <w:link w:val="ListParagraphChar"/>
    <w:uiPriority w:val="34"/>
    <w:qFormat/>
    <w:rsid w:val="00A91D2F"/>
    <w:pPr>
      <w:ind w:left="720"/>
    </w:pPr>
  </w:style>
  <w:style w:type="paragraph" w:styleId="BalloonText">
    <w:name w:val="Balloon Text"/>
    <w:basedOn w:val="Normal"/>
    <w:link w:val="BalloonTextChar"/>
    <w:uiPriority w:val="99"/>
    <w:semiHidden/>
    <w:rsid w:val="00BB1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B1C36"/>
    <w:rPr>
      <w:rFonts w:ascii="Tahoma" w:hAnsi="Tahoma" w:cs="Tahoma"/>
      <w:sz w:val="16"/>
      <w:szCs w:val="16"/>
    </w:rPr>
  </w:style>
  <w:style w:type="paragraph" w:styleId="FootnoteText">
    <w:name w:val="footnote text"/>
    <w:aliases w:val="Footnote Text1,FOOTNOTES,fn,single space Char,single space,ft,Fußnote,ft Char Char,Footnote Text Char Char Char Char,Footnote Text Char Char Char Char Char,Footnote Text Char Char Char Char Char Char Char Char Char"/>
    <w:basedOn w:val="Normal"/>
    <w:link w:val="FootnoteTextChar"/>
    <w:uiPriority w:val="99"/>
    <w:rsid w:val="004A4CD4"/>
    <w:pPr>
      <w:spacing w:after="0" w:line="240" w:lineRule="auto"/>
    </w:pPr>
    <w:rPr>
      <w:sz w:val="20"/>
      <w:szCs w:val="20"/>
    </w:rPr>
  </w:style>
  <w:style w:type="character" w:customStyle="1" w:styleId="FootnoteTextChar">
    <w:name w:val="Footnote Text Char"/>
    <w:aliases w:val="Footnote Text1 Char,FOOTNOTES Char,fn Char,single space Char Char,single space Char1,ft Char,Fußnote Char,ft Char Char Char,Footnote Text Char Char Char Char Char1,Footnote Text Char Char Char Char Char Char"/>
    <w:link w:val="FootnoteText"/>
    <w:uiPriority w:val="99"/>
    <w:locked/>
    <w:rsid w:val="004A4CD4"/>
    <w:rPr>
      <w:sz w:val="20"/>
      <w:szCs w:val="20"/>
    </w:rPr>
  </w:style>
  <w:style w:type="character" w:styleId="FootnoteReference">
    <w:name w:val="footnote reference"/>
    <w:aliases w:val="ftref,16 Point,Superscript 6 Point,BVI fnr,Footnote text,Footnotes refss,Ref,de nota al pie"/>
    <w:uiPriority w:val="99"/>
    <w:qFormat/>
    <w:rsid w:val="004A4CD4"/>
    <w:rPr>
      <w:vertAlign w:val="superscript"/>
    </w:rPr>
  </w:style>
  <w:style w:type="paragraph" w:styleId="NormalWeb">
    <w:name w:val="Normal (Web)"/>
    <w:basedOn w:val="Normal"/>
    <w:uiPriority w:val="99"/>
    <w:rsid w:val="00AA7D54"/>
    <w:pPr>
      <w:spacing w:after="0" w:line="240" w:lineRule="auto"/>
    </w:pPr>
    <w:rPr>
      <w:rFonts w:ascii="Times New Roman" w:eastAsia="Times New Roman" w:hAnsi="Times New Roman" w:cs="Times New Roman"/>
      <w:sz w:val="24"/>
      <w:szCs w:val="24"/>
      <w:lang w:eastAsia="en-GB"/>
    </w:rPr>
  </w:style>
  <w:style w:type="character" w:customStyle="1" w:styleId="CONLevelaChar">
    <w:name w:val=".CON  Level  (a) Char"/>
    <w:link w:val="CONLevela"/>
    <w:uiPriority w:val="99"/>
    <w:locked/>
    <w:rsid w:val="004A05B8"/>
    <w:rPr>
      <w:rFonts w:cs="Calibri"/>
      <w:sz w:val="24"/>
      <w:szCs w:val="24"/>
      <w:lang w:val="en-GB" w:eastAsia="en-US"/>
    </w:rPr>
  </w:style>
  <w:style w:type="paragraph" w:customStyle="1" w:styleId="CONLevela">
    <w:name w:val=".CON  Level  (a)"/>
    <w:basedOn w:val="Normal"/>
    <w:next w:val="Normal"/>
    <w:link w:val="CONLevelaChar"/>
    <w:uiPriority w:val="99"/>
    <w:rsid w:val="004A05B8"/>
    <w:pPr>
      <w:numPr>
        <w:numId w:val="2"/>
      </w:numPr>
      <w:spacing w:before="240" w:after="0" w:line="240" w:lineRule="auto"/>
      <w:outlineLvl w:val="3"/>
    </w:pPr>
    <w:rPr>
      <w:sz w:val="24"/>
      <w:szCs w:val="24"/>
    </w:rPr>
  </w:style>
  <w:style w:type="table" w:styleId="TableGrid">
    <w:name w:val="Table Grid"/>
    <w:basedOn w:val="TableNormal"/>
    <w:uiPriority w:val="59"/>
    <w:rsid w:val="00DA7C4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D12E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12E8"/>
  </w:style>
  <w:style w:type="paragraph" w:styleId="Footer">
    <w:name w:val="footer"/>
    <w:basedOn w:val="Normal"/>
    <w:link w:val="FooterChar"/>
    <w:uiPriority w:val="99"/>
    <w:rsid w:val="004D12E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12E8"/>
  </w:style>
  <w:style w:type="paragraph" w:customStyle="1" w:styleId="NormColon">
    <w:name w:val="Norm_Colon"/>
    <w:basedOn w:val="Normal"/>
    <w:uiPriority w:val="99"/>
    <w:rsid w:val="008B31B5"/>
    <w:pPr>
      <w:numPr>
        <w:numId w:val="3"/>
      </w:numPr>
    </w:pPr>
    <w:rPr>
      <w:rFonts w:eastAsia="Times New Roman"/>
      <w:lang w:val="en-US"/>
    </w:rPr>
  </w:style>
  <w:style w:type="character" w:styleId="CommentReference">
    <w:name w:val="annotation reference"/>
    <w:uiPriority w:val="99"/>
    <w:semiHidden/>
    <w:rsid w:val="0086297D"/>
    <w:rPr>
      <w:sz w:val="16"/>
      <w:szCs w:val="16"/>
    </w:rPr>
  </w:style>
  <w:style w:type="paragraph" w:styleId="CommentText">
    <w:name w:val="annotation text"/>
    <w:basedOn w:val="Normal"/>
    <w:link w:val="CommentTextChar"/>
    <w:uiPriority w:val="99"/>
    <w:semiHidden/>
    <w:rsid w:val="0086297D"/>
    <w:pPr>
      <w:spacing w:line="240" w:lineRule="auto"/>
    </w:pPr>
    <w:rPr>
      <w:sz w:val="20"/>
      <w:szCs w:val="20"/>
    </w:rPr>
  </w:style>
  <w:style w:type="character" w:customStyle="1" w:styleId="CommentTextChar">
    <w:name w:val="Comment Text Char"/>
    <w:link w:val="CommentText"/>
    <w:uiPriority w:val="99"/>
    <w:locked/>
    <w:rsid w:val="0086297D"/>
    <w:rPr>
      <w:sz w:val="20"/>
      <w:szCs w:val="20"/>
    </w:rPr>
  </w:style>
  <w:style w:type="paragraph" w:styleId="CommentSubject">
    <w:name w:val="annotation subject"/>
    <w:basedOn w:val="CommentText"/>
    <w:next w:val="CommentText"/>
    <w:link w:val="CommentSubjectChar"/>
    <w:uiPriority w:val="99"/>
    <w:semiHidden/>
    <w:rsid w:val="00923AA4"/>
    <w:rPr>
      <w:b/>
      <w:bCs/>
    </w:rPr>
  </w:style>
  <w:style w:type="character" w:customStyle="1" w:styleId="CommentSubjectChar">
    <w:name w:val="Comment Subject Char"/>
    <w:link w:val="CommentSubject"/>
    <w:uiPriority w:val="99"/>
    <w:semiHidden/>
    <w:locked/>
    <w:rsid w:val="00923AA4"/>
    <w:rPr>
      <w:b/>
      <w:bCs/>
      <w:sz w:val="20"/>
      <w:szCs w:val="20"/>
    </w:rPr>
  </w:style>
  <w:style w:type="paragraph" w:styleId="TOCHeading">
    <w:name w:val="TOC Heading"/>
    <w:basedOn w:val="Heading1"/>
    <w:next w:val="Normal"/>
    <w:uiPriority w:val="39"/>
    <w:qFormat/>
    <w:rsid w:val="004F718F"/>
    <w:pPr>
      <w:outlineLvl w:val="9"/>
    </w:pPr>
    <w:rPr>
      <w:lang w:val="en-US" w:eastAsia="ja-JP"/>
    </w:rPr>
  </w:style>
  <w:style w:type="character" w:styleId="Hyperlink">
    <w:name w:val="Hyperlink"/>
    <w:uiPriority w:val="99"/>
    <w:rsid w:val="00BB0B2A"/>
    <w:rPr>
      <w:rFonts w:ascii="Times New Roman" w:hAnsi="Times New Roman" w:cs="Times New Roman"/>
      <w:color w:val="0000FF"/>
      <w:u w:val="single"/>
    </w:rPr>
  </w:style>
  <w:style w:type="paragraph" w:customStyle="1" w:styleId="Default">
    <w:name w:val="Default"/>
    <w:rsid w:val="00BB0B2A"/>
    <w:pPr>
      <w:autoSpaceDE w:val="0"/>
      <w:autoSpaceDN w:val="0"/>
      <w:adjustRightInd w:val="0"/>
    </w:pPr>
    <w:rPr>
      <w:rFonts w:ascii="Franklin Gothic Demi" w:eastAsia="PMingLiU" w:hAnsi="Franklin Gothic Demi" w:cs="Franklin Gothic Demi"/>
      <w:color w:val="000000"/>
      <w:sz w:val="24"/>
      <w:szCs w:val="24"/>
      <w:lang w:eastAsia="zh-TW"/>
    </w:rPr>
  </w:style>
  <w:style w:type="paragraph" w:styleId="NoSpacing">
    <w:name w:val="No Spacing"/>
    <w:link w:val="NoSpacingChar"/>
    <w:uiPriority w:val="99"/>
    <w:qFormat/>
    <w:rsid w:val="00710FC7"/>
    <w:rPr>
      <w:rFonts w:eastAsia="MS Mincho" w:cs="Calibri"/>
      <w:sz w:val="22"/>
      <w:szCs w:val="22"/>
      <w:lang w:val="en-US" w:eastAsia="ja-JP"/>
    </w:rPr>
  </w:style>
  <w:style w:type="character" w:customStyle="1" w:styleId="NoSpacingChar">
    <w:name w:val="No Spacing Char"/>
    <w:link w:val="NoSpacing"/>
    <w:uiPriority w:val="99"/>
    <w:locked/>
    <w:rsid w:val="00710FC7"/>
    <w:rPr>
      <w:rFonts w:eastAsia="MS Mincho"/>
      <w:lang w:val="en-US" w:eastAsia="ja-JP"/>
    </w:rPr>
  </w:style>
  <w:style w:type="paragraph" w:styleId="TOC2">
    <w:name w:val="toc 2"/>
    <w:basedOn w:val="Normal"/>
    <w:next w:val="Normal"/>
    <w:autoRedefine/>
    <w:uiPriority w:val="39"/>
    <w:qFormat/>
    <w:rsid w:val="002E18CB"/>
    <w:pPr>
      <w:tabs>
        <w:tab w:val="left" w:pos="720"/>
        <w:tab w:val="right" w:leader="dot" w:pos="9072"/>
      </w:tabs>
      <w:spacing w:after="100"/>
      <w:ind w:left="220" w:right="142"/>
    </w:pPr>
  </w:style>
  <w:style w:type="paragraph" w:styleId="TOC1">
    <w:name w:val="toc 1"/>
    <w:basedOn w:val="Normal"/>
    <w:next w:val="Normal"/>
    <w:autoRedefine/>
    <w:uiPriority w:val="39"/>
    <w:qFormat/>
    <w:rsid w:val="009F0C9F"/>
    <w:pPr>
      <w:tabs>
        <w:tab w:val="left" w:pos="426"/>
        <w:tab w:val="right" w:leader="dot" w:pos="8931"/>
      </w:tabs>
      <w:spacing w:after="100"/>
      <w:ind w:right="-194"/>
    </w:pPr>
    <w:rPr>
      <w:rFonts w:eastAsia="MS Mincho"/>
      <w:lang w:val="en-US" w:eastAsia="ja-JP"/>
    </w:rPr>
  </w:style>
  <w:style w:type="paragraph" w:styleId="TOC3">
    <w:name w:val="toc 3"/>
    <w:basedOn w:val="Normal"/>
    <w:next w:val="Normal"/>
    <w:autoRedefine/>
    <w:uiPriority w:val="39"/>
    <w:qFormat/>
    <w:rsid w:val="001731C2"/>
    <w:pPr>
      <w:tabs>
        <w:tab w:val="right" w:leader="dot" w:pos="8789"/>
      </w:tabs>
      <w:spacing w:after="100"/>
      <w:ind w:left="720"/>
    </w:pPr>
    <w:rPr>
      <w:rFonts w:asciiTheme="minorHAnsi" w:eastAsia="MS Mincho" w:hAnsiTheme="minorHAnsi" w:cstheme="minorHAnsi"/>
      <w:noProof/>
      <w:lang w:val="en-US" w:eastAsia="ja-JP"/>
    </w:rPr>
  </w:style>
  <w:style w:type="paragraph" w:styleId="Title">
    <w:name w:val="Title"/>
    <w:basedOn w:val="Normal"/>
    <w:next w:val="Normal"/>
    <w:link w:val="TitleChar"/>
    <w:uiPriority w:val="99"/>
    <w:qFormat/>
    <w:rsid w:val="00C16DDB"/>
    <w:pPr>
      <w:pBdr>
        <w:bottom w:val="single" w:sz="8" w:space="4" w:color="4F81BD"/>
      </w:pBdr>
      <w:spacing w:after="300" w:line="240" w:lineRule="auto"/>
    </w:pPr>
    <w:rPr>
      <w:rFonts w:ascii="Cambria" w:eastAsia="MS Gothic" w:hAnsi="Cambria" w:cs="Cambria"/>
      <w:color w:val="17365D"/>
      <w:spacing w:val="5"/>
      <w:kern w:val="28"/>
      <w:sz w:val="52"/>
      <w:szCs w:val="52"/>
      <w:lang w:val="en-US" w:eastAsia="ja-JP"/>
    </w:rPr>
  </w:style>
  <w:style w:type="character" w:customStyle="1" w:styleId="TitleChar">
    <w:name w:val="Title Char"/>
    <w:link w:val="Title"/>
    <w:uiPriority w:val="99"/>
    <w:locked/>
    <w:rsid w:val="00C16DDB"/>
    <w:rPr>
      <w:rFonts w:ascii="Cambria" w:eastAsia="MS Gothic" w:hAnsi="Cambria" w:cs="Cambria"/>
      <w:color w:val="17365D"/>
      <w:spacing w:val="5"/>
      <w:kern w:val="28"/>
      <w:sz w:val="52"/>
      <w:szCs w:val="52"/>
      <w:lang w:val="en-US" w:eastAsia="ja-JP"/>
    </w:rPr>
  </w:style>
  <w:style w:type="paragraph" w:styleId="Subtitle">
    <w:name w:val="Subtitle"/>
    <w:basedOn w:val="Normal"/>
    <w:next w:val="Normal"/>
    <w:link w:val="SubtitleChar"/>
    <w:uiPriority w:val="99"/>
    <w:qFormat/>
    <w:rsid w:val="00C16DDB"/>
    <w:pPr>
      <w:numPr>
        <w:ilvl w:val="1"/>
      </w:numPr>
    </w:pPr>
    <w:rPr>
      <w:rFonts w:ascii="Cambria" w:eastAsia="MS Gothic" w:hAnsi="Cambria" w:cs="Cambria"/>
      <w:i/>
      <w:iCs/>
      <w:color w:val="4F81BD"/>
      <w:spacing w:val="15"/>
      <w:sz w:val="24"/>
      <w:szCs w:val="24"/>
      <w:lang w:val="en-US" w:eastAsia="ja-JP"/>
    </w:rPr>
  </w:style>
  <w:style w:type="character" w:customStyle="1" w:styleId="SubtitleChar">
    <w:name w:val="Subtitle Char"/>
    <w:link w:val="Subtitle"/>
    <w:uiPriority w:val="99"/>
    <w:locked/>
    <w:rsid w:val="00C16DDB"/>
    <w:rPr>
      <w:rFonts w:ascii="Cambria" w:eastAsia="MS Gothic" w:hAnsi="Cambria" w:cs="Cambria"/>
      <w:i/>
      <w:iCs/>
      <w:color w:val="4F81BD"/>
      <w:spacing w:val="15"/>
      <w:sz w:val="24"/>
      <w:szCs w:val="24"/>
      <w:lang w:val="en-US" w:eastAsia="ja-JP"/>
    </w:rPr>
  </w:style>
  <w:style w:type="paragraph" w:styleId="Revision">
    <w:name w:val="Revision"/>
    <w:hidden/>
    <w:uiPriority w:val="99"/>
    <w:semiHidden/>
    <w:rsid w:val="00172DCA"/>
    <w:rPr>
      <w:rFonts w:cs="Calibri"/>
      <w:sz w:val="22"/>
      <w:szCs w:val="22"/>
      <w:lang w:val="en-GB" w:eastAsia="en-US"/>
    </w:rPr>
  </w:style>
  <w:style w:type="character" w:styleId="SubtleReference">
    <w:name w:val="Subtle Reference"/>
    <w:uiPriority w:val="31"/>
    <w:qFormat/>
    <w:rsid w:val="00D13CEE"/>
    <w:rPr>
      <w:smallCaps/>
      <w:color w:val="C0504D"/>
      <w:u w:val="single"/>
    </w:rPr>
  </w:style>
  <w:style w:type="character" w:customStyle="1" w:styleId="Heading5Char">
    <w:name w:val="Heading 5 Char"/>
    <w:basedOn w:val="DefaultParagraphFont"/>
    <w:link w:val="Heading5"/>
    <w:semiHidden/>
    <w:rsid w:val="009F2C17"/>
    <w:rPr>
      <w:rFonts w:asciiTheme="majorHAnsi" w:eastAsiaTheme="majorEastAsia" w:hAnsiTheme="majorHAnsi" w:cstheme="majorBidi"/>
      <w:color w:val="365F91" w:themeColor="accent1" w:themeShade="BF"/>
      <w:sz w:val="22"/>
      <w:szCs w:val="22"/>
      <w:lang w:val="en-GB" w:eastAsia="en-US"/>
    </w:rPr>
  </w:style>
  <w:style w:type="paragraph" w:customStyle="1" w:styleId="BuFootnote">
    <w:name w:val="Bu Footnote"/>
    <w:basedOn w:val="FootnoteText"/>
    <w:qFormat/>
    <w:rsid w:val="0005387E"/>
    <w:pPr>
      <w:jc w:val="both"/>
    </w:pPr>
    <w:rPr>
      <w:rFonts w:asciiTheme="minorHAnsi" w:eastAsiaTheme="minorHAnsi" w:hAnsiTheme="minorHAnsi" w:cstheme="minorBidi"/>
      <w:szCs w:val="24"/>
      <w:lang w:val="en-US"/>
    </w:rPr>
  </w:style>
  <w:style w:type="paragraph" w:customStyle="1" w:styleId="BuTableBody">
    <w:name w:val="Bu Table Body"/>
    <w:basedOn w:val="Normal"/>
    <w:qFormat/>
    <w:rsid w:val="0005387E"/>
    <w:pPr>
      <w:spacing w:after="0" w:line="240" w:lineRule="auto"/>
      <w:jc w:val="both"/>
    </w:pPr>
    <w:rPr>
      <w:rFonts w:asciiTheme="minorHAnsi" w:eastAsiaTheme="minorHAnsi" w:hAnsiTheme="minorHAnsi" w:cstheme="minorBidi"/>
      <w:lang w:val="en-US"/>
    </w:rPr>
  </w:style>
  <w:style w:type="character" w:customStyle="1" w:styleId="ListParagraphChar">
    <w:name w:val="List Paragraph Char"/>
    <w:aliases w:val="Recommendation Char,L Char,List Paragraph1 Char,List Paragraph11 Char"/>
    <w:link w:val="ListParagraph"/>
    <w:uiPriority w:val="34"/>
    <w:locked/>
    <w:rsid w:val="00415708"/>
    <w:rPr>
      <w:rFonts w:cs="Calibri"/>
      <w:sz w:val="22"/>
      <w:szCs w:val="22"/>
      <w:lang w:val="en-GB" w:eastAsia="en-US"/>
    </w:rPr>
  </w:style>
  <w:style w:type="character" w:styleId="Emphasis">
    <w:name w:val="Emphasis"/>
    <w:basedOn w:val="DefaultParagraphFont"/>
    <w:uiPriority w:val="20"/>
    <w:qFormat/>
    <w:locked/>
    <w:rsid w:val="006821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2989">
      <w:bodyDiv w:val="1"/>
      <w:marLeft w:val="0"/>
      <w:marRight w:val="0"/>
      <w:marTop w:val="0"/>
      <w:marBottom w:val="0"/>
      <w:divBdr>
        <w:top w:val="none" w:sz="0" w:space="0" w:color="auto"/>
        <w:left w:val="none" w:sz="0" w:space="0" w:color="auto"/>
        <w:bottom w:val="none" w:sz="0" w:space="0" w:color="auto"/>
        <w:right w:val="none" w:sz="0" w:space="0" w:color="auto"/>
      </w:divBdr>
    </w:div>
    <w:div w:id="40255240">
      <w:bodyDiv w:val="1"/>
      <w:marLeft w:val="0"/>
      <w:marRight w:val="0"/>
      <w:marTop w:val="0"/>
      <w:marBottom w:val="0"/>
      <w:divBdr>
        <w:top w:val="none" w:sz="0" w:space="0" w:color="auto"/>
        <w:left w:val="none" w:sz="0" w:space="0" w:color="auto"/>
        <w:bottom w:val="none" w:sz="0" w:space="0" w:color="auto"/>
        <w:right w:val="none" w:sz="0" w:space="0" w:color="auto"/>
      </w:divBdr>
    </w:div>
    <w:div w:id="104011165">
      <w:marLeft w:val="0"/>
      <w:marRight w:val="0"/>
      <w:marTop w:val="0"/>
      <w:marBottom w:val="0"/>
      <w:divBdr>
        <w:top w:val="none" w:sz="0" w:space="0" w:color="auto"/>
        <w:left w:val="none" w:sz="0" w:space="0" w:color="auto"/>
        <w:bottom w:val="none" w:sz="0" w:space="0" w:color="auto"/>
        <w:right w:val="none" w:sz="0" w:space="0" w:color="auto"/>
      </w:divBdr>
    </w:div>
    <w:div w:id="463013182">
      <w:bodyDiv w:val="1"/>
      <w:marLeft w:val="0"/>
      <w:marRight w:val="0"/>
      <w:marTop w:val="0"/>
      <w:marBottom w:val="0"/>
      <w:divBdr>
        <w:top w:val="none" w:sz="0" w:space="0" w:color="auto"/>
        <w:left w:val="none" w:sz="0" w:space="0" w:color="auto"/>
        <w:bottom w:val="none" w:sz="0" w:space="0" w:color="auto"/>
        <w:right w:val="none" w:sz="0" w:space="0" w:color="auto"/>
      </w:divBdr>
    </w:div>
    <w:div w:id="476193646">
      <w:bodyDiv w:val="1"/>
      <w:marLeft w:val="0"/>
      <w:marRight w:val="0"/>
      <w:marTop w:val="0"/>
      <w:marBottom w:val="0"/>
      <w:divBdr>
        <w:top w:val="none" w:sz="0" w:space="0" w:color="auto"/>
        <w:left w:val="none" w:sz="0" w:space="0" w:color="auto"/>
        <w:bottom w:val="none" w:sz="0" w:space="0" w:color="auto"/>
        <w:right w:val="none" w:sz="0" w:space="0" w:color="auto"/>
      </w:divBdr>
    </w:div>
    <w:div w:id="620186772">
      <w:bodyDiv w:val="1"/>
      <w:marLeft w:val="0"/>
      <w:marRight w:val="0"/>
      <w:marTop w:val="0"/>
      <w:marBottom w:val="0"/>
      <w:divBdr>
        <w:top w:val="none" w:sz="0" w:space="0" w:color="auto"/>
        <w:left w:val="none" w:sz="0" w:space="0" w:color="auto"/>
        <w:bottom w:val="none" w:sz="0" w:space="0" w:color="auto"/>
        <w:right w:val="none" w:sz="0" w:space="0" w:color="auto"/>
      </w:divBdr>
    </w:div>
    <w:div w:id="876089047">
      <w:bodyDiv w:val="1"/>
      <w:marLeft w:val="0"/>
      <w:marRight w:val="0"/>
      <w:marTop w:val="0"/>
      <w:marBottom w:val="0"/>
      <w:divBdr>
        <w:top w:val="none" w:sz="0" w:space="0" w:color="auto"/>
        <w:left w:val="none" w:sz="0" w:space="0" w:color="auto"/>
        <w:bottom w:val="none" w:sz="0" w:space="0" w:color="auto"/>
        <w:right w:val="none" w:sz="0" w:space="0" w:color="auto"/>
      </w:divBdr>
    </w:div>
    <w:div w:id="160926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AU" b="1" i="1"/>
              <a:t>Stretem Rod Blong Jastis </a:t>
            </a:r>
            <a:r>
              <a:rPr lang="en-AU" b="1"/>
              <a:t>Anticipated Budget v Actual Expenditure July - Dec 2014</a:t>
            </a:r>
          </a:p>
        </c:rich>
      </c:tx>
      <c:overlay val="0"/>
      <c:spPr>
        <a:noFill/>
        <a:ln>
          <a:noFill/>
        </a:ln>
        <a:effectLst/>
      </c:spPr>
    </c:title>
    <c:autoTitleDeleted val="0"/>
    <c:plotArea>
      <c:layout/>
      <c:barChart>
        <c:barDir val="bar"/>
        <c:grouping val="clustered"/>
        <c:varyColors val="0"/>
        <c:ser>
          <c:idx val="0"/>
          <c:order val="0"/>
          <c:tx>
            <c:strRef>
              <c:f>Sheet1!$C$3</c:f>
              <c:strCache>
                <c:ptCount val="1"/>
                <c:pt idx="0">
                  <c:v>Actual (A$)</c:v>
                </c:pt>
              </c:strCache>
            </c:strRef>
          </c:tx>
          <c:spPr>
            <a:solidFill>
              <a:schemeClr val="accent1"/>
            </a:solidFill>
            <a:ln>
              <a:noFill/>
            </a:ln>
            <a:effectLst/>
          </c:spPr>
          <c:invertIfNegative val="0"/>
          <c:cat>
            <c:strRef>
              <c:f>Sheet1!$B$4:$B$14</c:f>
              <c:strCache>
                <c:ptCount val="11"/>
                <c:pt idx="0">
                  <c:v> Long Term Adviser Costs</c:v>
                </c:pt>
                <c:pt idx="2">
                  <c:v>Short Term Adviser Costs</c:v>
                </c:pt>
                <c:pt idx="4">
                  <c:v> Other Personnel Costs</c:v>
                </c:pt>
                <c:pt idx="6">
                  <c:v>Adviser Support Costs</c:v>
                </c:pt>
                <c:pt idx="8">
                  <c:v>Operational Costs</c:v>
                </c:pt>
                <c:pt idx="10">
                  <c:v>Program Activity Costs</c:v>
                </c:pt>
              </c:strCache>
            </c:strRef>
          </c:cat>
          <c:val>
            <c:numRef>
              <c:f>Sheet1!$C$4:$C$14</c:f>
              <c:numCache>
                <c:formatCode>General</c:formatCode>
                <c:ptCount val="11"/>
                <c:pt idx="0" formatCode="_(* #,##0.00_);_(* \(#,##0.00\);_(* &quot;-&quot;??_);_(@_)">
                  <c:v>355738.8</c:v>
                </c:pt>
                <c:pt idx="2" formatCode="_(* #,##0.00_);_(* \(#,##0.00\);_(* &quot;-&quot;??_);_(@_)">
                  <c:v>137442.88</c:v>
                </c:pt>
                <c:pt idx="4" formatCode="_(* #,##0.00_);_(* \(#,##0.00\);_(* &quot;-&quot;??_);_(@_)">
                  <c:v>85672.48</c:v>
                </c:pt>
                <c:pt idx="6" formatCode="_(* #,##0.00_);_(* \(#,##0.00\);_(* &quot;-&quot;??_);_(@_)">
                  <c:v>80843.239999999991</c:v>
                </c:pt>
                <c:pt idx="8" formatCode="_(* #,##0.00_);_(* \(#,##0.00\);_(* &quot;-&quot;??_);_(@_)">
                  <c:v>80770.67</c:v>
                </c:pt>
                <c:pt idx="10" formatCode="_(* #,##0.00_);_(* \(#,##0.00\);_(* &quot;-&quot;??_);_(@_)">
                  <c:v>639124.78</c:v>
                </c:pt>
              </c:numCache>
            </c:numRef>
          </c:val>
        </c:ser>
        <c:ser>
          <c:idx val="1"/>
          <c:order val="1"/>
          <c:tx>
            <c:strRef>
              <c:f>Sheet1!$D$3</c:f>
              <c:strCache>
                <c:ptCount val="1"/>
                <c:pt idx="0">
                  <c:v>Budget (A$)</c:v>
                </c:pt>
              </c:strCache>
            </c:strRef>
          </c:tx>
          <c:spPr>
            <a:solidFill>
              <a:schemeClr val="accent2"/>
            </a:solidFill>
            <a:ln>
              <a:noFill/>
            </a:ln>
            <a:effectLst/>
          </c:spPr>
          <c:invertIfNegative val="0"/>
          <c:cat>
            <c:strRef>
              <c:f>Sheet1!$B$4:$B$14</c:f>
              <c:strCache>
                <c:ptCount val="11"/>
                <c:pt idx="0">
                  <c:v> Long Term Adviser Costs</c:v>
                </c:pt>
                <c:pt idx="2">
                  <c:v>Short Term Adviser Costs</c:v>
                </c:pt>
                <c:pt idx="4">
                  <c:v> Other Personnel Costs</c:v>
                </c:pt>
                <c:pt idx="6">
                  <c:v>Adviser Support Costs</c:v>
                </c:pt>
                <c:pt idx="8">
                  <c:v>Operational Costs</c:v>
                </c:pt>
                <c:pt idx="10">
                  <c:v>Program Activity Costs</c:v>
                </c:pt>
              </c:strCache>
            </c:strRef>
          </c:cat>
          <c:val>
            <c:numRef>
              <c:f>Sheet1!$D$4:$D$14</c:f>
              <c:numCache>
                <c:formatCode>General</c:formatCode>
                <c:ptCount val="11"/>
                <c:pt idx="0" formatCode="#,##0.00">
                  <c:v>508316</c:v>
                </c:pt>
                <c:pt idx="2" formatCode="#,##0.00">
                  <c:v>86217.5</c:v>
                </c:pt>
                <c:pt idx="4" formatCode="#,##0.00">
                  <c:v>62924</c:v>
                </c:pt>
                <c:pt idx="6" formatCode="#,##0.00">
                  <c:v>130475.5</c:v>
                </c:pt>
                <c:pt idx="8" formatCode="#,##0.00">
                  <c:v>57955</c:v>
                </c:pt>
                <c:pt idx="10" formatCode="#,##0.00">
                  <c:v>354354</c:v>
                </c:pt>
              </c:numCache>
            </c:numRef>
          </c:val>
        </c:ser>
        <c:dLbls>
          <c:showLegendKey val="0"/>
          <c:showVal val="0"/>
          <c:showCatName val="0"/>
          <c:showSerName val="0"/>
          <c:showPercent val="0"/>
          <c:showBubbleSize val="0"/>
        </c:dLbls>
        <c:gapWidth val="182"/>
        <c:axId val="66574592"/>
        <c:axId val="103555072"/>
      </c:barChart>
      <c:catAx>
        <c:axId val="665745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03555072"/>
        <c:crosses val="autoZero"/>
        <c:auto val="1"/>
        <c:lblAlgn val="ctr"/>
        <c:lblOffset val="100"/>
        <c:noMultiLvlLbl val="0"/>
      </c:catAx>
      <c:valAx>
        <c:axId val="10355507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_(* #,##0.00_);_(* \(#,##0.00\);_(* &quot;-&quot;??_);_(@_)" sourceLinked="1"/>
        <c:majorTickMark val="none"/>
        <c:minorTickMark val="none"/>
        <c:tickLblPos val="nextTo"/>
        <c:spPr>
          <a:noFill/>
          <a:ln>
            <a:noFill/>
          </a:ln>
          <a:effectLst/>
        </c:spPr>
        <c:txPr>
          <a:bodyPr rot="192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574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F37DB-4B2F-4657-A050-A615D42A0681}"/>
</file>

<file path=customXml/itemProps2.xml><?xml version="1.0" encoding="utf-8"?>
<ds:datastoreItem xmlns:ds="http://schemas.openxmlformats.org/officeDocument/2006/customXml" ds:itemID="{359BDD44-58F4-4DA6-9295-68B54F2E966F}"/>
</file>

<file path=customXml/itemProps3.xml><?xml version="1.0" encoding="utf-8"?>
<ds:datastoreItem xmlns:ds="http://schemas.openxmlformats.org/officeDocument/2006/customXml" ds:itemID="{A676C356-8C3C-4F81-8025-F57592930285}"/>
</file>

<file path=customXml/itemProps4.xml><?xml version="1.0" encoding="utf-8"?>
<ds:datastoreItem xmlns:ds="http://schemas.openxmlformats.org/officeDocument/2006/customXml" ds:itemID="{EFBE5B62-4D7A-4A6A-9277-C112204F8C83}"/>
</file>

<file path=docProps/app.xml><?xml version="1.0" encoding="utf-8"?>
<Properties xmlns="http://schemas.openxmlformats.org/officeDocument/2006/extended-properties" xmlns:vt="http://schemas.openxmlformats.org/officeDocument/2006/docPropsVTypes">
  <Template>Normal</Template>
  <TotalTime>1</TotalTime>
  <Pages>1</Pages>
  <Words>18778</Words>
  <Characters>107035</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stretem rodblong jastis Partership</vt:lpstr>
    </vt:vector>
  </TitlesOfParts>
  <Company>Stretem Rod Blong Jastis Stage 2 Progress Report - January 2015</Company>
  <LinksUpToDate>false</LinksUpToDate>
  <CharactersWithSpaces>125562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stretem rodblong jastis Partership</dc:title>
  <dc:subject>PRORESS REPORT – December 2012</dc:subject>
  <dc:creator>User</dc:creator>
  <cp:lastModifiedBy>User</cp:lastModifiedBy>
  <cp:revision>4</cp:revision>
  <cp:lastPrinted>2015-04-22T23:42:00Z</cp:lastPrinted>
  <dcterms:created xsi:type="dcterms:W3CDTF">2015-04-22T23:42:00Z</dcterms:created>
  <dcterms:modified xsi:type="dcterms:W3CDTF">2015-04-22T23:45:00Z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1081900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