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54E29" w14:textId="3040CBD4" w:rsidR="00D93677" w:rsidRPr="00086BBB" w:rsidRDefault="00490CDB" w:rsidP="29B8903C">
      <w:pPr>
        <w:pStyle w:val="SpacebeforeTitle"/>
        <w:tabs>
          <w:tab w:val="left" w:pos="1114"/>
        </w:tabs>
        <w:spacing w:after="0"/>
        <w:rPr>
          <w:b/>
          <w:bCs/>
          <w:color w:val="auto"/>
          <w:sz w:val="36"/>
          <w:szCs w:val="36"/>
        </w:rPr>
      </w:pPr>
      <w:bookmarkStart w:id="0" w:name="_Toc399508768"/>
      <w:bookmarkStart w:id="1" w:name="_Toc399508866"/>
      <w:bookmarkStart w:id="2" w:name="_Toc416685112"/>
      <w:r w:rsidRPr="29B8903C">
        <w:rPr>
          <w:b/>
          <w:bCs/>
          <w:color w:val="auto"/>
          <w:sz w:val="36"/>
          <w:szCs w:val="36"/>
        </w:rPr>
        <w:t xml:space="preserve">Investment Concept </w:t>
      </w:r>
      <w:bookmarkEnd w:id="0"/>
      <w:bookmarkEnd w:id="1"/>
      <w:bookmarkEnd w:id="2"/>
    </w:p>
    <w:p w14:paraId="3A718DD2" w14:textId="5C9D8AA4" w:rsidR="00490CDB" w:rsidRPr="00C40580" w:rsidRDefault="00490CDB" w:rsidP="513595A1">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rFonts w:eastAsiaTheme="minorEastAsia"/>
          <w:color w:val="auto"/>
          <w:sz w:val="21"/>
          <w:szCs w:val="21"/>
        </w:rPr>
      </w:pPr>
      <w:r w:rsidRPr="513595A1">
        <w:rPr>
          <w:rFonts w:asciiTheme="majorHAnsi" w:hAnsiTheme="majorHAnsi" w:cstheme="majorBidi"/>
          <w:b/>
          <w:bCs/>
          <w:color w:val="auto"/>
        </w:rPr>
        <w:t>I</w:t>
      </w:r>
      <w:r w:rsidRPr="00C40580">
        <w:rPr>
          <w:rFonts w:eastAsiaTheme="minorEastAsia"/>
          <w:b/>
          <w:bCs/>
          <w:color w:val="auto"/>
          <w:sz w:val="21"/>
          <w:szCs w:val="21"/>
        </w:rPr>
        <w:t>nvestment Concept Title:</w:t>
      </w:r>
      <w:r w:rsidR="007E50C9" w:rsidRPr="00C40580">
        <w:rPr>
          <w:rFonts w:eastAsiaTheme="minorEastAsia"/>
          <w:b/>
          <w:bCs/>
          <w:color w:val="auto"/>
          <w:sz w:val="21"/>
          <w:szCs w:val="21"/>
        </w:rPr>
        <w:t xml:space="preserve"> </w:t>
      </w:r>
      <w:r w:rsidR="007E50C9" w:rsidRPr="002E2E72">
        <w:rPr>
          <w:rFonts w:eastAsiaTheme="minorEastAsia"/>
          <w:color w:val="auto"/>
          <w:sz w:val="21"/>
          <w:szCs w:val="21"/>
        </w:rPr>
        <w:t>PNG Secondary Education Program</w:t>
      </w:r>
    </w:p>
    <w:p w14:paraId="315A7447" w14:textId="0522EEC4" w:rsidR="00490CDB" w:rsidRPr="00C40580" w:rsidRDefault="00490CDB" w:rsidP="513595A1">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rFonts w:eastAsiaTheme="minorEastAsia"/>
          <w:b/>
          <w:bCs/>
          <w:color w:val="auto"/>
          <w:sz w:val="21"/>
          <w:szCs w:val="21"/>
        </w:rPr>
      </w:pPr>
      <w:r w:rsidRPr="00C40580">
        <w:rPr>
          <w:rFonts w:eastAsiaTheme="minorEastAsia"/>
          <w:b/>
          <w:bCs/>
          <w:color w:val="auto"/>
          <w:sz w:val="21"/>
          <w:szCs w:val="21"/>
        </w:rPr>
        <w:t>Start date:</w:t>
      </w:r>
      <w:r w:rsidR="007E50C9" w:rsidRPr="00C40580">
        <w:rPr>
          <w:rFonts w:eastAsiaTheme="minorEastAsia"/>
          <w:b/>
          <w:bCs/>
          <w:color w:val="auto"/>
          <w:sz w:val="21"/>
          <w:szCs w:val="21"/>
        </w:rPr>
        <w:t xml:space="preserve"> </w:t>
      </w:r>
      <w:r w:rsidR="00C40580" w:rsidRPr="002E2E72">
        <w:rPr>
          <w:rFonts w:eastAsiaTheme="minorEastAsia"/>
          <w:color w:val="auto"/>
          <w:sz w:val="21"/>
          <w:szCs w:val="21"/>
        </w:rPr>
        <w:t>2025</w:t>
      </w:r>
      <w:r>
        <w:tab/>
      </w:r>
      <w:r w:rsidRPr="00C40580">
        <w:rPr>
          <w:rFonts w:eastAsiaTheme="minorEastAsia"/>
          <w:b/>
          <w:bCs/>
          <w:color w:val="auto"/>
          <w:sz w:val="21"/>
          <w:szCs w:val="21"/>
        </w:rPr>
        <w:t xml:space="preserve">End date: </w:t>
      </w:r>
      <w:r w:rsidR="00C40580" w:rsidRPr="002E2E72">
        <w:rPr>
          <w:rFonts w:eastAsiaTheme="minorEastAsia"/>
          <w:color w:val="auto"/>
          <w:sz w:val="21"/>
          <w:szCs w:val="21"/>
        </w:rPr>
        <w:t>2029</w:t>
      </w:r>
    </w:p>
    <w:p w14:paraId="762B8A1A" w14:textId="22DCA141" w:rsidR="00490CDB" w:rsidRPr="00C40580" w:rsidRDefault="00490CDB" w:rsidP="513595A1">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rFonts w:eastAsiaTheme="minorEastAsia"/>
          <w:b/>
          <w:bCs/>
          <w:color w:val="auto"/>
          <w:sz w:val="21"/>
          <w:szCs w:val="21"/>
        </w:rPr>
      </w:pPr>
      <w:r w:rsidRPr="00C40580">
        <w:rPr>
          <w:rFonts w:eastAsiaTheme="minorEastAsia"/>
          <w:b/>
          <w:bCs/>
          <w:color w:val="auto"/>
          <w:sz w:val="21"/>
          <w:szCs w:val="21"/>
        </w:rPr>
        <w:t xml:space="preserve">Total proposed DFAT funding: </w:t>
      </w:r>
      <w:r w:rsidRPr="00C40580">
        <w:rPr>
          <w:rFonts w:eastAsiaTheme="minorEastAsia"/>
          <w:color w:val="auto"/>
          <w:sz w:val="21"/>
          <w:szCs w:val="21"/>
        </w:rPr>
        <w:t>AUD</w:t>
      </w:r>
      <w:r w:rsidR="003C1444" w:rsidRPr="00C40580">
        <w:rPr>
          <w:rFonts w:eastAsiaTheme="minorEastAsia"/>
          <w:color w:val="auto"/>
          <w:sz w:val="21"/>
          <w:szCs w:val="21"/>
        </w:rPr>
        <w:t xml:space="preserve"> </w:t>
      </w:r>
      <w:r w:rsidR="009757DD" w:rsidRPr="00C40580">
        <w:rPr>
          <w:rFonts w:eastAsiaTheme="minorEastAsia"/>
          <w:color w:val="auto"/>
          <w:sz w:val="21"/>
          <w:szCs w:val="21"/>
        </w:rPr>
        <w:t>25</w:t>
      </w:r>
      <w:r w:rsidR="003C1444" w:rsidRPr="00C40580">
        <w:rPr>
          <w:rFonts w:eastAsiaTheme="minorEastAsia"/>
          <w:color w:val="auto"/>
          <w:sz w:val="21"/>
          <w:szCs w:val="21"/>
        </w:rPr>
        <w:t xml:space="preserve"> million</w:t>
      </w:r>
    </w:p>
    <w:p w14:paraId="7F5DFE21" w14:textId="282E98DD" w:rsidR="00490CDB" w:rsidRPr="00C40580" w:rsidRDefault="00C1456B" w:rsidP="513595A1">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rFonts w:eastAsiaTheme="minorEastAsia"/>
          <w:color w:val="auto"/>
          <w:sz w:val="21"/>
          <w:szCs w:val="21"/>
        </w:rPr>
      </w:pPr>
      <w:r w:rsidRPr="00C40580">
        <w:rPr>
          <w:rFonts w:eastAsiaTheme="minorEastAsia"/>
          <w:b/>
          <w:bCs/>
          <w:color w:val="auto"/>
          <w:sz w:val="21"/>
          <w:szCs w:val="21"/>
        </w:rPr>
        <w:t xml:space="preserve">Total proposed funding from all donor/s: </w:t>
      </w:r>
      <w:r w:rsidRPr="00C40580">
        <w:rPr>
          <w:rFonts w:eastAsiaTheme="minorEastAsia"/>
          <w:color w:val="auto"/>
          <w:sz w:val="21"/>
          <w:szCs w:val="21"/>
        </w:rPr>
        <w:t>AUD 25 million</w:t>
      </w:r>
    </w:p>
    <w:p w14:paraId="3CF41261" w14:textId="77777777" w:rsidR="00490CDB" w:rsidRPr="00C40580" w:rsidRDefault="00490CDB" w:rsidP="513595A1">
      <w:pPr>
        <w:spacing w:before="0" w:after="0"/>
        <w:rPr>
          <w:rFonts w:eastAsiaTheme="minorEastAsia"/>
          <w:b/>
          <w:bCs/>
          <w:color w:val="auto"/>
          <w:sz w:val="21"/>
          <w:szCs w:val="21"/>
        </w:rPr>
      </w:pPr>
    </w:p>
    <w:p w14:paraId="7A71ECB3" w14:textId="4CC9CCF1" w:rsidR="00490CDB" w:rsidRPr="00C40580" w:rsidRDefault="00733A15" w:rsidP="513595A1">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pBdr>
        <w:shd w:val="clear" w:color="auto" w:fill="E0F3EF" w:themeFill="accent1" w:themeFillTint="33"/>
        <w:spacing w:after="120"/>
        <w:rPr>
          <w:rFonts w:eastAsiaTheme="minorEastAsia"/>
          <w:b/>
          <w:bCs/>
          <w:color w:val="auto"/>
        </w:rPr>
      </w:pPr>
      <w:r w:rsidRPr="00C40580">
        <w:rPr>
          <w:rFonts w:eastAsiaTheme="minorEastAsia"/>
          <w:b/>
          <w:bCs/>
          <w:color w:val="auto"/>
        </w:rPr>
        <w:t>A. D</w:t>
      </w:r>
      <w:r w:rsidR="00BE4DC3" w:rsidRPr="00C40580">
        <w:rPr>
          <w:rFonts w:eastAsiaTheme="minorEastAsia"/>
          <w:b/>
          <w:bCs/>
          <w:color w:val="auto"/>
        </w:rPr>
        <w:t>evelopment Context (</w:t>
      </w:r>
      <w:r w:rsidR="004776A5" w:rsidRPr="00C40580">
        <w:rPr>
          <w:rFonts w:eastAsiaTheme="minorEastAsia"/>
          <w:b/>
          <w:bCs/>
          <w:color w:val="auto"/>
        </w:rPr>
        <w:t xml:space="preserve">What </w:t>
      </w:r>
      <w:r w:rsidR="00193353" w:rsidRPr="00C40580">
        <w:rPr>
          <w:rFonts w:eastAsiaTheme="minorEastAsia"/>
          <w:b/>
          <w:bCs/>
          <w:color w:val="auto"/>
        </w:rPr>
        <w:t xml:space="preserve">is the </w:t>
      </w:r>
      <w:r w:rsidR="004776A5" w:rsidRPr="00C40580">
        <w:rPr>
          <w:rFonts w:eastAsiaTheme="minorEastAsia"/>
          <w:b/>
          <w:bCs/>
          <w:color w:val="auto"/>
        </w:rPr>
        <w:t>problem</w:t>
      </w:r>
      <w:r w:rsidR="00BE4DC3" w:rsidRPr="00C40580">
        <w:rPr>
          <w:rFonts w:eastAsiaTheme="minorEastAsia"/>
          <w:b/>
          <w:bCs/>
          <w:color w:val="auto"/>
        </w:rPr>
        <w:t>?)</w:t>
      </w:r>
    </w:p>
    <w:p w14:paraId="07BB57AB" w14:textId="524E5047" w:rsidR="005C6A73" w:rsidRPr="000E1870" w:rsidRDefault="005C6A73" w:rsidP="00A213E0">
      <w:pPr>
        <w:tabs>
          <w:tab w:val="left" w:pos="284"/>
        </w:tabs>
        <w:suppressAutoHyphens w:val="0"/>
        <w:spacing w:after="120" w:line="280" w:lineRule="exact"/>
        <w:rPr>
          <w:rFonts w:eastAsiaTheme="minorEastAsia"/>
          <w:b/>
          <w:bCs/>
          <w:color w:val="auto"/>
          <w:sz w:val="21"/>
          <w:szCs w:val="21"/>
          <w:lang w:val="en-AU"/>
        </w:rPr>
      </w:pPr>
      <w:r w:rsidRPr="513595A1">
        <w:rPr>
          <w:rFonts w:eastAsiaTheme="minorEastAsia"/>
          <w:b/>
          <w:bCs/>
          <w:color w:val="auto"/>
          <w:sz w:val="21"/>
          <w:szCs w:val="21"/>
          <w:lang w:val="en-AU"/>
        </w:rPr>
        <w:t>Situation Analysis</w:t>
      </w:r>
    </w:p>
    <w:p w14:paraId="2855A842" w14:textId="69290997" w:rsidR="00395236" w:rsidRPr="002E3BF6" w:rsidRDefault="005C6A73" w:rsidP="00A213E0">
      <w:pPr>
        <w:shd w:val="clear" w:color="auto" w:fill="FFFFFF" w:themeFill="background1"/>
        <w:spacing w:after="120" w:line="280" w:lineRule="exact"/>
        <w:rPr>
          <w:rFonts w:eastAsiaTheme="minorEastAsia"/>
          <w:color w:val="auto"/>
          <w:sz w:val="21"/>
          <w:szCs w:val="21"/>
        </w:rPr>
      </w:pPr>
      <w:r w:rsidRPr="513595A1">
        <w:rPr>
          <w:rFonts w:eastAsiaTheme="minorEastAsia"/>
          <w:color w:val="auto"/>
          <w:sz w:val="21"/>
          <w:szCs w:val="21"/>
          <w:lang w:val="en-AU"/>
        </w:rPr>
        <w:t>PNG is one of the lowest per capita spenders on education in the Asia Pacific region</w:t>
      </w:r>
      <w:r w:rsidR="00C1456B">
        <w:rPr>
          <w:rFonts w:eastAsiaTheme="minorEastAsia"/>
          <w:color w:val="auto"/>
          <w:sz w:val="21"/>
          <w:szCs w:val="21"/>
          <w:lang w:val="en-AU"/>
        </w:rPr>
        <w:t>. Its</w:t>
      </w:r>
      <w:r w:rsidRPr="513595A1">
        <w:rPr>
          <w:rFonts w:eastAsiaTheme="minorEastAsia"/>
          <w:color w:val="auto"/>
          <w:sz w:val="21"/>
          <w:szCs w:val="21"/>
        </w:rPr>
        <w:t xml:space="preserve"> growing population</w:t>
      </w:r>
      <w:r w:rsidR="00C1456B">
        <w:rPr>
          <w:rFonts w:eastAsiaTheme="minorEastAsia"/>
          <w:color w:val="auto"/>
          <w:sz w:val="21"/>
          <w:szCs w:val="21"/>
        </w:rPr>
        <w:t xml:space="preserve"> experiences</w:t>
      </w:r>
      <w:r w:rsidRPr="513595A1">
        <w:rPr>
          <w:rFonts w:eastAsiaTheme="minorEastAsia"/>
          <w:color w:val="auto"/>
          <w:sz w:val="21"/>
          <w:szCs w:val="21"/>
        </w:rPr>
        <w:t xml:space="preserve"> poor learning outcomes</w:t>
      </w:r>
      <w:r w:rsidR="00C1456B">
        <w:rPr>
          <w:rFonts w:eastAsiaTheme="minorEastAsia"/>
          <w:color w:val="auto"/>
          <w:sz w:val="21"/>
          <w:szCs w:val="21"/>
        </w:rPr>
        <w:t>, challenging the country’s development aspirations</w:t>
      </w:r>
      <w:r w:rsidRPr="513595A1">
        <w:rPr>
          <w:rFonts w:eastAsiaTheme="minorEastAsia"/>
          <w:color w:val="auto"/>
          <w:sz w:val="21"/>
          <w:szCs w:val="21"/>
        </w:rPr>
        <w:t xml:space="preserve">. </w:t>
      </w:r>
      <w:r w:rsidRPr="513595A1">
        <w:rPr>
          <w:rFonts w:eastAsiaTheme="minorEastAsia"/>
          <w:color w:val="auto"/>
          <w:sz w:val="21"/>
          <w:szCs w:val="21"/>
          <w:lang w:val="en-AU"/>
        </w:rPr>
        <w:t>Approximately 80</w:t>
      </w:r>
      <w:r w:rsidR="007105B1">
        <w:rPr>
          <w:rFonts w:eastAsiaTheme="minorEastAsia"/>
          <w:color w:val="auto"/>
          <w:sz w:val="21"/>
          <w:szCs w:val="21"/>
          <w:lang w:val="en-AU"/>
        </w:rPr>
        <w:t xml:space="preserve"> per cent</w:t>
      </w:r>
      <w:r w:rsidRPr="513595A1">
        <w:rPr>
          <w:rFonts w:eastAsiaTheme="minorEastAsia"/>
          <w:color w:val="auto"/>
          <w:sz w:val="21"/>
          <w:szCs w:val="21"/>
          <w:lang w:val="en-AU"/>
        </w:rPr>
        <w:t xml:space="preserve"> of PNG’s population live in rural and remote areas and 40</w:t>
      </w:r>
      <w:r w:rsidR="007105B1">
        <w:rPr>
          <w:rFonts w:eastAsiaTheme="minorEastAsia"/>
          <w:color w:val="auto"/>
          <w:sz w:val="21"/>
          <w:szCs w:val="21"/>
          <w:lang w:val="en-AU"/>
        </w:rPr>
        <w:t xml:space="preserve"> per cent</w:t>
      </w:r>
      <w:r w:rsidRPr="513595A1">
        <w:rPr>
          <w:rFonts w:eastAsiaTheme="minorEastAsia"/>
          <w:color w:val="auto"/>
          <w:sz w:val="21"/>
          <w:szCs w:val="21"/>
          <w:lang w:val="en-AU"/>
        </w:rPr>
        <w:t xml:space="preserve"> are under the age of 15. PNG faces systemic challenges in providing this young and diverse population access to a quality education. Australia has advocated for an increase in the budget allocation for education, but this has yet to be realised. </w:t>
      </w:r>
      <w:r w:rsidR="002C539D" w:rsidRPr="513595A1">
        <w:rPr>
          <w:rFonts w:eastAsiaTheme="minorEastAsia"/>
          <w:color w:val="auto"/>
          <w:sz w:val="21"/>
          <w:szCs w:val="21"/>
        </w:rPr>
        <w:t>PNG has</w:t>
      </w:r>
      <w:r w:rsidRPr="513595A1">
        <w:rPr>
          <w:rFonts w:eastAsiaTheme="minorEastAsia"/>
          <w:color w:val="auto"/>
          <w:sz w:val="21"/>
          <w:szCs w:val="21"/>
        </w:rPr>
        <w:t xml:space="preserve"> over 2.2 million school students, of which approximately 200,000 are secondary students enrolled in around 300 schools. </w:t>
      </w:r>
      <w:r w:rsidR="006F445E" w:rsidRPr="513595A1">
        <w:rPr>
          <w:rFonts w:eastAsiaTheme="minorEastAsia"/>
          <w:color w:val="auto"/>
          <w:sz w:val="21"/>
          <w:szCs w:val="21"/>
        </w:rPr>
        <w:t xml:space="preserve"> </w:t>
      </w:r>
    </w:p>
    <w:p w14:paraId="2D314597" w14:textId="01879FE9" w:rsidR="00824AD9" w:rsidRPr="000E1870" w:rsidRDefault="2D232BA6" w:rsidP="00A213E0">
      <w:pPr>
        <w:shd w:val="clear" w:color="auto" w:fill="FFFFFF" w:themeFill="background1"/>
        <w:spacing w:after="120" w:line="280" w:lineRule="exact"/>
        <w:rPr>
          <w:rFonts w:eastAsiaTheme="minorEastAsia"/>
          <w:color w:val="auto"/>
          <w:sz w:val="21"/>
          <w:szCs w:val="21"/>
        </w:rPr>
      </w:pPr>
      <w:r w:rsidRPr="1BBFE15D">
        <w:rPr>
          <w:rFonts w:eastAsiaTheme="minorEastAsia"/>
          <w:b/>
          <w:bCs/>
          <w:color w:val="auto"/>
          <w:sz w:val="21"/>
          <w:szCs w:val="21"/>
        </w:rPr>
        <w:t xml:space="preserve">Overall </w:t>
      </w:r>
      <w:r w:rsidR="6A2E790D" w:rsidRPr="1BBFE15D">
        <w:rPr>
          <w:rFonts w:eastAsiaTheme="minorEastAsia"/>
          <w:b/>
          <w:bCs/>
          <w:color w:val="auto"/>
          <w:sz w:val="21"/>
          <w:szCs w:val="21"/>
        </w:rPr>
        <w:t xml:space="preserve">student </w:t>
      </w:r>
      <w:r w:rsidRPr="1BBFE15D">
        <w:rPr>
          <w:rFonts w:eastAsiaTheme="minorEastAsia"/>
          <w:b/>
          <w:bCs/>
          <w:color w:val="auto"/>
          <w:sz w:val="21"/>
          <w:szCs w:val="21"/>
        </w:rPr>
        <w:t>retention rates are poor, with only 16 per</w:t>
      </w:r>
      <w:r w:rsidR="007105B1">
        <w:rPr>
          <w:rFonts w:eastAsiaTheme="minorEastAsia"/>
          <w:b/>
          <w:bCs/>
          <w:color w:val="auto"/>
          <w:sz w:val="21"/>
          <w:szCs w:val="21"/>
        </w:rPr>
        <w:t xml:space="preserve"> </w:t>
      </w:r>
      <w:r w:rsidRPr="1BBFE15D">
        <w:rPr>
          <w:rFonts w:eastAsiaTheme="minorEastAsia"/>
          <w:b/>
          <w:bCs/>
          <w:color w:val="auto"/>
          <w:sz w:val="21"/>
          <w:szCs w:val="21"/>
        </w:rPr>
        <w:t>cent of boys and 12 per</w:t>
      </w:r>
      <w:r w:rsidR="007105B1">
        <w:rPr>
          <w:rFonts w:eastAsiaTheme="minorEastAsia"/>
          <w:b/>
          <w:bCs/>
          <w:color w:val="auto"/>
          <w:sz w:val="21"/>
          <w:szCs w:val="21"/>
        </w:rPr>
        <w:t xml:space="preserve"> </w:t>
      </w:r>
      <w:r w:rsidRPr="1BBFE15D">
        <w:rPr>
          <w:rFonts w:eastAsiaTheme="minorEastAsia"/>
          <w:b/>
          <w:bCs/>
          <w:color w:val="auto"/>
          <w:sz w:val="21"/>
          <w:szCs w:val="21"/>
        </w:rPr>
        <w:t>cent of girls who enter school at elementary level completing grade 12</w:t>
      </w:r>
      <w:r w:rsidRPr="1BBFE15D">
        <w:rPr>
          <w:rFonts w:eastAsiaTheme="minorEastAsia"/>
          <w:color w:val="auto"/>
          <w:sz w:val="21"/>
          <w:szCs w:val="21"/>
        </w:rPr>
        <w:t xml:space="preserve">. Despite some improvement in recent years, girls in PNG still have lower participation rates in primary and secondary school, going against the trends shown in all other </w:t>
      </w:r>
      <w:proofErr w:type="gramStart"/>
      <w:r w:rsidR="00C1456B" w:rsidRPr="1BBFE15D">
        <w:rPr>
          <w:rFonts w:eastAsiaTheme="minorEastAsia"/>
          <w:color w:val="auto"/>
          <w:sz w:val="21"/>
          <w:szCs w:val="21"/>
        </w:rPr>
        <w:t xml:space="preserve">Pacific </w:t>
      </w:r>
      <w:r w:rsidR="00A213E0">
        <w:rPr>
          <w:rFonts w:eastAsiaTheme="minorEastAsia"/>
          <w:color w:val="auto"/>
          <w:sz w:val="21"/>
          <w:szCs w:val="21"/>
        </w:rPr>
        <w:t>i</w:t>
      </w:r>
      <w:r w:rsidR="00C1456B">
        <w:rPr>
          <w:rFonts w:eastAsiaTheme="minorEastAsia"/>
          <w:color w:val="auto"/>
          <w:sz w:val="21"/>
          <w:szCs w:val="21"/>
        </w:rPr>
        <w:t>sland</w:t>
      </w:r>
      <w:proofErr w:type="gramEnd"/>
      <w:r w:rsidRPr="1BBFE15D">
        <w:rPr>
          <w:rFonts w:eastAsiaTheme="minorEastAsia"/>
          <w:color w:val="auto"/>
          <w:sz w:val="21"/>
          <w:szCs w:val="21"/>
        </w:rPr>
        <w:t xml:space="preserve"> </w:t>
      </w:r>
      <w:r w:rsidR="129E331B" w:rsidRPr="1BBFE15D">
        <w:rPr>
          <w:rFonts w:eastAsiaTheme="minorEastAsia"/>
          <w:color w:val="auto"/>
          <w:sz w:val="21"/>
          <w:szCs w:val="21"/>
        </w:rPr>
        <w:t>countries</w:t>
      </w:r>
      <w:r w:rsidR="6A2E790D" w:rsidRPr="1BBFE15D">
        <w:rPr>
          <w:rFonts w:eastAsiaTheme="minorEastAsia"/>
          <w:color w:val="auto"/>
          <w:sz w:val="21"/>
          <w:szCs w:val="21"/>
        </w:rPr>
        <w:t xml:space="preserve">. </w:t>
      </w:r>
      <w:r w:rsidRPr="1BBFE15D">
        <w:rPr>
          <w:rFonts w:eastAsiaTheme="minorEastAsia"/>
          <w:color w:val="auto"/>
          <w:sz w:val="21"/>
          <w:szCs w:val="21"/>
        </w:rPr>
        <w:t>Girls often face more significant barriers to secondary education due to cultural norms, early marriage, and limited access to sanitary facilities in school</w:t>
      </w:r>
      <w:r w:rsidR="6A2E790D" w:rsidRPr="1BBFE15D">
        <w:rPr>
          <w:rFonts w:eastAsiaTheme="minorEastAsia"/>
          <w:color w:val="auto"/>
          <w:sz w:val="21"/>
          <w:szCs w:val="21"/>
        </w:rPr>
        <w:t>s</w:t>
      </w:r>
      <w:r w:rsidRPr="1BBFE15D">
        <w:rPr>
          <w:rFonts w:eastAsiaTheme="minorEastAsia"/>
          <w:color w:val="auto"/>
          <w:sz w:val="21"/>
          <w:szCs w:val="21"/>
        </w:rPr>
        <w:t>.</w:t>
      </w:r>
      <w:r w:rsidR="30E79E51" w:rsidRPr="1BBFE15D">
        <w:rPr>
          <w:rFonts w:eastAsiaTheme="minorEastAsia"/>
          <w:color w:val="auto"/>
          <w:sz w:val="21"/>
          <w:szCs w:val="21"/>
        </w:rPr>
        <w:t xml:space="preserve"> </w:t>
      </w:r>
    </w:p>
    <w:p w14:paraId="228081F7" w14:textId="0356129D" w:rsidR="00AD5C7F" w:rsidRPr="000E1870" w:rsidRDefault="005234C7" w:rsidP="00A213E0">
      <w:pPr>
        <w:tabs>
          <w:tab w:val="left" w:pos="284"/>
        </w:tabs>
        <w:suppressAutoHyphens w:val="0"/>
        <w:spacing w:after="120" w:line="280" w:lineRule="exact"/>
        <w:rPr>
          <w:rFonts w:eastAsiaTheme="minorEastAsia"/>
          <w:b/>
          <w:bCs/>
          <w:color w:val="auto"/>
          <w:sz w:val="21"/>
          <w:szCs w:val="21"/>
          <w:lang w:val="en-AU"/>
        </w:rPr>
      </w:pPr>
      <w:r w:rsidRPr="513595A1">
        <w:rPr>
          <w:rFonts w:eastAsiaTheme="minorEastAsia"/>
          <w:color w:val="auto"/>
          <w:sz w:val="21"/>
          <w:szCs w:val="21"/>
        </w:rPr>
        <w:t xml:space="preserve">A growing concern </w:t>
      </w:r>
      <w:r w:rsidR="00C1456B">
        <w:rPr>
          <w:rFonts w:eastAsiaTheme="minorEastAsia"/>
          <w:color w:val="auto"/>
          <w:sz w:val="21"/>
          <w:szCs w:val="21"/>
        </w:rPr>
        <w:t>for</w:t>
      </w:r>
      <w:r w:rsidR="00C1456B" w:rsidRPr="513595A1">
        <w:rPr>
          <w:rFonts w:eastAsiaTheme="minorEastAsia"/>
          <w:color w:val="auto"/>
          <w:sz w:val="21"/>
          <w:szCs w:val="21"/>
        </w:rPr>
        <w:t xml:space="preserve"> </w:t>
      </w:r>
      <w:r w:rsidRPr="513595A1">
        <w:rPr>
          <w:rFonts w:eastAsiaTheme="minorEastAsia"/>
          <w:color w:val="auto"/>
          <w:sz w:val="21"/>
          <w:szCs w:val="21"/>
        </w:rPr>
        <w:t xml:space="preserve">PNG tertiary institutions is that the strained </w:t>
      </w:r>
      <w:r w:rsidRPr="513595A1">
        <w:rPr>
          <w:rFonts w:eastAsiaTheme="minorEastAsia"/>
          <w:b/>
          <w:bCs/>
          <w:color w:val="auto"/>
          <w:sz w:val="21"/>
          <w:szCs w:val="21"/>
        </w:rPr>
        <w:t>education system is producing</w:t>
      </w:r>
      <w:r w:rsidR="00C05CDA" w:rsidRPr="513595A1">
        <w:rPr>
          <w:rFonts w:eastAsiaTheme="minorEastAsia"/>
          <w:b/>
          <w:bCs/>
          <w:color w:val="auto"/>
          <w:sz w:val="21"/>
          <w:szCs w:val="21"/>
        </w:rPr>
        <w:t xml:space="preserve"> year 12 school leavers with</w:t>
      </w:r>
      <w:r w:rsidRPr="513595A1">
        <w:rPr>
          <w:rFonts w:eastAsiaTheme="minorEastAsia"/>
          <w:b/>
          <w:bCs/>
          <w:color w:val="auto"/>
          <w:sz w:val="21"/>
          <w:szCs w:val="21"/>
        </w:rPr>
        <w:t xml:space="preserve"> low quality </w:t>
      </w:r>
      <w:r w:rsidR="00C05CDA" w:rsidRPr="513595A1">
        <w:rPr>
          <w:rFonts w:eastAsiaTheme="minorEastAsia"/>
          <w:b/>
          <w:bCs/>
          <w:color w:val="auto"/>
          <w:sz w:val="21"/>
          <w:szCs w:val="21"/>
        </w:rPr>
        <w:t>academic results,</w:t>
      </w:r>
      <w:r w:rsidRPr="513595A1">
        <w:rPr>
          <w:rFonts w:eastAsiaTheme="minorEastAsia"/>
          <w:b/>
          <w:bCs/>
          <w:color w:val="auto"/>
          <w:sz w:val="21"/>
          <w:szCs w:val="21"/>
        </w:rPr>
        <w:t xml:space="preserve"> </w:t>
      </w:r>
      <w:r w:rsidRPr="513595A1">
        <w:rPr>
          <w:rFonts w:eastAsiaTheme="minorEastAsia"/>
          <w:color w:val="auto"/>
          <w:sz w:val="21"/>
          <w:szCs w:val="21"/>
        </w:rPr>
        <w:t xml:space="preserve">which </w:t>
      </w:r>
      <w:r w:rsidRPr="00A213E0">
        <w:rPr>
          <w:rFonts w:eastAsiaTheme="minorEastAsia"/>
          <w:color w:val="auto"/>
          <w:sz w:val="21"/>
          <w:szCs w:val="21"/>
        </w:rPr>
        <w:t>limits their ability to proceed to tertiary education or gain skilled employment.</w:t>
      </w:r>
      <w:r w:rsidRPr="513595A1">
        <w:rPr>
          <w:rFonts w:eastAsiaTheme="minorEastAsia"/>
          <w:color w:val="auto"/>
          <w:sz w:val="21"/>
          <w:szCs w:val="21"/>
        </w:rPr>
        <w:t xml:space="preserve"> This is evidenced by lower tertiary enrolments in courses requiring higher GPA scores for STEM (science, technology, engineering, and mathematics) related courses. Teacher training colleges report high dropout rates of trainee mathematics teachers</w:t>
      </w:r>
      <w:r w:rsidR="00C1456B">
        <w:rPr>
          <w:rFonts w:eastAsiaTheme="minorEastAsia"/>
          <w:color w:val="auto"/>
          <w:sz w:val="21"/>
          <w:szCs w:val="21"/>
        </w:rPr>
        <w:t>.</w:t>
      </w:r>
      <w:r w:rsidRPr="513595A1">
        <w:rPr>
          <w:rFonts w:eastAsiaTheme="minorEastAsia"/>
          <w:color w:val="auto"/>
          <w:sz w:val="21"/>
          <w:szCs w:val="21"/>
        </w:rPr>
        <w:t xml:space="preserve"> </w:t>
      </w:r>
      <w:r w:rsidR="00C1456B">
        <w:rPr>
          <w:rFonts w:eastAsiaTheme="minorEastAsia"/>
          <w:color w:val="auto"/>
          <w:sz w:val="21"/>
          <w:szCs w:val="21"/>
        </w:rPr>
        <w:t>O</w:t>
      </w:r>
      <w:r w:rsidRPr="513595A1">
        <w:rPr>
          <w:rFonts w:eastAsiaTheme="minorEastAsia"/>
          <w:color w:val="auto"/>
          <w:sz w:val="21"/>
          <w:szCs w:val="21"/>
        </w:rPr>
        <w:t xml:space="preserve">ther institutions are establishing bridging programs to prepare entrants for science-based degrees. </w:t>
      </w:r>
    </w:p>
    <w:p w14:paraId="53D216C9" w14:textId="5DBFA8F4" w:rsidR="004A4AA9" w:rsidRPr="002E3BF6" w:rsidRDefault="004A4AA9" w:rsidP="00A213E0">
      <w:pPr>
        <w:tabs>
          <w:tab w:val="left" w:pos="284"/>
        </w:tabs>
        <w:suppressAutoHyphens w:val="0"/>
        <w:spacing w:after="120" w:line="280" w:lineRule="exact"/>
        <w:rPr>
          <w:rFonts w:eastAsiaTheme="minorEastAsia"/>
          <w:color w:val="auto"/>
          <w:sz w:val="21"/>
          <w:szCs w:val="21"/>
          <w:lang w:val="en-AU" w:eastAsia="en-AU"/>
        </w:rPr>
      </w:pPr>
      <w:r w:rsidRPr="00A213E0">
        <w:rPr>
          <w:rFonts w:eastAsiaTheme="minorEastAsia"/>
          <w:b/>
          <w:bCs/>
          <w:color w:val="auto"/>
          <w:sz w:val="21"/>
          <w:szCs w:val="21"/>
          <w:lang w:val="en-AU" w:eastAsia="en-AU"/>
        </w:rPr>
        <w:t>PNG</w:t>
      </w:r>
      <w:r w:rsidR="00C1456B">
        <w:rPr>
          <w:rFonts w:eastAsiaTheme="minorEastAsia"/>
          <w:b/>
          <w:bCs/>
          <w:color w:val="auto"/>
          <w:sz w:val="21"/>
          <w:szCs w:val="21"/>
          <w:lang w:val="en-AU" w:eastAsia="en-AU"/>
        </w:rPr>
        <w:t>’s</w:t>
      </w:r>
      <w:r w:rsidRPr="00A213E0">
        <w:rPr>
          <w:rFonts w:eastAsiaTheme="minorEastAsia"/>
          <w:b/>
          <w:bCs/>
          <w:color w:val="auto"/>
          <w:sz w:val="21"/>
          <w:szCs w:val="21"/>
          <w:lang w:val="en-AU" w:eastAsia="en-AU"/>
        </w:rPr>
        <w:t xml:space="preserve"> </w:t>
      </w:r>
      <w:r w:rsidRPr="513595A1">
        <w:rPr>
          <w:rFonts w:eastAsiaTheme="minorEastAsia"/>
          <w:b/>
          <w:bCs/>
          <w:color w:val="auto"/>
          <w:sz w:val="21"/>
          <w:szCs w:val="21"/>
          <w:lang w:val="en-AU" w:eastAsia="en-AU"/>
        </w:rPr>
        <w:t>National Education Plan (NEP) 2020-2029</w:t>
      </w:r>
      <w:r w:rsidRPr="513595A1">
        <w:rPr>
          <w:rFonts w:eastAsiaTheme="minorEastAsia"/>
          <w:color w:val="auto"/>
          <w:sz w:val="21"/>
          <w:szCs w:val="21"/>
          <w:lang w:val="en-AU" w:eastAsia="en-AU"/>
        </w:rPr>
        <w:t xml:space="preserve"> </w:t>
      </w:r>
      <w:r w:rsidR="00B61A86" w:rsidRPr="513595A1">
        <w:rPr>
          <w:rFonts w:eastAsiaTheme="minorEastAsia"/>
          <w:color w:val="auto"/>
          <w:sz w:val="21"/>
          <w:szCs w:val="21"/>
          <w:lang w:val="en-AU" w:eastAsia="en-AU"/>
        </w:rPr>
        <w:t xml:space="preserve">includes </w:t>
      </w:r>
      <w:r w:rsidRPr="513595A1">
        <w:rPr>
          <w:rFonts w:eastAsiaTheme="minorEastAsia"/>
          <w:color w:val="auto"/>
          <w:sz w:val="21"/>
          <w:szCs w:val="21"/>
          <w:lang w:val="en-AU" w:eastAsia="en-AU"/>
        </w:rPr>
        <w:t>major outcomes of providing all PNG students with access to 13 years of education and training in an environment that is conducive to learning</w:t>
      </w:r>
      <w:r w:rsidR="00C1456B">
        <w:rPr>
          <w:rFonts w:eastAsiaTheme="minorEastAsia"/>
          <w:color w:val="auto"/>
          <w:sz w:val="21"/>
          <w:szCs w:val="21"/>
          <w:lang w:val="en-AU" w:eastAsia="en-AU"/>
        </w:rPr>
        <w:t>. It aims to create</w:t>
      </w:r>
      <w:r w:rsidRPr="513595A1">
        <w:rPr>
          <w:rFonts w:eastAsiaTheme="minorEastAsia"/>
          <w:color w:val="auto"/>
          <w:sz w:val="21"/>
          <w:szCs w:val="21"/>
          <w:lang w:val="en-AU" w:eastAsia="en-AU"/>
        </w:rPr>
        <w:t xml:space="preserve"> well-trained and qualified teachers to meet student </w:t>
      </w:r>
      <w:proofErr w:type="gramStart"/>
      <w:r w:rsidRPr="513595A1">
        <w:rPr>
          <w:rFonts w:eastAsiaTheme="minorEastAsia"/>
          <w:color w:val="auto"/>
          <w:sz w:val="21"/>
          <w:szCs w:val="21"/>
          <w:lang w:val="en-AU" w:eastAsia="en-AU"/>
        </w:rPr>
        <w:t>demand</w:t>
      </w:r>
      <w:r w:rsidR="00C1456B">
        <w:rPr>
          <w:rFonts w:eastAsiaTheme="minorEastAsia"/>
          <w:color w:val="auto"/>
          <w:sz w:val="21"/>
          <w:szCs w:val="21"/>
          <w:lang w:val="en-AU" w:eastAsia="en-AU"/>
        </w:rPr>
        <w:t>,</w:t>
      </w:r>
      <w:r w:rsidRPr="513595A1">
        <w:rPr>
          <w:rFonts w:eastAsiaTheme="minorEastAsia"/>
          <w:color w:val="auto"/>
          <w:sz w:val="21"/>
          <w:szCs w:val="21"/>
          <w:lang w:val="en-AU" w:eastAsia="en-AU"/>
        </w:rPr>
        <w:t xml:space="preserve"> and</w:t>
      </w:r>
      <w:proofErr w:type="gramEnd"/>
      <w:r w:rsidRPr="513595A1">
        <w:rPr>
          <w:rFonts w:eastAsiaTheme="minorEastAsia"/>
          <w:color w:val="auto"/>
          <w:sz w:val="21"/>
          <w:szCs w:val="21"/>
          <w:lang w:val="en-AU" w:eastAsia="en-AU"/>
        </w:rPr>
        <w:t xml:space="preserve"> </w:t>
      </w:r>
      <w:r w:rsidR="00C1456B">
        <w:rPr>
          <w:rFonts w:eastAsiaTheme="minorEastAsia"/>
          <w:color w:val="auto"/>
          <w:sz w:val="21"/>
          <w:szCs w:val="21"/>
          <w:lang w:val="en-AU" w:eastAsia="en-AU"/>
        </w:rPr>
        <w:t>provide</w:t>
      </w:r>
      <w:r w:rsidR="00C1456B" w:rsidRPr="513595A1">
        <w:rPr>
          <w:rFonts w:eastAsiaTheme="minorEastAsia"/>
          <w:color w:val="auto"/>
          <w:sz w:val="21"/>
          <w:szCs w:val="21"/>
          <w:lang w:val="en-AU" w:eastAsia="en-AU"/>
        </w:rPr>
        <w:t xml:space="preserve"> </w:t>
      </w:r>
      <w:r w:rsidR="006F309C" w:rsidRPr="513595A1">
        <w:rPr>
          <w:rFonts w:eastAsiaTheme="minorEastAsia"/>
          <w:color w:val="auto"/>
          <w:sz w:val="21"/>
          <w:szCs w:val="21"/>
          <w:lang w:val="en-AU" w:eastAsia="en-AU"/>
        </w:rPr>
        <w:t xml:space="preserve">sufficient </w:t>
      </w:r>
      <w:r w:rsidRPr="513595A1">
        <w:rPr>
          <w:rFonts w:eastAsiaTheme="minorEastAsia"/>
          <w:color w:val="auto"/>
          <w:sz w:val="21"/>
          <w:szCs w:val="21"/>
          <w:lang w:val="en-AU" w:eastAsia="en-AU"/>
        </w:rPr>
        <w:t xml:space="preserve">resources and support at schools to allow quality teaching and learning to take place. </w:t>
      </w:r>
    </w:p>
    <w:p w14:paraId="799B9C81" w14:textId="0095B18E" w:rsidR="00B820A3" w:rsidRPr="002E3BF6" w:rsidRDefault="00E20083" w:rsidP="00A213E0">
      <w:pPr>
        <w:tabs>
          <w:tab w:val="left" w:pos="284"/>
        </w:tabs>
        <w:suppressAutoHyphens w:val="0"/>
        <w:spacing w:after="120" w:line="280" w:lineRule="exact"/>
        <w:rPr>
          <w:rFonts w:eastAsiaTheme="minorEastAsia"/>
          <w:color w:val="auto"/>
          <w:sz w:val="21"/>
          <w:szCs w:val="21"/>
          <w:lang w:val="en-AU" w:eastAsia="en-AU"/>
        </w:rPr>
      </w:pPr>
      <w:r>
        <w:rPr>
          <w:rFonts w:eastAsiaTheme="minorEastAsia"/>
          <w:color w:val="auto"/>
          <w:sz w:val="21"/>
          <w:szCs w:val="21"/>
          <w:lang w:val="en-AU" w:eastAsia="en-AU"/>
        </w:rPr>
        <w:t>PNG’s</w:t>
      </w:r>
      <w:r w:rsidR="00920DD5" w:rsidRPr="513595A1">
        <w:rPr>
          <w:rFonts w:eastAsiaTheme="minorEastAsia"/>
          <w:color w:val="auto"/>
          <w:sz w:val="21"/>
          <w:szCs w:val="21"/>
          <w:lang w:val="en-AU" w:eastAsia="en-AU"/>
        </w:rPr>
        <w:t xml:space="preserve"> </w:t>
      </w:r>
      <w:r w:rsidR="00920DD5" w:rsidRPr="00A213E0">
        <w:rPr>
          <w:rFonts w:eastAsiaTheme="minorEastAsia"/>
          <w:b/>
          <w:bCs/>
          <w:color w:val="auto"/>
          <w:sz w:val="21"/>
          <w:szCs w:val="21"/>
          <w:lang w:val="en-AU" w:eastAsia="en-AU"/>
        </w:rPr>
        <w:t>National Department of Education (</w:t>
      </w:r>
      <w:proofErr w:type="spellStart"/>
      <w:r w:rsidR="004A4AA9" w:rsidRPr="00A213E0">
        <w:rPr>
          <w:rFonts w:eastAsiaTheme="minorEastAsia"/>
          <w:b/>
          <w:bCs/>
          <w:color w:val="auto"/>
          <w:sz w:val="21"/>
          <w:szCs w:val="21"/>
          <w:lang w:val="en-AU" w:eastAsia="en-AU"/>
        </w:rPr>
        <w:t>NDoE</w:t>
      </w:r>
      <w:proofErr w:type="spellEnd"/>
      <w:r w:rsidR="00920DD5" w:rsidRPr="00A213E0">
        <w:rPr>
          <w:rFonts w:eastAsiaTheme="minorEastAsia"/>
          <w:b/>
          <w:bCs/>
          <w:color w:val="auto"/>
          <w:sz w:val="21"/>
          <w:szCs w:val="21"/>
          <w:lang w:val="en-AU" w:eastAsia="en-AU"/>
        </w:rPr>
        <w:t>)</w:t>
      </w:r>
      <w:r w:rsidR="004A4AA9" w:rsidRPr="00A213E0">
        <w:rPr>
          <w:rFonts w:eastAsiaTheme="minorEastAsia"/>
          <w:b/>
          <w:bCs/>
          <w:color w:val="auto"/>
          <w:sz w:val="21"/>
          <w:szCs w:val="21"/>
          <w:lang w:val="en-AU" w:eastAsia="en-AU"/>
        </w:rPr>
        <w:t xml:space="preserve"> </w:t>
      </w:r>
      <w:r w:rsidR="00C1456B" w:rsidRPr="00A213E0">
        <w:rPr>
          <w:rFonts w:eastAsiaTheme="minorEastAsia"/>
          <w:b/>
          <w:bCs/>
          <w:color w:val="auto"/>
          <w:sz w:val="21"/>
          <w:szCs w:val="21"/>
          <w:lang w:val="en-AU" w:eastAsia="en-AU"/>
        </w:rPr>
        <w:t xml:space="preserve">faces challenges </w:t>
      </w:r>
      <w:r w:rsidR="004A4AA9" w:rsidRPr="00A213E0">
        <w:rPr>
          <w:rFonts w:eastAsiaTheme="minorEastAsia"/>
          <w:b/>
          <w:bCs/>
          <w:color w:val="auto"/>
          <w:sz w:val="21"/>
          <w:szCs w:val="21"/>
          <w:lang w:val="en-AU" w:eastAsia="en-AU"/>
        </w:rPr>
        <w:t>implement</w:t>
      </w:r>
      <w:r w:rsidR="00C1456B" w:rsidRPr="00A213E0">
        <w:rPr>
          <w:rFonts w:eastAsiaTheme="minorEastAsia"/>
          <w:b/>
          <w:bCs/>
          <w:color w:val="auto"/>
          <w:sz w:val="21"/>
          <w:szCs w:val="21"/>
          <w:lang w:val="en-AU" w:eastAsia="en-AU"/>
        </w:rPr>
        <w:t>ing</w:t>
      </w:r>
      <w:r w:rsidR="004A4AA9" w:rsidRPr="00A213E0">
        <w:rPr>
          <w:rFonts w:eastAsiaTheme="minorEastAsia"/>
          <w:b/>
          <w:bCs/>
          <w:color w:val="auto"/>
          <w:sz w:val="21"/>
          <w:szCs w:val="21"/>
          <w:lang w:val="en-AU" w:eastAsia="en-AU"/>
        </w:rPr>
        <w:t xml:space="preserve"> </w:t>
      </w:r>
      <w:r w:rsidR="006F309C" w:rsidRPr="00A213E0">
        <w:rPr>
          <w:rFonts w:eastAsiaTheme="minorEastAsia"/>
          <w:b/>
          <w:bCs/>
          <w:color w:val="auto"/>
          <w:sz w:val="21"/>
          <w:szCs w:val="21"/>
          <w:lang w:val="en-AU" w:eastAsia="en-AU"/>
        </w:rPr>
        <w:t xml:space="preserve">the </w:t>
      </w:r>
      <w:r w:rsidR="004A4AA9" w:rsidRPr="00A213E0">
        <w:rPr>
          <w:rFonts w:eastAsiaTheme="minorEastAsia"/>
          <w:b/>
          <w:bCs/>
          <w:color w:val="auto"/>
          <w:sz w:val="21"/>
          <w:szCs w:val="21"/>
          <w:lang w:val="en-AU" w:eastAsia="en-AU"/>
        </w:rPr>
        <w:t>NEP</w:t>
      </w:r>
      <w:r w:rsidR="004A4AA9" w:rsidRPr="513595A1">
        <w:rPr>
          <w:rFonts w:eastAsiaTheme="minorEastAsia"/>
          <w:color w:val="auto"/>
          <w:sz w:val="21"/>
          <w:szCs w:val="21"/>
          <w:lang w:val="en-AU" w:eastAsia="en-AU"/>
        </w:rPr>
        <w:t xml:space="preserve"> and </w:t>
      </w:r>
      <w:r w:rsidR="00C1456B" w:rsidRPr="513595A1">
        <w:rPr>
          <w:rFonts w:eastAsiaTheme="minorEastAsia"/>
          <w:color w:val="auto"/>
          <w:sz w:val="21"/>
          <w:szCs w:val="21"/>
          <w:lang w:val="en-AU" w:eastAsia="en-AU"/>
        </w:rPr>
        <w:t>introduc</w:t>
      </w:r>
      <w:r w:rsidR="00C1456B">
        <w:rPr>
          <w:rFonts w:eastAsiaTheme="minorEastAsia"/>
          <w:color w:val="auto"/>
          <w:sz w:val="21"/>
          <w:szCs w:val="21"/>
          <w:lang w:val="en-AU" w:eastAsia="en-AU"/>
        </w:rPr>
        <w:t>ing</w:t>
      </w:r>
      <w:r w:rsidR="00C1456B" w:rsidRPr="513595A1">
        <w:rPr>
          <w:rFonts w:eastAsiaTheme="minorEastAsia"/>
          <w:color w:val="auto"/>
          <w:sz w:val="21"/>
          <w:szCs w:val="21"/>
          <w:lang w:val="en-AU" w:eastAsia="en-AU"/>
        </w:rPr>
        <w:t xml:space="preserve"> </w:t>
      </w:r>
      <w:r w:rsidR="004A4AA9" w:rsidRPr="513595A1">
        <w:rPr>
          <w:rFonts w:eastAsiaTheme="minorEastAsia"/>
          <w:color w:val="auto"/>
          <w:sz w:val="21"/>
          <w:szCs w:val="21"/>
          <w:lang w:val="en-AU" w:eastAsia="en-AU"/>
        </w:rPr>
        <w:t xml:space="preserve">the necessary system-wide reforms to improve and expand education services. Previous support from Australia demonstrated that improvements in literacy and numeracy were possible in targeted locations but that </w:t>
      </w:r>
      <w:proofErr w:type="spellStart"/>
      <w:r w:rsidR="004A4AA9" w:rsidRPr="513595A1">
        <w:rPr>
          <w:rFonts w:eastAsiaTheme="minorEastAsia"/>
          <w:color w:val="auto"/>
          <w:sz w:val="21"/>
          <w:szCs w:val="21"/>
          <w:lang w:val="en-AU" w:eastAsia="en-AU"/>
        </w:rPr>
        <w:t>NDoE</w:t>
      </w:r>
      <w:proofErr w:type="spellEnd"/>
      <w:r w:rsidR="004A4AA9" w:rsidRPr="513595A1">
        <w:rPr>
          <w:rFonts w:eastAsiaTheme="minorEastAsia"/>
          <w:color w:val="auto"/>
          <w:sz w:val="21"/>
          <w:szCs w:val="21"/>
          <w:lang w:val="en-AU" w:eastAsia="en-AU"/>
        </w:rPr>
        <w:t xml:space="preserve"> was unable to incorporate the in-service and additional training </w:t>
      </w:r>
      <w:r w:rsidR="00D859A8" w:rsidRPr="513595A1">
        <w:rPr>
          <w:rFonts w:eastAsiaTheme="minorEastAsia"/>
          <w:color w:val="auto"/>
          <w:sz w:val="21"/>
          <w:szCs w:val="21"/>
          <w:lang w:val="en-AU" w:eastAsia="en-AU"/>
        </w:rPr>
        <w:t xml:space="preserve">required </w:t>
      </w:r>
      <w:r w:rsidR="004A4AA9" w:rsidRPr="513595A1">
        <w:rPr>
          <w:rFonts w:eastAsiaTheme="minorEastAsia"/>
          <w:color w:val="auto"/>
          <w:sz w:val="21"/>
          <w:szCs w:val="21"/>
          <w:lang w:val="en-AU" w:eastAsia="en-AU"/>
        </w:rPr>
        <w:t xml:space="preserve">for larger cohorts. </w:t>
      </w:r>
      <w:r w:rsidR="00C1456B">
        <w:rPr>
          <w:rFonts w:eastAsiaTheme="minorEastAsia"/>
          <w:color w:val="auto"/>
          <w:sz w:val="21"/>
          <w:szCs w:val="21"/>
          <w:lang w:val="en-AU" w:eastAsia="en-AU"/>
        </w:rPr>
        <w:t>D</w:t>
      </w:r>
      <w:r w:rsidR="00C1456B" w:rsidRPr="513595A1">
        <w:rPr>
          <w:rFonts w:eastAsiaTheme="minorEastAsia"/>
          <w:color w:val="auto"/>
          <w:sz w:val="21"/>
          <w:szCs w:val="21"/>
          <w:lang w:val="en-AU" w:eastAsia="en-AU"/>
        </w:rPr>
        <w:t xml:space="preserve">irect </w:t>
      </w:r>
      <w:r w:rsidR="00544E12" w:rsidRPr="513595A1">
        <w:rPr>
          <w:rFonts w:eastAsiaTheme="minorEastAsia"/>
          <w:color w:val="auto"/>
          <w:sz w:val="21"/>
          <w:szCs w:val="21"/>
          <w:lang w:val="en-AU" w:eastAsia="en-AU"/>
        </w:rPr>
        <w:t>support to targeted schools</w:t>
      </w:r>
      <w:r w:rsidR="00C1456B">
        <w:rPr>
          <w:rFonts w:eastAsiaTheme="minorEastAsia"/>
          <w:color w:val="auto"/>
          <w:sz w:val="21"/>
          <w:szCs w:val="21"/>
          <w:lang w:val="en-AU" w:eastAsia="en-AU"/>
        </w:rPr>
        <w:t xml:space="preserve"> presents </w:t>
      </w:r>
      <w:r w:rsidR="00AC1511">
        <w:rPr>
          <w:rFonts w:eastAsiaTheme="minorEastAsia"/>
          <w:color w:val="auto"/>
          <w:sz w:val="21"/>
          <w:szCs w:val="21"/>
          <w:lang w:val="en-AU" w:eastAsia="en-AU"/>
        </w:rPr>
        <w:t>an option for</w:t>
      </w:r>
      <w:r w:rsidR="00AC1511" w:rsidRPr="513595A1">
        <w:rPr>
          <w:rFonts w:eastAsiaTheme="minorEastAsia"/>
          <w:color w:val="auto"/>
          <w:sz w:val="21"/>
          <w:szCs w:val="21"/>
          <w:lang w:val="en-AU" w:eastAsia="en-AU"/>
        </w:rPr>
        <w:t xml:space="preserve"> effective</w:t>
      </w:r>
      <w:r w:rsidR="00AC1511">
        <w:rPr>
          <w:rFonts w:eastAsiaTheme="minorEastAsia"/>
          <w:color w:val="auto"/>
          <w:sz w:val="21"/>
          <w:szCs w:val="21"/>
          <w:lang w:val="en-AU" w:eastAsia="en-AU"/>
        </w:rPr>
        <w:t>ly</w:t>
      </w:r>
      <w:r w:rsidR="00AC1511" w:rsidRPr="513595A1">
        <w:rPr>
          <w:rFonts w:eastAsiaTheme="minorEastAsia"/>
          <w:color w:val="auto"/>
          <w:sz w:val="21"/>
          <w:szCs w:val="21"/>
          <w:lang w:val="en-AU" w:eastAsia="en-AU"/>
        </w:rPr>
        <w:t xml:space="preserve"> support</w:t>
      </w:r>
      <w:r w:rsidR="00AC1511">
        <w:rPr>
          <w:rFonts w:eastAsiaTheme="minorEastAsia"/>
          <w:color w:val="auto"/>
          <w:sz w:val="21"/>
          <w:szCs w:val="21"/>
          <w:lang w:val="en-AU" w:eastAsia="en-AU"/>
        </w:rPr>
        <w:t>ing</w:t>
      </w:r>
      <w:r w:rsidR="00AC1511" w:rsidRPr="513595A1">
        <w:rPr>
          <w:rFonts w:eastAsiaTheme="minorEastAsia"/>
          <w:color w:val="auto"/>
          <w:sz w:val="21"/>
          <w:szCs w:val="21"/>
          <w:lang w:val="en-AU" w:eastAsia="en-AU"/>
        </w:rPr>
        <w:t xml:space="preserve"> improved learning outcomes in secondary education with a modest budget</w:t>
      </w:r>
      <w:r w:rsidR="00AC1511">
        <w:rPr>
          <w:rFonts w:eastAsiaTheme="minorEastAsia"/>
          <w:color w:val="auto"/>
          <w:sz w:val="21"/>
          <w:szCs w:val="21"/>
          <w:lang w:val="en-AU" w:eastAsia="en-AU"/>
        </w:rPr>
        <w:t>.</w:t>
      </w:r>
    </w:p>
    <w:p w14:paraId="2FAE9E25" w14:textId="69BA00B1" w:rsidR="005C6A73" w:rsidRPr="000E1870" w:rsidRDefault="2D9CEBCF" w:rsidP="00A213E0">
      <w:pPr>
        <w:pStyle w:val="StyleguidetextHDMES"/>
        <w:spacing w:before="120" w:after="120" w:line="280" w:lineRule="exact"/>
        <w:rPr>
          <w:rFonts w:asciiTheme="minorHAnsi" w:eastAsiaTheme="minorEastAsia" w:hAnsiTheme="minorHAnsi" w:cstheme="minorBidi"/>
          <w:sz w:val="21"/>
          <w:szCs w:val="21"/>
          <w:lang w:eastAsia="en-AU"/>
        </w:rPr>
      </w:pPr>
      <w:r w:rsidRPr="1BBFE15D">
        <w:rPr>
          <w:rFonts w:asciiTheme="minorHAnsi" w:eastAsiaTheme="minorEastAsia" w:hAnsiTheme="minorHAnsi" w:cstheme="minorBidi"/>
          <w:sz w:val="21"/>
          <w:szCs w:val="21"/>
        </w:rPr>
        <w:t xml:space="preserve">The </w:t>
      </w:r>
      <w:r w:rsidR="00C40580">
        <w:rPr>
          <w:rFonts w:asciiTheme="minorHAnsi" w:eastAsiaTheme="minorEastAsia" w:hAnsiTheme="minorHAnsi" w:cstheme="minorBidi"/>
          <w:sz w:val="21"/>
          <w:szCs w:val="21"/>
        </w:rPr>
        <w:t>G</w:t>
      </w:r>
      <w:r w:rsidRPr="1BBFE15D">
        <w:rPr>
          <w:rFonts w:asciiTheme="minorHAnsi" w:eastAsiaTheme="minorEastAsia" w:hAnsiTheme="minorHAnsi" w:cstheme="minorBidi"/>
          <w:sz w:val="21"/>
          <w:szCs w:val="21"/>
        </w:rPr>
        <w:t>overnment of PNG</w:t>
      </w:r>
      <w:r w:rsidR="00C40580">
        <w:rPr>
          <w:rFonts w:asciiTheme="minorHAnsi" w:eastAsiaTheme="minorEastAsia" w:hAnsiTheme="minorHAnsi" w:cstheme="minorBidi"/>
          <w:sz w:val="21"/>
          <w:szCs w:val="21"/>
        </w:rPr>
        <w:t xml:space="preserve"> </w:t>
      </w:r>
      <w:r w:rsidRPr="1BBFE15D">
        <w:rPr>
          <w:rFonts w:asciiTheme="minorHAnsi" w:eastAsiaTheme="minorEastAsia" w:hAnsiTheme="minorHAnsi" w:cstheme="minorBidi"/>
          <w:sz w:val="21"/>
          <w:szCs w:val="21"/>
        </w:rPr>
        <w:t>(</w:t>
      </w:r>
      <w:proofErr w:type="spellStart"/>
      <w:r w:rsidR="33E7A1B3" w:rsidRPr="1BBFE15D">
        <w:rPr>
          <w:rFonts w:asciiTheme="minorHAnsi" w:eastAsiaTheme="minorEastAsia" w:hAnsiTheme="minorHAnsi" w:cstheme="minorBidi"/>
          <w:sz w:val="21"/>
          <w:szCs w:val="21"/>
        </w:rPr>
        <w:t>GoPNG</w:t>
      </w:r>
      <w:proofErr w:type="spellEnd"/>
      <w:r w:rsidR="1EBB0190" w:rsidRPr="1BBFE15D">
        <w:rPr>
          <w:rFonts w:asciiTheme="minorHAnsi" w:eastAsiaTheme="minorEastAsia" w:hAnsiTheme="minorHAnsi" w:cstheme="minorBidi"/>
          <w:sz w:val="21"/>
          <w:szCs w:val="21"/>
        </w:rPr>
        <w:t>)</w:t>
      </w:r>
      <w:r w:rsidR="33E7A1B3" w:rsidRPr="1BBFE15D">
        <w:rPr>
          <w:rFonts w:asciiTheme="minorHAnsi" w:eastAsiaTheme="minorEastAsia" w:hAnsiTheme="minorHAnsi" w:cstheme="minorBidi"/>
          <w:sz w:val="21"/>
          <w:szCs w:val="21"/>
        </w:rPr>
        <w:t xml:space="preserve">’s </w:t>
      </w:r>
      <w:r w:rsidR="33E7A1B3" w:rsidRPr="00C40580">
        <w:rPr>
          <w:rFonts w:asciiTheme="minorHAnsi" w:eastAsiaTheme="minorEastAsia" w:hAnsiTheme="minorHAnsi" w:cstheme="minorBidi"/>
          <w:b/>
          <w:bCs/>
          <w:sz w:val="21"/>
          <w:szCs w:val="21"/>
        </w:rPr>
        <w:t>Me</w:t>
      </w:r>
      <w:r w:rsidR="33E7A1B3" w:rsidRPr="1BBFE15D">
        <w:rPr>
          <w:rFonts w:asciiTheme="minorHAnsi" w:eastAsiaTheme="minorEastAsia" w:hAnsiTheme="minorHAnsi" w:cstheme="minorBidi"/>
          <w:b/>
          <w:bCs/>
          <w:sz w:val="21"/>
          <w:szCs w:val="21"/>
        </w:rPr>
        <w:t>dium Term Development Plan (MTDP IV)</w:t>
      </w:r>
      <w:r w:rsidR="1AD93048" w:rsidRPr="1BBFE15D">
        <w:rPr>
          <w:rFonts w:asciiTheme="minorHAnsi" w:eastAsiaTheme="minorEastAsia" w:hAnsiTheme="minorHAnsi" w:cstheme="minorBidi"/>
          <w:sz w:val="21"/>
          <w:szCs w:val="21"/>
        </w:rPr>
        <w:t xml:space="preserve"> </w:t>
      </w:r>
      <w:r w:rsidR="321F1C7F" w:rsidRPr="1BBFE15D">
        <w:rPr>
          <w:rFonts w:asciiTheme="minorHAnsi" w:eastAsiaTheme="minorEastAsia" w:hAnsiTheme="minorHAnsi" w:cstheme="minorBidi"/>
          <w:sz w:val="21"/>
          <w:szCs w:val="21"/>
        </w:rPr>
        <w:t>proposes</w:t>
      </w:r>
      <w:r w:rsidR="79A74467" w:rsidRPr="1BBFE15D">
        <w:rPr>
          <w:rFonts w:asciiTheme="minorHAnsi" w:eastAsiaTheme="minorEastAsia" w:hAnsiTheme="minorHAnsi" w:cstheme="minorBidi"/>
          <w:sz w:val="21"/>
          <w:szCs w:val="21"/>
        </w:rPr>
        <w:t>,</w:t>
      </w:r>
      <w:r w:rsidR="1AD93048" w:rsidRPr="1BBFE15D">
        <w:rPr>
          <w:rFonts w:asciiTheme="minorHAnsi" w:eastAsiaTheme="minorEastAsia" w:hAnsiTheme="minorHAnsi" w:cstheme="minorBidi"/>
          <w:sz w:val="21"/>
          <w:szCs w:val="21"/>
        </w:rPr>
        <w:t xml:space="preserve"> by 2027</w:t>
      </w:r>
      <w:r w:rsidR="79A74467" w:rsidRPr="1BBFE15D">
        <w:rPr>
          <w:rFonts w:asciiTheme="minorHAnsi" w:eastAsiaTheme="minorEastAsia" w:hAnsiTheme="minorHAnsi" w:cstheme="minorBidi"/>
          <w:sz w:val="21"/>
          <w:szCs w:val="21"/>
        </w:rPr>
        <w:t>,</w:t>
      </w:r>
      <w:r w:rsidR="321F1C7F" w:rsidRPr="1BBFE15D">
        <w:rPr>
          <w:rFonts w:asciiTheme="minorHAnsi" w:eastAsiaTheme="minorEastAsia" w:hAnsiTheme="minorHAnsi" w:cstheme="minorBidi"/>
          <w:sz w:val="21"/>
          <w:szCs w:val="21"/>
        </w:rPr>
        <w:t xml:space="preserve"> to increase</w:t>
      </w:r>
      <w:r w:rsidR="33E7A1B3" w:rsidRPr="1BBFE15D">
        <w:rPr>
          <w:rFonts w:asciiTheme="minorHAnsi" w:eastAsiaTheme="minorEastAsia" w:hAnsiTheme="minorHAnsi" w:cstheme="minorBidi"/>
          <w:sz w:val="21"/>
          <w:szCs w:val="21"/>
        </w:rPr>
        <w:t xml:space="preserve"> the number of National Schools of Excellence (</w:t>
      </w:r>
      <w:proofErr w:type="spellStart"/>
      <w:r w:rsidR="33E7A1B3" w:rsidRPr="1BBFE15D">
        <w:rPr>
          <w:rFonts w:asciiTheme="minorHAnsi" w:eastAsiaTheme="minorEastAsia" w:hAnsiTheme="minorHAnsi" w:cstheme="minorBidi"/>
          <w:sz w:val="21"/>
          <w:szCs w:val="21"/>
        </w:rPr>
        <w:t>NSoEs</w:t>
      </w:r>
      <w:proofErr w:type="spellEnd"/>
      <w:r w:rsidR="321F1C7F" w:rsidRPr="1BBFE15D">
        <w:rPr>
          <w:rFonts w:asciiTheme="minorHAnsi" w:eastAsiaTheme="minorEastAsia" w:hAnsiTheme="minorHAnsi" w:cstheme="minorBidi"/>
          <w:sz w:val="21"/>
          <w:szCs w:val="21"/>
        </w:rPr>
        <w:t>)</w:t>
      </w:r>
      <w:r w:rsidR="33E7A1B3" w:rsidRPr="1BBFE15D">
        <w:rPr>
          <w:rFonts w:asciiTheme="minorHAnsi" w:eastAsiaTheme="minorEastAsia" w:hAnsiTheme="minorHAnsi" w:cstheme="minorBidi"/>
          <w:sz w:val="21"/>
          <w:szCs w:val="21"/>
        </w:rPr>
        <w:t xml:space="preserve">; </w:t>
      </w:r>
      <w:r w:rsidR="2072E298" w:rsidRPr="1BBFE15D">
        <w:rPr>
          <w:rFonts w:asciiTheme="minorHAnsi" w:eastAsiaTheme="minorEastAsia" w:hAnsiTheme="minorHAnsi" w:cstheme="minorBidi"/>
          <w:sz w:val="21"/>
          <w:szCs w:val="21"/>
        </w:rPr>
        <w:t xml:space="preserve">and the number of </w:t>
      </w:r>
      <w:r w:rsidR="33E7A1B3" w:rsidRPr="1BBFE15D">
        <w:rPr>
          <w:rFonts w:asciiTheme="minorHAnsi" w:eastAsiaTheme="minorEastAsia" w:hAnsiTheme="minorHAnsi" w:cstheme="minorBidi"/>
          <w:sz w:val="21"/>
          <w:szCs w:val="21"/>
        </w:rPr>
        <w:t xml:space="preserve">grade 11 students enrolled in </w:t>
      </w:r>
      <w:r w:rsidR="6AD5E2DC" w:rsidRPr="1BBFE15D">
        <w:rPr>
          <w:rFonts w:asciiTheme="minorHAnsi" w:eastAsiaTheme="minorEastAsia" w:hAnsiTheme="minorHAnsi" w:cstheme="minorBidi"/>
          <w:sz w:val="21"/>
          <w:szCs w:val="21"/>
        </w:rPr>
        <w:t xml:space="preserve">STEM </w:t>
      </w:r>
      <w:r w:rsidR="33E7A1B3" w:rsidRPr="1BBFE15D">
        <w:rPr>
          <w:rFonts w:asciiTheme="minorHAnsi" w:eastAsiaTheme="minorEastAsia" w:hAnsiTheme="minorHAnsi" w:cstheme="minorBidi"/>
          <w:sz w:val="21"/>
          <w:szCs w:val="21"/>
        </w:rPr>
        <w:t>subjects</w:t>
      </w:r>
      <w:r w:rsidR="66B51D18" w:rsidRPr="1BBFE15D">
        <w:rPr>
          <w:rFonts w:asciiTheme="minorHAnsi" w:eastAsiaTheme="minorEastAsia" w:hAnsiTheme="minorHAnsi" w:cstheme="minorBidi"/>
          <w:sz w:val="21"/>
          <w:szCs w:val="21"/>
        </w:rPr>
        <w:t xml:space="preserve"> and reduce the student to teacher ratio</w:t>
      </w:r>
      <w:r w:rsidR="321F1C7F" w:rsidRPr="1BBFE15D">
        <w:rPr>
          <w:rFonts w:asciiTheme="minorHAnsi" w:eastAsiaTheme="minorEastAsia" w:hAnsiTheme="minorHAnsi" w:cstheme="minorBidi"/>
          <w:sz w:val="21"/>
          <w:szCs w:val="21"/>
        </w:rPr>
        <w:t xml:space="preserve">. </w:t>
      </w:r>
      <w:r w:rsidR="321F1C7F" w:rsidRPr="00A213E0">
        <w:rPr>
          <w:rFonts w:asciiTheme="minorHAnsi" w:eastAsiaTheme="minorEastAsia" w:hAnsiTheme="minorHAnsi" w:cstheme="minorBidi"/>
          <w:sz w:val="21"/>
          <w:szCs w:val="21"/>
          <w:lang w:eastAsia="en-AU"/>
        </w:rPr>
        <w:t xml:space="preserve">Improving </w:t>
      </w:r>
      <w:r w:rsidR="33E7A1B3" w:rsidRPr="00A213E0">
        <w:rPr>
          <w:rFonts w:asciiTheme="minorHAnsi" w:eastAsiaTheme="minorEastAsia" w:hAnsiTheme="minorHAnsi" w:cstheme="minorBidi"/>
          <w:sz w:val="21"/>
          <w:szCs w:val="21"/>
          <w:lang w:eastAsia="en-AU"/>
        </w:rPr>
        <w:t xml:space="preserve">the quality of secondary teaching in </w:t>
      </w:r>
      <w:r w:rsidR="00700F0E" w:rsidRPr="00A213E0">
        <w:rPr>
          <w:rFonts w:asciiTheme="minorHAnsi" w:eastAsiaTheme="minorEastAsia" w:hAnsiTheme="minorHAnsi" w:cstheme="minorBidi"/>
          <w:sz w:val="21"/>
          <w:szCs w:val="21"/>
          <w:lang w:eastAsia="en-AU"/>
        </w:rPr>
        <w:t>targeted</w:t>
      </w:r>
      <w:r w:rsidR="33E7A1B3" w:rsidRPr="00A213E0">
        <w:rPr>
          <w:rFonts w:asciiTheme="minorHAnsi" w:eastAsiaTheme="minorEastAsia" w:hAnsiTheme="minorHAnsi" w:cstheme="minorBidi"/>
          <w:sz w:val="21"/>
          <w:szCs w:val="21"/>
          <w:lang w:eastAsia="en-AU"/>
        </w:rPr>
        <w:t xml:space="preserve"> </w:t>
      </w:r>
      <w:r w:rsidR="321F1C7F" w:rsidRPr="00A213E0">
        <w:rPr>
          <w:rFonts w:asciiTheme="minorHAnsi" w:eastAsiaTheme="minorEastAsia" w:hAnsiTheme="minorHAnsi" w:cstheme="minorBidi"/>
          <w:sz w:val="21"/>
          <w:szCs w:val="21"/>
          <w:lang w:eastAsia="en-AU"/>
        </w:rPr>
        <w:t xml:space="preserve">secondary </w:t>
      </w:r>
      <w:r w:rsidR="33E7A1B3" w:rsidRPr="00A213E0">
        <w:rPr>
          <w:rFonts w:asciiTheme="minorHAnsi" w:eastAsiaTheme="minorEastAsia" w:hAnsiTheme="minorHAnsi" w:cstheme="minorBidi"/>
          <w:sz w:val="21"/>
          <w:szCs w:val="21"/>
          <w:lang w:eastAsia="en-AU"/>
        </w:rPr>
        <w:t xml:space="preserve">schools aligns with </w:t>
      </w:r>
      <w:proofErr w:type="spellStart"/>
      <w:r w:rsidR="4978679B" w:rsidRPr="00A213E0">
        <w:rPr>
          <w:rFonts w:asciiTheme="minorHAnsi" w:eastAsiaTheme="minorEastAsia" w:hAnsiTheme="minorHAnsi" w:cstheme="minorBidi"/>
          <w:sz w:val="21"/>
          <w:szCs w:val="21"/>
          <w:lang w:eastAsia="en-AU"/>
        </w:rPr>
        <w:t>GoPNG</w:t>
      </w:r>
      <w:proofErr w:type="spellEnd"/>
      <w:r w:rsidR="4978679B" w:rsidRPr="00A213E0">
        <w:rPr>
          <w:rFonts w:asciiTheme="minorHAnsi" w:eastAsiaTheme="minorEastAsia" w:hAnsiTheme="minorHAnsi" w:cstheme="minorBidi"/>
          <w:sz w:val="21"/>
          <w:szCs w:val="21"/>
          <w:lang w:eastAsia="en-AU"/>
        </w:rPr>
        <w:t xml:space="preserve"> policy</w:t>
      </w:r>
      <w:r w:rsidR="33E7A1B3" w:rsidRPr="00A213E0">
        <w:rPr>
          <w:rFonts w:asciiTheme="minorHAnsi" w:eastAsiaTheme="minorEastAsia" w:hAnsiTheme="minorHAnsi" w:cstheme="minorBidi"/>
          <w:sz w:val="21"/>
          <w:szCs w:val="21"/>
          <w:lang w:eastAsia="en-AU"/>
        </w:rPr>
        <w:t xml:space="preserve"> requirements</w:t>
      </w:r>
      <w:r w:rsidR="33E7A1B3" w:rsidRPr="00AC1511">
        <w:rPr>
          <w:rFonts w:asciiTheme="minorHAnsi" w:eastAsiaTheme="minorEastAsia" w:hAnsiTheme="minorHAnsi" w:cstheme="minorBidi"/>
          <w:sz w:val="21"/>
          <w:szCs w:val="21"/>
          <w:lang w:eastAsia="en-AU"/>
        </w:rPr>
        <w:t xml:space="preserve"> </w:t>
      </w:r>
      <w:r w:rsidR="33E7A1B3" w:rsidRPr="1BBFE15D">
        <w:rPr>
          <w:rFonts w:asciiTheme="minorHAnsi" w:eastAsiaTheme="minorEastAsia" w:hAnsiTheme="minorHAnsi" w:cstheme="minorBidi"/>
          <w:sz w:val="21"/>
          <w:szCs w:val="21"/>
          <w:lang w:eastAsia="en-AU"/>
        </w:rPr>
        <w:t>and provides an opportunity for Australia to contribute support to</w:t>
      </w:r>
      <w:r w:rsidR="6AD5E2DC" w:rsidRPr="1BBFE15D">
        <w:rPr>
          <w:rFonts w:asciiTheme="minorHAnsi" w:eastAsiaTheme="minorEastAsia" w:hAnsiTheme="minorHAnsi" w:cstheme="minorBidi"/>
          <w:sz w:val="21"/>
          <w:szCs w:val="21"/>
          <w:lang w:eastAsia="en-AU"/>
        </w:rPr>
        <w:t>wards</w:t>
      </w:r>
      <w:r w:rsidR="33E7A1B3" w:rsidRPr="1BBFE15D">
        <w:rPr>
          <w:rFonts w:asciiTheme="minorHAnsi" w:eastAsiaTheme="minorEastAsia" w:hAnsiTheme="minorHAnsi" w:cstheme="minorBidi"/>
          <w:sz w:val="21"/>
          <w:szCs w:val="21"/>
          <w:lang w:eastAsia="en-AU"/>
        </w:rPr>
        <w:t xml:space="preserve"> a priority outcome. </w:t>
      </w:r>
    </w:p>
    <w:p w14:paraId="4C9B0DA9" w14:textId="66C6313F" w:rsidR="00733A15" w:rsidRPr="000E1870" w:rsidRDefault="00824AD9" w:rsidP="00A213E0">
      <w:pPr>
        <w:tabs>
          <w:tab w:val="left" w:pos="284"/>
        </w:tabs>
        <w:suppressAutoHyphens w:val="0"/>
        <w:spacing w:after="120" w:line="280" w:lineRule="exact"/>
        <w:rPr>
          <w:rFonts w:eastAsiaTheme="minorEastAsia"/>
          <w:color w:val="auto"/>
          <w:sz w:val="21"/>
          <w:szCs w:val="21"/>
          <w:lang w:val="en-AU" w:eastAsia="en-AU"/>
        </w:rPr>
      </w:pPr>
      <w:r w:rsidRPr="513595A1">
        <w:rPr>
          <w:rFonts w:eastAsiaTheme="minorEastAsia"/>
          <w:color w:val="auto"/>
          <w:sz w:val="21"/>
          <w:szCs w:val="21"/>
          <w:lang w:val="en-AU" w:eastAsia="en-AU"/>
        </w:rPr>
        <w:lastRenderedPageBreak/>
        <w:t xml:space="preserve">The </w:t>
      </w:r>
      <w:r w:rsidRPr="513595A1">
        <w:rPr>
          <w:rFonts w:eastAsiaTheme="minorEastAsia"/>
          <w:b/>
          <w:bCs/>
          <w:color w:val="auto"/>
          <w:sz w:val="21"/>
          <w:szCs w:val="21"/>
          <w:lang w:val="en-AU" w:eastAsia="en-AU"/>
        </w:rPr>
        <w:t>PNG Secondary Education Program</w:t>
      </w:r>
      <w:r w:rsidRPr="513595A1">
        <w:rPr>
          <w:rFonts w:eastAsiaTheme="minorEastAsia"/>
          <w:color w:val="auto"/>
          <w:sz w:val="21"/>
          <w:szCs w:val="21"/>
          <w:lang w:val="en-AU" w:eastAsia="en-AU"/>
        </w:rPr>
        <w:t xml:space="preserve"> </w:t>
      </w:r>
      <w:r w:rsidR="006F445E" w:rsidRPr="513595A1">
        <w:rPr>
          <w:rFonts w:eastAsiaTheme="minorEastAsia"/>
          <w:color w:val="auto"/>
          <w:sz w:val="21"/>
          <w:szCs w:val="21"/>
          <w:lang w:val="en-AU" w:eastAsia="en-AU"/>
        </w:rPr>
        <w:t xml:space="preserve">will </w:t>
      </w:r>
      <w:r w:rsidRPr="513595A1">
        <w:rPr>
          <w:rFonts w:eastAsiaTheme="minorEastAsia"/>
          <w:color w:val="auto"/>
          <w:sz w:val="21"/>
          <w:szCs w:val="21"/>
          <w:lang w:val="en-AU" w:eastAsia="en-AU"/>
        </w:rPr>
        <w:t xml:space="preserve">support </w:t>
      </w:r>
      <w:proofErr w:type="spellStart"/>
      <w:r w:rsidRPr="513595A1">
        <w:rPr>
          <w:rFonts w:eastAsiaTheme="minorEastAsia"/>
          <w:color w:val="auto"/>
          <w:sz w:val="21"/>
          <w:szCs w:val="21"/>
          <w:lang w:val="en-AU" w:eastAsia="en-AU"/>
        </w:rPr>
        <w:t>GoPNG</w:t>
      </w:r>
      <w:proofErr w:type="spellEnd"/>
      <w:r w:rsidRPr="513595A1">
        <w:rPr>
          <w:rFonts w:eastAsiaTheme="minorEastAsia"/>
          <w:color w:val="auto"/>
          <w:sz w:val="21"/>
          <w:szCs w:val="21"/>
          <w:lang w:val="en-AU" w:eastAsia="en-AU"/>
        </w:rPr>
        <w:t xml:space="preserve"> to improve learning outcomes for secondary school graduates</w:t>
      </w:r>
      <w:r w:rsidR="006F445E" w:rsidRPr="513595A1">
        <w:rPr>
          <w:rFonts w:eastAsiaTheme="minorEastAsia"/>
          <w:color w:val="auto"/>
          <w:sz w:val="21"/>
          <w:szCs w:val="21"/>
          <w:lang w:val="en-AU" w:eastAsia="en-AU"/>
        </w:rPr>
        <w:t xml:space="preserve"> and</w:t>
      </w:r>
      <w:r w:rsidRPr="513595A1">
        <w:rPr>
          <w:rFonts w:eastAsiaTheme="minorEastAsia"/>
          <w:color w:val="auto"/>
          <w:sz w:val="21"/>
          <w:szCs w:val="21"/>
          <w:lang w:val="en-AU" w:eastAsia="en-AU"/>
        </w:rPr>
        <w:t xml:space="preserve"> strengthen leadership capabilities</w:t>
      </w:r>
      <w:r w:rsidR="00801233" w:rsidRPr="513595A1">
        <w:rPr>
          <w:rFonts w:eastAsiaTheme="minorEastAsia"/>
          <w:color w:val="auto"/>
          <w:sz w:val="21"/>
          <w:szCs w:val="21"/>
          <w:lang w:val="en-AU" w:eastAsia="en-AU"/>
        </w:rPr>
        <w:t xml:space="preserve">, </w:t>
      </w:r>
      <w:r w:rsidR="0027591C">
        <w:rPr>
          <w:rFonts w:eastAsiaTheme="minorEastAsia"/>
          <w:color w:val="auto"/>
          <w:sz w:val="21"/>
          <w:szCs w:val="21"/>
          <w:lang w:val="en-AU" w:eastAsia="en-AU"/>
        </w:rPr>
        <w:t>including</w:t>
      </w:r>
      <w:r w:rsidR="006F445E" w:rsidRPr="513595A1">
        <w:rPr>
          <w:rFonts w:eastAsiaTheme="minorEastAsia"/>
          <w:color w:val="auto"/>
          <w:sz w:val="21"/>
          <w:szCs w:val="21"/>
          <w:lang w:val="en-AU" w:eastAsia="en-AU"/>
        </w:rPr>
        <w:t xml:space="preserve"> </w:t>
      </w:r>
      <w:r w:rsidR="000B3111">
        <w:rPr>
          <w:rFonts w:eastAsiaTheme="minorEastAsia"/>
          <w:color w:val="auto"/>
          <w:sz w:val="21"/>
          <w:szCs w:val="21"/>
          <w:lang w:val="en-AU" w:eastAsia="en-AU"/>
        </w:rPr>
        <w:t>for girls, women and people with a disability</w:t>
      </w:r>
      <w:r w:rsidR="00801233" w:rsidRPr="513595A1">
        <w:rPr>
          <w:rFonts w:eastAsiaTheme="minorEastAsia"/>
          <w:color w:val="auto"/>
          <w:sz w:val="21"/>
          <w:szCs w:val="21"/>
          <w:lang w:val="en-AU" w:eastAsia="en-AU"/>
        </w:rPr>
        <w:t>,</w:t>
      </w:r>
      <w:r w:rsidRPr="513595A1">
        <w:rPr>
          <w:rFonts w:eastAsiaTheme="minorEastAsia"/>
          <w:color w:val="auto"/>
          <w:sz w:val="21"/>
          <w:szCs w:val="21"/>
          <w:lang w:val="en-AU" w:eastAsia="en-AU"/>
        </w:rPr>
        <w:t xml:space="preserve"> in an environment that promotes good citizenship, national unity and collaborative relationships between students from diverse backgrounds. </w:t>
      </w:r>
      <w:r w:rsidR="000138FE" w:rsidRPr="513595A1">
        <w:rPr>
          <w:rFonts w:eastAsiaTheme="minorEastAsia"/>
          <w:color w:val="auto"/>
          <w:sz w:val="21"/>
          <w:szCs w:val="21"/>
          <w:lang w:val="en-AU" w:eastAsia="en-AU"/>
        </w:rPr>
        <w:t>C</w:t>
      </w:r>
      <w:r w:rsidR="00F7761E" w:rsidRPr="513595A1">
        <w:rPr>
          <w:rFonts w:eastAsiaTheme="minorEastAsia"/>
          <w:color w:val="auto"/>
          <w:sz w:val="21"/>
          <w:szCs w:val="21"/>
          <w:lang w:val="en-AU" w:eastAsia="en-AU"/>
        </w:rPr>
        <w:t xml:space="preserve">onventional and innovative approaches </w:t>
      </w:r>
      <w:r w:rsidR="007F5ACA" w:rsidRPr="513595A1">
        <w:rPr>
          <w:rFonts w:eastAsiaTheme="minorEastAsia"/>
          <w:color w:val="auto"/>
          <w:sz w:val="21"/>
          <w:szCs w:val="21"/>
          <w:lang w:val="en-AU" w:eastAsia="en-AU"/>
        </w:rPr>
        <w:t>will</w:t>
      </w:r>
      <w:r w:rsidR="000138FE" w:rsidRPr="513595A1">
        <w:rPr>
          <w:rFonts w:eastAsiaTheme="minorEastAsia"/>
          <w:color w:val="auto"/>
          <w:sz w:val="21"/>
          <w:szCs w:val="21"/>
          <w:lang w:val="en-AU" w:eastAsia="en-AU"/>
        </w:rPr>
        <w:t xml:space="preserve"> be used to</w:t>
      </w:r>
      <w:r w:rsidR="006F445E" w:rsidRPr="513595A1">
        <w:rPr>
          <w:rFonts w:eastAsiaTheme="minorEastAsia"/>
          <w:color w:val="auto"/>
          <w:sz w:val="21"/>
          <w:szCs w:val="21"/>
          <w:lang w:val="en-AU" w:eastAsia="en-AU"/>
        </w:rPr>
        <w:t xml:space="preserve"> deliver</w:t>
      </w:r>
      <w:r w:rsidR="00084401">
        <w:rPr>
          <w:rFonts w:eastAsiaTheme="minorEastAsia"/>
          <w:color w:val="auto"/>
          <w:sz w:val="21"/>
          <w:szCs w:val="21"/>
          <w:lang w:val="en-AU" w:eastAsia="en-AU"/>
        </w:rPr>
        <w:t xml:space="preserve"> the program’s Goal, Objective and End of Program Outcomes.</w:t>
      </w:r>
    </w:p>
    <w:p w14:paraId="2B95206E" w14:textId="5236D6F3" w:rsidR="00F239E4" w:rsidRPr="00C40580" w:rsidRDefault="009757DD" w:rsidP="513595A1">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pBdr>
        <w:shd w:val="clear" w:color="auto" w:fill="E0F3EF" w:themeFill="accent1" w:themeFillTint="33"/>
        <w:spacing w:after="120"/>
        <w:rPr>
          <w:rFonts w:eastAsiaTheme="minorEastAsia"/>
          <w:color w:val="auto"/>
        </w:rPr>
      </w:pPr>
      <w:r w:rsidRPr="00C40580">
        <w:rPr>
          <w:rFonts w:eastAsiaTheme="minorEastAsia"/>
          <w:b/>
          <w:bCs/>
          <w:color w:val="auto"/>
        </w:rPr>
        <w:t>B.</w:t>
      </w:r>
      <w:r w:rsidR="004C7F89" w:rsidRPr="00C40580">
        <w:rPr>
          <w:rFonts w:eastAsiaTheme="minorEastAsia"/>
          <w:b/>
          <w:bCs/>
          <w:color w:val="auto"/>
        </w:rPr>
        <w:t xml:space="preserve"> </w:t>
      </w:r>
      <w:r w:rsidR="00BE4DC3" w:rsidRPr="00C40580">
        <w:rPr>
          <w:rFonts w:eastAsiaTheme="minorEastAsia"/>
          <w:b/>
          <w:bCs/>
          <w:color w:val="auto"/>
        </w:rPr>
        <w:t>Strategic Intent and Rationale (</w:t>
      </w:r>
      <w:r w:rsidR="00490CDB" w:rsidRPr="00C40580">
        <w:rPr>
          <w:rFonts w:eastAsiaTheme="minorEastAsia"/>
          <w:b/>
          <w:bCs/>
          <w:color w:val="auto"/>
        </w:rPr>
        <w:t>Why</w:t>
      </w:r>
      <w:r w:rsidR="00F441AE" w:rsidRPr="00C40580">
        <w:rPr>
          <w:rFonts w:eastAsiaTheme="minorEastAsia"/>
          <w:b/>
          <w:bCs/>
          <w:color w:val="auto"/>
        </w:rPr>
        <w:t xml:space="preserve"> should Australia</w:t>
      </w:r>
      <w:r w:rsidR="00193353" w:rsidRPr="00C40580">
        <w:rPr>
          <w:rFonts w:eastAsiaTheme="minorEastAsia"/>
          <w:b/>
          <w:bCs/>
          <w:color w:val="auto"/>
        </w:rPr>
        <w:t xml:space="preserve"> invest</w:t>
      </w:r>
      <w:r w:rsidR="00BE4DC3" w:rsidRPr="00C40580">
        <w:rPr>
          <w:rFonts w:eastAsiaTheme="minorEastAsia"/>
          <w:b/>
          <w:bCs/>
          <w:color w:val="auto"/>
        </w:rPr>
        <w:t>?)</w:t>
      </w:r>
    </w:p>
    <w:p w14:paraId="7DF7045C" w14:textId="3490FEB5" w:rsidR="00F239E4" w:rsidRPr="00C40580" w:rsidRDefault="00F239E4" w:rsidP="00A213E0">
      <w:pPr>
        <w:pStyle w:val="StyleguidetextHDMES"/>
        <w:spacing w:before="120" w:after="120" w:line="280" w:lineRule="exact"/>
        <w:rPr>
          <w:rFonts w:asciiTheme="minorHAnsi" w:eastAsiaTheme="minorEastAsia" w:hAnsiTheme="minorHAnsi" w:cstheme="minorBidi"/>
          <w:sz w:val="21"/>
          <w:szCs w:val="21"/>
        </w:rPr>
      </w:pPr>
      <w:r w:rsidRPr="00C40580">
        <w:rPr>
          <w:rFonts w:asciiTheme="minorHAnsi" w:eastAsiaTheme="minorEastAsia" w:hAnsiTheme="minorHAnsi" w:cstheme="minorBidi"/>
          <w:sz w:val="21"/>
          <w:szCs w:val="21"/>
        </w:rPr>
        <w:t xml:space="preserve">The </w:t>
      </w:r>
      <w:r w:rsidRPr="00C40580">
        <w:rPr>
          <w:rFonts w:asciiTheme="minorHAnsi" w:eastAsiaTheme="minorEastAsia" w:hAnsiTheme="minorHAnsi" w:cstheme="minorBidi"/>
          <w:b/>
          <w:bCs/>
          <w:sz w:val="21"/>
          <w:szCs w:val="21"/>
        </w:rPr>
        <w:t>PNG–Australia Comprehensive Strategic and Economic Partnership (CSEP</w:t>
      </w:r>
      <w:r w:rsidRPr="002E2E72">
        <w:rPr>
          <w:rFonts w:asciiTheme="minorHAnsi" w:eastAsiaTheme="minorEastAsia" w:hAnsiTheme="minorHAnsi" w:cstheme="minorBidi"/>
          <w:b/>
          <w:bCs/>
          <w:sz w:val="21"/>
          <w:szCs w:val="21"/>
        </w:rPr>
        <w:t>)</w:t>
      </w:r>
      <w:r w:rsidRPr="00C40580">
        <w:rPr>
          <w:rFonts w:asciiTheme="minorHAnsi" w:eastAsiaTheme="minorEastAsia" w:hAnsiTheme="minorHAnsi" w:cstheme="minorBidi"/>
          <w:sz w:val="21"/>
          <w:szCs w:val="21"/>
        </w:rPr>
        <w:t xml:space="preserve"> recognises that high-quality education and research is fundamental to development and commits PNG and Australia to strengthen the delivery of secondary, TVET and tertiary education and to foster people-to-people links. </w:t>
      </w:r>
    </w:p>
    <w:p w14:paraId="2E3D1937" w14:textId="2F6E95C6" w:rsidR="00F239E4" w:rsidRPr="00C40580" w:rsidRDefault="00F239E4" w:rsidP="00A213E0">
      <w:pPr>
        <w:pStyle w:val="StyleguidetextHDMES"/>
        <w:spacing w:before="120" w:after="120" w:line="280" w:lineRule="exact"/>
        <w:rPr>
          <w:rFonts w:asciiTheme="minorHAnsi" w:eastAsiaTheme="minorEastAsia" w:hAnsiTheme="minorHAnsi" w:cstheme="minorBidi"/>
          <w:sz w:val="21"/>
          <w:szCs w:val="21"/>
        </w:rPr>
      </w:pPr>
      <w:r w:rsidRPr="00C40580">
        <w:rPr>
          <w:rFonts w:asciiTheme="minorHAnsi" w:eastAsiaTheme="minorEastAsia" w:hAnsiTheme="minorHAnsi" w:cstheme="minorBidi"/>
          <w:sz w:val="21"/>
          <w:szCs w:val="21"/>
        </w:rPr>
        <w:t xml:space="preserve">Australia’s </w:t>
      </w:r>
      <w:r w:rsidRPr="00C40580">
        <w:rPr>
          <w:rFonts w:asciiTheme="minorHAnsi" w:eastAsiaTheme="minorEastAsia" w:hAnsiTheme="minorHAnsi" w:cstheme="minorBidi"/>
          <w:b/>
          <w:bCs/>
          <w:sz w:val="21"/>
          <w:szCs w:val="21"/>
        </w:rPr>
        <w:t>International Development Policy (IDP)</w:t>
      </w:r>
      <w:r w:rsidRPr="00C40580">
        <w:rPr>
          <w:rFonts w:asciiTheme="minorHAnsi" w:eastAsiaTheme="minorEastAsia" w:hAnsiTheme="minorHAnsi" w:cstheme="minorBidi"/>
          <w:sz w:val="21"/>
          <w:szCs w:val="21"/>
        </w:rPr>
        <w:t xml:space="preserve"> recognises investing in people expands opportunities for all and is indispensable to lasting progress. </w:t>
      </w:r>
      <w:r w:rsidR="00FB6EBA" w:rsidRPr="00C40580">
        <w:rPr>
          <w:rFonts w:asciiTheme="minorHAnsi" w:eastAsiaTheme="minorEastAsia" w:hAnsiTheme="minorHAnsi" w:cstheme="minorBidi"/>
          <w:sz w:val="21"/>
          <w:szCs w:val="21"/>
        </w:rPr>
        <w:t>Australia</w:t>
      </w:r>
      <w:r w:rsidR="00502879" w:rsidRPr="00C40580">
        <w:rPr>
          <w:rFonts w:asciiTheme="minorHAnsi" w:eastAsiaTheme="minorEastAsia" w:hAnsiTheme="minorHAnsi" w:cstheme="minorBidi"/>
          <w:sz w:val="21"/>
          <w:szCs w:val="21"/>
        </w:rPr>
        <w:t xml:space="preserve"> </w:t>
      </w:r>
      <w:r w:rsidR="00FB6EBA" w:rsidRPr="00C40580">
        <w:rPr>
          <w:rFonts w:asciiTheme="minorHAnsi" w:eastAsiaTheme="minorEastAsia" w:hAnsiTheme="minorHAnsi" w:cstheme="minorBidi"/>
          <w:sz w:val="21"/>
          <w:szCs w:val="21"/>
        </w:rPr>
        <w:t xml:space="preserve">currently </w:t>
      </w:r>
      <w:r w:rsidRPr="00C40580">
        <w:rPr>
          <w:rFonts w:asciiTheme="minorHAnsi" w:eastAsiaTheme="minorEastAsia" w:hAnsiTheme="minorHAnsi" w:cstheme="minorBidi"/>
          <w:sz w:val="21"/>
          <w:szCs w:val="21"/>
        </w:rPr>
        <w:t xml:space="preserve">supports early grade education, TVET and Australia Awards </w:t>
      </w:r>
      <w:r w:rsidR="008B1C5E">
        <w:rPr>
          <w:rFonts w:asciiTheme="minorHAnsi" w:eastAsiaTheme="minorEastAsia" w:hAnsiTheme="minorHAnsi" w:cstheme="minorBidi"/>
          <w:sz w:val="21"/>
          <w:szCs w:val="21"/>
        </w:rPr>
        <w:t>S</w:t>
      </w:r>
      <w:r w:rsidRPr="00C40580">
        <w:rPr>
          <w:rFonts w:asciiTheme="minorHAnsi" w:eastAsiaTheme="minorEastAsia" w:hAnsiTheme="minorHAnsi" w:cstheme="minorBidi"/>
          <w:sz w:val="21"/>
          <w:szCs w:val="21"/>
        </w:rPr>
        <w:t>cholarships</w:t>
      </w:r>
      <w:r w:rsidR="00C40580">
        <w:rPr>
          <w:rFonts w:asciiTheme="minorHAnsi" w:eastAsiaTheme="minorEastAsia" w:hAnsiTheme="minorHAnsi" w:cstheme="minorBidi"/>
          <w:sz w:val="21"/>
          <w:szCs w:val="21"/>
        </w:rPr>
        <w:t>,</w:t>
      </w:r>
      <w:r w:rsidRPr="00C40580">
        <w:rPr>
          <w:rFonts w:asciiTheme="minorHAnsi" w:eastAsiaTheme="minorEastAsia" w:hAnsiTheme="minorHAnsi" w:cstheme="minorBidi"/>
          <w:sz w:val="21"/>
          <w:szCs w:val="21"/>
        </w:rPr>
        <w:t xml:space="preserve"> but not secondary education</w:t>
      </w:r>
      <w:r w:rsidR="00C40580">
        <w:rPr>
          <w:rFonts w:asciiTheme="minorHAnsi" w:eastAsiaTheme="minorEastAsia" w:hAnsiTheme="minorHAnsi" w:cstheme="minorBidi"/>
          <w:sz w:val="21"/>
          <w:szCs w:val="21"/>
        </w:rPr>
        <w:t>—</w:t>
      </w:r>
      <w:r w:rsidRPr="00C40580">
        <w:rPr>
          <w:rFonts w:asciiTheme="minorHAnsi" w:eastAsiaTheme="minorEastAsia" w:hAnsiTheme="minorHAnsi" w:cstheme="minorBidi"/>
          <w:sz w:val="21"/>
          <w:szCs w:val="21"/>
        </w:rPr>
        <w:t xml:space="preserve">which provides </w:t>
      </w:r>
      <w:r w:rsidR="00502879" w:rsidRPr="00C40580">
        <w:rPr>
          <w:rFonts w:asciiTheme="minorHAnsi" w:eastAsiaTheme="minorEastAsia" w:hAnsiTheme="minorHAnsi" w:cstheme="minorBidi"/>
          <w:sz w:val="21"/>
          <w:szCs w:val="21"/>
        </w:rPr>
        <w:t>a</w:t>
      </w:r>
      <w:r w:rsidRPr="00C40580">
        <w:rPr>
          <w:rFonts w:asciiTheme="minorHAnsi" w:eastAsiaTheme="minorEastAsia" w:hAnsiTheme="minorHAnsi" w:cstheme="minorBidi"/>
          <w:sz w:val="21"/>
          <w:szCs w:val="21"/>
        </w:rPr>
        <w:t xml:space="preserve"> foundation for successful post-secondary education, training and employment. </w:t>
      </w:r>
      <w:r w:rsidR="00F514A9" w:rsidRPr="00C40580">
        <w:rPr>
          <w:rFonts w:asciiTheme="minorHAnsi" w:eastAsiaTheme="minorEastAsia" w:hAnsiTheme="minorHAnsi" w:cstheme="minorBidi"/>
          <w:sz w:val="21"/>
          <w:szCs w:val="21"/>
          <w:lang w:eastAsia="en-AU"/>
        </w:rPr>
        <w:t xml:space="preserve">The program design will </w:t>
      </w:r>
      <w:r w:rsidR="00061BA7">
        <w:rPr>
          <w:rFonts w:asciiTheme="minorHAnsi" w:eastAsiaTheme="minorEastAsia" w:hAnsiTheme="minorHAnsi" w:cstheme="minorBidi"/>
          <w:sz w:val="21"/>
          <w:szCs w:val="21"/>
          <w:lang w:eastAsia="en-AU"/>
        </w:rPr>
        <w:t xml:space="preserve">have </w:t>
      </w:r>
      <w:r w:rsidR="00F514A9" w:rsidRPr="00C40580">
        <w:rPr>
          <w:rFonts w:asciiTheme="minorHAnsi" w:eastAsiaTheme="minorEastAsia" w:hAnsiTheme="minorHAnsi" w:cstheme="minorBidi"/>
          <w:sz w:val="21"/>
          <w:szCs w:val="21"/>
          <w:lang w:eastAsia="en-AU"/>
        </w:rPr>
        <w:t>strategic coherence with the IDP</w:t>
      </w:r>
      <w:r w:rsidR="00C40580">
        <w:rPr>
          <w:rFonts w:asciiTheme="minorHAnsi" w:eastAsiaTheme="minorEastAsia" w:hAnsiTheme="minorHAnsi" w:cstheme="minorBidi"/>
          <w:sz w:val="21"/>
          <w:szCs w:val="21"/>
          <w:lang w:eastAsia="en-AU"/>
        </w:rPr>
        <w:t>,</w:t>
      </w:r>
      <w:r w:rsidR="00F514A9" w:rsidRPr="00C40580">
        <w:rPr>
          <w:rFonts w:asciiTheme="minorHAnsi" w:eastAsiaTheme="minorEastAsia" w:hAnsiTheme="minorHAnsi" w:cstheme="minorBidi"/>
          <w:sz w:val="21"/>
          <w:szCs w:val="21"/>
          <w:lang w:eastAsia="en-AU"/>
        </w:rPr>
        <w:t xml:space="preserve"> Development Partnership Plan (DPP) for PNG and current DFAT-funded education programs.</w:t>
      </w:r>
    </w:p>
    <w:p w14:paraId="0D2633AE" w14:textId="0D2B4995" w:rsidR="00FF2361" w:rsidRPr="00C40580" w:rsidRDefault="006B4F89" w:rsidP="00A213E0">
      <w:pPr>
        <w:pStyle w:val="CommentText"/>
        <w:spacing w:after="120" w:line="280" w:lineRule="exact"/>
        <w:rPr>
          <w:rFonts w:eastAsiaTheme="minorEastAsia"/>
          <w:color w:val="auto"/>
          <w:sz w:val="21"/>
          <w:szCs w:val="21"/>
        </w:rPr>
      </w:pPr>
      <w:r w:rsidRPr="00C40580">
        <w:rPr>
          <w:rFonts w:eastAsiaTheme="minorEastAsia"/>
          <w:b/>
          <w:bCs/>
          <w:color w:val="auto"/>
          <w:sz w:val="21"/>
          <w:szCs w:val="21"/>
        </w:rPr>
        <w:t>The PNG Secondary Education Program</w:t>
      </w:r>
      <w:r>
        <w:rPr>
          <w:rFonts w:eastAsiaTheme="minorEastAsia"/>
          <w:b/>
          <w:bCs/>
          <w:color w:val="auto"/>
          <w:sz w:val="21"/>
          <w:szCs w:val="21"/>
        </w:rPr>
        <w:t xml:space="preserve">’s </w:t>
      </w:r>
      <w:r w:rsidRPr="00DD6224">
        <w:rPr>
          <w:rFonts w:eastAsiaTheme="minorEastAsia"/>
          <w:color w:val="auto"/>
          <w:sz w:val="21"/>
          <w:szCs w:val="21"/>
        </w:rPr>
        <w:t>objective is for students at participating high performing upper secondary schools to have improved learning outcomes and leadership capabilities.</w:t>
      </w:r>
      <w:r>
        <w:rPr>
          <w:rFonts w:eastAsiaTheme="minorEastAsia"/>
          <w:b/>
          <w:bCs/>
          <w:color w:val="auto"/>
          <w:sz w:val="21"/>
          <w:szCs w:val="21"/>
        </w:rPr>
        <w:t xml:space="preserve"> </w:t>
      </w:r>
    </w:p>
    <w:p w14:paraId="21F5A0F4" w14:textId="3941CDE3" w:rsidR="00CD0A49" w:rsidRPr="000E1870" w:rsidRDefault="00F239E4" w:rsidP="00A213E0">
      <w:pPr>
        <w:pStyle w:val="StyleguidetextHDMES"/>
        <w:spacing w:before="120" w:after="120" w:line="280" w:lineRule="exact"/>
        <w:rPr>
          <w:rFonts w:asciiTheme="minorHAnsi" w:eastAsiaTheme="minorEastAsia" w:hAnsiTheme="minorHAnsi" w:cstheme="minorBidi"/>
          <w:sz w:val="21"/>
          <w:szCs w:val="21"/>
        </w:rPr>
      </w:pPr>
      <w:r w:rsidRPr="00C40580">
        <w:rPr>
          <w:rFonts w:asciiTheme="minorHAnsi" w:eastAsiaTheme="minorEastAsia" w:hAnsiTheme="minorHAnsi" w:cstheme="minorBidi"/>
          <w:b/>
          <w:bCs/>
          <w:sz w:val="21"/>
          <w:szCs w:val="21"/>
        </w:rPr>
        <w:t xml:space="preserve">PNG’s </w:t>
      </w:r>
      <w:r w:rsidR="00591F1B" w:rsidRPr="00C40580">
        <w:rPr>
          <w:rFonts w:asciiTheme="minorHAnsi" w:eastAsiaTheme="minorEastAsia" w:hAnsiTheme="minorHAnsi" w:cstheme="minorBidi"/>
          <w:b/>
          <w:bCs/>
          <w:sz w:val="21"/>
          <w:szCs w:val="21"/>
        </w:rPr>
        <w:t xml:space="preserve">education </w:t>
      </w:r>
      <w:r w:rsidRPr="00C40580">
        <w:rPr>
          <w:rFonts w:asciiTheme="minorHAnsi" w:eastAsiaTheme="minorEastAsia" w:hAnsiTheme="minorHAnsi" w:cstheme="minorBidi"/>
          <w:b/>
          <w:bCs/>
          <w:sz w:val="21"/>
          <w:szCs w:val="21"/>
        </w:rPr>
        <w:t>needs are extensive and the proposed budget for this investment is modest</w:t>
      </w:r>
      <w:r w:rsidRPr="00C40580">
        <w:rPr>
          <w:rFonts w:asciiTheme="minorHAnsi" w:eastAsiaTheme="minorEastAsia" w:hAnsiTheme="minorHAnsi" w:cstheme="minorBidi"/>
          <w:sz w:val="21"/>
          <w:szCs w:val="21"/>
        </w:rPr>
        <w:t xml:space="preserve">. </w:t>
      </w:r>
      <w:r w:rsidR="000E1870" w:rsidRPr="00C40580">
        <w:rPr>
          <w:rFonts w:asciiTheme="minorHAnsi" w:eastAsiaTheme="minorEastAsia" w:hAnsiTheme="minorHAnsi" w:cstheme="minorBidi"/>
          <w:sz w:val="21"/>
          <w:szCs w:val="21"/>
        </w:rPr>
        <w:t>Therefore, support</w:t>
      </w:r>
      <w:r w:rsidRPr="00C40580">
        <w:rPr>
          <w:rFonts w:asciiTheme="minorHAnsi" w:eastAsiaTheme="minorEastAsia" w:hAnsiTheme="minorHAnsi" w:cstheme="minorBidi"/>
          <w:sz w:val="21"/>
          <w:szCs w:val="21"/>
        </w:rPr>
        <w:t xml:space="preserve"> </w:t>
      </w:r>
      <w:r w:rsidR="0052587F">
        <w:rPr>
          <w:rFonts w:asciiTheme="minorHAnsi" w:eastAsiaTheme="minorEastAsia" w:hAnsiTheme="minorHAnsi" w:cstheme="minorBidi"/>
          <w:sz w:val="21"/>
          <w:szCs w:val="21"/>
        </w:rPr>
        <w:t>will be directed at</w:t>
      </w:r>
      <w:r w:rsidRPr="00C40580">
        <w:rPr>
          <w:rFonts w:asciiTheme="minorHAnsi" w:eastAsiaTheme="minorEastAsia" w:hAnsiTheme="minorHAnsi" w:cstheme="minorBidi"/>
          <w:sz w:val="21"/>
          <w:szCs w:val="21"/>
        </w:rPr>
        <w:t xml:space="preserve"> </w:t>
      </w:r>
      <w:r w:rsidR="009757DD" w:rsidRPr="00C40580">
        <w:rPr>
          <w:rFonts w:asciiTheme="minorHAnsi" w:eastAsiaTheme="minorEastAsia" w:hAnsiTheme="minorHAnsi" w:cstheme="minorBidi"/>
          <w:sz w:val="21"/>
          <w:szCs w:val="21"/>
        </w:rPr>
        <w:t>targeted</w:t>
      </w:r>
      <w:r w:rsidRPr="00C40580">
        <w:rPr>
          <w:rFonts w:asciiTheme="minorHAnsi" w:eastAsiaTheme="minorEastAsia" w:hAnsiTheme="minorHAnsi" w:cstheme="minorBidi"/>
          <w:sz w:val="21"/>
          <w:szCs w:val="21"/>
        </w:rPr>
        <w:t xml:space="preserve"> secondary schools. </w:t>
      </w:r>
      <w:r w:rsidR="00BB29F3">
        <w:rPr>
          <w:rFonts w:asciiTheme="minorHAnsi" w:eastAsiaTheme="minorEastAsia" w:hAnsiTheme="minorHAnsi" w:cstheme="minorBidi"/>
          <w:sz w:val="21"/>
          <w:szCs w:val="21"/>
        </w:rPr>
        <w:t xml:space="preserve">However, </w:t>
      </w:r>
      <w:r w:rsidR="00BB29F3">
        <w:rPr>
          <w:rFonts w:asciiTheme="minorHAnsi" w:eastAsiaTheme="minorEastAsia" w:hAnsiTheme="minorHAnsi" w:cstheme="minorBidi"/>
          <w:sz w:val="21"/>
          <w:szCs w:val="21"/>
          <w:lang w:val="en-GB"/>
        </w:rPr>
        <w:t xml:space="preserve">this program will </w:t>
      </w:r>
      <w:r w:rsidR="00C1456B">
        <w:rPr>
          <w:rFonts w:asciiTheme="minorHAnsi" w:eastAsiaTheme="minorEastAsia" w:hAnsiTheme="minorHAnsi" w:cstheme="minorBidi"/>
          <w:sz w:val="21"/>
          <w:szCs w:val="21"/>
          <w:lang w:val="en-GB"/>
        </w:rPr>
        <w:t>offer</w:t>
      </w:r>
      <w:r w:rsidR="00BB29F3">
        <w:rPr>
          <w:rFonts w:asciiTheme="minorHAnsi" w:eastAsiaTheme="minorEastAsia" w:hAnsiTheme="minorHAnsi" w:cstheme="minorBidi"/>
          <w:sz w:val="21"/>
          <w:szCs w:val="21"/>
          <w:lang w:val="en-GB"/>
        </w:rPr>
        <w:t xml:space="preserve"> </w:t>
      </w:r>
      <w:r w:rsidR="00BB29F3" w:rsidRPr="0053778E">
        <w:rPr>
          <w:rFonts w:asciiTheme="minorHAnsi" w:eastAsiaTheme="minorEastAsia" w:hAnsiTheme="minorHAnsi" w:cstheme="minorBidi"/>
          <w:sz w:val="21"/>
          <w:szCs w:val="21"/>
          <w:lang w:val="en-GB"/>
        </w:rPr>
        <w:t>support</w:t>
      </w:r>
      <w:r w:rsidR="00C1456B">
        <w:rPr>
          <w:rFonts w:asciiTheme="minorHAnsi" w:eastAsiaTheme="minorEastAsia" w:hAnsiTheme="minorHAnsi" w:cstheme="minorBidi"/>
          <w:sz w:val="21"/>
          <w:szCs w:val="21"/>
          <w:lang w:val="en-GB"/>
        </w:rPr>
        <w:t xml:space="preserve"> to</w:t>
      </w:r>
      <w:r w:rsidR="00BB29F3" w:rsidRPr="0053778E">
        <w:rPr>
          <w:rFonts w:asciiTheme="minorHAnsi" w:eastAsiaTheme="minorEastAsia" w:hAnsiTheme="minorHAnsi" w:cstheme="minorBidi"/>
          <w:sz w:val="21"/>
          <w:szCs w:val="21"/>
          <w:lang w:val="en-GB"/>
        </w:rPr>
        <w:t xml:space="preserve"> </w:t>
      </w:r>
      <w:r w:rsidR="00C1456B">
        <w:rPr>
          <w:rFonts w:asciiTheme="minorHAnsi" w:eastAsiaTheme="minorEastAsia" w:hAnsiTheme="minorHAnsi" w:cstheme="minorBidi"/>
          <w:sz w:val="21"/>
          <w:szCs w:val="21"/>
          <w:lang w:val="en-GB"/>
        </w:rPr>
        <w:t>teachers</w:t>
      </w:r>
      <w:r w:rsidR="00C1456B" w:rsidRPr="0053778E">
        <w:rPr>
          <w:rFonts w:asciiTheme="minorHAnsi" w:eastAsiaTheme="minorEastAsia" w:hAnsiTheme="minorHAnsi" w:cstheme="minorBidi"/>
          <w:sz w:val="21"/>
          <w:szCs w:val="21"/>
          <w:lang w:val="en-GB"/>
        </w:rPr>
        <w:t xml:space="preserve"> </w:t>
      </w:r>
      <w:r w:rsidR="00E8144B">
        <w:rPr>
          <w:rFonts w:asciiTheme="minorHAnsi" w:eastAsiaTheme="minorEastAsia" w:hAnsiTheme="minorHAnsi" w:cstheme="minorBidi"/>
          <w:sz w:val="21"/>
          <w:szCs w:val="21"/>
          <w:lang w:val="en-GB"/>
        </w:rPr>
        <w:t>across</w:t>
      </w:r>
      <w:r w:rsidR="00BB29F3" w:rsidRPr="0053778E">
        <w:rPr>
          <w:rFonts w:asciiTheme="minorHAnsi" w:eastAsiaTheme="minorEastAsia" w:hAnsiTheme="minorHAnsi" w:cstheme="minorBidi"/>
          <w:sz w:val="21"/>
          <w:szCs w:val="21"/>
          <w:lang w:val="en-GB"/>
        </w:rPr>
        <w:t xml:space="preserve"> all</w:t>
      </w:r>
      <w:r w:rsidR="00BB29F3">
        <w:rPr>
          <w:rFonts w:asciiTheme="minorHAnsi" w:eastAsiaTheme="minorEastAsia" w:hAnsiTheme="minorHAnsi" w:cstheme="minorBidi"/>
          <w:sz w:val="21"/>
          <w:szCs w:val="21"/>
          <w:lang w:val="en-GB"/>
        </w:rPr>
        <w:t xml:space="preserve"> PNG</w:t>
      </w:r>
      <w:r w:rsidR="00BB29F3" w:rsidRPr="0053778E">
        <w:rPr>
          <w:rFonts w:asciiTheme="minorHAnsi" w:eastAsiaTheme="minorEastAsia" w:hAnsiTheme="minorHAnsi" w:cstheme="minorBidi"/>
          <w:sz w:val="21"/>
          <w:szCs w:val="21"/>
          <w:lang w:val="en-GB"/>
        </w:rPr>
        <w:t xml:space="preserve"> secondary schools by providing access to the online professional development modules and subject-based communities of practice focused on STEM and English subjects. </w:t>
      </w:r>
      <w:r w:rsidRPr="00C40580">
        <w:rPr>
          <w:rFonts w:asciiTheme="minorHAnsi" w:eastAsiaTheme="minorEastAsia" w:hAnsiTheme="minorHAnsi" w:cstheme="minorBidi"/>
          <w:sz w:val="21"/>
          <w:szCs w:val="21"/>
        </w:rPr>
        <w:t xml:space="preserve">Australia has a comparative advantage due to our technical expertise and a history of long-standing relationships across the education sector. </w:t>
      </w:r>
    </w:p>
    <w:p w14:paraId="1E366EB4" w14:textId="3BDEAA8B" w:rsidR="2F1C7B99" w:rsidRDefault="2F1C7B99" w:rsidP="00A213E0">
      <w:pPr>
        <w:pStyle w:val="StyleguidetextHDMES"/>
        <w:spacing w:before="120" w:after="120" w:line="280" w:lineRule="exact"/>
        <w:rPr>
          <w:rFonts w:asciiTheme="minorHAnsi" w:eastAsiaTheme="minorEastAsia" w:hAnsiTheme="minorHAnsi" w:cstheme="minorBidi"/>
          <w:sz w:val="21"/>
          <w:szCs w:val="21"/>
        </w:rPr>
      </w:pPr>
      <w:r w:rsidRPr="1065CBCB">
        <w:rPr>
          <w:rFonts w:asciiTheme="minorHAnsi" w:eastAsiaTheme="minorEastAsia" w:hAnsiTheme="minorHAnsi" w:cstheme="minorBidi"/>
          <w:sz w:val="21"/>
          <w:szCs w:val="21"/>
        </w:rPr>
        <w:t xml:space="preserve">An ODA eligibility assessment has been undertaken using the ODA Eligibility Flowchart and the program is ODA eligible.  </w:t>
      </w:r>
    </w:p>
    <w:p w14:paraId="34A45F4B" w14:textId="2B972722" w:rsidR="00B820A3" w:rsidRPr="00C40580" w:rsidRDefault="009757DD" w:rsidP="513595A1">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pBdr>
        <w:shd w:val="clear" w:color="auto" w:fill="E0F3EF" w:themeFill="accent1" w:themeFillTint="33"/>
        <w:spacing w:after="120"/>
        <w:rPr>
          <w:rFonts w:eastAsiaTheme="minorEastAsia"/>
          <w:color w:val="auto"/>
        </w:rPr>
      </w:pPr>
      <w:r w:rsidRPr="00C40580">
        <w:rPr>
          <w:rFonts w:eastAsiaTheme="minorEastAsia"/>
          <w:b/>
          <w:bCs/>
          <w:color w:val="auto"/>
        </w:rPr>
        <w:t xml:space="preserve">C. </w:t>
      </w:r>
      <w:r w:rsidR="00BE4DC3" w:rsidRPr="00C40580">
        <w:rPr>
          <w:rFonts w:eastAsiaTheme="minorEastAsia"/>
          <w:b/>
          <w:bCs/>
          <w:color w:val="auto"/>
        </w:rPr>
        <w:t>Proposed Outcomes and Investment Options (</w:t>
      </w:r>
      <w:r w:rsidR="00490CDB" w:rsidRPr="00C40580">
        <w:rPr>
          <w:rFonts w:eastAsiaTheme="minorEastAsia"/>
          <w:b/>
          <w:bCs/>
          <w:color w:val="auto"/>
        </w:rPr>
        <w:t>What</w:t>
      </w:r>
      <w:r w:rsidR="00BE4DC3" w:rsidRPr="00C40580">
        <w:rPr>
          <w:rFonts w:eastAsiaTheme="minorEastAsia"/>
          <w:b/>
          <w:bCs/>
          <w:color w:val="auto"/>
        </w:rPr>
        <w:t>?)</w:t>
      </w:r>
    </w:p>
    <w:p w14:paraId="7AED18FA" w14:textId="7D7143C3" w:rsidR="00B820A3" w:rsidRPr="000E1870" w:rsidRDefault="00B820A3" w:rsidP="00A213E0">
      <w:pPr>
        <w:tabs>
          <w:tab w:val="left" w:pos="284"/>
        </w:tabs>
        <w:suppressAutoHyphens w:val="0"/>
        <w:spacing w:after="120" w:line="280" w:lineRule="exact"/>
        <w:rPr>
          <w:rFonts w:eastAsiaTheme="minorEastAsia"/>
          <w:color w:val="auto"/>
          <w:sz w:val="21"/>
          <w:szCs w:val="21"/>
          <w:lang w:val="en-AU" w:eastAsia="en-AU"/>
        </w:rPr>
      </w:pPr>
      <w:r w:rsidRPr="513595A1">
        <w:rPr>
          <w:rFonts w:eastAsiaTheme="minorEastAsia"/>
          <w:color w:val="auto"/>
          <w:sz w:val="21"/>
          <w:szCs w:val="21"/>
          <w:lang w:val="en-AU" w:eastAsia="en-AU"/>
        </w:rPr>
        <w:t xml:space="preserve">The program </w:t>
      </w:r>
      <w:r w:rsidR="00254A03" w:rsidRPr="513595A1">
        <w:rPr>
          <w:rFonts w:eastAsiaTheme="minorEastAsia"/>
          <w:color w:val="auto"/>
          <w:sz w:val="21"/>
          <w:szCs w:val="21"/>
          <w:lang w:val="en-AU" w:eastAsia="en-AU"/>
        </w:rPr>
        <w:t xml:space="preserve">goal </w:t>
      </w:r>
      <w:r w:rsidRPr="513595A1">
        <w:rPr>
          <w:rFonts w:eastAsiaTheme="minorEastAsia"/>
          <w:color w:val="auto"/>
          <w:sz w:val="21"/>
          <w:szCs w:val="21"/>
          <w:lang w:val="en-AU" w:eastAsia="en-AU"/>
        </w:rPr>
        <w:t xml:space="preserve">will contribute to </w:t>
      </w:r>
      <w:proofErr w:type="spellStart"/>
      <w:r w:rsidR="00765FDB" w:rsidRPr="513595A1">
        <w:rPr>
          <w:rFonts w:eastAsiaTheme="minorEastAsia"/>
          <w:color w:val="auto"/>
          <w:sz w:val="21"/>
          <w:szCs w:val="21"/>
          <w:lang w:val="en-AU" w:eastAsia="en-AU"/>
        </w:rPr>
        <w:t>GoPNG’s</w:t>
      </w:r>
      <w:proofErr w:type="spellEnd"/>
      <w:r w:rsidRPr="513595A1">
        <w:rPr>
          <w:rFonts w:eastAsiaTheme="minorEastAsia"/>
          <w:color w:val="auto"/>
          <w:sz w:val="21"/>
          <w:szCs w:val="21"/>
          <w:lang w:val="en-AU" w:eastAsia="en-AU"/>
        </w:rPr>
        <w:t xml:space="preserve"> MTDP IV objective for ‘Quality Education and Skilled Human Capital': “</w:t>
      </w:r>
      <w:r w:rsidRPr="513595A1">
        <w:rPr>
          <w:rFonts w:eastAsiaTheme="minorEastAsia"/>
          <w:i/>
          <w:iCs/>
          <w:color w:val="auto"/>
          <w:sz w:val="21"/>
          <w:szCs w:val="21"/>
          <w:lang w:val="en-AU" w:eastAsia="en-AU"/>
        </w:rPr>
        <w:t>Achieving an educated, skilled and productive human capital that provides the enabling environment for resilient economic growth</w:t>
      </w:r>
      <w:r w:rsidRPr="513595A1">
        <w:rPr>
          <w:rFonts w:eastAsiaTheme="minorEastAsia"/>
          <w:color w:val="auto"/>
          <w:sz w:val="21"/>
          <w:szCs w:val="21"/>
          <w:lang w:val="en-AU" w:eastAsia="en-AU"/>
        </w:rPr>
        <w:t>”</w:t>
      </w:r>
      <w:r w:rsidR="00FF2361" w:rsidRPr="513595A1">
        <w:rPr>
          <w:rFonts w:eastAsiaTheme="minorEastAsia"/>
          <w:color w:val="auto"/>
          <w:sz w:val="21"/>
          <w:szCs w:val="21"/>
          <w:lang w:val="en-AU" w:eastAsia="en-AU"/>
        </w:rPr>
        <w:t>. It will i</w:t>
      </w:r>
      <w:r w:rsidRPr="513595A1">
        <w:rPr>
          <w:rFonts w:eastAsiaTheme="minorEastAsia"/>
          <w:color w:val="auto"/>
          <w:sz w:val="21"/>
          <w:szCs w:val="21"/>
          <w:lang w:val="en-AU" w:eastAsia="en-AU"/>
        </w:rPr>
        <w:t>mprove learning outcomes</w:t>
      </w:r>
      <w:r w:rsidR="00C310AB">
        <w:rPr>
          <w:rFonts w:eastAsiaTheme="minorEastAsia"/>
          <w:color w:val="auto"/>
          <w:sz w:val="21"/>
          <w:szCs w:val="21"/>
          <w:lang w:val="en-AU" w:eastAsia="en-AU"/>
        </w:rPr>
        <w:t xml:space="preserve"> and leadership capabilities</w:t>
      </w:r>
      <w:r w:rsidRPr="513595A1">
        <w:rPr>
          <w:rFonts w:eastAsiaTheme="minorEastAsia"/>
          <w:color w:val="auto"/>
          <w:sz w:val="21"/>
          <w:szCs w:val="21"/>
          <w:lang w:val="en-AU" w:eastAsia="en-AU"/>
        </w:rPr>
        <w:t xml:space="preserve"> in select PNG secondary schools and </w:t>
      </w:r>
      <w:r w:rsidR="00CB6B5F">
        <w:rPr>
          <w:rFonts w:eastAsiaTheme="minorEastAsia"/>
          <w:color w:val="auto"/>
          <w:sz w:val="21"/>
          <w:szCs w:val="21"/>
          <w:lang w:val="en-AU" w:eastAsia="en-AU"/>
        </w:rPr>
        <w:t>support</w:t>
      </w:r>
      <w:r w:rsidRPr="513595A1">
        <w:rPr>
          <w:rFonts w:eastAsiaTheme="minorEastAsia"/>
          <w:color w:val="auto"/>
          <w:sz w:val="21"/>
          <w:szCs w:val="21"/>
          <w:lang w:val="en-AU" w:eastAsia="en-AU"/>
        </w:rPr>
        <w:t xml:space="preserve"> people-to-people links with Australia.</w:t>
      </w:r>
    </w:p>
    <w:p w14:paraId="74E4225B" w14:textId="06B16F43" w:rsidR="00B820A3" w:rsidRDefault="00B820A3" w:rsidP="00A213E0">
      <w:pPr>
        <w:tabs>
          <w:tab w:val="left" w:pos="284"/>
        </w:tabs>
        <w:suppressAutoHyphens w:val="0"/>
        <w:spacing w:after="120" w:line="280" w:lineRule="exact"/>
        <w:rPr>
          <w:rFonts w:eastAsiaTheme="minorEastAsia"/>
          <w:b/>
          <w:bCs/>
          <w:color w:val="auto"/>
          <w:sz w:val="21"/>
          <w:szCs w:val="21"/>
          <w:lang w:val="en-AU" w:eastAsia="en-AU"/>
        </w:rPr>
      </w:pPr>
      <w:r w:rsidRPr="513595A1">
        <w:rPr>
          <w:rFonts w:eastAsiaTheme="minorEastAsia"/>
          <w:b/>
          <w:bCs/>
          <w:color w:val="auto"/>
          <w:sz w:val="21"/>
          <w:szCs w:val="21"/>
          <w:lang w:val="en-AU" w:eastAsia="en-AU"/>
        </w:rPr>
        <w:t>Proposed End of Program Outcomes</w:t>
      </w:r>
      <w:r w:rsidR="00732831">
        <w:rPr>
          <w:rFonts w:eastAsiaTheme="minorEastAsia"/>
          <w:b/>
          <w:bCs/>
          <w:color w:val="auto"/>
          <w:sz w:val="21"/>
          <w:szCs w:val="21"/>
          <w:lang w:val="en-AU" w:eastAsia="en-AU"/>
        </w:rPr>
        <w:t xml:space="preserve"> (EOPOs)</w:t>
      </w:r>
      <w:r w:rsidRPr="513595A1">
        <w:rPr>
          <w:rFonts w:eastAsiaTheme="minorEastAsia"/>
          <w:b/>
          <w:bCs/>
          <w:color w:val="auto"/>
          <w:sz w:val="21"/>
          <w:szCs w:val="21"/>
          <w:lang w:val="en-AU" w:eastAsia="en-AU"/>
        </w:rPr>
        <w:t xml:space="preserve">:  </w:t>
      </w:r>
    </w:p>
    <w:p w14:paraId="43570009" w14:textId="44A44BEE" w:rsidR="00732831" w:rsidRPr="00732831" w:rsidRDefault="00732831" w:rsidP="00A213E0">
      <w:pPr>
        <w:numPr>
          <w:ilvl w:val="0"/>
          <w:numId w:val="17"/>
        </w:numPr>
        <w:tabs>
          <w:tab w:val="left" w:pos="284"/>
        </w:tabs>
        <w:suppressAutoHyphens w:val="0"/>
        <w:spacing w:after="120" w:line="280" w:lineRule="exact"/>
        <w:rPr>
          <w:rFonts w:eastAsiaTheme="minorEastAsia"/>
          <w:color w:val="auto"/>
          <w:sz w:val="21"/>
          <w:szCs w:val="21"/>
          <w:lang w:val="en-AU" w:eastAsia="en-AU"/>
        </w:rPr>
      </w:pPr>
      <w:r w:rsidRPr="00732831">
        <w:rPr>
          <w:rFonts w:eastAsiaTheme="minorEastAsia"/>
          <w:b/>
          <w:bCs/>
          <w:color w:val="auto"/>
          <w:sz w:val="21"/>
          <w:szCs w:val="21"/>
          <w:lang w:val="en-AU" w:eastAsia="en-AU"/>
        </w:rPr>
        <w:t>Better teaching and learning</w:t>
      </w:r>
      <w:r w:rsidRPr="00732831">
        <w:rPr>
          <w:rFonts w:eastAsiaTheme="minorEastAsia"/>
          <w:color w:val="auto"/>
          <w:sz w:val="21"/>
          <w:szCs w:val="21"/>
          <w:lang w:val="en-AU" w:eastAsia="en-AU"/>
        </w:rPr>
        <w:t xml:space="preserve"> in targeted subject areas. EOPO 1 speaks to improved learning in targeted areas for students. This will be done by strengthening teachers’ knowledge and teaching skills, providing access to up-to-date teaching resources, and improving collaboration between teachers and improv</w:t>
      </w:r>
      <w:r w:rsidR="00C1456B">
        <w:rPr>
          <w:rFonts w:eastAsiaTheme="minorEastAsia"/>
          <w:color w:val="auto"/>
          <w:sz w:val="21"/>
          <w:szCs w:val="21"/>
          <w:lang w:val="en-AU" w:eastAsia="en-AU"/>
        </w:rPr>
        <w:t>ing</w:t>
      </w:r>
      <w:r w:rsidRPr="00732831">
        <w:rPr>
          <w:rFonts w:eastAsiaTheme="minorEastAsia"/>
          <w:color w:val="auto"/>
          <w:sz w:val="21"/>
          <w:szCs w:val="21"/>
          <w:lang w:val="en-AU" w:eastAsia="en-AU"/>
        </w:rPr>
        <w:t xml:space="preserve"> management practices. </w:t>
      </w:r>
    </w:p>
    <w:p w14:paraId="7BA93641" w14:textId="386C317B" w:rsidR="00732831" w:rsidRDefault="00732831" w:rsidP="00A213E0">
      <w:pPr>
        <w:numPr>
          <w:ilvl w:val="0"/>
          <w:numId w:val="18"/>
        </w:numPr>
        <w:tabs>
          <w:tab w:val="left" w:pos="284"/>
        </w:tabs>
        <w:suppressAutoHyphens w:val="0"/>
        <w:spacing w:after="120" w:line="280" w:lineRule="exact"/>
        <w:rPr>
          <w:rFonts w:eastAsiaTheme="minorEastAsia"/>
          <w:color w:val="auto"/>
          <w:sz w:val="21"/>
          <w:szCs w:val="21"/>
          <w:lang w:val="en-AU" w:eastAsia="en-AU"/>
        </w:rPr>
      </w:pPr>
      <w:r w:rsidRPr="00732831">
        <w:rPr>
          <w:rFonts w:eastAsiaTheme="minorEastAsia"/>
          <w:b/>
          <w:bCs/>
          <w:color w:val="auto"/>
          <w:sz w:val="21"/>
          <w:szCs w:val="21"/>
          <w:lang w:val="en-AU" w:eastAsia="en-AU"/>
        </w:rPr>
        <w:t>Safe, resilient and inclusive schools</w:t>
      </w:r>
      <w:r w:rsidRPr="00732831">
        <w:rPr>
          <w:rFonts w:eastAsiaTheme="minorEastAsia"/>
          <w:color w:val="auto"/>
          <w:sz w:val="21"/>
          <w:szCs w:val="21"/>
          <w:lang w:val="en-AU" w:eastAsia="en-AU"/>
        </w:rPr>
        <w:t xml:space="preserve">, </w:t>
      </w:r>
      <w:r w:rsidRPr="00732831">
        <w:rPr>
          <w:rFonts w:eastAsiaTheme="minorEastAsia"/>
          <w:b/>
          <w:bCs/>
          <w:color w:val="auto"/>
          <w:sz w:val="21"/>
          <w:szCs w:val="21"/>
          <w:lang w:val="en-AU" w:eastAsia="en-AU"/>
        </w:rPr>
        <w:t>particularly for girls, women, and people with a disability.</w:t>
      </w:r>
      <w:r w:rsidRPr="00732831">
        <w:rPr>
          <w:rFonts w:eastAsiaTheme="minorEastAsia"/>
          <w:color w:val="auto"/>
          <w:sz w:val="21"/>
          <w:szCs w:val="21"/>
          <w:lang w:val="en-AU" w:eastAsia="en-AU"/>
        </w:rPr>
        <w:t xml:space="preserve"> EOPO 2 directly seeks to improve the school environment through leadership (students, school leaders and teachers) capable of steering a pathway that reduces violence in all its forms. Activities under EOPO 2 will focus on developing student and teacher leadership capabilities; promoting gender equality, inclusion and safety; developing school plans to mitigate and manage climate change and disaster events; and supporting </w:t>
      </w:r>
      <w:r w:rsidR="00C1456B">
        <w:rPr>
          <w:rFonts w:eastAsiaTheme="minorEastAsia"/>
          <w:color w:val="auto"/>
          <w:sz w:val="21"/>
          <w:szCs w:val="21"/>
          <w:lang w:val="en-AU" w:eastAsia="en-AU"/>
        </w:rPr>
        <w:t>targeted</w:t>
      </w:r>
      <w:r w:rsidRPr="00732831">
        <w:rPr>
          <w:rFonts w:eastAsiaTheme="minorEastAsia"/>
          <w:color w:val="auto"/>
          <w:sz w:val="21"/>
          <w:szCs w:val="21"/>
          <w:lang w:val="en-AU" w:eastAsia="en-AU"/>
        </w:rPr>
        <w:t xml:space="preserve"> infrastructure upgrades and internet connectivity. </w:t>
      </w:r>
    </w:p>
    <w:p w14:paraId="00694C7F" w14:textId="77777777" w:rsidR="00C009AA" w:rsidRPr="00732831" w:rsidRDefault="00C009AA" w:rsidP="00C009AA">
      <w:pPr>
        <w:tabs>
          <w:tab w:val="left" w:pos="284"/>
        </w:tabs>
        <w:suppressAutoHyphens w:val="0"/>
        <w:spacing w:after="120" w:line="280" w:lineRule="exact"/>
        <w:rPr>
          <w:rFonts w:eastAsiaTheme="minorEastAsia"/>
          <w:color w:val="auto"/>
          <w:sz w:val="21"/>
          <w:szCs w:val="21"/>
          <w:lang w:val="en-AU" w:eastAsia="en-AU"/>
        </w:rPr>
      </w:pPr>
    </w:p>
    <w:p w14:paraId="3A0A7608" w14:textId="4AC38FB7" w:rsidR="00B820A3" w:rsidRPr="00C1456B" w:rsidRDefault="00732831" w:rsidP="00A213E0">
      <w:pPr>
        <w:numPr>
          <w:ilvl w:val="0"/>
          <w:numId w:val="19"/>
        </w:numPr>
        <w:tabs>
          <w:tab w:val="left" w:pos="284"/>
        </w:tabs>
        <w:suppressAutoHyphens w:val="0"/>
        <w:spacing w:after="120" w:line="280" w:lineRule="exact"/>
        <w:rPr>
          <w:rFonts w:eastAsiaTheme="minorEastAsia"/>
          <w:b/>
          <w:bCs/>
          <w:color w:val="auto"/>
          <w:sz w:val="21"/>
          <w:szCs w:val="21"/>
          <w:lang w:val="en-AU" w:eastAsia="en-AU"/>
        </w:rPr>
      </w:pPr>
      <w:r w:rsidRPr="00732831">
        <w:rPr>
          <w:rFonts w:eastAsiaTheme="minorEastAsia"/>
          <w:b/>
          <w:bCs/>
          <w:color w:val="auto"/>
          <w:sz w:val="21"/>
          <w:szCs w:val="21"/>
          <w:lang w:val="en-AU" w:eastAsia="en-AU"/>
        </w:rPr>
        <w:t>Supportive Australia-PNG relations</w:t>
      </w:r>
      <w:r w:rsidRPr="00732831">
        <w:rPr>
          <w:rFonts w:eastAsiaTheme="minorEastAsia"/>
          <w:color w:val="auto"/>
          <w:sz w:val="21"/>
          <w:szCs w:val="21"/>
          <w:lang w:val="en-AU" w:eastAsia="en-AU"/>
        </w:rPr>
        <w:t>. Activities under EOPO 3 will be designed to ensure that Australia and PNG have stronger partnerships and people-to-people links in the secondary education sector. Drawing on Australia’s relatively strong systems of secondary education, activities will provide opportunities for information exchanges and linkages, with a view to creating enduring relationships.   </w:t>
      </w:r>
    </w:p>
    <w:p w14:paraId="5932A0A3" w14:textId="37D060C6" w:rsidR="00B820A3" w:rsidRPr="000E1870" w:rsidRDefault="00B820A3" w:rsidP="00A213E0">
      <w:pPr>
        <w:tabs>
          <w:tab w:val="left" w:pos="284"/>
        </w:tabs>
        <w:suppressAutoHyphens w:val="0"/>
        <w:spacing w:after="120" w:line="280" w:lineRule="exact"/>
        <w:rPr>
          <w:rFonts w:eastAsiaTheme="minorEastAsia"/>
          <w:color w:val="auto"/>
          <w:sz w:val="21"/>
          <w:szCs w:val="21"/>
          <w:lang w:val="en-AU" w:eastAsia="en-AU"/>
        </w:rPr>
      </w:pPr>
      <w:r w:rsidRPr="513595A1">
        <w:rPr>
          <w:rFonts w:eastAsiaTheme="minorEastAsia"/>
          <w:b/>
          <w:bCs/>
          <w:color w:val="auto"/>
          <w:sz w:val="21"/>
          <w:szCs w:val="21"/>
          <w:lang w:val="en-AU" w:eastAsia="en-AU"/>
        </w:rPr>
        <w:lastRenderedPageBreak/>
        <w:t>Primary beneficiaries</w:t>
      </w:r>
      <w:r w:rsidRPr="513595A1">
        <w:rPr>
          <w:rFonts w:eastAsiaTheme="minorEastAsia"/>
          <w:color w:val="auto"/>
          <w:sz w:val="21"/>
          <w:szCs w:val="21"/>
          <w:lang w:val="en-AU" w:eastAsia="en-AU"/>
        </w:rPr>
        <w:t xml:space="preserve"> will be secondary school students and their teachers in participating schools, through targeted quality improvements in teaching skills</w:t>
      </w:r>
      <w:r w:rsidR="00FF2361" w:rsidRPr="513595A1">
        <w:rPr>
          <w:rFonts w:eastAsiaTheme="minorEastAsia"/>
          <w:color w:val="auto"/>
          <w:sz w:val="21"/>
          <w:szCs w:val="21"/>
          <w:lang w:val="en-AU" w:eastAsia="en-AU"/>
        </w:rPr>
        <w:t>, resources</w:t>
      </w:r>
      <w:r w:rsidRPr="513595A1">
        <w:rPr>
          <w:rFonts w:eastAsiaTheme="minorEastAsia"/>
          <w:color w:val="auto"/>
          <w:sz w:val="21"/>
          <w:szCs w:val="21"/>
          <w:lang w:val="en-AU" w:eastAsia="en-AU"/>
        </w:rPr>
        <w:t xml:space="preserve"> and the </w:t>
      </w:r>
      <w:r w:rsidR="00FF2361" w:rsidRPr="513595A1">
        <w:rPr>
          <w:rFonts w:eastAsiaTheme="minorEastAsia"/>
          <w:color w:val="auto"/>
          <w:sz w:val="21"/>
          <w:szCs w:val="21"/>
          <w:lang w:val="en-AU" w:eastAsia="en-AU"/>
        </w:rPr>
        <w:t xml:space="preserve">teaching and </w:t>
      </w:r>
      <w:r w:rsidRPr="513595A1">
        <w:rPr>
          <w:rFonts w:eastAsiaTheme="minorEastAsia"/>
          <w:color w:val="auto"/>
          <w:sz w:val="21"/>
          <w:szCs w:val="21"/>
          <w:lang w:val="en-AU" w:eastAsia="en-AU"/>
        </w:rPr>
        <w:t>learning environment</w:t>
      </w:r>
      <w:r w:rsidR="00FF2361" w:rsidRPr="513595A1">
        <w:rPr>
          <w:rFonts w:eastAsiaTheme="minorEastAsia"/>
          <w:color w:val="auto"/>
          <w:sz w:val="21"/>
          <w:szCs w:val="21"/>
          <w:lang w:val="en-AU" w:eastAsia="en-AU"/>
        </w:rPr>
        <w:t>.</w:t>
      </w:r>
    </w:p>
    <w:p w14:paraId="4EF9DEB8" w14:textId="77777777" w:rsidR="007049B1" w:rsidRDefault="007049B1" w:rsidP="00A213E0">
      <w:pPr>
        <w:tabs>
          <w:tab w:val="left" w:pos="284"/>
        </w:tabs>
        <w:spacing w:after="120" w:line="280" w:lineRule="exact"/>
        <w:rPr>
          <w:rFonts w:eastAsiaTheme="minorEastAsia"/>
          <w:color w:val="auto"/>
          <w:sz w:val="21"/>
          <w:szCs w:val="21"/>
          <w:lang w:val="en-AU" w:eastAsia="en-AU"/>
        </w:rPr>
      </w:pPr>
      <w:r w:rsidRPr="1065CBCB">
        <w:rPr>
          <w:rFonts w:eastAsiaTheme="minorEastAsia"/>
          <w:b/>
          <w:bCs/>
          <w:color w:val="auto"/>
          <w:sz w:val="21"/>
          <w:szCs w:val="21"/>
          <w:lang w:val="en-AU" w:eastAsia="en-AU"/>
        </w:rPr>
        <w:t>Gender equality</w:t>
      </w:r>
      <w:r w:rsidRPr="1065CBCB">
        <w:rPr>
          <w:rFonts w:eastAsiaTheme="minorEastAsia"/>
          <w:color w:val="auto"/>
          <w:sz w:val="21"/>
          <w:szCs w:val="21"/>
          <w:lang w:val="en-AU" w:eastAsia="en-AU"/>
        </w:rPr>
        <w:t xml:space="preserve"> will be a </w:t>
      </w:r>
      <w:r>
        <w:rPr>
          <w:rFonts w:eastAsiaTheme="minorEastAsia"/>
          <w:color w:val="auto"/>
          <w:sz w:val="21"/>
          <w:szCs w:val="21"/>
          <w:lang w:val="en-AU" w:eastAsia="en-AU"/>
        </w:rPr>
        <w:t xml:space="preserve">focus, with the program working to promote gender equality, inclusion and safety in schools. </w:t>
      </w:r>
    </w:p>
    <w:p w14:paraId="6AC3F84D" w14:textId="727D60DC" w:rsidR="59B84C15" w:rsidRDefault="59B84C15" w:rsidP="00A213E0">
      <w:pPr>
        <w:tabs>
          <w:tab w:val="left" w:pos="284"/>
        </w:tabs>
        <w:spacing w:after="120" w:line="280" w:lineRule="exact"/>
        <w:rPr>
          <w:rFonts w:eastAsiaTheme="minorEastAsia"/>
          <w:color w:val="auto"/>
          <w:sz w:val="21"/>
          <w:szCs w:val="21"/>
          <w:lang w:val="en-AU" w:eastAsia="en-AU"/>
        </w:rPr>
      </w:pPr>
      <w:r w:rsidRPr="00457283">
        <w:rPr>
          <w:rFonts w:eastAsiaTheme="minorEastAsia"/>
          <w:b/>
          <w:bCs/>
          <w:color w:val="auto"/>
          <w:sz w:val="21"/>
          <w:szCs w:val="21"/>
          <w:lang w:val="en-AU" w:eastAsia="en-AU"/>
        </w:rPr>
        <w:t xml:space="preserve">Climate </w:t>
      </w:r>
      <w:r w:rsidR="00457283">
        <w:rPr>
          <w:rFonts w:eastAsiaTheme="minorEastAsia"/>
          <w:b/>
          <w:bCs/>
          <w:color w:val="auto"/>
          <w:sz w:val="21"/>
          <w:szCs w:val="21"/>
          <w:lang w:val="en-AU" w:eastAsia="en-AU"/>
        </w:rPr>
        <w:t>c</w:t>
      </w:r>
      <w:r w:rsidRPr="00C40580">
        <w:rPr>
          <w:rFonts w:eastAsiaTheme="minorEastAsia"/>
          <w:b/>
          <w:bCs/>
          <w:color w:val="auto"/>
          <w:sz w:val="21"/>
          <w:szCs w:val="21"/>
          <w:lang w:val="en-AU" w:eastAsia="en-AU"/>
        </w:rPr>
        <w:t>hange</w:t>
      </w:r>
      <w:r w:rsidRPr="1065CBCB">
        <w:rPr>
          <w:rFonts w:eastAsiaTheme="minorEastAsia"/>
          <w:color w:val="auto"/>
          <w:sz w:val="21"/>
          <w:szCs w:val="21"/>
          <w:lang w:val="en-AU" w:eastAsia="en-AU"/>
        </w:rPr>
        <w:t xml:space="preserve"> </w:t>
      </w:r>
      <w:r w:rsidR="00004A3C">
        <w:rPr>
          <w:rFonts w:eastAsiaTheme="minorEastAsia"/>
          <w:color w:val="auto"/>
          <w:sz w:val="21"/>
          <w:szCs w:val="21"/>
          <w:lang w:val="en-AU" w:eastAsia="en-AU"/>
        </w:rPr>
        <w:t xml:space="preserve">and disaster risk response </w:t>
      </w:r>
      <w:r w:rsidR="007A70B4">
        <w:rPr>
          <w:rFonts w:eastAsiaTheme="minorEastAsia"/>
          <w:color w:val="auto"/>
          <w:sz w:val="21"/>
          <w:szCs w:val="21"/>
          <w:lang w:val="en-AU" w:eastAsia="en-AU"/>
        </w:rPr>
        <w:t xml:space="preserve">will be incorporated in the design, with </w:t>
      </w:r>
      <w:r w:rsidR="00B96C21">
        <w:rPr>
          <w:rFonts w:eastAsiaTheme="minorEastAsia"/>
          <w:color w:val="auto"/>
          <w:sz w:val="21"/>
          <w:szCs w:val="21"/>
          <w:lang w:val="en-AU" w:eastAsia="en-AU"/>
        </w:rPr>
        <w:t xml:space="preserve">a </w:t>
      </w:r>
      <w:r w:rsidR="00F86427">
        <w:rPr>
          <w:rFonts w:eastAsiaTheme="minorEastAsia"/>
          <w:color w:val="auto"/>
          <w:sz w:val="21"/>
          <w:szCs w:val="21"/>
          <w:lang w:val="en-AU" w:eastAsia="en-AU"/>
        </w:rPr>
        <w:t xml:space="preserve">specific </w:t>
      </w:r>
      <w:r w:rsidR="00B96C21">
        <w:rPr>
          <w:rFonts w:eastAsiaTheme="minorEastAsia"/>
          <w:color w:val="auto"/>
          <w:sz w:val="21"/>
          <w:szCs w:val="21"/>
          <w:lang w:val="en-AU" w:eastAsia="en-AU"/>
        </w:rPr>
        <w:t xml:space="preserve">climate change objective </w:t>
      </w:r>
      <w:r w:rsidR="00745819">
        <w:rPr>
          <w:rFonts w:eastAsiaTheme="minorEastAsia"/>
          <w:color w:val="auto"/>
          <w:sz w:val="21"/>
          <w:szCs w:val="21"/>
          <w:lang w:val="en-AU" w:eastAsia="en-AU"/>
        </w:rPr>
        <w:t>currently proposed as an intermediate outcome</w:t>
      </w:r>
      <w:r w:rsidR="00B96C21">
        <w:rPr>
          <w:rFonts w:eastAsiaTheme="minorEastAsia"/>
          <w:color w:val="auto"/>
          <w:sz w:val="21"/>
          <w:szCs w:val="21"/>
          <w:lang w:val="en-AU" w:eastAsia="en-AU"/>
        </w:rPr>
        <w:t xml:space="preserve"> for the investment</w:t>
      </w:r>
      <w:r w:rsidR="00745819">
        <w:rPr>
          <w:rFonts w:eastAsiaTheme="minorEastAsia"/>
          <w:color w:val="auto"/>
          <w:sz w:val="21"/>
          <w:szCs w:val="21"/>
          <w:lang w:val="en-AU" w:eastAsia="en-AU"/>
        </w:rPr>
        <w:t xml:space="preserve">. </w:t>
      </w:r>
    </w:p>
    <w:p w14:paraId="593DAA69" w14:textId="620790D1" w:rsidR="00490CDB" w:rsidRPr="00C40580" w:rsidRDefault="00254A03" w:rsidP="513595A1">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pBdr>
        <w:shd w:val="clear" w:color="auto" w:fill="E0F3EF" w:themeFill="accent1" w:themeFillTint="33"/>
        <w:spacing w:after="120"/>
        <w:rPr>
          <w:rFonts w:eastAsiaTheme="minorEastAsia"/>
          <w:color w:val="auto"/>
        </w:rPr>
      </w:pPr>
      <w:r w:rsidRPr="00C40580">
        <w:rPr>
          <w:rFonts w:eastAsiaTheme="minorEastAsia"/>
          <w:b/>
          <w:bCs/>
          <w:color w:val="auto"/>
        </w:rPr>
        <w:t xml:space="preserve">E. </w:t>
      </w:r>
      <w:r w:rsidR="00971FA2" w:rsidRPr="00C40580">
        <w:rPr>
          <w:rFonts w:eastAsiaTheme="minorEastAsia"/>
          <w:b/>
          <w:bCs/>
          <w:color w:val="auto"/>
        </w:rPr>
        <w:t>Risks</w:t>
      </w:r>
    </w:p>
    <w:p w14:paraId="38681D98" w14:textId="1FB96F6D" w:rsidR="00927674" w:rsidRPr="000E1870" w:rsidRDefault="00927674" w:rsidP="00A213E0">
      <w:pPr>
        <w:tabs>
          <w:tab w:val="left" w:pos="284"/>
        </w:tabs>
        <w:suppressAutoHyphens w:val="0"/>
        <w:spacing w:after="120" w:line="280" w:lineRule="exact"/>
        <w:rPr>
          <w:rFonts w:eastAsiaTheme="minorEastAsia"/>
          <w:color w:val="auto"/>
          <w:sz w:val="21"/>
          <w:szCs w:val="21"/>
          <w:lang w:val="en-AU" w:eastAsia="en-AU"/>
        </w:rPr>
      </w:pPr>
      <w:r w:rsidRPr="513595A1">
        <w:rPr>
          <w:rFonts w:eastAsiaTheme="minorEastAsia"/>
          <w:b/>
          <w:bCs/>
          <w:color w:val="auto"/>
          <w:sz w:val="21"/>
          <w:szCs w:val="21"/>
          <w:lang w:val="en-AU" w:eastAsia="en-AU"/>
        </w:rPr>
        <w:t>Child Protection and the presentation of Sexual Exploitation, Abuse or Harassment (SEAH)</w:t>
      </w:r>
      <w:r w:rsidRPr="513595A1">
        <w:rPr>
          <w:rFonts w:eastAsiaTheme="minorEastAsia"/>
          <w:color w:val="auto"/>
          <w:sz w:val="21"/>
          <w:szCs w:val="21"/>
          <w:lang w:val="en-AU" w:eastAsia="en-AU"/>
        </w:rPr>
        <w:t xml:space="preserve"> will be addressed through assessments of</w:t>
      </w:r>
      <w:r w:rsidR="000E1870" w:rsidRPr="513595A1">
        <w:rPr>
          <w:rFonts w:eastAsiaTheme="minorEastAsia"/>
          <w:color w:val="auto"/>
          <w:sz w:val="21"/>
          <w:szCs w:val="21"/>
          <w:lang w:val="en-AU" w:eastAsia="en-AU"/>
        </w:rPr>
        <w:t xml:space="preserve"> the</w:t>
      </w:r>
      <w:r w:rsidRPr="513595A1">
        <w:rPr>
          <w:rFonts w:eastAsiaTheme="minorEastAsia"/>
          <w:color w:val="auto"/>
          <w:sz w:val="21"/>
          <w:szCs w:val="21"/>
          <w:lang w:val="en-AU" w:eastAsia="en-AU"/>
        </w:rPr>
        <w:t xml:space="preserve"> </w:t>
      </w:r>
      <w:r w:rsidR="004C7F89" w:rsidRPr="513595A1">
        <w:rPr>
          <w:rFonts w:eastAsiaTheme="minorEastAsia"/>
          <w:color w:val="auto"/>
          <w:sz w:val="21"/>
          <w:szCs w:val="21"/>
          <w:lang w:val="en-AU" w:eastAsia="en-AU"/>
        </w:rPr>
        <w:t xml:space="preserve">implementation provider and </w:t>
      </w:r>
      <w:r w:rsidRPr="513595A1">
        <w:rPr>
          <w:rFonts w:eastAsiaTheme="minorEastAsia"/>
          <w:color w:val="auto"/>
          <w:sz w:val="21"/>
          <w:szCs w:val="21"/>
          <w:lang w:val="en-AU" w:eastAsia="en-AU"/>
        </w:rPr>
        <w:t>partner</w:t>
      </w:r>
      <w:r w:rsidR="004C7F89" w:rsidRPr="513595A1">
        <w:rPr>
          <w:rFonts w:eastAsiaTheme="minorEastAsia"/>
          <w:color w:val="auto"/>
          <w:sz w:val="21"/>
          <w:szCs w:val="21"/>
          <w:lang w:val="en-AU" w:eastAsia="en-AU"/>
        </w:rPr>
        <w:t>s</w:t>
      </w:r>
      <w:r w:rsidRPr="513595A1">
        <w:rPr>
          <w:rFonts w:eastAsiaTheme="minorEastAsia"/>
          <w:color w:val="auto"/>
          <w:sz w:val="21"/>
          <w:szCs w:val="21"/>
          <w:lang w:val="en-AU" w:eastAsia="en-AU"/>
        </w:rPr>
        <w:t xml:space="preserve"> as part of the capacity assessments</w:t>
      </w:r>
      <w:r w:rsidR="00E30D95" w:rsidRPr="513595A1">
        <w:rPr>
          <w:rFonts w:eastAsiaTheme="minorEastAsia"/>
          <w:color w:val="auto"/>
          <w:sz w:val="21"/>
          <w:szCs w:val="21"/>
          <w:lang w:val="en-AU" w:eastAsia="en-AU"/>
        </w:rPr>
        <w:t>.</w:t>
      </w:r>
    </w:p>
    <w:p w14:paraId="63B8D3E7" w14:textId="63CEE4FF" w:rsidR="007E50C9" w:rsidRPr="000E1870" w:rsidRDefault="00927674" w:rsidP="00A213E0">
      <w:pPr>
        <w:tabs>
          <w:tab w:val="left" w:pos="284"/>
        </w:tabs>
        <w:suppressAutoHyphens w:val="0"/>
        <w:spacing w:after="120" w:line="280" w:lineRule="exact"/>
        <w:rPr>
          <w:rFonts w:eastAsiaTheme="minorEastAsia"/>
          <w:color w:val="auto"/>
          <w:sz w:val="21"/>
          <w:szCs w:val="21"/>
          <w:lang w:val="en-AU" w:eastAsia="en-AU"/>
        </w:rPr>
      </w:pPr>
      <w:r w:rsidRPr="513595A1">
        <w:rPr>
          <w:rFonts w:eastAsiaTheme="minorEastAsia"/>
          <w:color w:val="auto"/>
          <w:sz w:val="21"/>
          <w:szCs w:val="21"/>
          <w:lang w:val="en-AU" w:eastAsia="en-AU"/>
        </w:rPr>
        <w:t xml:space="preserve">The </w:t>
      </w:r>
      <w:r w:rsidRPr="513595A1">
        <w:rPr>
          <w:rFonts w:eastAsiaTheme="minorEastAsia"/>
          <w:b/>
          <w:bCs/>
          <w:color w:val="auto"/>
          <w:sz w:val="21"/>
          <w:szCs w:val="21"/>
          <w:lang w:val="en-AU" w:eastAsia="en-AU"/>
        </w:rPr>
        <w:t xml:space="preserve">limited capacity of government partners </w:t>
      </w:r>
      <w:r w:rsidRPr="513595A1">
        <w:rPr>
          <w:rFonts w:eastAsiaTheme="minorEastAsia"/>
          <w:color w:val="auto"/>
          <w:sz w:val="21"/>
          <w:szCs w:val="21"/>
          <w:lang w:val="en-AU" w:eastAsia="en-AU"/>
        </w:rPr>
        <w:t xml:space="preserve">and potential limited engagement by </w:t>
      </w:r>
      <w:proofErr w:type="spellStart"/>
      <w:r w:rsidRPr="513595A1">
        <w:rPr>
          <w:rFonts w:eastAsiaTheme="minorEastAsia"/>
          <w:color w:val="auto"/>
          <w:sz w:val="21"/>
          <w:szCs w:val="21"/>
          <w:lang w:val="en-AU" w:eastAsia="en-AU"/>
        </w:rPr>
        <w:t>NDoE</w:t>
      </w:r>
      <w:proofErr w:type="spellEnd"/>
      <w:r w:rsidRPr="513595A1">
        <w:rPr>
          <w:rFonts w:eastAsiaTheme="minorEastAsia"/>
          <w:color w:val="auto"/>
          <w:sz w:val="21"/>
          <w:szCs w:val="21"/>
          <w:lang w:val="en-AU" w:eastAsia="en-AU"/>
        </w:rPr>
        <w:t xml:space="preserve"> and/or participating school</w:t>
      </w:r>
      <w:r w:rsidR="004C7F89" w:rsidRPr="513595A1">
        <w:rPr>
          <w:rFonts w:eastAsiaTheme="minorEastAsia"/>
          <w:color w:val="auto"/>
          <w:sz w:val="21"/>
          <w:szCs w:val="21"/>
          <w:lang w:val="en-AU" w:eastAsia="en-AU"/>
        </w:rPr>
        <w:t>s</w:t>
      </w:r>
      <w:r w:rsidRPr="513595A1">
        <w:rPr>
          <w:rFonts w:eastAsiaTheme="minorEastAsia"/>
          <w:color w:val="auto"/>
          <w:sz w:val="21"/>
          <w:szCs w:val="21"/>
          <w:lang w:val="en-AU" w:eastAsia="en-AU"/>
        </w:rPr>
        <w:t xml:space="preserve"> may </w:t>
      </w:r>
      <w:r w:rsidR="004C7F89" w:rsidRPr="513595A1">
        <w:rPr>
          <w:rFonts w:eastAsiaTheme="minorEastAsia"/>
          <w:color w:val="auto"/>
          <w:sz w:val="21"/>
          <w:szCs w:val="21"/>
          <w:lang w:val="en-AU" w:eastAsia="en-AU"/>
        </w:rPr>
        <w:t xml:space="preserve">limit </w:t>
      </w:r>
      <w:r w:rsidRPr="513595A1">
        <w:rPr>
          <w:rFonts w:eastAsiaTheme="minorEastAsia"/>
          <w:color w:val="auto"/>
          <w:sz w:val="21"/>
          <w:szCs w:val="21"/>
          <w:lang w:val="en-AU" w:eastAsia="en-AU"/>
        </w:rPr>
        <w:t xml:space="preserve">the potential impact and sustainability of the investment. </w:t>
      </w:r>
    </w:p>
    <w:p w14:paraId="1C62EEB9" w14:textId="1333F5DD" w:rsidR="00927674" w:rsidRPr="000E1870" w:rsidRDefault="00927674" w:rsidP="00A213E0">
      <w:pPr>
        <w:tabs>
          <w:tab w:val="left" w:pos="284"/>
        </w:tabs>
        <w:suppressAutoHyphens w:val="0"/>
        <w:spacing w:after="120" w:line="280" w:lineRule="exact"/>
        <w:rPr>
          <w:rFonts w:eastAsiaTheme="minorEastAsia"/>
          <w:color w:val="auto"/>
          <w:sz w:val="21"/>
          <w:szCs w:val="21"/>
          <w:lang w:val="en-AU" w:eastAsia="en-AU"/>
        </w:rPr>
      </w:pPr>
      <w:r w:rsidRPr="513595A1">
        <w:rPr>
          <w:rFonts w:eastAsiaTheme="minorEastAsia"/>
          <w:b/>
          <w:bCs/>
          <w:color w:val="auto"/>
          <w:sz w:val="21"/>
          <w:szCs w:val="21"/>
          <w:lang w:val="en-AU" w:eastAsia="en-AU"/>
        </w:rPr>
        <w:t xml:space="preserve">Low-capacity partners at </w:t>
      </w:r>
      <w:r w:rsidR="004C7F89" w:rsidRPr="513595A1">
        <w:rPr>
          <w:rFonts w:eastAsiaTheme="minorEastAsia"/>
          <w:b/>
          <w:bCs/>
          <w:color w:val="auto"/>
          <w:sz w:val="21"/>
          <w:szCs w:val="21"/>
          <w:lang w:val="en-AU" w:eastAsia="en-AU"/>
        </w:rPr>
        <w:t xml:space="preserve">either </w:t>
      </w:r>
      <w:r w:rsidRPr="513595A1">
        <w:rPr>
          <w:rFonts w:eastAsiaTheme="minorEastAsia"/>
          <w:b/>
          <w:bCs/>
          <w:color w:val="auto"/>
          <w:sz w:val="21"/>
          <w:szCs w:val="21"/>
          <w:lang w:val="en-AU" w:eastAsia="en-AU"/>
        </w:rPr>
        <w:t>the national or the school level</w:t>
      </w:r>
      <w:r w:rsidR="004C7F89" w:rsidRPr="513595A1">
        <w:rPr>
          <w:rFonts w:eastAsiaTheme="minorEastAsia"/>
          <w:b/>
          <w:bCs/>
          <w:color w:val="auto"/>
          <w:sz w:val="21"/>
          <w:szCs w:val="21"/>
          <w:lang w:val="en-AU" w:eastAsia="en-AU"/>
        </w:rPr>
        <w:t>s</w:t>
      </w:r>
      <w:r w:rsidRPr="513595A1">
        <w:rPr>
          <w:rFonts w:eastAsiaTheme="minorEastAsia"/>
          <w:b/>
          <w:bCs/>
          <w:color w:val="auto"/>
          <w:sz w:val="21"/>
          <w:szCs w:val="21"/>
          <w:lang w:val="en-AU" w:eastAsia="en-AU"/>
        </w:rPr>
        <w:t xml:space="preserve"> may present fiduciary and sustainability risks to the investment.</w:t>
      </w:r>
      <w:r w:rsidRPr="513595A1">
        <w:rPr>
          <w:rFonts w:eastAsiaTheme="minorEastAsia"/>
          <w:color w:val="auto"/>
          <w:sz w:val="21"/>
          <w:szCs w:val="21"/>
          <w:lang w:val="en-AU" w:eastAsia="en-AU"/>
        </w:rPr>
        <w:t xml:space="preserve"> To manage these risks</w:t>
      </w:r>
      <w:r w:rsidR="007E50C9" w:rsidRPr="513595A1">
        <w:rPr>
          <w:rFonts w:eastAsiaTheme="minorEastAsia"/>
          <w:color w:val="auto"/>
          <w:sz w:val="21"/>
          <w:szCs w:val="21"/>
          <w:lang w:val="en-AU" w:eastAsia="en-AU"/>
        </w:rPr>
        <w:t xml:space="preserve"> </w:t>
      </w:r>
      <w:r w:rsidRPr="513595A1">
        <w:rPr>
          <w:rFonts w:eastAsiaTheme="minorEastAsia"/>
          <w:color w:val="auto"/>
          <w:sz w:val="21"/>
          <w:szCs w:val="21"/>
          <w:lang w:val="en-AU" w:eastAsia="en-AU"/>
        </w:rPr>
        <w:t>a phased approach will be undertaken</w:t>
      </w:r>
      <w:r w:rsidR="007E50C9" w:rsidRPr="513595A1">
        <w:rPr>
          <w:rFonts w:eastAsiaTheme="minorEastAsia"/>
          <w:color w:val="auto"/>
          <w:sz w:val="21"/>
          <w:szCs w:val="21"/>
          <w:lang w:val="en-AU" w:eastAsia="en-AU"/>
        </w:rPr>
        <w:t>;</w:t>
      </w:r>
      <w:r w:rsidRPr="513595A1">
        <w:rPr>
          <w:rFonts w:eastAsiaTheme="minorEastAsia"/>
          <w:color w:val="auto"/>
          <w:sz w:val="21"/>
          <w:szCs w:val="21"/>
          <w:lang w:val="en-AU" w:eastAsia="en-AU"/>
        </w:rPr>
        <w:t xml:space="preserve"> partner capacity assessments will be done as part of the baseline</w:t>
      </w:r>
      <w:r w:rsidR="007E50C9" w:rsidRPr="513595A1">
        <w:rPr>
          <w:rFonts w:eastAsiaTheme="minorEastAsia"/>
          <w:color w:val="auto"/>
          <w:sz w:val="21"/>
          <w:szCs w:val="21"/>
          <w:lang w:val="en-AU" w:eastAsia="en-AU"/>
        </w:rPr>
        <w:t xml:space="preserve">; </w:t>
      </w:r>
      <w:r w:rsidRPr="513595A1">
        <w:rPr>
          <w:rFonts w:eastAsiaTheme="minorEastAsia"/>
          <w:color w:val="auto"/>
          <w:sz w:val="21"/>
          <w:szCs w:val="21"/>
          <w:lang w:val="en-AU" w:eastAsia="en-AU"/>
        </w:rPr>
        <w:t xml:space="preserve">early activities to build capability will be prioritised; </w:t>
      </w:r>
      <w:r w:rsidRPr="513595A1">
        <w:rPr>
          <w:rFonts w:eastAsiaTheme="minorEastAsia"/>
          <w:color w:val="auto"/>
          <w:sz w:val="21"/>
          <w:szCs w:val="21"/>
        </w:rPr>
        <w:t xml:space="preserve">regular monitoring </w:t>
      </w:r>
      <w:r w:rsidR="007E50C9" w:rsidRPr="513595A1">
        <w:rPr>
          <w:rFonts w:eastAsiaTheme="minorEastAsia"/>
          <w:color w:val="auto"/>
          <w:sz w:val="21"/>
          <w:szCs w:val="21"/>
        </w:rPr>
        <w:t>to</w:t>
      </w:r>
      <w:r w:rsidRPr="513595A1">
        <w:rPr>
          <w:rFonts w:eastAsiaTheme="minorEastAsia"/>
          <w:color w:val="auto"/>
          <w:sz w:val="21"/>
          <w:szCs w:val="21"/>
        </w:rPr>
        <w:t xml:space="preserve"> ensure program activities align with </w:t>
      </w:r>
      <w:proofErr w:type="spellStart"/>
      <w:r w:rsidRPr="513595A1">
        <w:rPr>
          <w:rFonts w:eastAsiaTheme="minorEastAsia"/>
          <w:color w:val="auto"/>
          <w:sz w:val="21"/>
          <w:szCs w:val="21"/>
        </w:rPr>
        <w:t>GoPNG</w:t>
      </w:r>
      <w:proofErr w:type="spellEnd"/>
      <w:r w:rsidRPr="513595A1">
        <w:rPr>
          <w:rFonts w:eastAsiaTheme="minorEastAsia"/>
          <w:color w:val="auto"/>
          <w:sz w:val="21"/>
          <w:szCs w:val="21"/>
        </w:rPr>
        <w:t xml:space="preserve"> priorities; and appropriate governance mechanisms </w:t>
      </w:r>
      <w:r w:rsidR="00310918" w:rsidRPr="513595A1">
        <w:rPr>
          <w:rFonts w:eastAsiaTheme="minorEastAsia"/>
          <w:color w:val="auto"/>
          <w:sz w:val="21"/>
          <w:szCs w:val="21"/>
        </w:rPr>
        <w:t xml:space="preserve">to </w:t>
      </w:r>
      <w:r w:rsidRPr="513595A1">
        <w:rPr>
          <w:rFonts w:eastAsiaTheme="minorEastAsia"/>
          <w:color w:val="auto"/>
          <w:sz w:val="21"/>
          <w:szCs w:val="21"/>
        </w:rPr>
        <w:t>ensure visibility and engagement from key partners.</w:t>
      </w:r>
    </w:p>
    <w:p w14:paraId="0A0745E4" w14:textId="25C1A54E" w:rsidR="00927674" w:rsidRPr="00560371" w:rsidRDefault="00927674" w:rsidP="00D73D48">
      <w:pPr>
        <w:tabs>
          <w:tab w:val="left" w:pos="284"/>
        </w:tabs>
        <w:suppressAutoHyphens w:val="0"/>
        <w:spacing w:after="120" w:line="280" w:lineRule="exact"/>
        <w:rPr>
          <w:rFonts w:eastAsiaTheme="minorEastAsia"/>
          <w:color w:val="auto"/>
          <w:sz w:val="21"/>
          <w:szCs w:val="21"/>
        </w:rPr>
      </w:pPr>
      <w:r w:rsidRPr="513595A1">
        <w:rPr>
          <w:rFonts w:eastAsiaTheme="minorEastAsia"/>
          <w:color w:val="auto"/>
          <w:sz w:val="21"/>
          <w:szCs w:val="21"/>
          <w:lang w:val="en-AU" w:eastAsia="en-AU"/>
        </w:rPr>
        <w:t>Other risks to be assessed for implementation include interruption to activities arising from</w:t>
      </w:r>
      <w:r w:rsidRPr="513595A1">
        <w:rPr>
          <w:rFonts w:eastAsiaTheme="minorEastAsia"/>
          <w:b/>
          <w:bCs/>
          <w:color w:val="auto"/>
          <w:sz w:val="21"/>
          <w:szCs w:val="21"/>
          <w:lang w:val="en-AU" w:eastAsia="en-AU"/>
        </w:rPr>
        <w:t xml:space="preserve"> natural disasters and localised insecurity risks </w:t>
      </w:r>
      <w:r w:rsidRPr="513595A1">
        <w:rPr>
          <w:rFonts w:eastAsiaTheme="minorEastAsia"/>
          <w:color w:val="auto"/>
          <w:sz w:val="21"/>
          <w:szCs w:val="21"/>
          <w:lang w:val="en-AU" w:eastAsia="en-AU"/>
        </w:rPr>
        <w:t>prevalent to PNG will be addressed through the design process.</w:t>
      </w:r>
    </w:p>
    <w:sectPr w:rsidR="00927674" w:rsidRPr="00560371" w:rsidSect="00281602">
      <w:headerReference w:type="default" r:id="rId11"/>
      <w:footerReference w:type="default" r:id="rId12"/>
      <w:headerReference w:type="first" r:id="rId13"/>
      <w:footerReference w:type="first" r:id="rId14"/>
      <w:pgSz w:w="11906" w:h="16838" w:code="9"/>
      <w:pgMar w:top="1418" w:right="1134" w:bottom="1418" w:left="1134" w:header="425" w:footer="49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B0E63" w14:textId="77777777" w:rsidR="006A763B" w:rsidRDefault="006A763B" w:rsidP="00D37B04">
      <w:r>
        <w:separator/>
      </w:r>
    </w:p>
  </w:endnote>
  <w:endnote w:type="continuationSeparator" w:id="0">
    <w:p w14:paraId="714F7222" w14:textId="77777777" w:rsidR="006A763B" w:rsidRDefault="006A763B" w:rsidP="00D37B04">
      <w:r>
        <w:continuationSeparator/>
      </w:r>
    </w:p>
  </w:endnote>
  <w:endnote w:type="continuationNotice" w:id="1">
    <w:p w14:paraId="493D3C75" w14:textId="77777777" w:rsidR="006A763B" w:rsidRDefault="006A763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useoSans-500">
    <w:altName w:val="Calibri"/>
    <w:charset w:val="77"/>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auto"/>
      </w:rPr>
      <w:id w:val="1011112537"/>
      <w:docPartObj>
        <w:docPartGallery w:val="Page Numbers (Bottom of Page)"/>
        <w:docPartUnique/>
      </w:docPartObj>
    </w:sdtPr>
    <w:sdtEndPr>
      <w:rPr>
        <w:noProof/>
      </w:rPr>
    </w:sdtEndPr>
    <w:sdtContent>
      <w:p w14:paraId="6B1A5668" w14:textId="7528CB3F" w:rsidR="00453888" w:rsidRDefault="00453888">
        <w:pPr>
          <w:pStyle w:val="Footer"/>
          <w:jc w:val="right"/>
        </w:pPr>
        <w:r w:rsidRPr="00E402CB">
          <w:rPr>
            <w:color w:val="auto"/>
            <w:shd w:val="clear" w:color="auto" w:fill="E6E6E6"/>
          </w:rPr>
          <w:fldChar w:fldCharType="begin"/>
        </w:r>
        <w:r w:rsidRPr="00E402CB">
          <w:rPr>
            <w:color w:val="auto"/>
          </w:rPr>
          <w:instrText xml:space="preserve"> PAGE   \* MERGEFORMAT </w:instrText>
        </w:r>
        <w:r w:rsidRPr="00E402CB">
          <w:rPr>
            <w:color w:val="auto"/>
            <w:shd w:val="clear" w:color="auto" w:fill="E6E6E6"/>
          </w:rPr>
          <w:fldChar w:fldCharType="separate"/>
        </w:r>
        <w:r w:rsidR="002D780B" w:rsidRPr="00E402CB">
          <w:rPr>
            <w:noProof/>
            <w:color w:val="auto"/>
          </w:rPr>
          <w:t>2</w:t>
        </w:r>
        <w:r w:rsidRPr="00E402CB">
          <w:rPr>
            <w:color w:val="auto"/>
            <w:shd w:val="clear" w:color="auto" w:fill="E6E6E6"/>
          </w:rPr>
          <w:fldChar w:fldCharType="end"/>
        </w:r>
      </w:p>
    </w:sdtContent>
  </w:sdt>
  <w:p w14:paraId="6C71B39D" w14:textId="77777777" w:rsidR="00FC322F" w:rsidRPr="00FC322F" w:rsidRDefault="00FC322F" w:rsidP="00FC322F">
    <w:pPr>
      <w:pStyle w:val="Foo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40E1F" w14:textId="52FB611B" w:rsidR="00453888" w:rsidRDefault="00453888">
    <w:pPr>
      <w:pStyle w:val="Footer"/>
      <w:jc w:val="right"/>
    </w:pPr>
    <w:r w:rsidRPr="00E402CB">
      <w:rPr>
        <w:color w:val="auto"/>
        <w:shd w:val="clear" w:color="auto" w:fill="E6E6E6"/>
      </w:rPr>
      <w:fldChar w:fldCharType="begin"/>
    </w:r>
    <w:r w:rsidRPr="00E402CB">
      <w:rPr>
        <w:color w:val="auto"/>
      </w:rPr>
      <w:instrText xml:space="preserve"> PAGE   \* MERGEFORMAT </w:instrText>
    </w:r>
    <w:r w:rsidRPr="00E402CB">
      <w:rPr>
        <w:color w:val="auto"/>
        <w:shd w:val="clear" w:color="auto" w:fill="E6E6E6"/>
      </w:rPr>
      <w:fldChar w:fldCharType="separate"/>
    </w:r>
    <w:r w:rsidR="002D780B" w:rsidRPr="00E402CB">
      <w:rPr>
        <w:noProof/>
        <w:color w:val="auto"/>
      </w:rPr>
      <w:t>1</w:t>
    </w:r>
    <w:r w:rsidRPr="00E402CB">
      <w:rPr>
        <w:color w:val="auto"/>
        <w:shd w:val="clear" w:color="auto" w:fill="E6E6E6"/>
      </w:rPr>
      <w:fldChar w:fldCharType="end"/>
    </w:r>
  </w:p>
  <w:p w14:paraId="490E9C4B" w14:textId="77777777" w:rsidR="00FC322F" w:rsidRPr="00FC322F" w:rsidRDefault="00FC322F" w:rsidP="00FC322F">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7A30F" w14:textId="77777777" w:rsidR="006A763B" w:rsidRPr="008C5A0E" w:rsidRDefault="006A763B" w:rsidP="00D37B04">
      <w:pPr>
        <w:pStyle w:val="Footer"/>
      </w:pPr>
    </w:p>
  </w:footnote>
  <w:footnote w:type="continuationSeparator" w:id="0">
    <w:p w14:paraId="6920223D" w14:textId="77777777" w:rsidR="006A763B" w:rsidRDefault="006A763B" w:rsidP="00D37B04">
      <w:r>
        <w:continuationSeparator/>
      </w:r>
    </w:p>
  </w:footnote>
  <w:footnote w:type="continuationNotice" w:id="1">
    <w:p w14:paraId="59714E62" w14:textId="77777777" w:rsidR="006A763B" w:rsidRDefault="006A763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BF2DA" w14:textId="57851C6A" w:rsidR="002D5B25" w:rsidRPr="000854FD" w:rsidRDefault="002D5B25" w:rsidP="002D5B25">
    <w:pPr>
      <w:pStyle w:val="Header"/>
    </w:pPr>
    <w:r w:rsidRPr="00943730">
      <w:rPr>
        <w:noProof/>
        <w:color w:val="2B579A"/>
        <w:shd w:val="clear" w:color="auto" w:fill="E6E6E6"/>
        <w:lang w:val="en-AU" w:eastAsia="en-AU"/>
      </w:rPr>
      <w:drawing>
        <wp:anchor distT="0" distB="0" distL="114300" distR="114300" simplePos="0" relativeHeight="251658241" behindDoc="1" locked="1" layoutInCell="1" allowOverlap="1" wp14:anchorId="00FE8894" wp14:editId="44DA9C0B">
          <wp:simplePos x="0" y="0"/>
          <wp:positionH relativeFrom="page">
            <wp:posOffset>12700</wp:posOffset>
          </wp:positionH>
          <wp:positionV relativeFrom="page">
            <wp:posOffset>0</wp:posOffset>
          </wp:positionV>
          <wp:extent cx="7559040" cy="10692765"/>
          <wp:effectExtent l="0" t="0" r="381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95499" w14:textId="321C8FEA" w:rsidR="00D93677" w:rsidRDefault="002D5B25" w:rsidP="00943730">
    <w:pPr>
      <w:pStyle w:val="Header"/>
    </w:pPr>
    <w:r w:rsidRPr="00E402CB">
      <w:rPr>
        <w:color w:val="auto"/>
        <w:shd w:val="clear" w:color="auto" w:fill="E6E6E6"/>
      </w:rPr>
      <w:fldChar w:fldCharType="begin"/>
    </w:r>
    <w:r w:rsidRPr="00E402CB">
      <w:rPr>
        <w:color w:val="auto"/>
      </w:rPr>
      <w:instrText xml:space="preserve"> DATE  \@ "MMMM yyyy"  \* MERGEFORMAT </w:instrText>
    </w:r>
    <w:r w:rsidRPr="00E402CB">
      <w:rPr>
        <w:color w:val="auto"/>
        <w:shd w:val="clear" w:color="auto" w:fill="E6E6E6"/>
      </w:rPr>
      <w:fldChar w:fldCharType="separate"/>
    </w:r>
    <w:r w:rsidR="00D73D48">
      <w:rPr>
        <w:noProof/>
        <w:color w:val="auto"/>
      </w:rPr>
      <w:t>May 2025</w:t>
    </w:r>
    <w:r w:rsidRPr="00E402CB">
      <w:rPr>
        <w:color w:val="auto"/>
        <w:shd w:val="clear" w:color="auto" w:fill="E6E6E6"/>
      </w:rPr>
      <w:fldChar w:fldCharType="end"/>
    </w:r>
  </w:p>
  <w:p w14:paraId="1F2AB53C" w14:textId="77777777" w:rsidR="00D93677" w:rsidRDefault="00D93677" w:rsidP="00943730">
    <w:pPr>
      <w:pStyle w:val="Header"/>
    </w:pPr>
  </w:p>
  <w:p w14:paraId="02E938EB" w14:textId="106F76BC" w:rsidR="00D37B04" w:rsidRPr="00943730" w:rsidRDefault="002D5B25" w:rsidP="00943730">
    <w:pPr>
      <w:pStyle w:val="Header"/>
    </w:pPr>
    <w:r w:rsidRPr="00943730">
      <w:rPr>
        <w:noProof/>
        <w:color w:val="2B579A"/>
        <w:shd w:val="clear" w:color="auto" w:fill="E6E6E6"/>
        <w:lang w:val="en-AU" w:eastAsia="en-AU"/>
      </w:rPr>
      <w:drawing>
        <wp:inline distT="0" distB="0" distL="0" distR="0" wp14:anchorId="36BE135F" wp14:editId="2496FDFD">
          <wp:extent cx="3166920" cy="554400"/>
          <wp:effectExtent l="0" t="0" r="0" b="0"/>
          <wp:docPr id="7" name="Picture 7" descr="Department of Foreign Affairs and Trade" title="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6920" cy="554400"/>
                  </a:xfrm>
                  <a:prstGeom prst="rect">
                    <a:avLst/>
                  </a:prstGeom>
                </pic:spPr>
              </pic:pic>
            </a:graphicData>
          </a:graphic>
        </wp:inline>
      </w:drawing>
    </w:r>
    <w:r w:rsidRPr="00943730">
      <w:rPr>
        <w:noProof/>
        <w:color w:val="2B579A"/>
        <w:shd w:val="clear" w:color="auto" w:fill="E6E6E6"/>
        <w:lang w:val="en-AU" w:eastAsia="en-AU"/>
      </w:rPr>
      <w:drawing>
        <wp:anchor distT="0" distB="0" distL="114300" distR="114300" simplePos="0" relativeHeight="251658240" behindDoc="1" locked="1" layoutInCell="1" allowOverlap="1" wp14:anchorId="736E0EE7" wp14:editId="11A13D99">
          <wp:simplePos x="0" y="0"/>
          <wp:positionH relativeFrom="page">
            <wp:posOffset>12700</wp:posOffset>
          </wp:positionH>
          <wp:positionV relativeFrom="page">
            <wp:posOffset>0</wp:posOffset>
          </wp:positionV>
          <wp:extent cx="7559040" cy="10692130"/>
          <wp:effectExtent l="0" t="0" r="381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r w:rsidR="003555A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0D6D53A6"/>
    <w:multiLevelType w:val="hybridMultilevel"/>
    <w:tmpl w:val="AC6C5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3" w15:restartNumberingAfterBreak="0">
    <w:nsid w:val="1DB135D1"/>
    <w:multiLevelType w:val="hybridMultilevel"/>
    <w:tmpl w:val="983EFFC2"/>
    <w:lvl w:ilvl="0" w:tplc="87D8D360">
      <w:start w:val="2"/>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2E0C4232"/>
    <w:multiLevelType w:val="multilevel"/>
    <w:tmpl w:val="80803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9A049E"/>
    <w:multiLevelType w:val="hybridMultilevel"/>
    <w:tmpl w:val="1CB6B3C4"/>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46B211F"/>
    <w:multiLevelType w:val="multilevel"/>
    <w:tmpl w:val="D876A8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3C2F05"/>
    <w:multiLevelType w:val="hybridMultilevel"/>
    <w:tmpl w:val="ED1A7C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1" w15:restartNumberingAfterBreak="0">
    <w:nsid w:val="5F7960D6"/>
    <w:multiLevelType w:val="hybridMultilevel"/>
    <w:tmpl w:val="805A65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60A32164"/>
    <w:multiLevelType w:val="hybridMultilevel"/>
    <w:tmpl w:val="CD5001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3107305"/>
    <w:multiLevelType w:val="multilevel"/>
    <w:tmpl w:val="A6FA45D0"/>
    <w:styleLink w:val="Bullets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7D5740B0"/>
    <w:multiLevelType w:val="multilevel"/>
    <w:tmpl w:val="E29045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F7A528B"/>
    <w:multiLevelType w:val="hybridMultilevel"/>
    <w:tmpl w:val="A39658C0"/>
    <w:lvl w:ilvl="0" w:tplc="7B640FF6">
      <w:start w:val="1"/>
      <w:numFmt w:val="bullet"/>
      <w:pStyle w:val="ListBullet"/>
      <w:lvlText w:val="›"/>
      <w:lvlJc w:val="left"/>
      <w:pPr>
        <w:ind w:left="0" w:hanging="360"/>
      </w:pPr>
      <w:rPr>
        <w:rFonts w:ascii="Times New Roman" w:hAnsi="Times New Roman" w:cs="Times New Roman" w:hint="default"/>
        <w:color w:val="auto"/>
        <w:position w:val="3"/>
      </w:rPr>
    </w:lvl>
    <w:lvl w:ilvl="1" w:tplc="FFFFFFFF">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num w:numId="1" w16cid:durableId="1203666630">
    <w:abstractNumId w:val="13"/>
  </w:num>
  <w:num w:numId="2" w16cid:durableId="808858907">
    <w:abstractNumId w:val="0"/>
  </w:num>
  <w:num w:numId="3" w16cid:durableId="779566621">
    <w:abstractNumId w:val="4"/>
  </w:num>
  <w:num w:numId="4" w16cid:durableId="1716194976">
    <w:abstractNumId w:val="9"/>
  </w:num>
  <w:num w:numId="5" w16cid:durableId="1511676522">
    <w:abstractNumId w:val="10"/>
  </w:num>
  <w:num w:numId="6" w16cid:durableId="201677417">
    <w:abstractNumId w:val="4"/>
  </w:num>
  <w:num w:numId="7" w16cid:durableId="708648179">
    <w:abstractNumId w:val="0"/>
  </w:num>
  <w:num w:numId="8" w16cid:durableId="181750828">
    <w:abstractNumId w:val="2"/>
  </w:num>
  <w:num w:numId="9" w16cid:durableId="1211767671">
    <w:abstractNumId w:val="14"/>
  </w:num>
  <w:num w:numId="10" w16cid:durableId="48070133">
    <w:abstractNumId w:val="16"/>
  </w:num>
  <w:num w:numId="11" w16cid:durableId="1223373424">
    <w:abstractNumId w:val="6"/>
  </w:num>
  <w:num w:numId="12" w16cid:durableId="976959914">
    <w:abstractNumId w:val="12"/>
  </w:num>
  <w:num w:numId="13" w16cid:durableId="874655742">
    <w:abstractNumId w:val="11"/>
  </w:num>
  <w:num w:numId="14" w16cid:durableId="1849326509">
    <w:abstractNumId w:val="8"/>
  </w:num>
  <w:num w:numId="15" w16cid:durableId="664481714">
    <w:abstractNumId w:val="1"/>
  </w:num>
  <w:num w:numId="16" w16cid:durableId="763577691">
    <w:abstractNumId w:val="3"/>
  </w:num>
  <w:num w:numId="17" w16cid:durableId="1430740587">
    <w:abstractNumId w:val="5"/>
  </w:num>
  <w:num w:numId="18" w16cid:durableId="1499540910">
    <w:abstractNumId w:val="15"/>
  </w:num>
  <w:num w:numId="19" w16cid:durableId="1139497715">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C57"/>
    <w:rsid w:val="00000022"/>
    <w:rsid w:val="00001DA8"/>
    <w:rsid w:val="000020C1"/>
    <w:rsid w:val="00004A3C"/>
    <w:rsid w:val="00005970"/>
    <w:rsid w:val="000071CB"/>
    <w:rsid w:val="000102C1"/>
    <w:rsid w:val="000138FE"/>
    <w:rsid w:val="00016528"/>
    <w:rsid w:val="0002046E"/>
    <w:rsid w:val="0002080A"/>
    <w:rsid w:val="0002172C"/>
    <w:rsid w:val="00021E84"/>
    <w:rsid w:val="0002782F"/>
    <w:rsid w:val="00035BBF"/>
    <w:rsid w:val="000425F8"/>
    <w:rsid w:val="0004327C"/>
    <w:rsid w:val="00045A9E"/>
    <w:rsid w:val="00050299"/>
    <w:rsid w:val="00050806"/>
    <w:rsid w:val="000546D9"/>
    <w:rsid w:val="00054B85"/>
    <w:rsid w:val="00054E4D"/>
    <w:rsid w:val="00057965"/>
    <w:rsid w:val="00060073"/>
    <w:rsid w:val="000616C6"/>
    <w:rsid w:val="00061BA7"/>
    <w:rsid w:val="00070753"/>
    <w:rsid w:val="000815D4"/>
    <w:rsid w:val="00084401"/>
    <w:rsid w:val="000854FD"/>
    <w:rsid w:val="00085655"/>
    <w:rsid w:val="00086BBB"/>
    <w:rsid w:val="00087726"/>
    <w:rsid w:val="000A029E"/>
    <w:rsid w:val="000A7051"/>
    <w:rsid w:val="000B11B2"/>
    <w:rsid w:val="000B3111"/>
    <w:rsid w:val="000B37F5"/>
    <w:rsid w:val="000B5205"/>
    <w:rsid w:val="000D5FB0"/>
    <w:rsid w:val="000D66D6"/>
    <w:rsid w:val="000E1870"/>
    <w:rsid w:val="000E410C"/>
    <w:rsid w:val="000F33C8"/>
    <w:rsid w:val="00113288"/>
    <w:rsid w:val="00113947"/>
    <w:rsid w:val="001214BE"/>
    <w:rsid w:val="001250AC"/>
    <w:rsid w:val="0012651C"/>
    <w:rsid w:val="0013101C"/>
    <w:rsid w:val="00140BE9"/>
    <w:rsid w:val="0014266E"/>
    <w:rsid w:val="001461D6"/>
    <w:rsid w:val="001541EA"/>
    <w:rsid w:val="001555E8"/>
    <w:rsid w:val="00173695"/>
    <w:rsid w:val="00177C71"/>
    <w:rsid w:val="001815B4"/>
    <w:rsid w:val="001868B0"/>
    <w:rsid w:val="00193353"/>
    <w:rsid w:val="00193513"/>
    <w:rsid w:val="001C2604"/>
    <w:rsid w:val="001D663E"/>
    <w:rsid w:val="001E1DC0"/>
    <w:rsid w:val="001E36F6"/>
    <w:rsid w:val="001E5550"/>
    <w:rsid w:val="001F002E"/>
    <w:rsid w:val="001F439D"/>
    <w:rsid w:val="001F60F9"/>
    <w:rsid w:val="00203277"/>
    <w:rsid w:val="00205B2E"/>
    <w:rsid w:val="0021282B"/>
    <w:rsid w:val="00217867"/>
    <w:rsid w:val="00235821"/>
    <w:rsid w:val="00237BA2"/>
    <w:rsid w:val="00251FDE"/>
    <w:rsid w:val="00252C04"/>
    <w:rsid w:val="0025475C"/>
    <w:rsid w:val="00254A03"/>
    <w:rsid w:val="00257269"/>
    <w:rsid w:val="00265BDB"/>
    <w:rsid w:val="00267051"/>
    <w:rsid w:val="00274237"/>
    <w:rsid w:val="0027591C"/>
    <w:rsid w:val="00276039"/>
    <w:rsid w:val="00276F03"/>
    <w:rsid w:val="00281602"/>
    <w:rsid w:val="0028602A"/>
    <w:rsid w:val="002A41A4"/>
    <w:rsid w:val="002B0C57"/>
    <w:rsid w:val="002B5E10"/>
    <w:rsid w:val="002C539D"/>
    <w:rsid w:val="002C793D"/>
    <w:rsid w:val="002D110B"/>
    <w:rsid w:val="002D5B25"/>
    <w:rsid w:val="002D780B"/>
    <w:rsid w:val="002E2E72"/>
    <w:rsid w:val="002E3BF6"/>
    <w:rsid w:val="002F4F2B"/>
    <w:rsid w:val="002F743C"/>
    <w:rsid w:val="003002C0"/>
    <w:rsid w:val="00301144"/>
    <w:rsid w:val="003031C6"/>
    <w:rsid w:val="00303CD0"/>
    <w:rsid w:val="00304984"/>
    <w:rsid w:val="00310918"/>
    <w:rsid w:val="00312BF8"/>
    <w:rsid w:val="003148B7"/>
    <w:rsid w:val="00314C19"/>
    <w:rsid w:val="003158C3"/>
    <w:rsid w:val="00317661"/>
    <w:rsid w:val="003177C4"/>
    <w:rsid w:val="003208E9"/>
    <w:rsid w:val="003274CD"/>
    <w:rsid w:val="003276D4"/>
    <w:rsid w:val="00327FE3"/>
    <w:rsid w:val="0033192E"/>
    <w:rsid w:val="00333501"/>
    <w:rsid w:val="0033522C"/>
    <w:rsid w:val="003453F6"/>
    <w:rsid w:val="003457C4"/>
    <w:rsid w:val="0035119D"/>
    <w:rsid w:val="003513DD"/>
    <w:rsid w:val="003555AD"/>
    <w:rsid w:val="0036230E"/>
    <w:rsid w:val="003673A7"/>
    <w:rsid w:val="0037149C"/>
    <w:rsid w:val="00374E7D"/>
    <w:rsid w:val="00383860"/>
    <w:rsid w:val="00384D40"/>
    <w:rsid w:val="0039344A"/>
    <w:rsid w:val="00395163"/>
    <w:rsid w:val="00395236"/>
    <w:rsid w:val="003B4F12"/>
    <w:rsid w:val="003C1444"/>
    <w:rsid w:val="003C2747"/>
    <w:rsid w:val="003D2ABA"/>
    <w:rsid w:val="003D33E4"/>
    <w:rsid w:val="003D4041"/>
    <w:rsid w:val="003D469D"/>
    <w:rsid w:val="003E659A"/>
    <w:rsid w:val="003F05E1"/>
    <w:rsid w:val="003F2041"/>
    <w:rsid w:val="003F67E6"/>
    <w:rsid w:val="00400E4B"/>
    <w:rsid w:val="004016D3"/>
    <w:rsid w:val="00402ACC"/>
    <w:rsid w:val="004120AC"/>
    <w:rsid w:val="004120EC"/>
    <w:rsid w:val="00415503"/>
    <w:rsid w:val="004220DD"/>
    <w:rsid w:val="00423F31"/>
    <w:rsid w:val="00431899"/>
    <w:rsid w:val="00435EA0"/>
    <w:rsid w:val="00436E86"/>
    <w:rsid w:val="00442055"/>
    <w:rsid w:val="004437D2"/>
    <w:rsid w:val="00453888"/>
    <w:rsid w:val="00456B58"/>
    <w:rsid w:val="00457283"/>
    <w:rsid w:val="004720C7"/>
    <w:rsid w:val="004776A5"/>
    <w:rsid w:val="00482AE8"/>
    <w:rsid w:val="0048492D"/>
    <w:rsid w:val="00486804"/>
    <w:rsid w:val="00490CDB"/>
    <w:rsid w:val="004939C4"/>
    <w:rsid w:val="00497F9F"/>
    <w:rsid w:val="004A47EE"/>
    <w:rsid w:val="004A4AA9"/>
    <w:rsid w:val="004B3775"/>
    <w:rsid w:val="004C6342"/>
    <w:rsid w:val="004C6D5E"/>
    <w:rsid w:val="004C7F89"/>
    <w:rsid w:val="004D0BA0"/>
    <w:rsid w:val="004E058F"/>
    <w:rsid w:val="004E2F72"/>
    <w:rsid w:val="004E3B87"/>
    <w:rsid w:val="004E57E1"/>
    <w:rsid w:val="004F2AF9"/>
    <w:rsid w:val="00502714"/>
    <w:rsid w:val="00502879"/>
    <w:rsid w:val="005041DE"/>
    <w:rsid w:val="00510921"/>
    <w:rsid w:val="00510AD3"/>
    <w:rsid w:val="00513348"/>
    <w:rsid w:val="00513760"/>
    <w:rsid w:val="00513AD8"/>
    <w:rsid w:val="005204D2"/>
    <w:rsid w:val="00522396"/>
    <w:rsid w:val="005234C7"/>
    <w:rsid w:val="0052587F"/>
    <w:rsid w:val="005265AC"/>
    <w:rsid w:val="00533B5D"/>
    <w:rsid w:val="005346D7"/>
    <w:rsid w:val="00544E12"/>
    <w:rsid w:val="00557B22"/>
    <w:rsid w:val="00560371"/>
    <w:rsid w:val="005643D9"/>
    <w:rsid w:val="00591F1B"/>
    <w:rsid w:val="00594014"/>
    <w:rsid w:val="00594690"/>
    <w:rsid w:val="005A20F6"/>
    <w:rsid w:val="005A6BA7"/>
    <w:rsid w:val="005B1B0E"/>
    <w:rsid w:val="005B2ED0"/>
    <w:rsid w:val="005B55E8"/>
    <w:rsid w:val="005C4861"/>
    <w:rsid w:val="005C6A73"/>
    <w:rsid w:val="005D3655"/>
    <w:rsid w:val="005D3976"/>
    <w:rsid w:val="005E4830"/>
    <w:rsid w:val="005F0A23"/>
    <w:rsid w:val="005F5E29"/>
    <w:rsid w:val="00602861"/>
    <w:rsid w:val="00604A5B"/>
    <w:rsid w:val="0060792D"/>
    <w:rsid w:val="0061315F"/>
    <w:rsid w:val="00613395"/>
    <w:rsid w:val="00616265"/>
    <w:rsid w:val="00617C49"/>
    <w:rsid w:val="00617EFE"/>
    <w:rsid w:val="00622B86"/>
    <w:rsid w:val="00623BA1"/>
    <w:rsid w:val="006346BC"/>
    <w:rsid w:val="00642F54"/>
    <w:rsid w:val="006465A0"/>
    <w:rsid w:val="00656778"/>
    <w:rsid w:val="006578B3"/>
    <w:rsid w:val="00662D3E"/>
    <w:rsid w:val="0066652A"/>
    <w:rsid w:val="00667ED5"/>
    <w:rsid w:val="006719C3"/>
    <w:rsid w:val="0067445D"/>
    <w:rsid w:val="00680522"/>
    <w:rsid w:val="00682167"/>
    <w:rsid w:val="0069290E"/>
    <w:rsid w:val="006929CB"/>
    <w:rsid w:val="00697528"/>
    <w:rsid w:val="006A763B"/>
    <w:rsid w:val="006B4F89"/>
    <w:rsid w:val="006B6D0D"/>
    <w:rsid w:val="006C42AF"/>
    <w:rsid w:val="006F309C"/>
    <w:rsid w:val="006F41F8"/>
    <w:rsid w:val="006F445E"/>
    <w:rsid w:val="00700F0E"/>
    <w:rsid w:val="00702306"/>
    <w:rsid w:val="007049B1"/>
    <w:rsid w:val="007105B1"/>
    <w:rsid w:val="00711D8E"/>
    <w:rsid w:val="00712672"/>
    <w:rsid w:val="00723157"/>
    <w:rsid w:val="007235F0"/>
    <w:rsid w:val="00732831"/>
    <w:rsid w:val="00733A15"/>
    <w:rsid w:val="00734297"/>
    <w:rsid w:val="00734E3F"/>
    <w:rsid w:val="00736985"/>
    <w:rsid w:val="00742B59"/>
    <w:rsid w:val="00745819"/>
    <w:rsid w:val="00745DF5"/>
    <w:rsid w:val="00755E3F"/>
    <w:rsid w:val="0076250F"/>
    <w:rsid w:val="00765FDB"/>
    <w:rsid w:val="007662DA"/>
    <w:rsid w:val="007706B8"/>
    <w:rsid w:val="00774EE4"/>
    <w:rsid w:val="0078095C"/>
    <w:rsid w:val="00780FA5"/>
    <w:rsid w:val="007833E5"/>
    <w:rsid w:val="007A22E6"/>
    <w:rsid w:val="007A70B4"/>
    <w:rsid w:val="007A7D31"/>
    <w:rsid w:val="007B3C78"/>
    <w:rsid w:val="007B457D"/>
    <w:rsid w:val="007B6200"/>
    <w:rsid w:val="007C7468"/>
    <w:rsid w:val="007D1612"/>
    <w:rsid w:val="007E078A"/>
    <w:rsid w:val="007E3C93"/>
    <w:rsid w:val="007E50C9"/>
    <w:rsid w:val="007E50F0"/>
    <w:rsid w:val="007F008C"/>
    <w:rsid w:val="007F3395"/>
    <w:rsid w:val="007F5177"/>
    <w:rsid w:val="007F5ACA"/>
    <w:rsid w:val="007F682B"/>
    <w:rsid w:val="007F69C1"/>
    <w:rsid w:val="0080098C"/>
    <w:rsid w:val="00801233"/>
    <w:rsid w:val="00801B9F"/>
    <w:rsid w:val="0080204D"/>
    <w:rsid w:val="00804CC8"/>
    <w:rsid w:val="00805B9C"/>
    <w:rsid w:val="00806502"/>
    <w:rsid w:val="0081787D"/>
    <w:rsid w:val="00824AD9"/>
    <w:rsid w:val="00825170"/>
    <w:rsid w:val="0083052F"/>
    <w:rsid w:val="00837378"/>
    <w:rsid w:val="0083789C"/>
    <w:rsid w:val="008475F0"/>
    <w:rsid w:val="00853DDC"/>
    <w:rsid w:val="008557A7"/>
    <w:rsid w:val="00856BF9"/>
    <w:rsid w:val="0086118D"/>
    <w:rsid w:val="00864A84"/>
    <w:rsid w:val="00865E42"/>
    <w:rsid w:val="00870928"/>
    <w:rsid w:val="00885A62"/>
    <w:rsid w:val="00892A35"/>
    <w:rsid w:val="0089405C"/>
    <w:rsid w:val="00897FA2"/>
    <w:rsid w:val="008A3143"/>
    <w:rsid w:val="008A3750"/>
    <w:rsid w:val="008A42FD"/>
    <w:rsid w:val="008A5AFE"/>
    <w:rsid w:val="008B0754"/>
    <w:rsid w:val="008B1C5E"/>
    <w:rsid w:val="008B4EC5"/>
    <w:rsid w:val="008B5CF2"/>
    <w:rsid w:val="008B6C8F"/>
    <w:rsid w:val="008C3CAE"/>
    <w:rsid w:val="008C5A0E"/>
    <w:rsid w:val="008D4E5E"/>
    <w:rsid w:val="008D5987"/>
    <w:rsid w:val="008E1ABB"/>
    <w:rsid w:val="008E48FA"/>
    <w:rsid w:val="008F1C2B"/>
    <w:rsid w:val="00920DD5"/>
    <w:rsid w:val="00927674"/>
    <w:rsid w:val="009421F1"/>
    <w:rsid w:val="00943730"/>
    <w:rsid w:val="009476D0"/>
    <w:rsid w:val="00953613"/>
    <w:rsid w:val="00955122"/>
    <w:rsid w:val="00955ABA"/>
    <w:rsid w:val="009619CD"/>
    <w:rsid w:val="00961E72"/>
    <w:rsid w:val="0096219C"/>
    <w:rsid w:val="00963EB9"/>
    <w:rsid w:val="0096624A"/>
    <w:rsid w:val="009672BB"/>
    <w:rsid w:val="0096797B"/>
    <w:rsid w:val="00967C6E"/>
    <w:rsid w:val="00971FA2"/>
    <w:rsid w:val="0097246D"/>
    <w:rsid w:val="009757DD"/>
    <w:rsid w:val="00975CA5"/>
    <w:rsid w:val="00977024"/>
    <w:rsid w:val="00983AED"/>
    <w:rsid w:val="00984B44"/>
    <w:rsid w:val="00986590"/>
    <w:rsid w:val="00992C76"/>
    <w:rsid w:val="009969D6"/>
    <w:rsid w:val="009A3DD2"/>
    <w:rsid w:val="009A59FE"/>
    <w:rsid w:val="009A604B"/>
    <w:rsid w:val="009B4D3B"/>
    <w:rsid w:val="009B7942"/>
    <w:rsid w:val="009D0EF7"/>
    <w:rsid w:val="009D7407"/>
    <w:rsid w:val="009E0866"/>
    <w:rsid w:val="009E273C"/>
    <w:rsid w:val="009F1350"/>
    <w:rsid w:val="009F6423"/>
    <w:rsid w:val="00A175B3"/>
    <w:rsid w:val="00A179C8"/>
    <w:rsid w:val="00A213E0"/>
    <w:rsid w:val="00A24A62"/>
    <w:rsid w:val="00A2747D"/>
    <w:rsid w:val="00A31C9F"/>
    <w:rsid w:val="00A32858"/>
    <w:rsid w:val="00A337C3"/>
    <w:rsid w:val="00A4144F"/>
    <w:rsid w:val="00A5047C"/>
    <w:rsid w:val="00A54677"/>
    <w:rsid w:val="00A558C7"/>
    <w:rsid w:val="00A56628"/>
    <w:rsid w:val="00A61B4D"/>
    <w:rsid w:val="00A67CB8"/>
    <w:rsid w:val="00A80F95"/>
    <w:rsid w:val="00A91795"/>
    <w:rsid w:val="00A9572E"/>
    <w:rsid w:val="00A9717C"/>
    <w:rsid w:val="00A97BF1"/>
    <w:rsid w:val="00AA0C39"/>
    <w:rsid w:val="00AA21CE"/>
    <w:rsid w:val="00AA298A"/>
    <w:rsid w:val="00AA315B"/>
    <w:rsid w:val="00AA7A78"/>
    <w:rsid w:val="00AB5FB6"/>
    <w:rsid w:val="00AC1511"/>
    <w:rsid w:val="00AC164A"/>
    <w:rsid w:val="00AC188D"/>
    <w:rsid w:val="00AC4D25"/>
    <w:rsid w:val="00AD4560"/>
    <w:rsid w:val="00AD5C68"/>
    <w:rsid w:val="00AD5C7F"/>
    <w:rsid w:val="00AD6702"/>
    <w:rsid w:val="00AE2291"/>
    <w:rsid w:val="00AE448A"/>
    <w:rsid w:val="00AE5119"/>
    <w:rsid w:val="00AF2050"/>
    <w:rsid w:val="00AF6AE3"/>
    <w:rsid w:val="00B03CA8"/>
    <w:rsid w:val="00B10D81"/>
    <w:rsid w:val="00B15F84"/>
    <w:rsid w:val="00B33C0A"/>
    <w:rsid w:val="00B349C0"/>
    <w:rsid w:val="00B54518"/>
    <w:rsid w:val="00B55E19"/>
    <w:rsid w:val="00B56AB0"/>
    <w:rsid w:val="00B60284"/>
    <w:rsid w:val="00B61A86"/>
    <w:rsid w:val="00B61C9D"/>
    <w:rsid w:val="00B75099"/>
    <w:rsid w:val="00B7637D"/>
    <w:rsid w:val="00B772A7"/>
    <w:rsid w:val="00B77B45"/>
    <w:rsid w:val="00B807CD"/>
    <w:rsid w:val="00B820A3"/>
    <w:rsid w:val="00B82134"/>
    <w:rsid w:val="00B921CD"/>
    <w:rsid w:val="00B94758"/>
    <w:rsid w:val="00B96C21"/>
    <w:rsid w:val="00BA2897"/>
    <w:rsid w:val="00BA4B6D"/>
    <w:rsid w:val="00BB26C5"/>
    <w:rsid w:val="00BB29F3"/>
    <w:rsid w:val="00BB34C5"/>
    <w:rsid w:val="00BC2523"/>
    <w:rsid w:val="00BC31BD"/>
    <w:rsid w:val="00BC34F6"/>
    <w:rsid w:val="00BD1E56"/>
    <w:rsid w:val="00BE4DC3"/>
    <w:rsid w:val="00BF0A66"/>
    <w:rsid w:val="00BF1E2C"/>
    <w:rsid w:val="00BF32D5"/>
    <w:rsid w:val="00BF4DE6"/>
    <w:rsid w:val="00BF5F3B"/>
    <w:rsid w:val="00C001DC"/>
    <w:rsid w:val="00C009AA"/>
    <w:rsid w:val="00C01204"/>
    <w:rsid w:val="00C05CDA"/>
    <w:rsid w:val="00C06B13"/>
    <w:rsid w:val="00C1456B"/>
    <w:rsid w:val="00C27D25"/>
    <w:rsid w:val="00C310AB"/>
    <w:rsid w:val="00C3545E"/>
    <w:rsid w:val="00C40580"/>
    <w:rsid w:val="00C41A7F"/>
    <w:rsid w:val="00C42541"/>
    <w:rsid w:val="00C42CDE"/>
    <w:rsid w:val="00C47564"/>
    <w:rsid w:val="00C5182A"/>
    <w:rsid w:val="00C54F31"/>
    <w:rsid w:val="00C55FBE"/>
    <w:rsid w:val="00C61041"/>
    <w:rsid w:val="00C6314C"/>
    <w:rsid w:val="00C63EE9"/>
    <w:rsid w:val="00C671C8"/>
    <w:rsid w:val="00C801DA"/>
    <w:rsid w:val="00C878BB"/>
    <w:rsid w:val="00C95DC5"/>
    <w:rsid w:val="00C971C5"/>
    <w:rsid w:val="00C97ABF"/>
    <w:rsid w:val="00CA16F3"/>
    <w:rsid w:val="00CA37B1"/>
    <w:rsid w:val="00CB1959"/>
    <w:rsid w:val="00CB2CCA"/>
    <w:rsid w:val="00CB6B5F"/>
    <w:rsid w:val="00CC24E7"/>
    <w:rsid w:val="00CC741B"/>
    <w:rsid w:val="00CD0A49"/>
    <w:rsid w:val="00CD0E4B"/>
    <w:rsid w:val="00CD453B"/>
    <w:rsid w:val="00CE4C89"/>
    <w:rsid w:val="00CE66D9"/>
    <w:rsid w:val="00CE79E7"/>
    <w:rsid w:val="00CF07BA"/>
    <w:rsid w:val="00CF44D5"/>
    <w:rsid w:val="00CF6B79"/>
    <w:rsid w:val="00D0296C"/>
    <w:rsid w:val="00D2718B"/>
    <w:rsid w:val="00D27FB3"/>
    <w:rsid w:val="00D32D6F"/>
    <w:rsid w:val="00D3488E"/>
    <w:rsid w:val="00D37B04"/>
    <w:rsid w:val="00D444CE"/>
    <w:rsid w:val="00D540C6"/>
    <w:rsid w:val="00D60A18"/>
    <w:rsid w:val="00D64BD1"/>
    <w:rsid w:val="00D73D48"/>
    <w:rsid w:val="00D75B69"/>
    <w:rsid w:val="00D80F91"/>
    <w:rsid w:val="00D859A8"/>
    <w:rsid w:val="00D86ECA"/>
    <w:rsid w:val="00D87CC8"/>
    <w:rsid w:val="00D92254"/>
    <w:rsid w:val="00D93677"/>
    <w:rsid w:val="00DA29B1"/>
    <w:rsid w:val="00DA45FD"/>
    <w:rsid w:val="00DA5B59"/>
    <w:rsid w:val="00DC5D90"/>
    <w:rsid w:val="00DD5115"/>
    <w:rsid w:val="00DE0774"/>
    <w:rsid w:val="00DE084C"/>
    <w:rsid w:val="00DE7271"/>
    <w:rsid w:val="00DF05E5"/>
    <w:rsid w:val="00E01FC6"/>
    <w:rsid w:val="00E06FB2"/>
    <w:rsid w:val="00E14F51"/>
    <w:rsid w:val="00E161BC"/>
    <w:rsid w:val="00E20083"/>
    <w:rsid w:val="00E30D95"/>
    <w:rsid w:val="00E357B7"/>
    <w:rsid w:val="00E359FB"/>
    <w:rsid w:val="00E36F4B"/>
    <w:rsid w:val="00E402CB"/>
    <w:rsid w:val="00E53800"/>
    <w:rsid w:val="00E6081F"/>
    <w:rsid w:val="00E60E1F"/>
    <w:rsid w:val="00E74B16"/>
    <w:rsid w:val="00E8144B"/>
    <w:rsid w:val="00E8296D"/>
    <w:rsid w:val="00E83924"/>
    <w:rsid w:val="00E83CE0"/>
    <w:rsid w:val="00E8457B"/>
    <w:rsid w:val="00E950E3"/>
    <w:rsid w:val="00EA04B2"/>
    <w:rsid w:val="00EA20F3"/>
    <w:rsid w:val="00EB357E"/>
    <w:rsid w:val="00EB553C"/>
    <w:rsid w:val="00EC1BB7"/>
    <w:rsid w:val="00EC24E1"/>
    <w:rsid w:val="00EC27E9"/>
    <w:rsid w:val="00EC3569"/>
    <w:rsid w:val="00EC59ED"/>
    <w:rsid w:val="00ED2831"/>
    <w:rsid w:val="00ED43D1"/>
    <w:rsid w:val="00ED4879"/>
    <w:rsid w:val="00ED7BEC"/>
    <w:rsid w:val="00EE25F4"/>
    <w:rsid w:val="00EE4EE1"/>
    <w:rsid w:val="00EF240D"/>
    <w:rsid w:val="00EF4574"/>
    <w:rsid w:val="00EF5FB3"/>
    <w:rsid w:val="00F03D32"/>
    <w:rsid w:val="00F05C3F"/>
    <w:rsid w:val="00F105C3"/>
    <w:rsid w:val="00F11277"/>
    <w:rsid w:val="00F1752A"/>
    <w:rsid w:val="00F239E4"/>
    <w:rsid w:val="00F25A93"/>
    <w:rsid w:val="00F2684E"/>
    <w:rsid w:val="00F42A52"/>
    <w:rsid w:val="00F441AE"/>
    <w:rsid w:val="00F514A9"/>
    <w:rsid w:val="00F518E9"/>
    <w:rsid w:val="00F5404C"/>
    <w:rsid w:val="00F63D5F"/>
    <w:rsid w:val="00F729EF"/>
    <w:rsid w:val="00F744A2"/>
    <w:rsid w:val="00F76F52"/>
    <w:rsid w:val="00F7761E"/>
    <w:rsid w:val="00F77988"/>
    <w:rsid w:val="00F77CAE"/>
    <w:rsid w:val="00F82271"/>
    <w:rsid w:val="00F83428"/>
    <w:rsid w:val="00F86427"/>
    <w:rsid w:val="00F96BB9"/>
    <w:rsid w:val="00F97334"/>
    <w:rsid w:val="00FA5FBC"/>
    <w:rsid w:val="00FB3B4F"/>
    <w:rsid w:val="00FB5CC1"/>
    <w:rsid w:val="00FB6EBA"/>
    <w:rsid w:val="00FC322F"/>
    <w:rsid w:val="00FE6D51"/>
    <w:rsid w:val="00FE6F2A"/>
    <w:rsid w:val="00FF2361"/>
    <w:rsid w:val="00FF367D"/>
    <w:rsid w:val="00FF5CC8"/>
    <w:rsid w:val="0275008A"/>
    <w:rsid w:val="03BF6E27"/>
    <w:rsid w:val="09E67260"/>
    <w:rsid w:val="0CCAD9D6"/>
    <w:rsid w:val="1065CBCB"/>
    <w:rsid w:val="1134A8B5"/>
    <w:rsid w:val="129A0C97"/>
    <w:rsid w:val="129E331B"/>
    <w:rsid w:val="1AD93048"/>
    <w:rsid w:val="1B90665A"/>
    <w:rsid w:val="1BBFE15D"/>
    <w:rsid w:val="1D054C31"/>
    <w:rsid w:val="1DCD4C04"/>
    <w:rsid w:val="1EBB0190"/>
    <w:rsid w:val="2072E298"/>
    <w:rsid w:val="29157F3E"/>
    <w:rsid w:val="29B8903C"/>
    <w:rsid w:val="2B793EC3"/>
    <w:rsid w:val="2D232BA6"/>
    <w:rsid w:val="2D9CEBCF"/>
    <w:rsid w:val="2F152B6F"/>
    <w:rsid w:val="2F1C7B99"/>
    <w:rsid w:val="30E79E51"/>
    <w:rsid w:val="321F1C7F"/>
    <w:rsid w:val="33E7A1B3"/>
    <w:rsid w:val="37A3DE7E"/>
    <w:rsid w:val="3871A6C7"/>
    <w:rsid w:val="389BBC9B"/>
    <w:rsid w:val="394ABE16"/>
    <w:rsid w:val="3D317778"/>
    <w:rsid w:val="3DF0B5DB"/>
    <w:rsid w:val="3DF1C548"/>
    <w:rsid w:val="3EDB0B45"/>
    <w:rsid w:val="452B6BC9"/>
    <w:rsid w:val="46A99379"/>
    <w:rsid w:val="479FB17B"/>
    <w:rsid w:val="47ACAFCA"/>
    <w:rsid w:val="4978679B"/>
    <w:rsid w:val="49D9F4C1"/>
    <w:rsid w:val="4D173275"/>
    <w:rsid w:val="4D301BE1"/>
    <w:rsid w:val="4EEAD61B"/>
    <w:rsid w:val="502E4FF4"/>
    <w:rsid w:val="513595A1"/>
    <w:rsid w:val="5908145E"/>
    <w:rsid w:val="59B84C15"/>
    <w:rsid w:val="5B52AFBF"/>
    <w:rsid w:val="5E7D7860"/>
    <w:rsid w:val="5F42915D"/>
    <w:rsid w:val="6322132F"/>
    <w:rsid w:val="66B51D18"/>
    <w:rsid w:val="675E2978"/>
    <w:rsid w:val="6A2E790D"/>
    <w:rsid w:val="6AD5E2DC"/>
    <w:rsid w:val="6ED9C010"/>
    <w:rsid w:val="70C4E863"/>
    <w:rsid w:val="77E5CDD7"/>
    <w:rsid w:val="79A74467"/>
    <w:rsid w:val="7B10910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3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B55E8"/>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706B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983AED"/>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7706B8"/>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B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983AED"/>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7706B8"/>
    <w:pPr>
      <w:spacing w:before="0"/>
      <w:ind w:left="284" w:hanging="284"/>
    </w:pPr>
  </w:style>
  <w:style w:type="paragraph" w:customStyle="1" w:styleId="Bullet2">
    <w:name w:val="Bullet 2"/>
    <w:basedOn w:val="Bullet1"/>
    <w:qFormat/>
    <w:rsid w:val="00F2684E"/>
    <w:pPr>
      <w:ind w:left="568"/>
    </w:pPr>
  </w:style>
  <w:style w:type="paragraph" w:customStyle="1" w:styleId="Bullet3">
    <w:name w:val="Bullet 3"/>
    <w:basedOn w:val="Bullet2"/>
    <w:qFormat/>
    <w:rsid w:val="00F2684E"/>
    <w:pPr>
      <w:ind w:left="852"/>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7706B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C322F"/>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7706B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322F"/>
    <w:rPr>
      <w:b/>
      <w:caps/>
      <w:color w:val="FFFFFF" w:themeColor="background1"/>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7706B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FC322F"/>
    <w:pPr>
      <w:spacing w:before="0" w:after="0" w:line="240" w:lineRule="exact"/>
      <w:ind w:left="284" w:right="284"/>
    </w:pPr>
    <w:rPr>
      <w:color w:val="FFFFFF" w:themeColor="background1"/>
    </w:rPr>
  </w:style>
  <w:style w:type="character" w:customStyle="1" w:styleId="FooterChar">
    <w:name w:val="Footer Char"/>
    <w:basedOn w:val="DefaultParagraphFont"/>
    <w:link w:val="Footer"/>
    <w:uiPriority w:val="99"/>
    <w:rsid w:val="00FC322F"/>
    <w:rPr>
      <w:color w:val="FFFFFF" w:themeColor="background1"/>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aliases w:val="fn,footnote text,Footnote Text Char Char Char Char,Footnote Text Char Char,single space,ft,Char,FOOTNOTES,Footnote Text Char2,Footnote Text Char1 Char,Footnote Text Char Char Char1,Footnote Text Char1 Char Char Char1,(NECG) Footnote Text,f"/>
    <w:basedOn w:val="Normal"/>
    <w:link w:val="FootnoteTextChar"/>
    <w:uiPriority w:val="99"/>
    <w:unhideWhenUsed/>
    <w:qFormat/>
    <w:rsid w:val="008C5A0E"/>
    <w:pPr>
      <w:spacing w:before="60" w:after="0" w:line="140" w:lineRule="atLeast"/>
      <w:ind w:left="170" w:hanging="170"/>
    </w:pPr>
    <w:rPr>
      <w:sz w:val="12"/>
      <w:szCs w:val="20"/>
    </w:rPr>
  </w:style>
  <w:style w:type="character" w:customStyle="1" w:styleId="FootnoteTextChar">
    <w:name w:val="Footnote Text Char"/>
    <w:aliases w:val="fn Char,footnote text Char,Footnote Text Char Char Char Char Char,Footnote Text Char Char Char,single space Char,ft Char,Char Char,FOOTNOTES Char,Footnote Text Char2 Char,Footnote Text Char1 Char Char,(NECG) Footnote Text Char,f Char"/>
    <w:basedOn w:val="DefaultParagraphFont"/>
    <w:link w:val="FootnoteText"/>
    <w:uiPriority w:val="99"/>
    <w:rsid w:val="008C5A0E"/>
    <w:rPr>
      <w:color w:val="495965" w:themeColor="text2"/>
      <w:sz w:val="12"/>
      <w:szCs w:val="20"/>
    </w:rPr>
  </w:style>
  <w:style w:type="character" w:styleId="FootnoteReference">
    <w:name w:val="footnote reference"/>
    <w:aliases w:val="Normal + Font:9 Point,Superscript 3 Point Times"/>
    <w:basedOn w:val="DefaultParagraphFont"/>
    <w:uiPriority w:val="99"/>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961E72"/>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basedOn w:val="Normal"/>
    <w:uiPriority w:val="34"/>
    <w:qFormat/>
    <w:locked/>
    <w:rsid w:val="00A32858"/>
    <w:pPr>
      <w:ind w:left="720"/>
      <w:contextualSpacing/>
    </w:pPr>
  </w:style>
  <w:style w:type="paragraph" w:styleId="ListBullet">
    <w:name w:val="List Bullet"/>
    <w:basedOn w:val="BodyText"/>
    <w:qFormat/>
    <w:locked/>
    <w:rsid w:val="00A32858"/>
    <w:pPr>
      <w:numPr>
        <w:numId w:val="10"/>
      </w:numPr>
      <w:tabs>
        <w:tab w:val="left" w:pos="284"/>
      </w:tabs>
      <w:suppressAutoHyphens w:val="0"/>
      <w:spacing w:before="0" w:after="120" w:line="280" w:lineRule="exact"/>
    </w:pPr>
    <w:rPr>
      <w:rFonts w:ascii="Franklin Gothic Book" w:eastAsia="Times New Roman" w:hAnsi="Franklin Gothic Book" w:cs="Times New Roman"/>
      <w:sz w:val="21"/>
      <w:szCs w:val="24"/>
      <w:lang w:val="en-AU" w:eastAsia="en-AU"/>
    </w:rPr>
  </w:style>
  <w:style w:type="character" w:styleId="FollowedHyperlink">
    <w:name w:val="FollowedHyperlink"/>
    <w:basedOn w:val="DefaultParagraphFont"/>
    <w:uiPriority w:val="99"/>
    <w:semiHidden/>
    <w:unhideWhenUsed/>
    <w:rsid w:val="001F439D"/>
    <w:rPr>
      <w:color w:val="800080" w:themeColor="followedHyperlink"/>
      <w:u w:val="single"/>
    </w:rPr>
  </w:style>
  <w:style w:type="paragraph" w:styleId="Revision">
    <w:name w:val="Revision"/>
    <w:hidden/>
    <w:uiPriority w:val="99"/>
    <w:semiHidden/>
    <w:rsid w:val="00A179C8"/>
    <w:pPr>
      <w:spacing w:after="0" w:line="240" w:lineRule="auto"/>
    </w:pPr>
    <w:rPr>
      <w:color w:val="495965" w:themeColor="text2"/>
      <w:lang w:val="en-GB"/>
    </w:rPr>
  </w:style>
  <w:style w:type="character" w:styleId="UnresolvedMention">
    <w:name w:val="Unresolved Mention"/>
    <w:basedOn w:val="DefaultParagraphFont"/>
    <w:uiPriority w:val="99"/>
    <w:semiHidden/>
    <w:unhideWhenUsed/>
    <w:rsid w:val="00435EA0"/>
    <w:rPr>
      <w:color w:val="605E5C"/>
      <w:shd w:val="clear" w:color="auto" w:fill="E1DFDD"/>
    </w:rPr>
  </w:style>
  <w:style w:type="paragraph" w:customStyle="1" w:styleId="StyleguidetextHDMES">
    <w:name w:val="Styleguide text HDMES"/>
    <w:basedOn w:val="Normal"/>
    <w:link w:val="StyleguidetextHDMESChar"/>
    <w:qFormat/>
    <w:rsid w:val="005C6A73"/>
    <w:pPr>
      <w:suppressAutoHyphens w:val="0"/>
      <w:spacing w:before="0" w:after="200" w:line="252" w:lineRule="auto"/>
    </w:pPr>
    <w:rPr>
      <w:rFonts w:ascii="Calibri" w:eastAsia="Calibri" w:hAnsi="Calibri" w:cs="Times New Roman"/>
      <w:color w:val="auto"/>
      <w:lang w:val="en-AU"/>
    </w:rPr>
  </w:style>
  <w:style w:type="character" w:customStyle="1" w:styleId="StyleguidetextHDMESChar">
    <w:name w:val="Styleguide text HDMES Char"/>
    <w:link w:val="StyleguidetextHDMES"/>
    <w:rsid w:val="005C6A73"/>
    <w:rPr>
      <w:rFonts w:ascii="Calibri" w:eastAsia="Calibri" w:hAnsi="Calibri" w:cs="Times New Roman"/>
    </w:rPr>
  </w:style>
  <w:style w:type="paragraph" w:customStyle="1" w:styleId="pf0">
    <w:name w:val="pf0"/>
    <w:basedOn w:val="Normal"/>
    <w:rsid w:val="005C6A73"/>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paragraph" w:styleId="NoSpacing">
    <w:name w:val="No Spacing"/>
    <w:link w:val="NoSpacingChar"/>
    <w:uiPriority w:val="1"/>
    <w:qFormat/>
    <w:rsid w:val="005C6A73"/>
    <w:pPr>
      <w:spacing w:after="0" w:line="240" w:lineRule="auto"/>
    </w:pPr>
  </w:style>
  <w:style w:type="character" w:customStyle="1" w:styleId="NoSpacingChar">
    <w:name w:val="No Spacing Char"/>
    <w:basedOn w:val="DefaultParagraphFont"/>
    <w:link w:val="NoSpacing"/>
    <w:uiPriority w:val="1"/>
    <w:locked/>
    <w:rsid w:val="005C6A73"/>
  </w:style>
  <w:style w:type="character" w:styleId="Mention">
    <w:name w:val="Mention"/>
    <w:basedOn w:val="DefaultParagraphFont"/>
    <w:uiPriority w:val="99"/>
    <w:unhideWhenUsed/>
    <w:rsid w:val="00E161B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02208">
      <w:bodyDiv w:val="1"/>
      <w:marLeft w:val="0"/>
      <w:marRight w:val="0"/>
      <w:marTop w:val="0"/>
      <w:marBottom w:val="0"/>
      <w:divBdr>
        <w:top w:val="none" w:sz="0" w:space="0" w:color="auto"/>
        <w:left w:val="none" w:sz="0" w:space="0" w:color="auto"/>
        <w:bottom w:val="none" w:sz="0" w:space="0" w:color="auto"/>
        <w:right w:val="none" w:sz="0" w:space="0" w:color="auto"/>
      </w:divBdr>
    </w:div>
    <w:div w:id="594246302">
      <w:bodyDiv w:val="1"/>
      <w:marLeft w:val="0"/>
      <w:marRight w:val="0"/>
      <w:marTop w:val="0"/>
      <w:marBottom w:val="0"/>
      <w:divBdr>
        <w:top w:val="none" w:sz="0" w:space="0" w:color="auto"/>
        <w:left w:val="none" w:sz="0" w:space="0" w:color="auto"/>
        <w:bottom w:val="none" w:sz="0" w:space="0" w:color="auto"/>
        <w:right w:val="none" w:sz="0" w:space="0" w:color="auto"/>
      </w:divBdr>
    </w:div>
    <w:div w:id="792946107">
      <w:bodyDiv w:val="1"/>
      <w:marLeft w:val="0"/>
      <w:marRight w:val="0"/>
      <w:marTop w:val="0"/>
      <w:marBottom w:val="0"/>
      <w:divBdr>
        <w:top w:val="none" w:sz="0" w:space="0" w:color="auto"/>
        <w:left w:val="none" w:sz="0" w:space="0" w:color="auto"/>
        <w:bottom w:val="none" w:sz="0" w:space="0" w:color="auto"/>
        <w:right w:val="none" w:sz="0" w:space="0" w:color="auto"/>
      </w:divBdr>
    </w:div>
    <w:div w:id="926422033">
      <w:bodyDiv w:val="1"/>
      <w:marLeft w:val="0"/>
      <w:marRight w:val="0"/>
      <w:marTop w:val="0"/>
      <w:marBottom w:val="0"/>
      <w:divBdr>
        <w:top w:val="none" w:sz="0" w:space="0" w:color="auto"/>
        <w:left w:val="none" w:sz="0" w:space="0" w:color="auto"/>
        <w:bottom w:val="none" w:sz="0" w:space="0" w:color="auto"/>
        <w:right w:val="none" w:sz="0" w:space="0" w:color="auto"/>
      </w:divBdr>
    </w:div>
    <w:div w:id="1032727288">
      <w:bodyDiv w:val="1"/>
      <w:marLeft w:val="0"/>
      <w:marRight w:val="0"/>
      <w:marTop w:val="0"/>
      <w:marBottom w:val="0"/>
      <w:divBdr>
        <w:top w:val="none" w:sz="0" w:space="0" w:color="auto"/>
        <w:left w:val="none" w:sz="0" w:space="0" w:color="auto"/>
        <w:bottom w:val="none" w:sz="0" w:space="0" w:color="auto"/>
        <w:right w:val="none" w:sz="0" w:space="0" w:color="auto"/>
      </w:divBdr>
    </w:div>
    <w:div w:id="1155756951">
      <w:bodyDiv w:val="1"/>
      <w:marLeft w:val="0"/>
      <w:marRight w:val="0"/>
      <w:marTop w:val="0"/>
      <w:marBottom w:val="0"/>
      <w:divBdr>
        <w:top w:val="none" w:sz="0" w:space="0" w:color="auto"/>
        <w:left w:val="none" w:sz="0" w:space="0" w:color="auto"/>
        <w:bottom w:val="none" w:sz="0" w:space="0" w:color="auto"/>
        <w:right w:val="none" w:sz="0" w:space="0" w:color="auto"/>
      </w:divBdr>
    </w:div>
    <w:div w:id="1619557622">
      <w:bodyDiv w:val="1"/>
      <w:marLeft w:val="0"/>
      <w:marRight w:val="0"/>
      <w:marTop w:val="0"/>
      <w:marBottom w:val="0"/>
      <w:divBdr>
        <w:top w:val="none" w:sz="0" w:space="0" w:color="auto"/>
        <w:left w:val="none" w:sz="0" w:space="0" w:color="auto"/>
        <w:bottom w:val="none" w:sz="0" w:space="0" w:color="auto"/>
        <w:right w:val="none" w:sz="0" w:space="0" w:color="auto"/>
      </w:divBdr>
    </w:div>
    <w:div w:id="1706910217">
      <w:bodyDiv w:val="1"/>
      <w:marLeft w:val="0"/>
      <w:marRight w:val="0"/>
      <w:marTop w:val="0"/>
      <w:marBottom w:val="0"/>
      <w:divBdr>
        <w:top w:val="none" w:sz="0" w:space="0" w:color="auto"/>
        <w:left w:val="none" w:sz="0" w:space="0" w:color="auto"/>
        <w:bottom w:val="none" w:sz="0" w:space="0" w:color="auto"/>
        <w:right w:val="none" w:sz="0" w:space="0" w:color="auto"/>
      </w:divBdr>
    </w:div>
    <w:div w:id="184674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6a9ee1c-e9d7-4c33-a893-a1e31be4ca82" xsi:nil="true"/>
    <lcf76f155ced4ddcb4097134ff3c332f xmlns="94957f58-8c9b-48f1-9a23-72185527d8a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4136183277E134E9915F59669268432" ma:contentTypeVersion="14" ma:contentTypeDescription="Create a new document." ma:contentTypeScope="" ma:versionID="f12716648f607da7438faf847354eed5">
  <xsd:schema xmlns:xsd="http://www.w3.org/2001/XMLSchema" xmlns:xs="http://www.w3.org/2001/XMLSchema" xmlns:p="http://schemas.microsoft.com/office/2006/metadata/properties" xmlns:ns2="94957f58-8c9b-48f1-9a23-72185527d8a2" xmlns:ns3="46a9ee1c-e9d7-4c33-a893-a1e31be4ca82" targetNamespace="http://schemas.microsoft.com/office/2006/metadata/properties" ma:root="true" ma:fieldsID="cf9fce44b3cbc63ab919193449ecb1a1" ns2:_="" ns3:_="">
    <xsd:import namespace="94957f58-8c9b-48f1-9a23-72185527d8a2"/>
    <xsd:import namespace="46a9ee1c-e9d7-4c33-a893-a1e31be4ca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57f58-8c9b-48f1-9a23-72185527d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a9ee1c-e9d7-4c33-a893-a1e31be4ca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26d9cfe-7dd6-4fd9-be1d-cf346d4b66a5}" ma:internalName="TaxCatchAll" ma:showField="CatchAllData" ma:web="46a9ee1c-e9d7-4c33-a893-a1e31be4ca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BDFA42-ACEF-418B-95EE-43DE714EF9DD}">
  <ds:schemaRefs>
    <ds:schemaRef ds:uri="http://schemas.openxmlformats.org/officeDocument/2006/bibliography"/>
  </ds:schemaRefs>
</ds:datastoreItem>
</file>

<file path=customXml/itemProps2.xml><?xml version="1.0" encoding="utf-8"?>
<ds:datastoreItem xmlns:ds="http://schemas.openxmlformats.org/officeDocument/2006/customXml" ds:itemID="{2910C17C-1A36-4B97-8FA8-27E7997258BA}">
  <ds:schemaRefs>
    <ds:schemaRef ds:uri="http://purl.org/dc/dcmitype/"/>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46a9ee1c-e9d7-4c33-a893-a1e31be4ca82"/>
    <ds:schemaRef ds:uri="http://schemas.openxmlformats.org/package/2006/metadata/core-properties"/>
    <ds:schemaRef ds:uri="94957f58-8c9b-48f1-9a23-72185527d8a2"/>
    <ds:schemaRef ds:uri="http://schemas.microsoft.com/office/2006/metadata/properties"/>
  </ds:schemaRefs>
</ds:datastoreItem>
</file>

<file path=customXml/itemProps3.xml><?xml version="1.0" encoding="utf-8"?>
<ds:datastoreItem xmlns:ds="http://schemas.openxmlformats.org/officeDocument/2006/customXml" ds:itemID="{7531AA75-9009-458F-B261-9D751ADFC9D4}">
  <ds:schemaRefs>
    <ds:schemaRef ds:uri="http://schemas.microsoft.com/sharepoint/v3/contenttype/forms"/>
  </ds:schemaRefs>
</ds:datastoreItem>
</file>

<file path=customXml/itemProps4.xml><?xml version="1.0" encoding="utf-8"?>
<ds:datastoreItem xmlns:ds="http://schemas.openxmlformats.org/officeDocument/2006/customXml" ds:itemID="{88B9375D-890C-41DA-AFDC-31258F30E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57f58-8c9b-48f1-9a23-72185527d8a2"/>
    <ds:schemaRef ds:uri="46a9ee1c-e9d7-4c33-a893-a1e31be4ca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1285</Words>
  <Characters>7774</Characters>
  <Application>Microsoft Office Word</Application>
  <DocSecurity>0</DocSecurity>
  <Lines>102</Lines>
  <Paragraphs>34</Paragraphs>
  <ScaleCrop>false</ScaleCrop>
  <HeadingPairs>
    <vt:vector size="2" baseType="variant">
      <vt:variant>
        <vt:lpstr>Title</vt:lpstr>
      </vt:variant>
      <vt:variant>
        <vt:i4>1</vt:i4>
      </vt:variant>
    </vt:vector>
  </HeadingPairs>
  <TitlesOfParts>
    <vt:vector size="1" baseType="lpstr">
      <vt:lpstr>Investment concept template</vt:lpstr>
    </vt:vector>
  </TitlesOfParts>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Investment concept - PNG Secondary Education Program</dc:title>
  <dc:subject/>
  <dc:creator/>
  <cp:keywords>[SEC=OFFICIAL]</cp:keywords>
  <cp:lastModifiedBy/>
  <cp:revision>1</cp:revision>
  <dcterms:created xsi:type="dcterms:W3CDTF">2025-05-08T07:07:00Z</dcterms:created>
  <dcterms:modified xsi:type="dcterms:W3CDTF">2025-05-09T04:39:00Z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v=2022.1;a=SHA256;h=8A682CDB8AB83CDFC0BC573B4BFD2F421F00AA602A7EEA7C8D0D6AB604BB91D0</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D9F6E5C82DFAF7AB6E3D596D48DD43C72EDFDAB4</vt:lpwstr>
  </property>
  <property fmtid="{D5CDD505-2E9C-101B-9397-08002B2CF9AE}" pid="9" name="PM_Originating_FileId">
    <vt:lpwstr>00B6E0F8FCD3469E9D550E4E6D1C36CB</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2023-04-27T04:34:59Z</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81B909546EDE0FF7EBE7B2570EEE4D0D</vt:lpwstr>
  </property>
  <property fmtid="{D5CDD505-2E9C-101B-9397-08002B2CF9AE}" pid="22" name="PM_Hash_Salt">
    <vt:lpwstr>9B99B2E05A0A606B8809A5F3B52D9A77</vt:lpwstr>
  </property>
  <property fmtid="{D5CDD505-2E9C-101B-9397-08002B2CF9AE}" pid="23" name="PM_Hash_SHA1">
    <vt:lpwstr>C4E5AE4C33AA89A2D16AC6663D102A808322AE76</vt:lpwstr>
  </property>
  <property fmtid="{D5CDD505-2E9C-101B-9397-08002B2CF9AE}" pid="24" name="PM_OriginatorUserAccountName_SHA256">
    <vt:lpwstr>3E9DB5AB808CA91EB3E8EC398CDB7F67B110581D6BB28BC88565729DCE387350</vt:lpwstr>
  </property>
  <property fmtid="{D5CDD505-2E9C-101B-9397-08002B2CF9AE}" pid="25" name="PM_OriginatorDomainName_SHA256">
    <vt:lpwstr>6F3591835F3B2A8A025B00B5BA6418010DA3A17C9C26EA9C049FFD28039489A2</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y fmtid="{D5CDD505-2E9C-101B-9397-08002B2CF9AE}" pid="29" name="ContentTypeId">
    <vt:lpwstr>0x010100F4136183277E134E9915F59669268432</vt:lpwstr>
  </property>
  <property fmtid="{D5CDD505-2E9C-101B-9397-08002B2CF9AE}" pid="30" name="MediaServiceImageTags">
    <vt:lpwstr/>
  </property>
</Properties>
</file>