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04" w:rsidRPr="00D12204" w:rsidRDefault="00D12204" w:rsidP="00D12204">
      <w:pPr>
        <w:jc w:val="center"/>
        <w:rPr>
          <w:b/>
        </w:rPr>
      </w:pPr>
      <w:bookmarkStart w:id="0" w:name="_GoBack"/>
      <w:bookmarkEnd w:id="0"/>
      <w:r w:rsidRPr="00D12204">
        <w:rPr>
          <w:b/>
        </w:rPr>
        <w:t>Management Response</w:t>
      </w:r>
    </w:p>
    <w:p w:rsidR="00D12204" w:rsidRDefault="00D12204" w:rsidP="00D12204">
      <w:pPr>
        <w:jc w:val="center"/>
        <w:rPr>
          <w:b/>
        </w:rPr>
      </w:pPr>
      <w:r w:rsidRPr="00D12204">
        <w:rPr>
          <w:b/>
        </w:rPr>
        <w:t>End of Program Evaluation – Youth Skills Training</w:t>
      </w:r>
      <w:r w:rsidR="00E50098">
        <w:rPr>
          <w:b/>
        </w:rPr>
        <w:t xml:space="preserve"> Program</w:t>
      </w:r>
    </w:p>
    <w:p w:rsidR="00D12204" w:rsidRPr="00D12204" w:rsidRDefault="00D12204" w:rsidP="00D12204">
      <w:pPr>
        <w:jc w:val="center"/>
        <w:rPr>
          <w:b/>
        </w:rPr>
      </w:pPr>
      <w:r>
        <w:rPr>
          <w:b/>
        </w:rPr>
        <w:t>December 2019</w:t>
      </w:r>
    </w:p>
    <w:p w:rsidR="00D12204" w:rsidRPr="00D12204" w:rsidRDefault="00D12204" w:rsidP="00D50D83">
      <w:pPr>
        <w:ind w:left="1418" w:right="1369"/>
        <w:rPr>
          <w:b/>
          <w:i/>
        </w:rPr>
      </w:pPr>
      <w:r w:rsidRPr="00D12204">
        <w:rPr>
          <w:b/>
          <w:i/>
        </w:rPr>
        <w:t>Summary</w:t>
      </w:r>
    </w:p>
    <w:p w:rsidR="00E50098" w:rsidRDefault="00D12204" w:rsidP="00D50D83">
      <w:pPr>
        <w:ind w:left="1418" w:right="1369"/>
      </w:pPr>
      <w:r>
        <w:t>This end of program evaluation cover</w:t>
      </w:r>
      <w:r w:rsidR="00FF1679">
        <w:t>s</w:t>
      </w:r>
      <w:r w:rsidR="00F9670C">
        <w:t xml:space="preserve"> a multi-year</w:t>
      </w:r>
      <w:r w:rsidR="00FF1679">
        <w:t xml:space="preserve"> investment</w:t>
      </w:r>
      <w:r w:rsidR="00F9670C">
        <w:t xml:space="preserve"> in three partners to deliver youth skills training</w:t>
      </w:r>
      <w:r w:rsidR="00FF1679">
        <w:t xml:space="preserve"> from 2015-2019</w:t>
      </w:r>
      <w:r w:rsidR="00BE46A5">
        <w:t xml:space="preserve"> (total value AUD 17.5 million)</w:t>
      </w:r>
      <w:r w:rsidR="00600561">
        <w:t xml:space="preserve">. The investment </w:t>
      </w:r>
      <w:r w:rsidR="00C0674A">
        <w:t xml:space="preserve">provided </w:t>
      </w:r>
      <w:r w:rsidR="00F9670C">
        <w:t>funding to the World Bank</w:t>
      </w:r>
      <w:r w:rsidR="00BE46A5">
        <w:t xml:space="preserve"> (AUD 14 million)</w:t>
      </w:r>
      <w:r w:rsidR="00F9670C">
        <w:t xml:space="preserve">, to extend an existing program </w:t>
      </w:r>
      <w:r w:rsidR="00BE46A5">
        <w:t>in Port Moresby</w:t>
      </w:r>
      <w:r w:rsidR="00803A21">
        <w:t>-The Urban Youth Employment Program (UYEP)</w:t>
      </w:r>
      <w:r w:rsidR="00BE46A5">
        <w:t xml:space="preserve">, which supported 18,000 young people to have access to </w:t>
      </w:r>
      <w:r w:rsidR="002930BE" w:rsidRPr="003E2753">
        <w:t>pre-vocational</w:t>
      </w:r>
      <w:r w:rsidR="002930BE">
        <w:t xml:space="preserve"> </w:t>
      </w:r>
      <w:r w:rsidR="00BE46A5">
        <w:t>skills</w:t>
      </w:r>
      <w:r w:rsidR="001B411E">
        <w:t xml:space="preserve"> (2011-2018)</w:t>
      </w:r>
      <w:r w:rsidR="00BE46A5">
        <w:t>. The investment</w:t>
      </w:r>
      <w:r w:rsidR="001B411E">
        <w:t xml:space="preserve"> also</w:t>
      </w:r>
      <w:r w:rsidR="00BE46A5">
        <w:t xml:space="preserve"> included two leading PNG civil society partners: City Mission (AUD 1.4 million) and Ginigoada (AUD 2.1 million). These partners used different approaches to skills development, and the evaluation findings validate that all programs ‘offered a meaningful opportunity to enter an economic and social pathway, building confidence and aspirations’</w:t>
      </w:r>
      <w:r w:rsidR="001B411E">
        <w:t xml:space="preserve">, however, with limited progress in employment placements given the economic constraints related to job creation in PNG. </w:t>
      </w:r>
    </w:p>
    <w:p w:rsidR="001B411E" w:rsidRDefault="001B411E" w:rsidP="00D50D83">
      <w:pPr>
        <w:ind w:left="1418" w:right="1369"/>
      </w:pPr>
      <w:r>
        <w:t>The evaluation methodology was selected to: gather evidence of impact and opportunities from both participants and a comparison control group, and document personal narratives and experiences in a format which permits quantitative data analysis. The analysis of this data validates Australia’s engagement with church partners in PNG, and highlights the importance of faith as a source of value</w:t>
      </w:r>
      <w:r w:rsidR="00D50D83">
        <w:t xml:space="preserve">s and </w:t>
      </w:r>
      <w:r>
        <w:lastRenderedPageBreak/>
        <w:t>identity formation for young people, and the development of socio-emotional skills for job readiness and the capacity to aspire and seek employment.</w:t>
      </w:r>
    </w:p>
    <w:p w:rsidR="00C0674A" w:rsidRDefault="001B411E" w:rsidP="00D50D83">
      <w:pPr>
        <w:ind w:left="1418" w:right="1369"/>
      </w:pPr>
      <w:r>
        <w:t>Going forward, the A</w:t>
      </w:r>
      <w:r w:rsidR="001522DC">
        <w:t xml:space="preserve">ustralian </w:t>
      </w:r>
      <w:r>
        <w:t>H</w:t>
      </w:r>
      <w:r w:rsidR="001522DC">
        <w:t xml:space="preserve">igh </w:t>
      </w:r>
      <w:r w:rsidR="00991173">
        <w:t>Commission’s</w:t>
      </w:r>
      <w:r>
        <w:t xml:space="preserve"> major investments in youth will be informed by and aligned with</w:t>
      </w:r>
      <w:r w:rsidR="001522DC">
        <w:t xml:space="preserve"> the</w:t>
      </w:r>
      <w:r>
        <w:t xml:space="preserve"> P</w:t>
      </w:r>
      <w:r w:rsidR="001522DC">
        <w:t xml:space="preserve">apua </w:t>
      </w:r>
      <w:r>
        <w:t>N</w:t>
      </w:r>
      <w:r w:rsidR="001522DC">
        <w:t xml:space="preserve">ew </w:t>
      </w:r>
      <w:r>
        <w:t>G</w:t>
      </w:r>
      <w:r w:rsidR="001522DC">
        <w:t xml:space="preserve">uinea </w:t>
      </w:r>
      <w:r>
        <w:t>Government priorities for investment in technical and vocational education opportunities. In the long term, the demand for skills training</w:t>
      </w:r>
      <w:r w:rsidR="00D50D83">
        <w:t xml:space="preserve"> (including literacy) and job readiness opportunities, </w:t>
      </w:r>
      <w:r>
        <w:t>will continue to be high, given the relatively low</w:t>
      </w:r>
      <w:r w:rsidR="00D50D83">
        <w:t xml:space="preserve"> ratio</w:t>
      </w:r>
      <w:r>
        <w:t xml:space="preserve"> of tertiary education places</w:t>
      </w:r>
      <w:r w:rsidR="00D50D83">
        <w:t xml:space="preserve"> compared to high school graduates</w:t>
      </w:r>
      <w:r>
        <w:t xml:space="preserve">, </w:t>
      </w:r>
      <w:r w:rsidR="00D50D83">
        <w:t>and constraints on job creation.</w:t>
      </w:r>
    </w:p>
    <w:tbl>
      <w:tblPr>
        <w:tblStyle w:val="DFATTable1"/>
        <w:tblW w:w="21438"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759"/>
        <w:gridCol w:w="1908"/>
        <w:gridCol w:w="2831"/>
        <w:gridCol w:w="8930"/>
        <w:gridCol w:w="3010"/>
      </w:tblGrid>
      <w:tr w:rsidR="00FF1679" w:rsidTr="000253D5">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4759" w:type="dxa"/>
            <w:hideMark/>
          </w:tcPr>
          <w:p w:rsidR="00D12204" w:rsidRPr="008A0512" w:rsidRDefault="00D12204" w:rsidP="00603B5F">
            <w:pPr>
              <w:pStyle w:val="TableHeaderRow"/>
            </w:pPr>
            <w:r w:rsidRPr="008A0512">
              <w:lastRenderedPageBreak/>
              <w:t>Recommendation</w:t>
            </w:r>
          </w:p>
        </w:tc>
        <w:tc>
          <w:tcPr>
            <w:tcW w:w="1908" w:type="dxa"/>
            <w:hideMark/>
          </w:tcPr>
          <w:p w:rsidR="00D12204" w:rsidRPr="008A0512" w:rsidRDefault="00D12204" w:rsidP="003A6FA3">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2831" w:type="dxa"/>
            <w:hideMark/>
          </w:tcPr>
          <w:p w:rsidR="00D12204" w:rsidRPr="008A0512" w:rsidRDefault="00D12204" w:rsidP="00603B5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8930" w:type="dxa"/>
            <w:hideMark/>
          </w:tcPr>
          <w:p w:rsidR="00D12204" w:rsidRPr="008A0512" w:rsidRDefault="00D12204" w:rsidP="00603B5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010" w:type="dxa"/>
            <w:hideMark/>
          </w:tcPr>
          <w:p w:rsidR="00D12204" w:rsidRPr="008A0512" w:rsidRDefault="00D12204" w:rsidP="00603B5F">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rsidR="00D12204" w:rsidRPr="008F4A4D" w:rsidRDefault="00D12204" w:rsidP="00D12204">
            <w:pPr>
              <w:pStyle w:val="TableHeaderRow"/>
              <w:ind w:right="135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hAnsiTheme="majorHAnsi"/>
              </w:rPr>
              <w:t>[If practical, please specify timeframe here]</w:t>
            </w:r>
          </w:p>
        </w:tc>
      </w:tr>
      <w:tr w:rsidR="00FF1679" w:rsidTr="00025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9" w:type="dxa"/>
            <w:hideMark/>
          </w:tcPr>
          <w:p w:rsidR="00D12204" w:rsidRPr="00AB6627" w:rsidRDefault="00FF1679" w:rsidP="00FF1679">
            <w:pPr>
              <w:pStyle w:val="Heading3"/>
              <w:outlineLvl w:val="2"/>
              <w:rPr>
                <w:rFonts w:asciiTheme="minorHAnsi" w:hAnsiTheme="minorHAnsi" w:cstheme="minorHAnsi"/>
                <w:b/>
                <w:i/>
                <w:sz w:val="22"/>
                <w:szCs w:val="24"/>
              </w:rPr>
            </w:pPr>
            <w:r w:rsidRPr="00AB6627">
              <w:rPr>
                <w:rFonts w:asciiTheme="minorHAnsi" w:hAnsiTheme="minorHAnsi" w:cstheme="minorHAnsi"/>
                <w:b/>
                <w:i/>
                <w:sz w:val="22"/>
                <w:szCs w:val="24"/>
              </w:rPr>
              <w:t>Recommendation 1</w:t>
            </w:r>
          </w:p>
          <w:p w:rsidR="00FF1679" w:rsidRPr="00A42C58" w:rsidRDefault="00FF1679" w:rsidP="00FF1679">
            <w:pPr>
              <w:pStyle w:val="Heading3"/>
              <w:outlineLvl w:val="2"/>
              <w:rPr>
                <w:rFonts w:asciiTheme="minorHAnsi" w:hAnsiTheme="minorHAnsi" w:cstheme="minorHAnsi"/>
                <w:sz w:val="22"/>
                <w:szCs w:val="24"/>
              </w:rPr>
            </w:pPr>
            <w:r w:rsidRPr="00A42C58">
              <w:rPr>
                <w:rFonts w:asciiTheme="minorHAnsi" w:hAnsiTheme="minorHAnsi" w:cstheme="minorHAnsi"/>
                <w:sz w:val="22"/>
                <w:szCs w:val="24"/>
              </w:rPr>
              <w:t>The A</w:t>
            </w:r>
            <w:r w:rsidR="00065D5E">
              <w:rPr>
                <w:rFonts w:asciiTheme="minorHAnsi" w:hAnsiTheme="minorHAnsi" w:cstheme="minorHAnsi"/>
                <w:sz w:val="22"/>
                <w:szCs w:val="24"/>
              </w:rPr>
              <w:t xml:space="preserve">ustralian </w:t>
            </w:r>
            <w:r w:rsidRPr="00A42C58">
              <w:rPr>
                <w:rFonts w:asciiTheme="minorHAnsi" w:hAnsiTheme="minorHAnsi" w:cstheme="minorHAnsi"/>
                <w:sz w:val="22"/>
                <w:szCs w:val="24"/>
              </w:rPr>
              <w:t>H</w:t>
            </w:r>
            <w:r w:rsidR="00065D5E">
              <w:rPr>
                <w:rFonts w:asciiTheme="minorHAnsi" w:hAnsiTheme="minorHAnsi" w:cstheme="minorHAnsi"/>
                <w:sz w:val="22"/>
                <w:szCs w:val="24"/>
              </w:rPr>
              <w:t xml:space="preserve">igh </w:t>
            </w:r>
            <w:r w:rsidRPr="00A42C58">
              <w:rPr>
                <w:rFonts w:asciiTheme="minorHAnsi" w:hAnsiTheme="minorHAnsi" w:cstheme="minorHAnsi"/>
                <w:sz w:val="22"/>
                <w:szCs w:val="24"/>
              </w:rPr>
              <w:t>C</w:t>
            </w:r>
            <w:r w:rsidR="00065D5E">
              <w:rPr>
                <w:rFonts w:asciiTheme="minorHAnsi" w:hAnsiTheme="minorHAnsi" w:cstheme="minorHAnsi"/>
                <w:sz w:val="22"/>
                <w:szCs w:val="24"/>
              </w:rPr>
              <w:t>ommission (AHC)</w:t>
            </w:r>
            <w:r w:rsidRPr="00A42C58">
              <w:rPr>
                <w:rFonts w:asciiTheme="minorHAnsi" w:hAnsiTheme="minorHAnsi" w:cstheme="minorHAnsi"/>
                <w:sz w:val="22"/>
                <w:szCs w:val="24"/>
              </w:rPr>
              <w:t xml:space="preserve"> should identify an appropriate internal team to lead on, and be responsible for coordinating across, youth programming. This team should lead on defining DFAT’s youth focus, prioritising youth investments and priorities, and mainstreaming learning emerging from programs with youth specific components. They may also lead on future youth programming. In practical terms, AHC may wish to consider the following:</w:t>
            </w:r>
          </w:p>
          <w:p w:rsidR="00FF1679" w:rsidRPr="007F4E59" w:rsidRDefault="00FF1679" w:rsidP="007F4E59">
            <w:pPr>
              <w:rPr>
                <w:lang w:val="en-AU"/>
              </w:rPr>
            </w:pPr>
            <w:r w:rsidRPr="007F4E59">
              <w:rPr>
                <w:lang w:val="en-AU"/>
              </w:rPr>
              <w:t xml:space="preserve">Developing a short youth strategy or approach, that incorporates the elements addressing strategic findings and approaches from this review. This could be as straightforward as ensuring that the relevant sector strategies, program designs and annual implementation plans consider youth related impact and take account of previous reviews. </w:t>
            </w:r>
          </w:p>
          <w:p w:rsidR="00FF1679" w:rsidRPr="00FF1679" w:rsidRDefault="00FF1679" w:rsidP="008C1ECC">
            <w:pPr>
              <w:rPr>
                <w:lang w:val="en-AU"/>
              </w:rPr>
            </w:pPr>
          </w:p>
        </w:tc>
        <w:tc>
          <w:tcPr>
            <w:tcW w:w="1908" w:type="dxa"/>
            <w:hideMark/>
          </w:tcPr>
          <w:p w:rsidR="00D12204" w:rsidRPr="008A0512" w:rsidRDefault="00FF1679" w:rsidP="00603B5F">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r>
              <w:rPr>
                <w:sz w:val="24"/>
                <w:szCs w:val="24"/>
              </w:rPr>
              <w:t xml:space="preserve"> in part</w:t>
            </w:r>
          </w:p>
        </w:tc>
        <w:tc>
          <w:tcPr>
            <w:tcW w:w="2831" w:type="dxa"/>
          </w:tcPr>
          <w:p w:rsidR="00FF1679" w:rsidRDefault="00FF1679" w:rsidP="00603B5F">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successful implementation of a Ministerial Commitment has clearly delivered strong benefits for young </w:t>
            </w:r>
            <w:r w:rsidR="003A6FA3">
              <w:rPr>
                <w:sz w:val="24"/>
                <w:szCs w:val="24"/>
              </w:rPr>
              <w:t>Papua New Guineans, delivering skills training and supporting job placements,</w:t>
            </w:r>
            <w:r>
              <w:rPr>
                <w:sz w:val="24"/>
                <w:szCs w:val="24"/>
              </w:rPr>
              <w:t xml:space="preserve"> through this multi-year commitment.</w:t>
            </w:r>
          </w:p>
          <w:p w:rsidR="00D12204" w:rsidRPr="008A0512" w:rsidRDefault="003A6FA3" w:rsidP="00603B5F">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With the </w:t>
            </w:r>
            <w:r w:rsidR="00CB405B">
              <w:rPr>
                <w:sz w:val="24"/>
                <w:szCs w:val="24"/>
              </w:rPr>
              <w:t>finalisation of</w:t>
            </w:r>
            <w:r w:rsidR="000253D5">
              <w:rPr>
                <w:sz w:val="24"/>
                <w:szCs w:val="24"/>
              </w:rPr>
              <w:t xml:space="preserve"> this ministerial commitment, the AHC</w:t>
            </w:r>
            <w:r w:rsidR="00CB405B">
              <w:rPr>
                <w:sz w:val="24"/>
                <w:szCs w:val="24"/>
              </w:rPr>
              <w:t xml:space="preserve"> agree</w:t>
            </w:r>
            <w:r w:rsidR="000253D5">
              <w:rPr>
                <w:sz w:val="24"/>
                <w:szCs w:val="24"/>
              </w:rPr>
              <w:t>s</w:t>
            </w:r>
            <w:r w:rsidR="00CB405B">
              <w:rPr>
                <w:sz w:val="24"/>
                <w:szCs w:val="24"/>
              </w:rPr>
              <w:t xml:space="preserve"> that leadership to drive sustained and targeted investment is </w:t>
            </w:r>
            <w:r w:rsidR="000253D5">
              <w:rPr>
                <w:sz w:val="24"/>
                <w:szCs w:val="24"/>
              </w:rPr>
              <w:t>an appropriate approach to address the absence of opportunity for young people who have dropped out of school</w:t>
            </w:r>
            <w:r w:rsidR="00D50D83">
              <w:rPr>
                <w:sz w:val="24"/>
                <w:szCs w:val="24"/>
              </w:rPr>
              <w:t>, in line with the priorities of the PNG Government.</w:t>
            </w:r>
          </w:p>
        </w:tc>
        <w:tc>
          <w:tcPr>
            <w:tcW w:w="8930" w:type="dxa"/>
          </w:tcPr>
          <w:p w:rsidR="00D12204" w:rsidRPr="003F5765" w:rsidRDefault="00D50D83" w:rsidP="009F1B5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3F5765">
              <w:rPr>
                <w:rFonts w:asciiTheme="minorHAnsi" w:hAnsiTheme="minorHAnsi" w:cstheme="minorHAnsi"/>
                <w:sz w:val="24"/>
                <w:szCs w:val="24"/>
              </w:rPr>
              <w:t>Aligned</w:t>
            </w:r>
            <w:r w:rsidR="009F1B54" w:rsidRPr="003F5765">
              <w:rPr>
                <w:rFonts w:asciiTheme="minorHAnsi" w:hAnsiTheme="minorHAnsi" w:cstheme="minorHAnsi"/>
                <w:sz w:val="24"/>
                <w:szCs w:val="24"/>
              </w:rPr>
              <w:t xml:space="preserve"> with the Government of Papua New Guinea’s priorities, t</w:t>
            </w:r>
            <w:r w:rsidR="003A6FA3" w:rsidRPr="003F5765">
              <w:rPr>
                <w:rFonts w:asciiTheme="minorHAnsi" w:hAnsiTheme="minorHAnsi" w:cstheme="minorHAnsi"/>
                <w:sz w:val="24"/>
                <w:szCs w:val="24"/>
              </w:rPr>
              <w:t xml:space="preserve">he </w:t>
            </w:r>
            <w:r w:rsidR="00440D64" w:rsidRPr="003F5765">
              <w:rPr>
                <w:rFonts w:asciiTheme="minorHAnsi" w:hAnsiTheme="minorHAnsi" w:cstheme="minorHAnsi"/>
                <w:sz w:val="24"/>
                <w:szCs w:val="24"/>
              </w:rPr>
              <w:t>AHC</w:t>
            </w:r>
            <w:r w:rsidR="003A6FA3" w:rsidRPr="003F5765">
              <w:rPr>
                <w:rFonts w:asciiTheme="minorHAnsi" w:hAnsiTheme="minorHAnsi" w:cstheme="minorHAnsi"/>
                <w:sz w:val="24"/>
                <w:szCs w:val="24"/>
              </w:rPr>
              <w:t xml:space="preserve"> </w:t>
            </w:r>
            <w:r w:rsidRPr="003F5765">
              <w:rPr>
                <w:rFonts w:asciiTheme="minorHAnsi" w:hAnsiTheme="minorHAnsi" w:cstheme="minorHAnsi"/>
                <w:sz w:val="24"/>
                <w:szCs w:val="24"/>
              </w:rPr>
              <w:t xml:space="preserve">will </w:t>
            </w:r>
            <w:r w:rsidR="00E50098" w:rsidRPr="003F5765">
              <w:rPr>
                <w:rFonts w:asciiTheme="minorHAnsi" w:hAnsiTheme="minorHAnsi" w:cstheme="minorHAnsi"/>
                <w:sz w:val="24"/>
                <w:szCs w:val="24"/>
              </w:rPr>
              <w:t>cont</w:t>
            </w:r>
            <w:r w:rsidRPr="003F5765">
              <w:rPr>
                <w:rFonts w:asciiTheme="minorHAnsi" w:hAnsiTheme="minorHAnsi" w:cstheme="minorHAnsi"/>
                <w:sz w:val="24"/>
                <w:szCs w:val="24"/>
              </w:rPr>
              <w:t>inue</w:t>
            </w:r>
            <w:r w:rsidR="00AB6627" w:rsidRPr="003F5765">
              <w:rPr>
                <w:rFonts w:asciiTheme="minorHAnsi" w:hAnsiTheme="minorHAnsi" w:cstheme="minorHAnsi"/>
                <w:sz w:val="24"/>
                <w:szCs w:val="24"/>
              </w:rPr>
              <w:t xml:space="preserve"> to </w:t>
            </w:r>
            <w:r w:rsidR="009F1B54" w:rsidRPr="003F5765">
              <w:rPr>
                <w:rFonts w:asciiTheme="minorHAnsi" w:hAnsiTheme="minorHAnsi" w:cstheme="minorHAnsi"/>
                <w:sz w:val="24"/>
                <w:szCs w:val="24"/>
              </w:rPr>
              <w:t>provide targeted support to meet the</w:t>
            </w:r>
            <w:r w:rsidR="00AB6627" w:rsidRPr="003F5765">
              <w:rPr>
                <w:rFonts w:asciiTheme="minorHAnsi" w:hAnsiTheme="minorHAnsi" w:cstheme="minorHAnsi"/>
                <w:sz w:val="24"/>
                <w:szCs w:val="24"/>
              </w:rPr>
              <w:t xml:space="preserve"> </w:t>
            </w:r>
            <w:r w:rsidRPr="003F5765">
              <w:rPr>
                <w:rFonts w:asciiTheme="minorHAnsi" w:hAnsiTheme="minorHAnsi" w:cstheme="minorHAnsi"/>
                <w:sz w:val="24"/>
                <w:szCs w:val="24"/>
              </w:rPr>
              <w:t xml:space="preserve">education and training </w:t>
            </w:r>
            <w:r w:rsidR="00AB6627" w:rsidRPr="003F5765">
              <w:rPr>
                <w:rFonts w:asciiTheme="minorHAnsi" w:hAnsiTheme="minorHAnsi" w:cstheme="minorHAnsi"/>
                <w:sz w:val="24"/>
                <w:szCs w:val="24"/>
              </w:rPr>
              <w:t>needs of</w:t>
            </w:r>
            <w:r w:rsidR="00E50098" w:rsidRPr="003F5765">
              <w:rPr>
                <w:rFonts w:asciiTheme="minorHAnsi" w:hAnsiTheme="minorHAnsi" w:cstheme="minorHAnsi"/>
                <w:sz w:val="24"/>
                <w:szCs w:val="24"/>
              </w:rPr>
              <w:t xml:space="preserve"> young</w:t>
            </w:r>
            <w:r w:rsidRPr="003F5765">
              <w:rPr>
                <w:rFonts w:asciiTheme="minorHAnsi" w:hAnsiTheme="minorHAnsi" w:cstheme="minorHAnsi"/>
                <w:sz w:val="24"/>
                <w:szCs w:val="24"/>
              </w:rPr>
              <w:t xml:space="preserve"> people in Papua New Guinea. For example, in</w:t>
            </w:r>
            <w:r w:rsidR="009F1B54" w:rsidRPr="003F5765">
              <w:rPr>
                <w:rFonts w:asciiTheme="minorHAnsi" w:hAnsiTheme="minorHAnsi" w:cstheme="minorHAnsi"/>
                <w:sz w:val="24"/>
                <w:szCs w:val="24"/>
              </w:rPr>
              <w:t xml:space="preserve"> 2020, Australia </w:t>
            </w:r>
            <w:r w:rsidRPr="003F5765">
              <w:rPr>
                <w:rFonts w:asciiTheme="minorHAnsi" w:hAnsiTheme="minorHAnsi" w:cstheme="minorHAnsi"/>
                <w:sz w:val="24"/>
                <w:szCs w:val="24"/>
              </w:rPr>
              <w:t xml:space="preserve">will </w:t>
            </w:r>
            <w:r w:rsidR="009F1B54" w:rsidRPr="003F5765">
              <w:rPr>
                <w:rFonts w:asciiTheme="minorHAnsi" w:hAnsiTheme="minorHAnsi" w:cstheme="minorHAnsi"/>
                <w:sz w:val="24"/>
                <w:szCs w:val="24"/>
              </w:rPr>
              <w:t>deliver technical and vocational education programs</w:t>
            </w:r>
            <w:r w:rsidRPr="003F5765">
              <w:rPr>
                <w:rFonts w:asciiTheme="minorHAnsi" w:hAnsiTheme="minorHAnsi" w:cstheme="minorHAnsi"/>
                <w:sz w:val="24"/>
                <w:szCs w:val="24"/>
              </w:rPr>
              <w:t xml:space="preserve"> through our bilateral partnership.</w:t>
            </w:r>
          </w:p>
          <w:p w:rsidR="009F1B54" w:rsidRPr="005D2AE9" w:rsidRDefault="00DB6682" w:rsidP="00E55DD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AU"/>
              </w:rPr>
            </w:pPr>
            <w:r>
              <w:rPr>
                <w:rFonts w:asciiTheme="minorHAnsi" w:hAnsiTheme="minorHAnsi" w:cstheme="minorHAnsi"/>
                <w:sz w:val="24"/>
                <w:szCs w:val="24"/>
                <w:lang w:val="en-AU"/>
              </w:rPr>
              <w:t>The AHC agrees that youth</w:t>
            </w:r>
            <w:r w:rsidR="008C1ECC" w:rsidRPr="003F5765">
              <w:rPr>
                <w:rFonts w:asciiTheme="minorHAnsi" w:hAnsiTheme="minorHAnsi" w:cstheme="minorHAnsi"/>
                <w:sz w:val="24"/>
                <w:szCs w:val="24"/>
                <w:lang w:val="en-AU"/>
              </w:rPr>
              <w:t xml:space="preserve"> </w:t>
            </w:r>
            <w:r>
              <w:rPr>
                <w:rFonts w:asciiTheme="minorHAnsi" w:hAnsiTheme="minorHAnsi" w:cstheme="minorHAnsi"/>
                <w:sz w:val="24"/>
                <w:szCs w:val="24"/>
                <w:lang w:val="en-AU"/>
              </w:rPr>
              <w:t xml:space="preserve">be addressed in </w:t>
            </w:r>
            <w:r w:rsidRPr="003F5765">
              <w:rPr>
                <w:rFonts w:asciiTheme="minorHAnsi" w:hAnsiTheme="minorHAnsi" w:cstheme="minorHAnsi"/>
                <w:sz w:val="24"/>
                <w:szCs w:val="24"/>
                <w:lang w:val="en-AU"/>
              </w:rPr>
              <w:t>sector</w:t>
            </w:r>
            <w:r>
              <w:rPr>
                <w:rFonts w:asciiTheme="minorHAnsi" w:hAnsiTheme="minorHAnsi" w:cstheme="minorHAnsi"/>
                <w:sz w:val="24"/>
                <w:szCs w:val="24"/>
                <w:lang w:val="en-AU"/>
              </w:rPr>
              <w:t xml:space="preserve">al </w:t>
            </w:r>
            <w:r w:rsidR="00C25748" w:rsidRPr="003F5765">
              <w:rPr>
                <w:rFonts w:asciiTheme="minorHAnsi" w:hAnsiTheme="minorHAnsi" w:cstheme="minorHAnsi"/>
                <w:sz w:val="24"/>
                <w:szCs w:val="24"/>
                <w:lang w:val="en-AU"/>
              </w:rPr>
              <w:t xml:space="preserve">strategies, program designs </w:t>
            </w:r>
            <w:r w:rsidR="006F6702" w:rsidRPr="003F5765">
              <w:rPr>
                <w:rFonts w:asciiTheme="minorHAnsi" w:hAnsiTheme="minorHAnsi" w:cstheme="minorHAnsi"/>
                <w:sz w:val="24"/>
                <w:szCs w:val="24"/>
                <w:lang w:val="en-AU"/>
              </w:rPr>
              <w:t>and annual implementation plans</w:t>
            </w:r>
            <w:r w:rsidR="00E55DD6">
              <w:rPr>
                <w:rFonts w:asciiTheme="minorHAnsi" w:hAnsiTheme="minorHAnsi" w:cstheme="minorHAnsi"/>
                <w:sz w:val="24"/>
                <w:szCs w:val="24"/>
                <w:lang w:val="en-AU"/>
              </w:rPr>
              <w:t xml:space="preserve">, this should render unnecessary, </w:t>
            </w:r>
            <w:r>
              <w:rPr>
                <w:rFonts w:asciiTheme="minorHAnsi" w:hAnsiTheme="minorHAnsi" w:cstheme="minorHAnsi"/>
                <w:sz w:val="24"/>
                <w:szCs w:val="24"/>
                <w:lang w:val="en-AU"/>
              </w:rPr>
              <w:t>a stand-alone youth crosscutting strategy.</w:t>
            </w:r>
            <w:r w:rsidR="006F6702" w:rsidRPr="003F5765">
              <w:rPr>
                <w:rFonts w:asciiTheme="minorHAnsi" w:hAnsiTheme="minorHAnsi" w:cstheme="minorHAnsi"/>
                <w:sz w:val="24"/>
                <w:szCs w:val="24"/>
                <w:lang w:val="en-AU"/>
              </w:rPr>
              <w:t xml:space="preserve"> </w:t>
            </w:r>
          </w:p>
        </w:tc>
        <w:tc>
          <w:tcPr>
            <w:tcW w:w="3010" w:type="dxa"/>
          </w:tcPr>
          <w:p w:rsidR="00D12204" w:rsidRPr="003F5765" w:rsidRDefault="009F1B54" w:rsidP="00603B5F">
            <w:pPr>
              <w:pStyle w:val="BodyText"/>
              <w:cnfStyle w:val="000000100000" w:firstRow="0" w:lastRow="0" w:firstColumn="0" w:lastColumn="0" w:oddVBand="0" w:evenVBand="0" w:oddHBand="1" w:evenHBand="0" w:firstRowFirstColumn="0" w:firstRowLastColumn="0" w:lastRowFirstColumn="0" w:lastRowLastColumn="0"/>
              <w:rPr>
                <w:sz w:val="24"/>
                <w:szCs w:val="24"/>
              </w:rPr>
            </w:pPr>
            <w:r w:rsidRPr="003F5765">
              <w:rPr>
                <w:sz w:val="24"/>
                <w:szCs w:val="24"/>
              </w:rPr>
              <w:t xml:space="preserve">By </w:t>
            </w:r>
            <w:r w:rsidR="000253D5" w:rsidRPr="003F5765">
              <w:rPr>
                <w:sz w:val="24"/>
                <w:szCs w:val="24"/>
              </w:rPr>
              <w:t>June 2020</w:t>
            </w:r>
          </w:p>
        </w:tc>
      </w:tr>
      <w:tr w:rsidR="003A6FA3" w:rsidTr="000253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9" w:type="dxa"/>
          </w:tcPr>
          <w:p w:rsidR="003A6FA3" w:rsidRPr="00AB6627" w:rsidRDefault="003A6FA3" w:rsidP="00FF1679">
            <w:pPr>
              <w:pStyle w:val="Heading3"/>
              <w:outlineLvl w:val="2"/>
              <w:rPr>
                <w:rFonts w:asciiTheme="minorHAnsi" w:hAnsiTheme="minorHAnsi" w:cstheme="minorHAnsi"/>
                <w:b/>
                <w:i/>
                <w:sz w:val="22"/>
                <w:szCs w:val="24"/>
              </w:rPr>
            </w:pPr>
            <w:r w:rsidRPr="00AB6627">
              <w:rPr>
                <w:rFonts w:asciiTheme="minorHAnsi" w:hAnsiTheme="minorHAnsi" w:cstheme="minorHAnsi"/>
                <w:b/>
                <w:i/>
                <w:sz w:val="22"/>
                <w:szCs w:val="24"/>
              </w:rPr>
              <w:t>Recommendation 2</w:t>
            </w:r>
          </w:p>
          <w:p w:rsidR="000253D5" w:rsidRPr="000253D5" w:rsidRDefault="000253D5" w:rsidP="000253D5">
            <w:pPr>
              <w:rPr>
                <w:lang w:val="en-AU"/>
              </w:rPr>
            </w:pPr>
            <w:r w:rsidRPr="000253D5">
              <w:rPr>
                <w:lang w:val="en-AU"/>
              </w:rPr>
              <w:t xml:space="preserve">DFAT should seek to incorporate the findings from this, and the previous mid-term review into on-going and </w:t>
            </w:r>
            <w:r w:rsidRPr="000253D5">
              <w:rPr>
                <w:lang w:val="en-AU"/>
              </w:rPr>
              <w:lastRenderedPageBreak/>
              <w:t>future youth-related programming. There are three routes to achieving this:</w:t>
            </w:r>
          </w:p>
          <w:p w:rsidR="000253D5" w:rsidRPr="000253D5" w:rsidRDefault="000253D5" w:rsidP="000253D5">
            <w:pPr>
              <w:rPr>
                <w:lang w:val="en-AU"/>
              </w:rPr>
            </w:pPr>
            <w:r w:rsidRPr="000253D5">
              <w:rPr>
                <w:lang w:val="en-AU"/>
              </w:rPr>
              <w:t>a.</w:t>
            </w:r>
            <w:r w:rsidRPr="000253D5">
              <w:rPr>
                <w:lang w:val="en-AU"/>
              </w:rPr>
              <w:tab/>
              <w:t xml:space="preserve">Ensuring that all youth-related programs have a robust M&amp;E framework capable of reporting on youth outputs and outcomes. </w:t>
            </w:r>
            <w:r w:rsidR="009C5FDF">
              <w:rPr>
                <w:lang w:val="en-AU"/>
              </w:rPr>
              <w:t>The AHC should consider ensuring that future and current youth-related programming</w:t>
            </w:r>
            <w:r w:rsidR="00E04578">
              <w:rPr>
                <w:lang w:val="en-AU"/>
              </w:rPr>
              <w:t xml:space="preserve"> builds in a specific component designed to enhance the capability of civil organisations within the sector.</w:t>
            </w:r>
          </w:p>
          <w:p w:rsidR="000253D5" w:rsidRPr="000253D5" w:rsidRDefault="000253D5" w:rsidP="000253D5">
            <w:pPr>
              <w:rPr>
                <w:lang w:val="en-AU"/>
              </w:rPr>
            </w:pPr>
            <w:r w:rsidRPr="000253D5">
              <w:rPr>
                <w:lang w:val="en-AU"/>
              </w:rPr>
              <w:t>b.</w:t>
            </w:r>
            <w:r w:rsidRPr="000253D5">
              <w:rPr>
                <w:lang w:val="en-AU"/>
              </w:rPr>
              <w:tab/>
              <w:t>Drawing on the findings from Purpose 1, DFAT should ensure that findings relating to the importance of skills training, the role of churches and faith identity, the balance of rules and long-term pastoral care and mentoring are incorporated into youth programming. This finding could be incorporate</w:t>
            </w:r>
            <w:r w:rsidR="00C0674A">
              <w:rPr>
                <w:lang w:val="en-AU"/>
              </w:rPr>
              <w:t>d</w:t>
            </w:r>
            <w:r w:rsidRPr="000253D5">
              <w:rPr>
                <w:lang w:val="en-AU"/>
              </w:rPr>
              <w:t xml:space="preserve"> through the Churches Partnership. </w:t>
            </w:r>
          </w:p>
          <w:p w:rsidR="003A6FA3" w:rsidRPr="003A6FA3" w:rsidRDefault="000253D5" w:rsidP="000253D5">
            <w:pPr>
              <w:rPr>
                <w:lang w:val="en-AU"/>
              </w:rPr>
            </w:pPr>
            <w:r w:rsidRPr="000253D5">
              <w:rPr>
                <w:lang w:val="en-AU"/>
              </w:rPr>
              <w:t>c.</w:t>
            </w:r>
            <w:r w:rsidRPr="000253D5">
              <w:rPr>
                <w:lang w:val="en-AU"/>
              </w:rPr>
              <w:tab/>
              <w:t xml:space="preserve">Engaging with the GoPNG on youth issues, at the national and sub-national level.     </w:t>
            </w:r>
          </w:p>
        </w:tc>
        <w:tc>
          <w:tcPr>
            <w:tcW w:w="1908" w:type="dxa"/>
          </w:tcPr>
          <w:p w:rsidR="003A6FA3" w:rsidRPr="008F4A4D" w:rsidRDefault="000253D5" w:rsidP="00603B5F">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lastRenderedPageBreak/>
              <w:t>Agree</w:t>
            </w:r>
          </w:p>
        </w:tc>
        <w:tc>
          <w:tcPr>
            <w:tcW w:w="2831" w:type="dxa"/>
          </w:tcPr>
          <w:p w:rsidR="003A6FA3" w:rsidRDefault="00C0674A" w:rsidP="00C25748">
            <w:pPr>
              <w:pStyle w:val="BodyText"/>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All three approaches outlined are useful</w:t>
            </w:r>
            <w:r w:rsidR="00C06E2F">
              <w:rPr>
                <w:sz w:val="24"/>
                <w:szCs w:val="24"/>
              </w:rPr>
              <w:t xml:space="preserve"> and identify strategic entry points to </w:t>
            </w:r>
            <w:r w:rsidR="00C06E2F">
              <w:rPr>
                <w:sz w:val="24"/>
                <w:szCs w:val="24"/>
              </w:rPr>
              <w:lastRenderedPageBreak/>
              <w:t>inform Australia’s engagement.</w:t>
            </w:r>
          </w:p>
        </w:tc>
        <w:tc>
          <w:tcPr>
            <w:tcW w:w="8930" w:type="dxa"/>
          </w:tcPr>
          <w:p w:rsidR="00C06E2F" w:rsidRDefault="00C06E2F" w:rsidP="00C06E2F">
            <w:pPr>
              <w:pStyle w:val="BodyText"/>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lastRenderedPageBreak/>
              <w:t xml:space="preserve">The application of learning from evaluations </w:t>
            </w:r>
            <w:r w:rsidR="00DB537C">
              <w:rPr>
                <w:sz w:val="24"/>
                <w:szCs w:val="24"/>
              </w:rPr>
              <w:t>aligns</w:t>
            </w:r>
            <w:r w:rsidR="00F42A02">
              <w:rPr>
                <w:sz w:val="24"/>
                <w:szCs w:val="24"/>
              </w:rPr>
              <w:t xml:space="preserve"> with DFAT M&amp;E standards</w:t>
            </w:r>
            <w:r>
              <w:rPr>
                <w:sz w:val="24"/>
                <w:szCs w:val="24"/>
              </w:rPr>
              <w:t>. As iden</w:t>
            </w:r>
            <w:r w:rsidR="00DB537C">
              <w:rPr>
                <w:sz w:val="24"/>
                <w:szCs w:val="24"/>
              </w:rPr>
              <w:t>tified in the report, the AHC manages</w:t>
            </w:r>
            <w:r>
              <w:rPr>
                <w:sz w:val="24"/>
                <w:szCs w:val="24"/>
              </w:rPr>
              <w:t xml:space="preserve"> a </w:t>
            </w:r>
            <w:r w:rsidR="00DB537C">
              <w:rPr>
                <w:sz w:val="24"/>
                <w:szCs w:val="24"/>
              </w:rPr>
              <w:t>variety</w:t>
            </w:r>
            <w:r>
              <w:rPr>
                <w:sz w:val="24"/>
                <w:szCs w:val="24"/>
              </w:rPr>
              <w:t xml:space="preserve"> of investment</w:t>
            </w:r>
            <w:r w:rsidR="00DB537C">
              <w:rPr>
                <w:sz w:val="24"/>
                <w:szCs w:val="24"/>
              </w:rPr>
              <w:t>s</w:t>
            </w:r>
            <w:r>
              <w:rPr>
                <w:sz w:val="24"/>
                <w:szCs w:val="24"/>
              </w:rPr>
              <w:t xml:space="preserve"> </w:t>
            </w:r>
            <w:r w:rsidR="00DB537C">
              <w:rPr>
                <w:sz w:val="24"/>
                <w:szCs w:val="24"/>
              </w:rPr>
              <w:t>which are intended to support youth:</w:t>
            </w:r>
            <w:r>
              <w:rPr>
                <w:sz w:val="24"/>
                <w:szCs w:val="24"/>
              </w:rPr>
              <w:t xml:space="preserve"> from community engagement in Bougainville to technical and vocational education. </w:t>
            </w:r>
          </w:p>
          <w:p w:rsidR="00DB537C" w:rsidRDefault="00DB537C" w:rsidP="00DB537C">
            <w:pPr>
              <w:pStyle w:val="BodyText"/>
              <w:numPr>
                <w:ilvl w:val="0"/>
                <w:numId w:val="4"/>
              </w:num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lastRenderedPageBreak/>
              <w:t>It is a requirement that all programs have an appropriate Monitoring &amp; Evaluation framework, and identifying the specific youth-related outcomes and youth targeted components of education or health sector investments can help to drive more informed support for disenfranchised young people.</w:t>
            </w:r>
          </w:p>
          <w:p w:rsidR="00DB537C" w:rsidRDefault="00F9670C" w:rsidP="00DB537C">
            <w:pPr>
              <w:pStyle w:val="BodyText"/>
              <w:numPr>
                <w:ilvl w:val="0"/>
                <w:numId w:val="4"/>
              </w:num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Noting</w:t>
            </w:r>
            <w:r w:rsidR="00DB537C">
              <w:rPr>
                <w:sz w:val="24"/>
                <w:szCs w:val="24"/>
              </w:rPr>
              <w:t xml:space="preserve"> the high relevance of faith </w:t>
            </w:r>
            <w:r>
              <w:rPr>
                <w:sz w:val="24"/>
                <w:szCs w:val="24"/>
              </w:rPr>
              <w:t xml:space="preserve">identity, faith leaders and </w:t>
            </w:r>
            <w:r w:rsidR="00DB537C">
              <w:rPr>
                <w:sz w:val="24"/>
                <w:szCs w:val="24"/>
              </w:rPr>
              <w:t>co</w:t>
            </w:r>
            <w:r>
              <w:rPr>
                <w:sz w:val="24"/>
                <w:szCs w:val="24"/>
              </w:rPr>
              <w:t xml:space="preserve">mmunities for young people, Australia </w:t>
            </w:r>
            <w:r w:rsidR="00DB537C">
              <w:rPr>
                <w:sz w:val="24"/>
                <w:szCs w:val="24"/>
              </w:rPr>
              <w:t xml:space="preserve">recognises the contribution of churches in PNG in service delivery, </w:t>
            </w:r>
            <w:r>
              <w:rPr>
                <w:sz w:val="24"/>
                <w:szCs w:val="24"/>
              </w:rPr>
              <w:t>and the potential to strengthen youth-focused skills training, including through the PNG Church Partnership Program.</w:t>
            </w:r>
          </w:p>
          <w:p w:rsidR="003A6FA3" w:rsidRPr="00B6441F" w:rsidRDefault="00F9670C" w:rsidP="004744C8">
            <w:pPr>
              <w:pStyle w:val="BodyText"/>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The AHC agrees that both national and subnational governments are crucial stakeholders in setting policy and </w:t>
            </w:r>
            <w:r w:rsidR="004744C8">
              <w:rPr>
                <w:sz w:val="24"/>
                <w:szCs w:val="24"/>
              </w:rPr>
              <w:t xml:space="preserve">delivering </w:t>
            </w:r>
            <w:r>
              <w:rPr>
                <w:sz w:val="24"/>
                <w:szCs w:val="24"/>
              </w:rPr>
              <w:t xml:space="preserve">programs </w:t>
            </w:r>
            <w:r w:rsidR="004744C8">
              <w:rPr>
                <w:sz w:val="24"/>
                <w:szCs w:val="24"/>
              </w:rPr>
              <w:t xml:space="preserve">to </w:t>
            </w:r>
            <w:r>
              <w:rPr>
                <w:sz w:val="24"/>
                <w:szCs w:val="24"/>
              </w:rPr>
              <w:t>meet the needs of young people. Through the Subnational section, province and district-based advisors will continue to strengthen engagement on inclusive</w:t>
            </w:r>
            <w:r w:rsidR="004744C8">
              <w:rPr>
                <w:sz w:val="24"/>
                <w:szCs w:val="24"/>
              </w:rPr>
              <w:t>,</w:t>
            </w:r>
            <w:r>
              <w:rPr>
                <w:sz w:val="24"/>
                <w:szCs w:val="24"/>
              </w:rPr>
              <w:t xml:space="preserve"> local level decision-making </w:t>
            </w:r>
            <w:r w:rsidRPr="00B6441F">
              <w:rPr>
                <w:sz w:val="24"/>
                <w:szCs w:val="24"/>
              </w:rPr>
              <w:t xml:space="preserve">and </w:t>
            </w:r>
            <w:r w:rsidR="00B6441F" w:rsidRPr="00B6441F">
              <w:rPr>
                <w:iCs/>
                <w:sz w:val="24"/>
                <w:szCs w:val="24"/>
              </w:rPr>
              <w:t>support youth engagement in coalition building and local governance.</w:t>
            </w:r>
          </w:p>
        </w:tc>
        <w:tc>
          <w:tcPr>
            <w:tcW w:w="3010" w:type="dxa"/>
          </w:tcPr>
          <w:p w:rsidR="003A6FA3" w:rsidRPr="008A0512" w:rsidRDefault="000253D5" w:rsidP="00F9670C">
            <w:pPr>
              <w:pStyle w:val="BodyText"/>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lastRenderedPageBreak/>
              <w:t xml:space="preserve">By </w:t>
            </w:r>
            <w:r w:rsidR="00F9670C">
              <w:rPr>
                <w:sz w:val="24"/>
                <w:szCs w:val="24"/>
              </w:rPr>
              <w:t>December</w:t>
            </w:r>
            <w:r>
              <w:rPr>
                <w:sz w:val="24"/>
                <w:szCs w:val="24"/>
              </w:rPr>
              <w:t xml:space="preserve"> 2020</w:t>
            </w:r>
          </w:p>
        </w:tc>
      </w:tr>
      <w:tr w:rsidR="00E50098" w:rsidTr="00025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9" w:type="dxa"/>
          </w:tcPr>
          <w:p w:rsidR="00E50098" w:rsidRPr="00AB6627" w:rsidRDefault="00E50098" w:rsidP="00E50098">
            <w:pPr>
              <w:pStyle w:val="Heading3"/>
              <w:outlineLvl w:val="2"/>
              <w:rPr>
                <w:rFonts w:asciiTheme="minorHAnsi" w:hAnsiTheme="minorHAnsi" w:cstheme="minorHAnsi"/>
                <w:b/>
                <w:i/>
                <w:sz w:val="22"/>
                <w:szCs w:val="24"/>
              </w:rPr>
            </w:pPr>
            <w:r w:rsidRPr="00AB6627">
              <w:rPr>
                <w:rFonts w:asciiTheme="minorHAnsi" w:hAnsiTheme="minorHAnsi" w:cstheme="minorHAnsi"/>
                <w:b/>
                <w:i/>
                <w:sz w:val="22"/>
                <w:szCs w:val="24"/>
              </w:rPr>
              <w:t>Recommendation 3</w:t>
            </w:r>
          </w:p>
          <w:p w:rsidR="00E50098" w:rsidRPr="003A6FA3" w:rsidRDefault="00E04578" w:rsidP="00065D5E">
            <w:pPr>
              <w:rPr>
                <w:lang w:val="en-AU"/>
              </w:rPr>
            </w:pPr>
            <w:r>
              <w:rPr>
                <w:lang w:val="en-AU"/>
              </w:rPr>
              <w:t>AHC teams using Sensemaker® for evaluations in the future should consider collaboration with the UPNG School of Business and Public Policy. Researchers have been trained</w:t>
            </w:r>
            <w:r w:rsidR="00065D5E">
              <w:rPr>
                <w:lang w:val="en-AU"/>
              </w:rPr>
              <w:t xml:space="preserve"> to use this tool for the purposes of this evaluation. But engaging them for other evaluations will give them </w:t>
            </w:r>
            <w:r>
              <w:rPr>
                <w:lang w:val="en-AU"/>
              </w:rPr>
              <w:t xml:space="preserve">further opportunities </w:t>
            </w:r>
            <w:r w:rsidR="00065D5E">
              <w:rPr>
                <w:lang w:val="en-AU"/>
              </w:rPr>
              <w:t>to</w:t>
            </w:r>
            <w:r>
              <w:rPr>
                <w:lang w:val="en-AU"/>
              </w:rPr>
              <w:t xml:space="preserve"> build on this experience and knowledge benefitting future evaluations</w:t>
            </w:r>
            <w:r w:rsidR="004744C8">
              <w:rPr>
                <w:lang w:val="en-AU"/>
              </w:rPr>
              <w:t>.</w:t>
            </w:r>
            <w:r>
              <w:rPr>
                <w:lang w:val="en-AU"/>
              </w:rPr>
              <w:t xml:space="preserve"> </w:t>
            </w:r>
          </w:p>
        </w:tc>
        <w:tc>
          <w:tcPr>
            <w:tcW w:w="1908" w:type="dxa"/>
          </w:tcPr>
          <w:p w:rsidR="00E50098" w:rsidRPr="008F4A4D" w:rsidRDefault="00E00D34" w:rsidP="00E50098">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2831" w:type="dxa"/>
          </w:tcPr>
          <w:p w:rsidR="00E50098" w:rsidRPr="008A0512" w:rsidRDefault="00321CBE" w:rsidP="00991173">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Collaborating with Papua New Guinean</w:t>
            </w:r>
            <w:r w:rsidR="00E00D34">
              <w:rPr>
                <w:sz w:val="24"/>
                <w:szCs w:val="24"/>
              </w:rPr>
              <w:t xml:space="preserve"> </w:t>
            </w:r>
            <w:r>
              <w:rPr>
                <w:sz w:val="24"/>
                <w:szCs w:val="24"/>
              </w:rPr>
              <w:t xml:space="preserve">researchers and research organisations </w:t>
            </w:r>
            <w:r w:rsidR="00C06E2F">
              <w:rPr>
                <w:sz w:val="24"/>
                <w:szCs w:val="24"/>
              </w:rPr>
              <w:t xml:space="preserve">is acknowledged as good practice by </w:t>
            </w:r>
            <w:r w:rsidR="00991173">
              <w:rPr>
                <w:sz w:val="24"/>
                <w:szCs w:val="24"/>
              </w:rPr>
              <w:t>the AHC</w:t>
            </w:r>
            <w:r w:rsidR="00C06E2F">
              <w:rPr>
                <w:sz w:val="24"/>
                <w:szCs w:val="24"/>
              </w:rPr>
              <w:t xml:space="preserve"> and contributes to broader development outcomes, through the transfer of research skills and evidence-gathering.</w:t>
            </w:r>
          </w:p>
        </w:tc>
        <w:tc>
          <w:tcPr>
            <w:tcW w:w="8930" w:type="dxa"/>
          </w:tcPr>
          <w:p w:rsidR="00E50098" w:rsidRPr="008A0512" w:rsidRDefault="00C06E2F" w:rsidP="004744C8">
            <w:pPr>
              <w:pStyle w:val="BodyTex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Sensemaker® has been used in at least two evaluations in 2019 </w:t>
            </w:r>
            <w:r w:rsidR="004744C8">
              <w:rPr>
                <w:sz w:val="24"/>
                <w:szCs w:val="24"/>
              </w:rPr>
              <w:t xml:space="preserve">commissioned by </w:t>
            </w:r>
            <w:r>
              <w:rPr>
                <w:sz w:val="24"/>
                <w:szCs w:val="24"/>
              </w:rPr>
              <w:t>Port Moresby Post</w:t>
            </w:r>
            <w:r w:rsidR="004744C8">
              <w:rPr>
                <w:sz w:val="24"/>
                <w:szCs w:val="24"/>
              </w:rPr>
              <w:t>.</w:t>
            </w:r>
            <w:r>
              <w:rPr>
                <w:sz w:val="24"/>
                <w:szCs w:val="24"/>
              </w:rPr>
              <w:t xml:space="preserve"> </w:t>
            </w:r>
            <w:r w:rsidR="004744C8">
              <w:rPr>
                <w:sz w:val="24"/>
                <w:szCs w:val="24"/>
              </w:rPr>
              <w:t>I</w:t>
            </w:r>
            <w:r>
              <w:rPr>
                <w:sz w:val="24"/>
                <w:szCs w:val="24"/>
              </w:rPr>
              <w:t xml:space="preserve">n addition to the </w:t>
            </w:r>
            <w:r w:rsidR="00065D5E">
              <w:rPr>
                <w:sz w:val="24"/>
                <w:szCs w:val="24"/>
              </w:rPr>
              <w:t xml:space="preserve">Youth Skills Training </w:t>
            </w:r>
            <w:r>
              <w:rPr>
                <w:sz w:val="24"/>
                <w:szCs w:val="24"/>
              </w:rPr>
              <w:t xml:space="preserve">End of Program Evaluation, it was used in a humanitarian evaluation exercise. The </w:t>
            </w:r>
            <w:r w:rsidR="00991173">
              <w:rPr>
                <w:sz w:val="24"/>
                <w:szCs w:val="24"/>
              </w:rPr>
              <w:t>AHC</w:t>
            </w:r>
            <w:r>
              <w:rPr>
                <w:sz w:val="24"/>
                <w:szCs w:val="24"/>
              </w:rPr>
              <w:t xml:space="preserve"> regularly engages with the University of PNG School of Business and Public Policy and where</w:t>
            </w:r>
            <w:r w:rsidR="004744C8">
              <w:rPr>
                <w:sz w:val="24"/>
                <w:szCs w:val="24"/>
              </w:rPr>
              <w:t>,</w:t>
            </w:r>
            <w:r>
              <w:rPr>
                <w:sz w:val="24"/>
                <w:szCs w:val="24"/>
              </w:rPr>
              <w:t xml:space="preserve"> it is useful, will continue to consider future collaboration opportunities, including in the course of data collection for independent evaluations.</w:t>
            </w:r>
          </w:p>
        </w:tc>
        <w:tc>
          <w:tcPr>
            <w:tcW w:w="3010" w:type="dxa"/>
          </w:tcPr>
          <w:p w:rsidR="00E50098" w:rsidRPr="008A0512" w:rsidRDefault="00E50098" w:rsidP="00E50098">
            <w:pPr>
              <w:pStyle w:val="BodyText"/>
              <w:cnfStyle w:val="000000100000" w:firstRow="0" w:lastRow="0" w:firstColumn="0" w:lastColumn="0" w:oddVBand="0" w:evenVBand="0" w:oddHBand="1" w:evenHBand="0" w:firstRowFirstColumn="0" w:firstRowLastColumn="0" w:lastRowFirstColumn="0" w:lastRowLastColumn="0"/>
              <w:rPr>
                <w:sz w:val="24"/>
                <w:szCs w:val="24"/>
              </w:rPr>
            </w:pPr>
          </w:p>
        </w:tc>
      </w:tr>
    </w:tbl>
    <w:p w:rsidR="00D12204" w:rsidRDefault="00D12204" w:rsidP="00D12204">
      <w:pPr>
        <w:pStyle w:val="BodyText"/>
        <w:rPr>
          <w:rFonts w:ascii="Franklin Gothic Book" w:hAnsi="Franklin Gothic Book"/>
          <w:color w:val="000000" w:themeColor="text1"/>
          <w:sz w:val="21"/>
        </w:rPr>
      </w:pPr>
    </w:p>
    <w:p w:rsidR="00D12204" w:rsidRDefault="00D12204"/>
    <w:p w:rsidR="000D3EF9" w:rsidRDefault="000D3EF9"/>
    <w:sectPr w:rsidR="000D3EF9" w:rsidSect="00A42C58">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DC" w:rsidRDefault="001522DC" w:rsidP="001522DC">
      <w:pPr>
        <w:spacing w:before="0" w:after="0" w:line="240" w:lineRule="auto"/>
      </w:pPr>
      <w:r>
        <w:separator/>
      </w:r>
    </w:p>
  </w:endnote>
  <w:endnote w:type="continuationSeparator" w:id="0">
    <w:p w:rsidR="001522DC" w:rsidRDefault="001522DC" w:rsidP="001522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90" w:rsidRDefault="0052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90" w:rsidRDefault="0052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90" w:rsidRDefault="0052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DC" w:rsidRDefault="001522DC" w:rsidP="001522DC">
      <w:pPr>
        <w:spacing w:before="0" w:after="0" w:line="240" w:lineRule="auto"/>
      </w:pPr>
      <w:r>
        <w:separator/>
      </w:r>
    </w:p>
  </w:footnote>
  <w:footnote w:type="continuationSeparator" w:id="0">
    <w:p w:rsidR="001522DC" w:rsidRDefault="001522DC" w:rsidP="001522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90" w:rsidRDefault="00523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90" w:rsidRDefault="00523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90" w:rsidRDefault="0052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F7B"/>
    <w:multiLevelType w:val="hybridMultilevel"/>
    <w:tmpl w:val="29F8544E"/>
    <w:lvl w:ilvl="0" w:tplc="B8C624B2">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 w15:restartNumberingAfterBreak="0">
    <w:nsid w:val="0E2D75A8"/>
    <w:multiLevelType w:val="hybridMultilevel"/>
    <w:tmpl w:val="6D4A3C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204526"/>
    <w:multiLevelType w:val="hybridMultilevel"/>
    <w:tmpl w:val="5046186E"/>
    <w:lvl w:ilvl="0" w:tplc="103C44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060941"/>
    <w:multiLevelType w:val="hybridMultilevel"/>
    <w:tmpl w:val="EF66E0A6"/>
    <w:lvl w:ilvl="0" w:tplc="E6AE39D4">
      <w:start w:val="1"/>
      <w:numFmt w:val="lowerLetter"/>
      <w:lvlText w:val="%1."/>
      <w:lvlJc w:val="left"/>
      <w:pPr>
        <w:ind w:left="720" w:hanging="360"/>
      </w:pPr>
      <w:rPr>
        <w:rFonts w:ascii="Calibri" w:eastAsiaTheme="minorHAnsi" w:hAnsi="Calibr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D81B76"/>
    <w:multiLevelType w:val="hybridMultilevel"/>
    <w:tmpl w:val="29F8544E"/>
    <w:lvl w:ilvl="0" w:tplc="B8C624B2">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04"/>
    <w:rsid w:val="000253D5"/>
    <w:rsid w:val="00057798"/>
    <w:rsid w:val="00065D5E"/>
    <w:rsid w:val="000938CA"/>
    <w:rsid w:val="000D3EF9"/>
    <w:rsid w:val="001522DC"/>
    <w:rsid w:val="001B411E"/>
    <w:rsid w:val="00200927"/>
    <w:rsid w:val="002057B1"/>
    <w:rsid w:val="002930BE"/>
    <w:rsid w:val="003076DE"/>
    <w:rsid w:val="00321CBE"/>
    <w:rsid w:val="003A6FA3"/>
    <w:rsid w:val="003E2753"/>
    <w:rsid w:val="003F5765"/>
    <w:rsid w:val="0042017F"/>
    <w:rsid w:val="00440D64"/>
    <w:rsid w:val="004744C8"/>
    <w:rsid w:val="00523790"/>
    <w:rsid w:val="005D2AE9"/>
    <w:rsid w:val="00600561"/>
    <w:rsid w:val="006705C4"/>
    <w:rsid w:val="006F6702"/>
    <w:rsid w:val="00740DE1"/>
    <w:rsid w:val="007B06D8"/>
    <w:rsid w:val="007F4E59"/>
    <w:rsid w:val="00803A21"/>
    <w:rsid w:val="008B6CB8"/>
    <w:rsid w:val="008C1ECC"/>
    <w:rsid w:val="00991173"/>
    <w:rsid w:val="009C5FDF"/>
    <w:rsid w:val="009F1B54"/>
    <w:rsid w:val="00A42C58"/>
    <w:rsid w:val="00AB6627"/>
    <w:rsid w:val="00B25ED8"/>
    <w:rsid w:val="00B6441F"/>
    <w:rsid w:val="00B855BD"/>
    <w:rsid w:val="00B963F0"/>
    <w:rsid w:val="00BE46A5"/>
    <w:rsid w:val="00C0674A"/>
    <w:rsid w:val="00C06E2F"/>
    <w:rsid w:val="00C25748"/>
    <w:rsid w:val="00C26128"/>
    <w:rsid w:val="00CB405B"/>
    <w:rsid w:val="00CC3AE5"/>
    <w:rsid w:val="00D12204"/>
    <w:rsid w:val="00D50D83"/>
    <w:rsid w:val="00DB537C"/>
    <w:rsid w:val="00DB6682"/>
    <w:rsid w:val="00E00D34"/>
    <w:rsid w:val="00E04578"/>
    <w:rsid w:val="00E50098"/>
    <w:rsid w:val="00E55DD6"/>
    <w:rsid w:val="00E60290"/>
    <w:rsid w:val="00EB0DDD"/>
    <w:rsid w:val="00EB32F7"/>
    <w:rsid w:val="00F42A02"/>
    <w:rsid w:val="00F617DB"/>
    <w:rsid w:val="00F9670C"/>
    <w:rsid w:val="00FF1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04"/>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D122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D12204"/>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Row">
    <w:name w:val="Table Header Row"/>
    <w:basedOn w:val="Normal"/>
    <w:qFormat/>
    <w:rsid w:val="00D12204"/>
    <w:pPr>
      <w:spacing w:before="60"/>
    </w:pPr>
    <w:rPr>
      <w:rFonts w:ascii="Calibri" w:hAnsi="Calibri"/>
      <w:b/>
      <w:color w:val="FFFFFF" w:themeColor="background1"/>
      <w:szCs w:val="21"/>
    </w:rPr>
  </w:style>
  <w:style w:type="table" w:customStyle="1" w:styleId="DFATTable1">
    <w:name w:val="DFAT Table 1"/>
    <w:basedOn w:val="TableNormal"/>
    <w:uiPriority w:val="99"/>
    <w:rsid w:val="00D12204"/>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character" w:customStyle="1" w:styleId="Heading3Char">
    <w:name w:val="Heading 3 Char"/>
    <w:basedOn w:val="DefaultParagraphFont"/>
    <w:link w:val="Heading3"/>
    <w:rsid w:val="00D12204"/>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semiHidden/>
    <w:rsid w:val="00D12204"/>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99"/>
    <w:unhideWhenUsed/>
    <w:qFormat/>
    <w:rsid w:val="00D12204"/>
  </w:style>
  <w:style w:type="character" w:customStyle="1" w:styleId="BodyTextChar">
    <w:name w:val="Body Text Char"/>
    <w:basedOn w:val="DefaultParagraphFont"/>
    <w:link w:val="BodyText"/>
    <w:uiPriority w:val="99"/>
    <w:rsid w:val="00D12204"/>
    <w:rPr>
      <w:color w:val="44546A" w:themeColor="text2"/>
      <w:lang w:val="en-GB"/>
    </w:r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D12204"/>
    <w:rPr>
      <w:rFonts w:ascii="Arial" w:hAnsi="Arial" w:cs="Arial"/>
      <w:lang w:val="en-GB" w:eastAsia="en-GB"/>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D12204"/>
    <w:pPr>
      <w:suppressAutoHyphens w:val="0"/>
      <w:spacing w:after="120" w:line="240" w:lineRule="auto"/>
      <w:ind w:left="720"/>
    </w:pPr>
    <w:rPr>
      <w:rFonts w:ascii="Arial" w:hAnsi="Arial" w:cs="Arial"/>
      <w:color w:val="auto"/>
      <w:lang w:eastAsia="en-GB"/>
    </w:rPr>
  </w:style>
  <w:style w:type="paragraph" w:styleId="BalloonText">
    <w:name w:val="Balloon Text"/>
    <w:basedOn w:val="Normal"/>
    <w:link w:val="BalloonTextChar"/>
    <w:uiPriority w:val="99"/>
    <w:semiHidden/>
    <w:unhideWhenUsed/>
    <w:rsid w:val="00B6441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41F"/>
    <w:rPr>
      <w:rFonts w:ascii="Segoe UI" w:hAnsi="Segoe UI" w:cs="Segoe UI"/>
      <w:color w:val="44546A" w:themeColor="text2"/>
      <w:sz w:val="18"/>
      <w:szCs w:val="18"/>
      <w:lang w:val="en-GB"/>
    </w:rPr>
  </w:style>
  <w:style w:type="character" w:styleId="CommentReference">
    <w:name w:val="annotation reference"/>
    <w:basedOn w:val="DefaultParagraphFont"/>
    <w:uiPriority w:val="99"/>
    <w:semiHidden/>
    <w:unhideWhenUsed/>
    <w:rsid w:val="00803A21"/>
    <w:rPr>
      <w:sz w:val="16"/>
      <w:szCs w:val="16"/>
    </w:rPr>
  </w:style>
  <w:style w:type="paragraph" w:styleId="CommentText">
    <w:name w:val="annotation text"/>
    <w:basedOn w:val="Normal"/>
    <w:link w:val="CommentTextChar"/>
    <w:uiPriority w:val="99"/>
    <w:semiHidden/>
    <w:unhideWhenUsed/>
    <w:rsid w:val="00803A21"/>
    <w:pPr>
      <w:spacing w:line="240" w:lineRule="auto"/>
    </w:pPr>
    <w:rPr>
      <w:sz w:val="20"/>
      <w:szCs w:val="20"/>
    </w:rPr>
  </w:style>
  <w:style w:type="character" w:customStyle="1" w:styleId="CommentTextChar">
    <w:name w:val="Comment Text Char"/>
    <w:basedOn w:val="DefaultParagraphFont"/>
    <w:link w:val="CommentText"/>
    <w:uiPriority w:val="99"/>
    <w:semiHidden/>
    <w:rsid w:val="00803A2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803A21"/>
    <w:rPr>
      <w:b/>
      <w:bCs/>
    </w:rPr>
  </w:style>
  <w:style w:type="character" w:customStyle="1" w:styleId="CommentSubjectChar">
    <w:name w:val="Comment Subject Char"/>
    <w:basedOn w:val="CommentTextChar"/>
    <w:link w:val="CommentSubject"/>
    <w:uiPriority w:val="99"/>
    <w:semiHidden/>
    <w:rsid w:val="00803A21"/>
    <w:rPr>
      <w:b/>
      <w:bCs/>
      <w:color w:val="44546A" w:themeColor="text2"/>
      <w:sz w:val="20"/>
      <w:szCs w:val="20"/>
      <w:lang w:val="en-GB"/>
    </w:rPr>
  </w:style>
  <w:style w:type="paragraph" w:styleId="FootnoteText">
    <w:name w:val="footnote text"/>
    <w:basedOn w:val="Normal"/>
    <w:link w:val="FootnoteTextChar"/>
    <w:uiPriority w:val="99"/>
    <w:semiHidden/>
    <w:unhideWhenUsed/>
    <w:rsid w:val="001522D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522DC"/>
    <w:rPr>
      <w:color w:val="44546A" w:themeColor="text2"/>
      <w:sz w:val="20"/>
      <w:szCs w:val="20"/>
      <w:lang w:val="en-GB"/>
    </w:rPr>
  </w:style>
  <w:style w:type="character" w:styleId="FootnoteReference">
    <w:name w:val="footnote reference"/>
    <w:basedOn w:val="DefaultParagraphFont"/>
    <w:uiPriority w:val="99"/>
    <w:semiHidden/>
    <w:unhideWhenUsed/>
    <w:rsid w:val="001522DC"/>
    <w:rPr>
      <w:vertAlign w:val="superscript"/>
    </w:rPr>
  </w:style>
  <w:style w:type="paragraph" w:styleId="Header">
    <w:name w:val="header"/>
    <w:basedOn w:val="Normal"/>
    <w:link w:val="HeaderChar"/>
    <w:uiPriority w:val="99"/>
    <w:unhideWhenUsed/>
    <w:rsid w:val="0052379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3790"/>
    <w:rPr>
      <w:color w:val="44546A" w:themeColor="text2"/>
      <w:lang w:val="en-GB"/>
    </w:rPr>
  </w:style>
  <w:style w:type="paragraph" w:styleId="Footer">
    <w:name w:val="footer"/>
    <w:basedOn w:val="Normal"/>
    <w:link w:val="FooterChar"/>
    <w:uiPriority w:val="99"/>
    <w:unhideWhenUsed/>
    <w:rsid w:val="0052379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3790"/>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796">
      <w:bodyDiv w:val="1"/>
      <w:marLeft w:val="0"/>
      <w:marRight w:val="0"/>
      <w:marTop w:val="0"/>
      <w:marBottom w:val="0"/>
      <w:divBdr>
        <w:top w:val="none" w:sz="0" w:space="0" w:color="auto"/>
        <w:left w:val="none" w:sz="0" w:space="0" w:color="auto"/>
        <w:bottom w:val="none" w:sz="0" w:space="0" w:color="auto"/>
        <w:right w:val="none" w:sz="0" w:space="0" w:color="auto"/>
      </w:divBdr>
    </w:div>
    <w:div w:id="449973657">
      <w:bodyDiv w:val="1"/>
      <w:marLeft w:val="0"/>
      <w:marRight w:val="0"/>
      <w:marTop w:val="0"/>
      <w:marBottom w:val="0"/>
      <w:divBdr>
        <w:top w:val="none" w:sz="0" w:space="0" w:color="auto"/>
        <w:left w:val="none" w:sz="0" w:space="0" w:color="auto"/>
        <w:bottom w:val="none" w:sz="0" w:space="0" w:color="auto"/>
        <w:right w:val="none" w:sz="0" w:space="0" w:color="auto"/>
      </w:divBdr>
    </w:div>
    <w:div w:id="1137644706">
      <w:bodyDiv w:val="1"/>
      <w:marLeft w:val="0"/>
      <w:marRight w:val="0"/>
      <w:marTop w:val="0"/>
      <w:marBottom w:val="0"/>
      <w:divBdr>
        <w:top w:val="none" w:sz="0" w:space="0" w:color="auto"/>
        <w:left w:val="none" w:sz="0" w:space="0" w:color="auto"/>
        <w:bottom w:val="none" w:sz="0" w:space="0" w:color="auto"/>
        <w:right w:val="none" w:sz="0" w:space="0" w:color="auto"/>
      </w:divBdr>
    </w:div>
    <w:div w:id="1747997134">
      <w:bodyDiv w:val="1"/>
      <w:marLeft w:val="0"/>
      <w:marRight w:val="0"/>
      <w:marTop w:val="0"/>
      <w:marBottom w:val="0"/>
      <w:divBdr>
        <w:top w:val="none" w:sz="0" w:space="0" w:color="auto"/>
        <w:left w:val="none" w:sz="0" w:space="0" w:color="auto"/>
        <w:bottom w:val="none" w:sz="0" w:space="0" w:color="auto"/>
        <w:right w:val="none" w:sz="0" w:space="0" w:color="auto"/>
      </w:divBdr>
    </w:div>
    <w:div w:id="20653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1610-E609-4652-87BF-0869AC7C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2020-03-30T03:57:00Z</dcterms:created>
  <dcterms:modified xsi:type="dcterms:W3CDTF">2020-03-30T03:57:00Z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23c3601e-c70c-45b2-ad4c-44c72008504c</vt:lpwstr>
  </property>
  <property fmtid="{D5CDD505-2E9C-101B-9397-08002B2CF9AE}" pid="3" name="SEC">
    <vt:lpwstr>UNCLASSIFIED</vt:lpwstr>
  </property>
  <property fmtid="{D5CDD505-2E9C-101B-9397-08002B2CF9AE}" pid="4" name="DLM">
    <vt:lpwstr>No DLM</vt:lpwstr>
  </property>
</Properties>
</file>