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DCD6A" w14:textId="77777777" w:rsidR="00E83529" w:rsidRDefault="00E83529" w:rsidP="00994BA8">
      <w:pPr>
        <w:jc w:val="center"/>
        <w:rPr>
          <w:b/>
          <w:bCs/>
          <w:sz w:val="36"/>
          <w:szCs w:val="36"/>
        </w:rPr>
      </w:pPr>
    </w:p>
    <w:p w14:paraId="25ECC872" w14:textId="77777777" w:rsidR="00E83529" w:rsidRDefault="00E83529" w:rsidP="00994BA8">
      <w:pPr>
        <w:jc w:val="center"/>
        <w:rPr>
          <w:b/>
          <w:bCs/>
          <w:sz w:val="36"/>
          <w:szCs w:val="36"/>
        </w:rPr>
      </w:pPr>
      <w:bookmarkStart w:id="0" w:name="_Ref180437116"/>
      <w:bookmarkEnd w:id="0"/>
    </w:p>
    <w:p w14:paraId="70380CA9" w14:textId="77777777" w:rsidR="00E83529" w:rsidRDefault="00E83529" w:rsidP="00994BA8">
      <w:pPr>
        <w:jc w:val="center"/>
        <w:rPr>
          <w:b/>
          <w:bCs/>
          <w:sz w:val="36"/>
          <w:szCs w:val="36"/>
        </w:rPr>
      </w:pPr>
    </w:p>
    <w:p w14:paraId="5B2DEBFA" w14:textId="77777777" w:rsidR="00E83529" w:rsidRDefault="00E83529" w:rsidP="00994BA8">
      <w:pPr>
        <w:jc w:val="center"/>
        <w:rPr>
          <w:b/>
          <w:bCs/>
          <w:sz w:val="36"/>
          <w:szCs w:val="36"/>
        </w:rPr>
      </w:pPr>
    </w:p>
    <w:p w14:paraId="033A18E3" w14:textId="77777777" w:rsidR="00E83529" w:rsidRDefault="00E83529" w:rsidP="00994BA8">
      <w:pPr>
        <w:jc w:val="center"/>
        <w:rPr>
          <w:b/>
          <w:bCs/>
          <w:sz w:val="36"/>
          <w:szCs w:val="36"/>
        </w:rPr>
      </w:pPr>
    </w:p>
    <w:p w14:paraId="142B3ED3" w14:textId="77777777" w:rsidR="00E83529" w:rsidRDefault="00E83529" w:rsidP="00994BA8">
      <w:pPr>
        <w:jc w:val="center"/>
        <w:rPr>
          <w:b/>
          <w:bCs/>
          <w:sz w:val="36"/>
          <w:szCs w:val="36"/>
        </w:rPr>
      </w:pPr>
    </w:p>
    <w:p w14:paraId="277AD966" w14:textId="77777777" w:rsidR="00E83529" w:rsidRDefault="00E83529" w:rsidP="00994BA8">
      <w:pPr>
        <w:jc w:val="center"/>
        <w:rPr>
          <w:b/>
          <w:bCs/>
          <w:sz w:val="36"/>
          <w:szCs w:val="36"/>
        </w:rPr>
      </w:pPr>
    </w:p>
    <w:p w14:paraId="30D3B8FC" w14:textId="77777777" w:rsidR="00E83529" w:rsidRDefault="00E83529" w:rsidP="00994BA8">
      <w:pPr>
        <w:jc w:val="center"/>
        <w:rPr>
          <w:b/>
          <w:bCs/>
          <w:sz w:val="36"/>
          <w:szCs w:val="36"/>
        </w:rPr>
      </w:pPr>
    </w:p>
    <w:p w14:paraId="7FD831FB" w14:textId="38457539" w:rsidR="00CC45FF" w:rsidRDefault="00994BA8" w:rsidP="00994BA8">
      <w:pPr>
        <w:jc w:val="center"/>
        <w:rPr>
          <w:b/>
          <w:bCs/>
          <w:sz w:val="36"/>
          <w:szCs w:val="36"/>
        </w:rPr>
      </w:pPr>
      <w:bookmarkStart w:id="1" w:name="_Ref180437597"/>
      <w:r w:rsidRPr="00C14321">
        <w:rPr>
          <w:b/>
          <w:bCs/>
          <w:sz w:val="36"/>
          <w:szCs w:val="36"/>
        </w:rPr>
        <w:t>Independent Progress Review</w:t>
      </w:r>
      <w:r w:rsidR="00353642">
        <w:rPr>
          <w:b/>
          <w:bCs/>
          <w:sz w:val="36"/>
          <w:szCs w:val="36"/>
        </w:rPr>
        <w:t xml:space="preserve"> – Strategic Overview</w:t>
      </w:r>
    </w:p>
    <w:p w14:paraId="02F6AB79" w14:textId="4EE455DD" w:rsidR="00994BA8" w:rsidRDefault="00994BA8" w:rsidP="00994BA8">
      <w:pPr>
        <w:jc w:val="center"/>
        <w:rPr>
          <w:b/>
          <w:bCs/>
          <w:sz w:val="36"/>
          <w:szCs w:val="36"/>
        </w:rPr>
      </w:pPr>
      <w:r w:rsidRPr="00C14321">
        <w:rPr>
          <w:b/>
          <w:bCs/>
          <w:sz w:val="36"/>
          <w:szCs w:val="36"/>
        </w:rPr>
        <w:t>Partnerships for Improving Education</w:t>
      </w:r>
      <w:r w:rsidR="00CC45FF">
        <w:rPr>
          <w:b/>
          <w:bCs/>
          <w:sz w:val="36"/>
          <w:szCs w:val="36"/>
        </w:rPr>
        <w:t xml:space="preserve"> (PIE)</w:t>
      </w:r>
    </w:p>
    <w:p w14:paraId="755FA349" w14:textId="77777777" w:rsidR="00A81880" w:rsidRDefault="00A81880" w:rsidP="00994BA8">
      <w:pPr>
        <w:jc w:val="center"/>
        <w:rPr>
          <w:b/>
          <w:bCs/>
          <w:sz w:val="40"/>
          <w:szCs w:val="40"/>
        </w:rPr>
      </w:pPr>
    </w:p>
    <w:p w14:paraId="68C95A94" w14:textId="2CD2A829" w:rsidR="00353642" w:rsidRPr="00A52A33" w:rsidRDefault="00B23162" w:rsidP="00994BA8">
      <w:pPr>
        <w:jc w:val="center"/>
        <w:rPr>
          <w:b/>
          <w:bCs/>
          <w:sz w:val="40"/>
          <w:szCs w:val="40"/>
        </w:rPr>
      </w:pPr>
      <w:r>
        <w:rPr>
          <w:b/>
          <w:bCs/>
          <w:sz w:val="40"/>
          <w:szCs w:val="40"/>
        </w:rPr>
        <w:t>Report to AHC Port Moresby</w:t>
      </w:r>
    </w:p>
    <w:p w14:paraId="07215F1C" w14:textId="16BAF8BC" w:rsidR="00DD6095" w:rsidRDefault="00DD6095">
      <w:pPr>
        <w:rPr>
          <w:b/>
          <w:bCs/>
          <w:sz w:val="22"/>
          <w:szCs w:val="22"/>
        </w:rPr>
      </w:pPr>
      <w:r>
        <w:rPr>
          <w:b/>
          <w:bCs/>
          <w:sz w:val="22"/>
          <w:szCs w:val="22"/>
        </w:rPr>
        <w:br w:type="page"/>
      </w:r>
    </w:p>
    <w:p w14:paraId="1DE500FE" w14:textId="77777777" w:rsidR="00994BA8" w:rsidRDefault="00994BA8">
      <w:pPr>
        <w:rPr>
          <w:b/>
          <w:bCs/>
          <w:sz w:val="22"/>
          <w:szCs w:val="22"/>
        </w:rPr>
      </w:pPr>
    </w:p>
    <w:sdt>
      <w:sdtPr>
        <w:rPr>
          <w:b/>
          <w:bCs/>
          <w:lang w:val="en-GB"/>
        </w:rPr>
        <w:id w:val="-59645338"/>
        <w:docPartObj>
          <w:docPartGallery w:val="Table of Contents"/>
          <w:docPartUnique/>
        </w:docPartObj>
      </w:sdtPr>
      <w:sdtEndPr>
        <w:rPr>
          <w:b w:val="0"/>
          <w:bCs w:val="0"/>
        </w:rPr>
      </w:sdtEndPr>
      <w:sdtContent>
        <w:p w14:paraId="792F282C" w14:textId="342EB095" w:rsidR="00DD6095" w:rsidRPr="0065260C" w:rsidRDefault="00DD6095" w:rsidP="0065260C">
          <w:pPr>
            <w:rPr>
              <w:b/>
              <w:bCs/>
            </w:rPr>
          </w:pPr>
          <w:r w:rsidRPr="0065260C">
            <w:rPr>
              <w:b/>
              <w:bCs/>
            </w:rPr>
            <w:t>Contents</w:t>
          </w:r>
        </w:p>
        <w:p w14:paraId="046B1A70" w14:textId="3337247A" w:rsidR="00B75AD3" w:rsidRDefault="00DD6095">
          <w:pPr>
            <w:pStyle w:val="TOC1"/>
            <w:tabs>
              <w:tab w:val="left" w:pos="480"/>
              <w:tab w:val="right" w:leader="dot" w:pos="9628"/>
            </w:tabs>
            <w:rPr>
              <w:rFonts w:eastAsiaTheme="minorEastAsia"/>
              <w:noProof/>
              <w:lang w:eastAsia="en-AU"/>
            </w:rPr>
          </w:pPr>
          <w:r>
            <w:fldChar w:fldCharType="begin"/>
          </w:r>
          <w:r>
            <w:instrText xml:space="preserve"> TOC \o "1-3" \h \z \u </w:instrText>
          </w:r>
          <w:r>
            <w:fldChar w:fldCharType="separate"/>
          </w:r>
          <w:hyperlink w:anchor="_Toc180756315" w:history="1">
            <w:r w:rsidR="00B75AD3" w:rsidRPr="00BE6E55">
              <w:rPr>
                <w:rStyle w:val="Hyperlink"/>
                <w:noProof/>
              </w:rPr>
              <w:t>1.</w:t>
            </w:r>
            <w:r w:rsidR="00B75AD3">
              <w:rPr>
                <w:rFonts w:eastAsiaTheme="minorEastAsia"/>
                <w:noProof/>
                <w:lang w:eastAsia="en-AU"/>
              </w:rPr>
              <w:tab/>
            </w:r>
            <w:r w:rsidR="00B75AD3" w:rsidRPr="00BE6E55">
              <w:rPr>
                <w:rStyle w:val="Hyperlink"/>
                <w:noProof/>
              </w:rPr>
              <w:t>Summary and recommendations</w:t>
            </w:r>
            <w:r w:rsidR="00B75AD3">
              <w:rPr>
                <w:noProof/>
                <w:webHidden/>
              </w:rPr>
              <w:tab/>
            </w:r>
            <w:r w:rsidR="00B75AD3">
              <w:rPr>
                <w:noProof/>
                <w:webHidden/>
              </w:rPr>
              <w:fldChar w:fldCharType="begin"/>
            </w:r>
            <w:r w:rsidR="00B75AD3">
              <w:rPr>
                <w:noProof/>
                <w:webHidden/>
              </w:rPr>
              <w:instrText xml:space="preserve"> PAGEREF _Toc180756315 \h </w:instrText>
            </w:r>
            <w:r w:rsidR="00B75AD3">
              <w:rPr>
                <w:noProof/>
                <w:webHidden/>
              </w:rPr>
            </w:r>
            <w:r w:rsidR="00B75AD3">
              <w:rPr>
                <w:noProof/>
                <w:webHidden/>
              </w:rPr>
              <w:fldChar w:fldCharType="separate"/>
            </w:r>
            <w:r w:rsidR="00EF5E31">
              <w:rPr>
                <w:noProof/>
                <w:webHidden/>
              </w:rPr>
              <w:t>3</w:t>
            </w:r>
            <w:r w:rsidR="00B75AD3">
              <w:rPr>
                <w:noProof/>
                <w:webHidden/>
              </w:rPr>
              <w:fldChar w:fldCharType="end"/>
            </w:r>
          </w:hyperlink>
        </w:p>
        <w:p w14:paraId="1BE1F0F0" w14:textId="5C0E5769" w:rsidR="00B75AD3" w:rsidRDefault="00B75AD3">
          <w:pPr>
            <w:pStyle w:val="TOC2"/>
            <w:tabs>
              <w:tab w:val="right" w:leader="dot" w:pos="9628"/>
            </w:tabs>
            <w:rPr>
              <w:rFonts w:eastAsiaTheme="minorEastAsia"/>
              <w:noProof/>
              <w:lang w:eastAsia="en-AU"/>
            </w:rPr>
          </w:pPr>
          <w:hyperlink w:anchor="_Toc180756316" w:history="1">
            <w:r w:rsidRPr="00BE6E55">
              <w:rPr>
                <w:rStyle w:val="Hyperlink"/>
                <w:noProof/>
              </w:rPr>
              <w:t>Key review question and observations</w:t>
            </w:r>
            <w:r>
              <w:rPr>
                <w:noProof/>
                <w:webHidden/>
              </w:rPr>
              <w:tab/>
            </w:r>
            <w:r>
              <w:rPr>
                <w:noProof/>
                <w:webHidden/>
              </w:rPr>
              <w:fldChar w:fldCharType="begin"/>
            </w:r>
            <w:r>
              <w:rPr>
                <w:noProof/>
                <w:webHidden/>
              </w:rPr>
              <w:instrText xml:space="preserve"> PAGEREF _Toc180756316 \h </w:instrText>
            </w:r>
            <w:r>
              <w:rPr>
                <w:noProof/>
                <w:webHidden/>
              </w:rPr>
            </w:r>
            <w:r>
              <w:rPr>
                <w:noProof/>
                <w:webHidden/>
              </w:rPr>
              <w:fldChar w:fldCharType="separate"/>
            </w:r>
            <w:r w:rsidR="00EF5E31">
              <w:rPr>
                <w:noProof/>
                <w:webHidden/>
              </w:rPr>
              <w:t>3</w:t>
            </w:r>
            <w:r>
              <w:rPr>
                <w:noProof/>
                <w:webHidden/>
              </w:rPr>
              <w:fldChar w:fldCharType="end"/>
            </w:r>
          </w:hyperlink>
        </w:p>
        <w:p w14:paraId="45E4EE25" w14:textId="7B356DF0" w:rsidR="00B75AD3" w:rsidRDefault="00B75AD3">
          <w:pPr>
            <w:pStyle w:val="TOC1"/>
            <w:tabs>
              <w:tab w:val="left" w:pos="480"/>
              <w:tab w:val="right" w:leader="dot" w:pos="9628"/>
            </w:tabs>
            <w:rPr>
              <w:rFonts w:eastAsiaTheme="minorEastAsia"/>
              <w:noProof/>
              <w:lang w:eastAsia="en-AU"/>
            </w:rPr>
          </w:pPr>
          <w:hyperlink w:anchor="_Toc180756317" w:history="1">
            <w:r w:rsidRPr="00BE6E55">
              <w:rPr>
                <w:rStyle w:val="Hyperlink"/>
                <w:noProof/>
              </w:rPr>
              <w:t>2.</w:t>
            </w:r>
            <w:r>
              <w:rPr>
                <w:rFonts w:eastAsiaTheme="minorEastAsia"/>
                <w:noProof/>
                <w:lang w:eastAsia="en-AU"/>
              </w:rPr>
              <w:tab/>
            </w:r>
            <w:r w:rsidRPr="00BE6E55">
              <w:rPr>
                <w:rStyle w:val="Hyperlink"/>
                <w:noProof/>
              </w:rPr>
              <w:t>Purpose</w:t>
            </w:r>
            <w:r>
              <w:rPr>
                <w:noProof/>
                <w:webHidden/>
              </w:rPr>
              <w:tab/>
            </w:r>
            <w:r>
              <w:rPr>
                <w:noProof/>
                <w:webHidden/>
              </w:rPr>
              <w:fldChar w:fldCharType="begin"/>
            </w:r>
            <w:r>
              <w:rPr>
                <w:noProof/>
                <w:webHidden/>
              </w:rPr>
              <w:instrText xml:space="preserve"> PAGEREF _Toc180756317 \h </w:instrText>
            </w:r>
            <w:r>
              <w:rPr>
                <w:noProof/>
                <w:webHidden/>
              </w:rPr>
            </w:r>
            <w:r>
              <w:rPr>
                <w:noProof/>
                <w:webHidden/>
              </w:rPr>
              <w:fldChar w:fldCharType="separate"/>
            </w:r>
            <w:r w:rsidR="00EF5E31">
              <w:rPr>
                <w:noProof/>
                <w:webHidden/>
              </w:rPr>
              <w:t>7</w:t>
            </w:r>
            <w:r>
              <w:rPr>
                <w:noProof/>
                <w:webHidden/>
              </w:rPr>
              <w:fldChar w:fldCharType="end"/>
            </w:r>
          </w:hyperlink>
        </w:p>
        <w:p w14:paraId="7A90DBCD" w14:textId="3FFB7518" w:rsidR="00B75AD3" w:rsidRDefault="00B75AD3">
          <w:pPr>
            <w:pStyle w:val="TOC1"/>
            <w:tabs>
              <w:tab w:val="left" w:pos="480"/>
              <w:tab w:val="right" w:leader="dot" w:pos="9628"/>
            </w:tabs>
            <w:rPr>
              <w:rFonts w:eastAsiaTheme="minorEastAsia"/>
              <w:noProof/>
              <w:lang w:eastAsia="en-AU"/>
            </w:rPr>
          </w:pPr>
          <w:hyperlink w:anchor="_Toc180756318" w:history="1">
            <w:r w:rsidRPr="00BE6E55">
              <w:rPr>
                <w:rStyle w:val="Hyperlink"/>
                <w:noProof/>
              </w:rPr>
              <w:t>3.</w:t>
            </w:r>
            <w:r>
              <w:rPr>
                <w:rFonts w:eastAsiaTheme="minorEastAsia"/>
                <w:noProof/>
                <w:lang w:eastAsia="en-AU"/>
              </w:rPr>
              <w:tab/>
            </w:r>
            <w:r w:rsidRPr="00BE6E55">
              <w:rPr>
                <w:rStyle w:val="Hyperlink"/>
                <w:noProof/>
              </w:rPr>
              <w:t>Review Process</w:t>
            </w:r>
            <w:r>
              <w:rPr>
                <w:noProof/>
                <w:webHidden/>
              </w:rPr>
              <w:tab/>
            </w:r>
            <w:r>
              <w:rPr>
                <w:noProof/>
                <w:webHidden/>
              </w:rPr>
              <w:fldChar w:fldCharType="begin"/>
            </w:r>
            <w:r>
              <w:rPr>
                <w:noProof/>
                <w:webHidden/>
              </w:rPr>
              <w:instrText xml:space="preserve"> PAGEREF _Toc180756318 \h </w:instrText>
            </w:r>
            <w:r>
              <w:rPr>
                <w:noProof/>
                <w:webHidden/>
              </w:rPr>
            </w:r>
            <w:r>
              <w:rPr>
                <w:noProof/>
                <w:webHidden/>
              </w:rPr>
              <w:fldChar w:fldCharType="separate"/>
            </w:r>
            <w:r w:rsidR="00EF5E31">
              <w:rPr>
                <w:noProof/>
                <w:webHidden/>
              </w:rPr>
              <w:t>7</w:t>
            </w:r>
            <w:r>
              <w:rPr>
                <w:noProof/>
                <w:webHidden/>
              </w:rPr>
              <w:fldChar w:fldCharType="end"/>
            </w:r>
          </w:hyperlink>
        </w:p>
        <w:p w14:paraId="224D49ED" w14:textId="0F83D35B" w:rsidR="00B75AD3" w:rsidRDefault="00B75AD3">
          <w:pPr>
            <w:pStyle w:val="TOC1"/>
            <w:tabs>
              <w:tab w:val="left" w:pos="480"/>
              <w:tab w:val="right" w:leader="dot" w:pos="9628"/>
            </w:tabs>
            <w:rPr>
              <w:rFonts w:eastAsiaTheme="minorEastAsia"/>
              <w:noProof/>
              <w:lang w:eastAsia="en-AU"/>
            </w:rPr>
          </w:pPr>
          <w:hyperlink w:anchor="_Toc180756319" w:history="1">
            <w:r w:rsidRPr="00BE6E55">
              <w:rPr>
                <w:rStyle w:val="Hyperlink"/>
                <w:noProof/>
              </w:rPr>
              <w:t>4.</w:t>
            </w:r>
            <w:r>
              <w:rPr>
                <w:rFonts w:eastAsiaTheme="minorEastAsia"/>
                <w:noProof/>
                <w:lang w:eastAsia="en-AU"/>
              </w:rPr>
              <w:tab/>
            </w:r>
            <w:r w:rsidRPr="00BE6E55">
              <w:rPr>
                <w:rStyle w:val="Hyperlink"/>
                <w:noProof/>
              </w:rPr>
              <w:t>Context</w:t>
            </w:r>
            <w:r>
              <w:rPr>
                <w:noProof/>
                <w:webHidden/>
              </w:rPr>
              <w:tab/>
            </w:r>
            <w:r>
              <w:rPr>
                <w:noProof/>
                <w:webHidden/>
              </w:rPr>
              <w:fldChar w:fldCharType="begin"/>
            </w:r>
            <w:r>
              <w:rPr>
                <w:noProof/>
                <w:webHidden/>
              </w:rPr>
              <w:instrText xml:space="preserve"> PAGEREF _Toc180756319 \h </w:instrText>
            </w:r>
            <w:r>
              <w:rPr>
                <w:noProof/>
                <w:webHidden/>
              </w:rPr>
            </w:r>
            <w:r>
              <w:rPr>
                <w:noProof/>
                <w:webHidden/>
              </w:rPr>
              <w:fldChar w:fldCharType="separate"/>
            </w:r>
            <w:r w:rsidR="00EF5E31">
              <w:rPr>
                <w:noProof/>
                <w:webHidden/>
              </w:rPr>
              <w:t>7</w:t>
            </w:r>
            <w:r>
              <w:rPr>
                <w:noProof/>
                <w:webHidden/>
              </w:rPr>
              <w:fldChar w:fldCharType="end"/>
            </w:r>
          </w:hyperlink>
        </w:p>
        <w:p w14:paraId="0A19C5B8" w14:textId="4AA4639B" w:rsidR="00B75AD3" w:rsidRDefault="00B75AD3">
          <w:pPr>
            <w:pStyle w:val="TOC2"/>
            <w:tabs>
              <w:tab w:val="right" w:leader="dot" w:pos="9628"/>
            </w:tabs>
            <w:rPr>
              <w:rFonts w:eastAsiaTheme="minorEastAsia"/>
              <w:noProof/>
              <w:lang w:eastAsia="en-AU"/>
            </w:rPr>
          </w:pPr>
          <w:hyperlink w:anchor="_Toc180756320" w:history="1">
            <w:r w:rsidRPr="00BE6E55">
              <w:rPr>
                <w:rStyle w:val="Hyperlink"/>
                <w:noProof/>
              </w:rPr>
              <w:t>From design to engagement</w:t>
            </w:r>
            <w:r>
              <w:rPr>
                <w:noProof/>
                <w:webHidden/>
              </w:rPr>
              <w:tab/>
            </w:r>
            <w:r>
              <w:rPr>
                <w:noProof/>
                <w:webHidden/>
              </w:rPr>
              <w:fldChar w:fldCharType="begin"/>
            </w:r>
            <w:r>
              <w:rPr>
                <w:noProof/>
                <w:webHidden/>
              </w:rPr>
              <w:instrText xml:space="preserve"> PAGEREF _Toc180756320 \h </w:instrText>
            </w:r>
            <w:r>
              <w:rPr>
                <w:noProof/>
                <w:webHidden/>
              </w:rPr>
            </w:r>
            <w:r>
              <w:rPr>
                <w:noProof/>
                <w:webHidden/>
              </w:rPr>
              <w:fldChar w:fldCharType="separate"/>
            </w:r>
            <w:r w:rsidR="00EF5E31">
              <w:rPr>
                <w:noProof/>
                <w:webHidden/>
              </w:rPr>
              <w:t>7</w:t>
            </w:r>
            <w:r>
              <w:rPr>
                <w:noProof/>
                <w:webHidden/>
              </w:rPr>
              <w:fldChar w:fldCharType="end"/>
            </w:r>
          </w:hyperlink>
        </w:p>
        <w:p w14:paraId="19C2D54D" w14:textId="270C6574" w:rsidR="00B75AD3" w:rsidRDefault="00B75AD3">
          <w:pPr>
            <w:pStyle w:val="TOC2"/>
            <w:tabs>
              <w:tab w:val="right" w:leader="dot" w:pos="9628"/>
            </w:tabs>
            <w:rPr>
              <w:rFonts w:eastAsiaTheme="minorEastAsia"/>
              <w:noProof/>
              <w:lang w:eastAsia="en-AU"/>
            </w:rPr>
          </w:pPr>
          <w:hyperlink w:anchor="_Toc180756321" w:history="1">
            <w:r w:rsidRPr="00BE6E55">
              <w:rPr>
                <w:rStyle w:val="Hyperlink"/>
                <w:noProof/>
              </w:rPr>
              <w:t>From inception to implementation</w:t>
            </w:r>
            <w:r>
              <w:rPr>
                <w:noProof/>
                <w:webHidden/>
              </w:rPr>
              <w:tab/>
            </w:r>
            <w:r>
              <w:rPr>
                <w:noProof/>
                <w:webHidden/>
              </w:rPr>
              <w:fldChar w:fldCharType="begin"/>
            </w:r>
            <w:r>
              <w:rPr>
                <w:noProof/>
                <w:webHidden/>
              </w:rPr>
              <w:instrText xml:space="preserve"> PAGEREF _Toc180756321 \h </w:instrText>
            </w:r>
            <w:r>
              <w:rPr>
                <w:noProof/>
                <w:webHidden/>
              </w:rPr>
            </w:r>
            <w:r>
              <w:rPr>
                <w:noProof/>
                <w:webHidden/>
              </w:rPr>
              <w:fldChar w:fldCharType="separate"/>
            </w:r>
            <w:r w:rsidR="00EF5E31">
              <w:rPr>
                <w:noProof/>
                <w:webHidden/>
              </w:rPr>
              <w:t>8</w:t>
            </w:r>
            <w:r>
              <w:rPr>
                <w:noProof/>
                <w:webHidden/>
              </w:rPr>
              <w:fldChar w:fldCharType="end"/>
            </w:r>
          </w:hyperlink>
        </w:p>
        <w:p w14:paraId="627D99F3" w14:textId="191FEEAE" w:rsidR="00B75AD3" w:rsidRDefault="00B75AD3">
          <w:pPr>
            <w:pStyle w:val="TOC2"/>
            <w:tabs>
              <w:tab w:val="right" w:leader="dot" w:pos="9628"/>
            </w:tabs>
            <w:rPr>
              <w:rFonts w:eastAsiaTheme="minorEastAsia"/>
              <w:noProof/>
              <w:lang w:eastAsia="en-AU"/>
            </w:rPr>
          </w:pPr>
          <w:hyperlink w:anchor="_Toc180756322" w:history="1">
            <w:r w:rsidRPr="00BE6E55">
              <w:rPr>
                <w:rStyle w:val="Hyperlink"/>
                <w:noProof/>
              </w:rPr>
              <w:t>Compromises made to planned program activities.</w:t>
            </w:r>
            <w:r>
              <w:rPr>
                <w:noProof/>
                <w:webHidden/>
              </w:rPr>
              <w:tab/>
            </w:r>
            <w:r>
              <w:rPr>
                <w:noProof/>
                <w:webHidden/>
              </w:rPr>
              <w:fldChar w:fldCharType="begin"/>
            </w:r>
            <w:r>
              <w:rPr>
                <w:noProof/>
                <w:webHidden/>
              </w:rPr>
              <w:instrText xml:space="preserve"> PAGEREF _Toc180756322 \h </w:instrText>
            </w:r>
            <w:r>
              <w:rPr>
                <w:noProof/>
                <w:webHidden/>
              </w:rPr>
            </w:r>
            <w:r>
              <w:rPr>
                <w:noProof/>
                <w:webHidden/>
              </w:rPr>
              <w:fldChar w:fldCharType="separate"/>
            </w:r>
            <w:r w:rsidR="00EF5E31">
              <w:rPr>
                <w:noProof/>
                <w:webHidden/>
              </w:rPr>
              <w:t>10</w:t>
            </w:r>
            <w:r>
              <w:rPr>
                <w:noProof/>
                <w:webHidden/>
              </w:rPr>
              <w:fldChar w:fldCharType="end"/>
            </w:r>
          </w:hyperlink>
        </w:p>
        <w:p w14:paraId="0787FB36" w14:textId="1CB02C57" w:rsidR="00B75AD3" w:rsidRDefault="00B75AD3">
          <w:pPr>
            <w:pStyle w:val="TOC1"/>
            <w:tabs>
              <w:tab w:val="left" w:pos="480"/>
              <w:tab w:val="right" w:leader="dot" w:pos="9628"/>
            </w:tabs>
            <w:rPr>
              <w:rFonts w:eastAsiaTheme="minorEastAsia"/>
              <w:noProof/>
              <w:lang w:eastAsia="en-AU"/>
            </w:rPr>
          </w:pPr>
          <w:hyperlink w:anchor="_Toc180756323" w:history="1">
            <w:r w:rsidRPr="00BE6E55">
              <w:rPr>
                <w:rStyle w:val="Hyperlink"/>
                <w:noProof/>
              </w:rPr>
              <w:t>5.</w:t>
            </w:r>
            <w:r>
              <w:rPr>
                <w:rFonts w:eastAsiaTheme="minorEastAsia"/>
                <w:noProof/>
                <w:lang w:eastAsia="en-AU"/>
              </w:rPr>
              <w:tab/>
            </w:r>
            <w:r w:rsidRPr="00BE6E55">
              <w:rPr>
                <w:rStyle w:val="Hyperlink"/>
                <w:noProof/>
              </w:rPr>
              <w:t>PIE at the 18</w:t>
            </w:r>
            <w:r w:rsidRPr="00BE6E55">
              <w:rPr>
                <w:rStyle w:val="Hyperlink"/>
                <w:noProof/>
                <w:vertAlign w:val="superscript"/>
              </w:rPr>
              <w:t>th</w:t>
            </w:r>
            <w:r w:rsidRPr="00BE6E55">
              <w:rPr>
                <w:rStyle w:val="Hyperlink"/>
                <w:noProof/>
              </w:rPr>
              <w:t xml:space="preserve"> month of implementation</w:t>
            </w:r>
            <w:r>
              <w:rPr>
                <w:noProof/>
                <w:webHidden/>
              </w:rPr>
              <w:tab/>
            </w:r>
            <w:r>
              <w:rPr>
                <w:noProof/>
                <w:webHidden/>
              </w:rPr>
              <w:fldChar w:fldCharType="begin"/>
            </w:r>
            <w:r>
              <w:rPr>
                <w:noProof/>
                <w:webHidden/>
              </w:rPr>
              <w:instrText xml:space="preserve"> PAGEREF _Toc180756323 \h </w:instrText>
            </w:r>
            <w:r>
              <w:rPr>
                <w:noProof/>
                <w:webHidden/>
              </w:rPr>
            </w:r>
            <w:r>
              <w:rPr>
                <w:noProof/>
                <w:webHidden/>
              </w:rPr>
              <w:fldChar w:fldCharType="separate"/>
            </w:r>
            <w:r w:rsidR="00EF5E31">
              <w:rPr>
                <w:noProof/>
                <w:webHidden/>
              </w:rPr>
              <w:t>11</w:t>
            </w:r>
            <w:r>
              <w:rPr>
                <w:noProof/>
                <w:webHidden/>
              </w:rPr>
              <w:fldChar w:fldCharType="end"/>
            </w:r>
          </w:hyperlink>
        </w:p>
        <w:p w14:paraId="06BD0ABB" w14:textId="30A2282A" w:rsidR="00B75AD3" w:rsidRDefault="00B75AD3">
          <w:pPr>
            <w:pStyle w:val="TOC2"/>
            <w:tabs>
              <w:tab w:val="right" w:leader="dot" w:pos="9628"/>
            </w:tabs>
            <w:rPr>
              <w:rFonts w:eastAsiaTheme="minorEastAsia"/>
              <w:noProof/>
              <w:lang w:eastAsia="en-AU"/>
            </w:rPr>
          </w:pPr>
          <w:hyperlink w:anchor="_Toc180756324" w:history="1">
            <w:r w:rsidRPr="00BE6E55">
              <w:rPr>
                <w:rStyle w:val="Hyperlink"/>
                <w:noProof/>
              </w:rPr>
              <w:t>Program progress</w:t>
            </w:r>
            <w:r>
              <w:rPr>
                <w:noProof/>
                <w:webHidden/>
              </w:rPr>
              <w:tab/>
            </w:r>
            <w:r>
              <w:rPr>
                <w:noProof/>
                <w:webHidden/>
              </w:rPr>
              <w:fldChar w:fldCharType="begin"/>
            </w:r>
            <w:r>
              <w:rPr>
                <w:noProof/>
                <w:webHidden/>
              </w:rPr>
              <w:instrText xml:space="preserve"> PAGEREF _Toc180756324 \h </w:instrText>
            </w:r>
            <w:r>
              <w:rPr>
                <w:noProof/>
                <w:webHidden/>
              </w:rPr>
            </w:r>
            <w:r>
              <w:rPr>
                <w:noProof/>
                <w:webHidden/>
              </w:rPr>
              <w:fldChar w:fldCharType="separate"/>
            </w:r>
            <w:r w:rsidR="00EF5E31">
              <w:rPr>
                <w:noProof/>
                <w:webHidden/>
              </w:rPr>
              <w:t>11</w:t>
            </w:r>
            <w:r>
              <w:rPr>
                <w:noProof/>
                <w:webHidden/>
              </w:rPr>
              <w:fldChar w:fldCharType="end"/>
            </w:r>
          </w:hyperlink>
        </w:p>
        <w:p w14:paraId="1D515FAF" w14:textId="04C74781" w:rsidR="00B75AD3" w:rsidRDefault="00B75AD3">
          <w:pPr>
            <w:pStyle w:val="TOC2"/>
            <w:tabs>
              <w:tab w:val="right" w:leader="dot" w:pos="9628"/>
            </w:tabs>
            <w:rPr>
              <w:rFonts w:eastAsiaTheme="minorEastAsia"/>
              <w:noProof/>
              <w:lang w:eastAsia="en-AU"/>
            </w:rPr>
          </w:pPr>
          <w:hyperlink w:anchor="_Toc180756325" w:history="1">
            <w:r w:rsidRPr="00BE6E55">
              <w:rPr>
                <w:rStyle w:val="Hyperlink"/>
                <w:noProof/>
              </w:rPr>
              <w:t>Current state challenges</w:t>
            </w:r>
            <w:r>
              <w:rPr>
                <w:noProof/>
                <w:webHidden/>
              </w:rPr>
              <w:tab/>
            </w:r>
            <w:r>
              <w:rPr>
                <w:noProof/>
                <w:webHidden/>
              </w:rPr>
              <w:fldChar w:fldCharType="begin"/>
            </w:r>
            <w:r>
              <w:rPr>
                <w:noProof/>
                <w:webHidden/>
              </w:rPr>
              <w:instrText xml:space="preserve"> PAGEREF _Toc180756325 \h </w:instrText>
            </w:r>
            <w:r>
              <w:rPr>
                <w:noProof/>
                <w:webHidden/>
              </w:rPr>
            </w:r>
            <w:r>
              <w:rPr>
                <w:noProof/>
                <w:webHidden/>
              </w:rPr>
              <w:fldChar w:fldCharType="separate"/>
            </w:r>
            <w:r w:rsidR="00EF5E31">
              <w:rPr>
                <w:noProof/>
                <w:webHidden/>
              </w:rPr>
              <w:t>13</w:t>
            </w:r>
            <w:r>
              <w:rPr>
                <w:noProof/>
                <w:webHidden/>
              </w:rPr>
              <w:fldChar w:fldCharType="end"/>
            </w:r>
          </w:hyperlink>
        </w:p>
        <w:p w14:paraId="55D07572" w14:textId="0E0E1675" w:rsidR="00B75AD3" w:rsidRDefault="00B75AD3">
          <w:pPr>
            <w:pStyle w:val="TOC1"/>
            <w:tabs>
              <w:tab w:val="left" w:pos="480"/>
              <w:tab w:val="right" w:leader="dot" w:pos="9628"/>
            </w:tabs>
            <w:rPr>
              <w:rFonts w:eastAsiaTheme="minorEastAsia"/>
              <w:noProof/>
              <w:lang w:eastAsia="en-AU"/>
            </w:rPr>
          </w:pPr>
          <w:hyperlink w:anchor="_Toc180756326" w:history="1">
            <w:r w:rsidRPr="00BE6E55">
              <w:rPr>
                <w:rStyle w:val="Hyperlink"/>
                <w:noProof/>
              </w:rPr>
              <w:t>6.</w:t>
            </w:r>
            <w:r>
              <w:rPr>
                <w:rFonts w:eastAsiaTheme="minorEastAsia"/>
                <w:noProof/>
                <w:lang w:eastAsia="en-AU"/>
              </w:rPr>
              <w:tab/>
            </w:r>
            <w:r w:rsidRPr="00BE6E55">
              <w:rPr>
                <w:rStyle w:val="Hyperlink"/>
                <w:noProof/>
              </w:rPr>
              <w:t>Key review questions</w:t>
            </w:r>
            <w:r>
              <w:rPr>
                <w:noProof/>
                <w:webHidden/>
              </w:rPr>
              <w:tab/>
            </w:r>
            <w:r>
              <w:rPr>
                <w:noProof/>
                <w:webHidden/>
              </w:rPr>
              <w:fldChar w:fldCharType="begin"/>
            </w:r>
            <w:r>
              <w:rPr>
                <w:noProof/>
                <w:webHidden/>
              </w:rPr>
              <w:instrText xml:space="preserve"> PAGEREF _Toc180756326 \h </w:instrText>
            </w:r>
            <w:r>
              <w:rPr>
                <w:noProof/>
                <w:webHidden/>
              </w:rPr>
            </w:r>
            <w:r>
              <w:rPr>
                <w:noProof/>
                <w:webHidden/>
              </w:rPr>
              <w:fldChar w:fldCharType="separate"/>
            </w:r>
            <w:r w:rsidR="00EF5E31">
              <w:rPr>
                <w:noProof/>
                <w:webHidden/>
              </w:rPr>
              <w:t>14</w:t>
            </w:r>
            <w:r>
              <w:rPr>
                <w:noProof/>
                <w:webHidden/>
              </w:rPr>
              <w:fldChar w:fldCharType="end"/>
            </w:r>
          </w:hyperlink>
        </w:p>
        <w:p w14:paraId="39366B15" w14:textId="49CD3469" w:rsidR="00B75AD3" w:rsidRDefault="00B75AD3">
          <w:pPr>
            <w:pStyle w:val="TOC2"/>
            <w:tabs>
              <w:tab w:val="right" w:leader="dot" w:pos="9628"/>
            </w:tabs>
            <w:rPr>
              <w:rFonts w:eastAsiaTheme="minorEastAsia"/>
              <w:noProof/>
              <w:lang w:eastAsia="en-AU"/>
            </w:rPr>
          </w:pPr>
          <w:hyperlink w:anchor="_Toc180756327" w:history="1">
            <w:r w:rsidRPr="00BE6E55">
              <w:rPr>
                <w:rStyle w:val="Hyperlink"/>
                <w:noProof/>
              </w:rPr>
              <w:t>KRQ1 – Relevance</w:t>
            </w:r>
            <w:r>
              <w:rPr>
                <w:noProof/>
                <w:webHidden/>
              </w:rPr>
              <w:tab/>
            </w:r>
            <w:r>
              <w:rPr>
                <w:noProof/>
                <w:webHidden/>
              </w:rPr>
              <w:fldChar w:fldCharType="begin"/>
            </w:r>
            <w:r>
              <w:rPr>
                <w:noProof/>
                <w:webHidden/>
              </w:rPr>
              <w:instrText xml:space="preserve"> PAGEREF _Toc180756327 \h </w:instrText>
            </w:r>
            <w:r>
              <w:rPr>
                <w:noProof/>
                <w:webHidden/>
              </w:rPr>
            </w:r>
            <w:r>
              <w:rPr>
                <w:noProof/>
                <w:webHidden/>
              </w:rPr>
              <w:fldChar w:fldCharType="separate"/>
            </w:r>
            <w:r w:rsidR="00EF5E31">
              <w:rPr>
                <w:noProof/>
                <w:webHidden/>
              </w:rPr>
              <w:t>14</w:t>
            </w:r>
            <w:r>
              <w:rPr>
                <w:noProof/>
                <w:webHidden/>
              </w:rPr>
              <w:fldChar w:fldCharType="end"/>
            </w:r>
          </w:hyperlink>
        </w:p>
        <w:p w14:paraId="77B6E835" w14:textId="6EB35B8C" w:rsidR="00B75AD3" w:rsidRDefault="00B75AD3">
          <w:pPr>
            <w:pStyle w:val="TOC2"/>
            <w:tabs>
              <w:tab w:val="right" w:leader="dot" w:pos="9628"/>
            </w:tabs>
            <w:rPr>
              <w:rFonts w:eastAsiaTheme="minorEastAsia"/>
              <w:noProof/>
              <w:lang w:eastAsia="en-AU"/>
            </w:rPr>
          </w:pPr>
          <w:hyperlink w:anchor="_Toc180756328" w:history="1">
            <w:r w:rsidRPr="00BE6E55">
              <w:rPr>
                <w:rStyle w:val="Hyperlink"/>
                <w:noProof/>
              </w:rPr>
              <w:t>KRQ 2 – Effectiveness</w:t>
            </w:r>
            <w:r>
              <w:rPr>
                <w:noProof/>
                <w:webHidden/>
              </w:rPr>
              <w:tab/>
            </w:r>
            <w:r>
              <w:rPr>
                <w:noProof/>
                <w:webHidden/>
              </w:rPr>
              <w:fldChar w:fldCharType="begin"/>
            </w:r>
            <w:r>
              <w:rPr>
                <w:noProof/>
                <w:webHidden/>
              </w:rPr>
              <w:instrText xml:space="preserve"> PAGEREF _Toc180756328 \h </w:instrText>
            </w:r>
            <w:r>
              <w:rPr>
                <w:noProof/>
                <w:webHidden/>
              </w:rPr>
            </w:r>
            <w:r>
              <w:rPr>
                <w:noProof/>
                <w:webHidden/>
              </w:rPr>
              <w:fldChar w:fldCharType="separate"/>
            </w:r>
            <w:r w:rsidR="00EF5E31">
              <w:rPr>
                <w:noProof/>
                <w:webHidden/>
              </w:rPr>
              <w:t>16</w:t>
            </w:r>
            <w:r>
              <w:rPr>
                <w:noProof/>
                <w:webHidden/>
              </w:rPr>
              <w:fldChar w:fldCharType="end"/>
            </w:r>
          </w:hyperlink>
        </w:p>
        <w:p w14:paraId="3EF72274" w14:textId="381E826D" w:rsidR="00B75AD3" w:rsidRDefault="00B75AD3">
          <w:pPr>
            <w:pStyle w:val="TOC2"/>
            <w:tabs>
              <w:tab w:val="right" w:leader="dot" w:pos="9628"/>
            </w:tabs>
            <w:rPr>
              <w:rFonts w:eastAsiaTheme="minorEastAsia"/>
              <w:noProof/>
              <w:lang w:eastAsia="en-AU"/>
            </w:rPr>
          </w:pPr>
          <w:hyperlink w:anchor="_Toc180756329" w:history="1">
            <w:r w:rsidRPr="00BE6E55">
              <w:rPr>
                <w:rStyle w:val="Hyperlink"/>
                <w:noProof/>
              </w:rPr>
              <w:t>KRQ 3 – Efficiency</w:t>
            </w:r>
            <w:r>
              <w:rPr>
                <w:noProof/>
                <w:webHidden/>
              </w:rPr>
              <w:tab/>
            </w:r>
            <w:r>
              <w:rPr>
                <w:noProof/>
                <w:webHidden/>
              </w:rPr>
              <w:fldChar w:fldCharType="begin"/>
            </w:r>
            <w:r>
              <w:rPr>
                <w:noProof/>
                <w:webHidden/>
              </w:rPr>
              <w:instrText xml:space="preserve"> PAGEREF _Toc180756329 \h </w:instrText>
            </w:r>
            <w:r>
              <w:rPr>
                <w:noProof/>
                <w:webHidden/>
              </w:rPr>
            </w:r>
            <w:r>
              <w:rPr>
                <w:noProof/>
                <w:webHidden/>
              </w:rPr>
              <w:fldChar w:fldCharType="separate"/>
            </w:r>
            <w:r w:rsidR="00EF5E31">
              <w:rPr>
                <w:noProof/>
                <w:webHidden/>
              </w:rPr>
              <w:t>18</w:t>
            </w:r>
            <w:r>
              <w:rPr>
                <w:noProof/>
                <w:webHidden/>
              </w:rPr>
              <w:fldChar w:fldCharType="end"/>
            </w:r>
          </w:hyperlink>
        </w:p>
        <w:p w14:paraId="29F196E1" w14:textId="5E4C3799" w:rsidR="00B75AD3" w:rsidRDefault="00B75AD3">
          <w:pPr>
            <w:pStyle w:val="TOC2"/>
            <w:tabs>
              <w:tab w:val="right" w:leader="dot" w:pos="9628"/>
            </w:tabs>
            <w:rPr>
              <w:rFonts w:eastAsiaTheme="minorEastAsia"/>
              <w:noProof/>
              <w:lang w:eastAsia="en-AU"/>
            </w:rPr>
          </w:pPr>
          <w:hyperlink w:anchor="_Toc180756330" w:history="1">
            <w:r w:rsidRPr="00BE6E55">
              <w:rPr>
                <w:rStyle w:val="Hyperlink"/>
                <w:noProof/>
              </w:rPr>
              <w:t>KRQ 4 – Sustainability</w:t>
            </w:r>
            <w:r>
              <w:rPr>
                <w:noProof/>
                <w:webHidden/>
              </w:rPr>
              <w:tab/>
            </w:r>
            <w:r>
              <w:rPr>
                <w:noProof/>
                <w:webHidden/>
              </w:rPr>
              <w:fldChar w:fldCharType="begin"/>
            </w:r>
            <w:r>
              <w:rPr>
                <w:noProof/>
                <w:webHidden/>
              </w:rPr>
              <w:instrText xml:space="preserve"> PAGEREF _Toc180756330 \h </w:instrText>
            </w:r>
            <w:r>
              <w:rPr>
                <w:noProof/>
                <w:webHidden/>
              </w:rPr>
            </w:r>
            <w:r>
              <w:rPr>
                <w:noProof/>
                <w:webHidden/>
              </w:rPr>
              <w:fldChar w:fldCharType="separate"/>
            </w:r>
            <w:r w:rsidR="00EF5E31">
              <w:rPr>
                <w:noProof/>
                <w:webHidden/>
              </w:rPr>
              <w:t>20</w:t>
            </w:r>
            <w:r>
              <w:rPr>
                <w:noProof/>
                <w:webHidden/>
              </w:rPr>
              <w:fldChar w:fldCharType="end"/>
            </w:r>
          </w:hyperlink>
        </w:p>
        <w:p w14:paraId="34360E4E" w14:textId="213796F5" w:rsidR="00B75AD3" w:rsidRDefault="00B75AD3">
          <w:pPr>
            <w:pStyle w:val="TOC2"/>
            <w:tabs>
              <w:tab w:val="right" w:leader="dot" w:pos="9628"/>
            </w:tabs>
            <w:rPr>
              <w:rFonts w:eastAsiaTheme="minorEastAsia"/>
              <w:noProof/>
              <w:lang w:eastAsia="en-AU"/>
            </w:rPr>
          </w:pPr>
          <w:hyperlink w:anchor="_Toc180756331" w:history="1">
            <w:r w:rsidRPr="00BE6E55">
              <w:rPr>
                <w:rStyle w:val="Hyperlink"/>
                <w:noProof/>
              </w:rPr>
              <w:t>KRQ 5 – Monitoring and Evaluation</w:t>
            </w:r>
            <w:r>
              <w:rPr>
                <w:noProof/>
                <w:webHidden/>
              </w:rPr>
              <w:tab/>
            </w:r>
            <w:r>
              <w:rPr>
                <w:noProof/>
                <w:webHidden/>
              </w:rPr>
              <w:fldChar w:fldCharType="begin"/>
            </w:r>
            <w:r>
              <w:rPr>
                <w:noProof/>
                <w:webHidden/>
              </w:rPr>
              <w:instrText xml:space="preserve"> PAGEREF _Toc180756331 \h </w:instrText>
            </w:r>
            <w:r>
              <w:rPr>
                <w:noProof/>
                <w:webHidden/>
              </w:rPr>
            </w:r>
            <w:r>
              <w:rPr>
                <w:noProof/>
                <w:webHidden/>
              </w:rPr>
              <w:fldChar w:fldCharType="separate"/>
            </w:r>
            <w:r w:rsidR="00EF5E31">
              <w:rPr>
                <w:noProof/>
                <w:webHidden/>
              </w:rPr>
              <w:t>22</w:t>
            </w:r>
            <w:r>
              <w:rPr>
                <w:noProof/>
                <w:webHidden/>
              </w:rPr>
              <w:fldChar w:fldCharType="end"/>
            </w:r>
          </w:hyperlink>
        </w:p>
        <w:p w14:paraId="18CF94A4" w14:textId="5AE98014" w:rsidR="00B75AD3" w:rsidRDefault="00B75AD3">
          <w:pPr>
            <w:pStyle w:val="TOC1"/>
            <w:tabs>
              <w:tab w:val="left" w:pos="480"/>
              <w:tab w:val="right" w:leader="dot" w:pos="9628"/>
            </w:tabs>
            <w:rPr>
              <w:rFonts w:eastAsiaTheme="minorEastAsia"/>
              <w:noProof/>
              <w:lang w:eastAsia="en-AU"/>
            </w:rPr>
          </w:pPr>
          <w:hyperlink w:anchor="_Toc180756332" w:history="1">
            <w:r w:rsidRPr="00BE6E55">
              <w:rPr>
                <w:rStyle w:val="Hyperlink"/>
                <w:noProof/>
              </w:rPr>
              <w:t>7.</w:t>
            </w:r>
            <w:r>
              <w:rPr>
                <w:rFonts w:eastAsiaTheme="minorEastAsia"/>
                <w:noProof/>
                <w:lang w:eastAsia="en-AU"/>
              </w:rPr>
              <w:tab/>
            </w:r>
            <w:r w:rsidRPr="00BE6E55">
              <w:rPr>
                <w:rStyle w:val="Hyperlink"/>
                <w:noProof/>
              </w:rPr>
              <w:t>Discussion on next steps</w:t>
            </w:r>
            <w:r>
              <w:rPr>
                <w:noProof/>
                <w:webHidden/>
              </w:rPr>
              <w:tab/>
            </w:r>
            <w:r>
              <w:rPr>
                <w:noProof/>
                <w:webHidden/>
              </w:rPr>
              <w:fldChar w:fldCharType="begin"/>
            </w:r>
            <w:r>
              <w:rPr>
                <w:noProof/>
                <w:webHidden/>
              </w:rPr>
              <w:instrText xml:space="preserve"> PAGEREF _Toc180756332 \h </w:instrText>
            </w:r>
            <w:r>
              <w:rPr>
                <w:noProof/>
                <w:webHidden/>
              </w:rPr>
            </w:r>
            <w:r>
              <w:rPr>
                <w:noProof/>
                <w:webHidden/>
              </w:rPr>
              <w:fldChar w:fldCharType="separate"/>
            </w:r>
            <w:r w:rsidR="00EF5E31">
              <w:rPr>
                <w:noProof/>
                <w:webHidden/>
              </w:rPr>
              <w:t>23</w:t>
            </w:r>
            <w:r>
              <w:rPr>
                <w:noProof/>
                <w:webHidden/>
              </w:rPr>
              <w:fldChar w:fldCharType="end"/>
            </w:r>
          </w:hyperlink>
        </w:p>
        <w:p w14:paraId="6E8603EF" w14:textId="0F8AAAB9" w:rsidR="00B75AD3" w:rsidRDefault="00B75AD3">
          <w:pPr>
            <w:pStyle w:val="TOC1"/>
            <w:tabs>
              <w:tab w:val="left" w:pos="480"/>
              <w:tab w:val="right" w:leader="dot" w:pos="9628"/>
            </w:tabs>
            <w:rPr>
              <w:rFonts w:eastAsiaTheme="minorEastAsia"/>
              <w:noProof/>
              <w:lang w:eastAsia="en-AU"/>
            </w:rPr>
          </w:pPr>
          <w:hyperlink w:anchor="_Toc180756333" w:history="1">
            <w:r w:rsidRPr="00BE6E55">
              <w:rPr>
                <w:rStyle w:val="Hyperlink"/>
                <w:noProof/>
              </w:rPr>
              <w:t>8.</w:t>
            </w:r>
            <w:r>
              <w:rPr>
                <w:rFonts w:eastAsiaTheme="minorEastAsia"/>
                <w:noProof/>
                <w:lang w:eastAsia="en-AU"/>
              </w:rPr>
              <w:tab/>
            </w:r>
            <w:r w:rsidRPr="00BE6E55">
              <w:rPr>
                <w:rStyle w:val="Hyperlink"/>
                <w:noProof/>
              </w:rPr>
              <w:t>Recommendations</w:t>
            </w:r>
            <w:r>
              <w:rPr>
                <w:noProof/>
                <w:webHidden/>
              </w:rPr>
              <w:tab/>
            </w:r>
            <w:r>
              <w:rPr>
                <w:noProof/>
                <w:webHidden/>
              </w:rPr>
              <w:fldChar w:fldCharType="begin"/>
            </w:r>
            <w:r>
              <w:rPr>
                <w:noProof/>
                <w:webHidden/>
              </w:rPr>
              <w:instrText xml:space="preserve"> PAGEREF _Toc180756333 \h </w:instrText>
            </w:r>
            <w:r>
              <w:rPr>
                <w:noProof/>
                <w:webHidden/>
              </w:rPr>
            </w:r>
            <w:r>
              <w:rPr>
                <w:noProof/>
                <w:webHidden/>
              </w:rPr>
              <w:fldChar w:fldCharType="separate"/>
            </w:r>
            <w:r w:rsidR="00EF5E31">
              <w:rPr>
                <w:noProof/>
                <w:webHidden/>
              </w:rPr>
              <w:t>28</w:t>
            </w:r>
            <w:r>
              <w:rPr>
                <w:noProof/>
                <w:webHidden/>
              </w:rPr>
              <w:fldChar w:fldCharType="end"/>
            </w:r>
          </w:hyperlink>
        </w:p>
        <w:p w14:paraId="2651D60C" w14:textId="655EDD4B" w:rsidR="00B75AD3" w:rsidRDefault="00B75AD3">
          <w:pPr>
            <w:pStyle w:val="TOC1"/>
            <w:tabs>
              <w:tab w:val="left" w:pos="480"/>
              <w:tab w:val="right" w:leader="dot" w:pos="9628"/>
            </w:tabs>
            <w:rPr>
              <w:rFonts w:eastAsiaTheme="minorEastAsia"/>
              <w:noProof/>
              <w:lang w:eastAsia="en-AU"/>
            </w:rPr>
          </w:pPr>
          <w:hyperlink w:anchor="_Toc180756334" w:history="1">
            <w:r w:rsidRPr="00BE6E55">
              <w:rPr>
                <w:rStyle w:val="Hyperlink"/>
                <w:noProof/>
              </w:rPr>
              <w:t>9.</w:t>
            </w:r>
            <w:r>
              <w:rPr>
                <w:rFonts w:eastAsiaTheme="minorEastAsia"/>
                <w:noProof/>
                <w:lang w:eastAsia="en-AU"/>
              </w:rPr>
              <w:tab/>
            </w:r>
            <w:r w:rsidRPr="00BE6E55">
              <w:rPr>
                <w:rStyle w:val="Hyperlink"/>
                <w:noProof/>
              </w:rPr>
              <w:t>Annex</w:t>
            </w:r>
            <w:r>
              <w:rPr>
                <w:noProof/>
                <w:webHidden/>
              </w:rPr>
              <w:tab/>
            </w:r>
            <w:r>
              <w:rPr>
                <w:noProof/>
                <w:webHidden/>
              </w:rPr>
              <w:fldChar w:fldCharType="begin"/>
            </w:r>
            <w:r>
              <w:rPr>
                <w:noProof/>
                <w:webHidden/>
              </w:rPr>
              <w:instrText xml:space="preserve"> PAGEREF _Toc180756334 \h </w:instrText>
            </w:r>
            <w:r>
              <w:rPr>
                <w:noProof/>
                <w:webHidden/>
              </w:rPr>
            </w:r>
            <w:r>
              <w:rPr>
                <w:noProof/>
                <w:webHidden/>
              </w:rPr>
              <w:fldChar w:fldCharType="separate"/>
            </w:r>
            <w:r w:rsidR="00EF5E31">
              <w:rPr>
                <w:noProof/>
                <w:webHidden/>
              </w:rPr>
              <w:t>29</w:t>
            </w:r>
            <w:r>
              <w:rPr>
                <w:noProof/>
                <w:webHidden/>
              </w:rPr>
              <w:fldChar w:fldCharType="end"/>
            </w:r>
          </w:hyperlink>
        </w:p>
        <w:p w14:paraId="2C8D4554" w14:textId="0A96F564" w:rsidR="00B75AD3" w:rsidRDefault="00B75AD3">
          <w:pPr>
            <w:pStyle w:val="TOC2"/>
            <w:tabs>
              <w:tab w:val="right" w:leader="dot" w:pos="9628"/>
            </w:tabs>
            <w:rPr>
              <w:rFonts w:eastAsiaTheme="minorEastAsia"/>
              <w:noProof/>
              <w:lang w:eastAsia="en-AU"/>
            </w:rPr>
          </w:pPr>
          <w:hyperlink w:anchor="_Toc180756335" w:history="1">
            <w:r w:rsidRPr="00BE6E55">
              <w:rPr>
                <w:rStyle w:val="Hyperlink"/>
                <w:noProof/>
              </w:rPr>
              <w:t>Documents read prior to in-country visit</w:t>
            </w:r>
            <w:r>
              <w:rPr>
                <w:noProof/>
                <w:webHidden/>
              </w:rPr>
              <w:tab/>
            </w:r>
            <w:r>
              <w:rPr>
                <w:noProof/>
                <w:webHidden/>
              </w:rPr>
              <w:fldChar w:fldCharType="begin"/>
            </w:r>
            <w:r>
              <w:rPr>
                <w:noProof/>
                <w:webHidden/>
              </w:rPr>
              <w:instrText xml:space="preserve"> PAGEREF _Toc180756335 \h </w:instrText>
            </w:r>
            <w:r>
              <w:rPr>
                <w:noProof/>
                <w:webHidden/>
              </w:rPr>
            </w:r>
            <w:r>
              <w:rPr>
                <w:noProof/>
                <w:webHidden/>
              </w:rPr>
              <w:fldChar w:fldCharType="separate"/>
            </w:r>
            <w:r w:rsidR="00EF5E31">
              <w:rPr>
                <w:noProof/>
                <w:webHidden/>
              </w:rPr>
              <w:t>29</w:t>
            </w:r>
            <w:r>
              <w:rPr>
                <w:noProof/>
                <w:webHidden/>
              </w:rPr>
              <w:fldChar w:fldCharType="end"/>
            </w:r>
          </w:hyperlink>
        </w:p>
        <w:p w14:paraId="42A97F7B" w14:textId="1F425902" w:rsidR="00B75AD3" w:rsidRDefault="00B75AD3">
          <w:pPr>
            <w:pStyle w:val="TOC2"/>
            <w:tabs>
              <w:tab w:val="right" w:leader="dot" w:pos="9628"/>
            </w:tabs>
            <w:rPr>
              <w:rFonts w:eastAsiaTheme="minorEastAsia"/>
              <w:noProof/>
              <w:lang w:eastAsia="en-AU"/>
            </w:rPr>
          </w:pPr>
          <w:hyperlink w:anchor="_Toc180756336" w:history="1">
            <w:r w:rsidRPr="00BE6E55">
              <w:rPr>
                <w:rStyle w:val="Hyperlink"/>
                <w:noProof/>
              </w:rPr>
              <w:t>Interviews and meetings – remote and in-country</w:t>
            </w:r>
            <w:r>
              <w:rPr>
                <w:noProof/>
                <w:webHidden/>
              </w:rPr>
              <w:tab/>
            </w:r>
            <w:r>
              <w:rPr>
                <w:noProof/>
                <w:webHidden/>
              </w:rPr>
              <w:fldChar w:fldCharType="begin"/>
            </w:r>
            <w:r>
              <w:rPr>
                <w:noProof/>
                <w:webHidden/>
              </w:rPr>
              <w:instrText xml:space="preserve"> PAGEREF _Toc180756336 \h </w:instrText>
            </w:r>
            <w:r>
              <w:rPr>
                <w:noProof/>
                <w:webHidden/>
              </w:rPr>
            </w:r>
            <w:r>
              <w:rPr>
                <w:noProof/>
                <w:webHidden/>
              </w:rPr>
              <w:fldChar w:fldCharType="separate"/>
            </w:r>
            <w:r w:rsidR="00EF5E31">
              <w:rPr>
                <w:noProof/>
                <w:webHidden/>
              </w:rPr>
              <w:t>30</w:t>
            </w:r>
            <w:r>
              <w:rPr>
                <w:noProof/>
                <w:webHidden/>
              </w:rPr>
              <w:fldChar w:fldCharType="end"/>
            </w:r>
          </w:hyperlink>
        </w:p>
        <w:p w14:paraId="29AB7DF7" w14:textId="7B8C74F6" w:rsidR="005F00AD" w:rsidRDefault="00DD6095" w:rsidP="005F00AD">
          <w:r>
            <w:rPr>
              <w:b/>
              <w:bCs/>
              <w:lang w:val="en-GB"/>
            </w:rPr>
            <w:fldChar w:fldCharType="end"/>
          </w:r>
        </w:p>
      </w:sdtContent>
    </w:sdt>
    <w:p w14:paraId="41D75392" w14:textId="77777777" w:rsidR="005F00AD" w:rsidRPr="005F00AD" w:rsidRDefault="005F00AD" w:rsidP="005F00AD"/>
    <w:p w14:paraId="24D2A72D" w14:textId="77777777" w:rsidR="005F72C8" w:rsidRDefault="005F72C8">
      <w:pPr>
        <w:rPr>
          <w:b/>
          <w:bCs/>
          <w:sz w:val="22"/>
          <w:szCs w:val="22"/>
        </w:rPr>
      </w:pPr>
      <w:r>
        <w:rPr>
          <w:b/>
          <w:bCs/>
          <w:sz w:val="22"/>
          <w:szCs w:val="22"/>
        </w:rPr>
        <w:br w:type="page"/>
      </w:r>
    </w:p>
    <w:p w14:paraId="4D94ED5B" w14:textId="77777777" w:rsidR="00353642" w:rsidRPr="002F531F" w:rsidRDefault="002C4760" w:rsidP="00C8460B">
      <w:pPr>
        <w:jc w:val="center"/>
        <w:rPr>
          <w:b/>
          <w:bCs/>
        </w:rPr>
      </w:pPr>
      <w:r w:rsidRPr="002F531F">
        <w:rPr>
          <w:b/>
          <w:bCs/>
        </w:rPr>
        <w:lastRenderedPageBreak/>
        <w:t>Independent Progress Review</w:t>
      </w:r>
      <w:r w:rsidR="00353642" w:rsidRPr="002F531F">
        <w:rPr>
          <w:b/>
          <w:bCs/>
        </w:rPr>
        <w:t xml:space="preserve"> – Strategic overview</w:t>
      </w:r>
    </w:p>
    <w:p w14:paraId="52E7AFBE" w14:textId="68D0020A" w:rsidR="006B7ACC" w:rsidRPr="002F531F" w:rsidRDefault="002C4760" w:rsidP="00C8460B">
      <w:pPr>
        <w:jc w:val="center"/>
        <w:rPr>
          <w:b/>
          <w:bCs/>
        </w:rPr>
      </w:pPr>
      <w:r w:rsidRPr="002F531F">
        <w:rPr>
          <w:b/>
          <w:bCs/>
        </w:rPr>
        <w:t>Partnerships for Improving Education</w:t>
      </w:r>
    </w:p>
    <w:p w14:paraId="3B7E85A8" w14:textId="5A4F339A" w:rsidR="00211EAF" w:rsidRDefault="00211EAF" w:rsidP="0065260C">
      <w:pPr>
        <w:pStyle w:val="Heading1"/>
        <w:ind w:left="284"/>
      </w:pPr>
      <w:bookmarkStart w:id="2" w:name="_Toc180756315"/>
      <w:r>
        <w:t>Summary</w:t>
      </w:r>
      <w:r w:rsidR="00D74E33">
        <w:t xml:space="preserve"> and recomm</w:t>
      </w:r>
      <w:r w:rsidR="002A3C4B">
        <w:t>endations</w:t>
      </w:r>
      <w:bookmarkEnd w:id="2"/>
    </w:p>
    <w:p w14:paraId="438C0DE2" w14:textId="4F7DBE02" w:rsidR="00721C96" w:rsidRDefault="008E4803" w:rsidP="00721C96">
      <w:pPr>
        <w:pStyle w:val="Heading2"/>
      </w:pPr>
      <w:bookmarkStart w:id="3" w:name="_Toc180756316"/>
      <w:r>
        <w:t>Key review question and observations</w:t>
      </w:r>
      <w:bookmarkEnd w:id="3"/>
    </w:p>
    <w:p w14:paraId="5603999B" w14:textId="77777777" w:rsidR="00721C96" w:rsidRPr="0065260C" w:rsidRDefault="00721C96" w:rsidP="0065260C">
      <w:pPr>
        <w:rPr>
          <w:b/>
          <w:bCs/>
          <w:sz w:val="22"/>
          <w:szCs w:val="22"/>
        </w:rPr>
      </w:pPr>
      <w:r w:rsidRPr="0065260C">
        <w:rPr>
          <w:b/>
          <w:bCs/>
          <w:sz w:val="22"/>
          <w:szCs w:val="22"/>
        </w:rPr>
        <w:t>Context</w:t>
      </w:r>
    </w:p>
    <w:p w14:paraId="2BAACDD8" w14:textId="5AE930F2" w:rsidR="00227ACE" w:rsidRPr="0065260C" w:rsidRDefault="00227ACE" w:rsidP="0065260C">
      <w:pPr>
        <w:pStyle w:val="ListParagraph"/>
        <w:numPr>
          <w:ilvl w:val="0"/>
          <w:numId w:val="27"/>
        </w:numPr>
        <w:rPr>
          <w:i/>
          <w:iCs/>
          <w:sz w:val="22"/>
          <w:szCs w:val="22"/>
        </w:rPr>
      </w:pPr>
      <w:r w:rsidRPr="0065260C">
        <w:rPr>
          <w:i/>
          <w:iCs/>
          <w:sz w:val="22"/>
          <w:szCs w:val="22"/>
        </w:rPr>
        <w:t xml:space="preserve">From the outset the program was severely challenged to deliver the expected outcomes – there were two more provinces than originally envisaged in the design and no change to the budget; and, over time it has become apparent that the program needed to </w:t>
      </w:r>
      <w:r w:rsidR="00063D85">
        <w:rPr>
          <w:i/>
          <w:iCs/>
          <w:sz w:val="22"/>
          <w:szCs w:val="22"/>
        </w:rPr>
        <w:t>support</w:t>
      </w:r>
      <w:r w:rsidRPr="0065260C">
        <w:rPr>
          <w:i/>
          <w:iCs/>
          <w:sz w:val="22"/>
          <w:szCs w:val="22"/>
        </w:rPr>
        <w:t xml:space="preserve"> more teachers (and students) than originally envisaged, as well as an overestimation of local capability and increased costs of doing business.</w:t>
      </w:r>
    </w:p>
    <w:p w14:paraId="6328C3BF" w14:textId="3C10B352" w:rsidR="00721C96" w:rsidRPr="0065260C" w:rsidRDefault="00227ACE" w:rsidP="0065260C">
      <w:pPr>
        <w:pStyle w:val="ListParagraph"/>
        <w:numPr>
          <w:ilvl w:val="0"/>
          <w:numId w:val="27"/>
        </w:numPr>
        <w:rPr>
          <w:i/>
          <w:iCs/>
          <w:sz w:val="22"/>
          <w:szCs w:val="22"/>
        </w:rPr>
      </w:pPr>
      <w:r w:rsidRPr="0065260C">
        <w:rPr>
          <w:i/>
          <w:iCs/>
          <w:sz w:val="22"/>
          <w:szCs w:val="22"/>
        </w:rPr>
        <w:t>It is likely that, if what is now known about the program scope and costs was applied to the initial design and plans, the 5-year budget would be significantly larger and close to the 8-year program allocation of AUD75m.</w:t>
      </w:r>
    </w:p>
    <w:p w14:paraId="2AB81C5B" w14:textId="77777777" w:rsidR="005567E6" w:rsidRPr="0065260C" w:rsidRDefault="005567E6" w:rsidP="0065260C">
      <w:pPr>
        <w:rPr>
          <w:b/>
          <w:bCs/>
          <w:sz w:val="22"/>
          <w:szCs w:val="22"/>
        </w:rPr>
      </w:pPr>
      <w:r w:rsidRPr="0065260C">
        <w:rPr>
          <w:b/>
          <w:bCs/>
          <w:sz w:val="22"/>
          <w:szCs w:val="22"/>
        </w:rPr>
        <w:t>KRQ1 – Relevance</w:t>
      </w:r>
    </w:p>
    <w:tbl>
      <w:tblPr>
        <w:tblStyle w:val="TableGrid"/>
        <w:tblW w:w="0" w:type="auto"/>
        <w:tblLook w:val="04A0" w:firstRow="1" w:lastRow="0" w:firstColumn="1" w:lastColumn="0" w:noHBand="0" w:noVBand="1"/>
      </w:tblPr>
      <w:tblGrid>
        <w:gridCol w:w="9628"/>
      </w:tblGrid>
      <w:tr w:rsidR="005567E6" w:rsidRPr="00B72AA0" w14:paraId="0B5A80CD" w14:textId="77777777" w:rsidTr="00E020A1">
        <w:tc>
          <w:tcPr>
            <w:tcW w:w="9628" w:type="dxa"/>
          </w:tcPr>
          <w:p w14:paraId="74249FC1" w14:textId="77777777" w:rsidR="005567E6" w:rsidRDefault="005567E6" w:rsidP="00E020A1">
            <w:pPr>
              <w:spacing w:after="120"/>
              <w:rPr>
                <w:i/>
                <w:iCs/>
                <w:sz w:val="22"/>
                <w:szCs w:val="22"/>
              </w:rPr>
            </w:pPr>
            <w:r w:rsidRPr="00393016">
              <w:rPr>
                <w:i/>
                <w:iCs/>
                <w:sz w:val="22"/>
                <w:szCs w:val="22"/>
              </w:rPr>
              <w:t>To what extent does the PIE design (Theory of Change) and implementation approach still appear to be relevant at this point?</w:t>
            </w:r>
          </w:p>
          <w:p w14:paraId="3C11A101" w14:textId="61E6F144" w:rsidR="005567E6" w:rsidRPr="005E2585" w:rsidRDefault="005567E6" w:rsidP="00E020A1">
            <w:pPr>
              <w:spacing w:after="120"/>
              <w:rPr>
                <w:sz w:val="22"/>
                <w:szCs w:val="22"/>
              </w:rPr>
            </w:pPr>
            <w:r w:rsidRPr="005E2585">
              <w:rPr>
                <w:sz w:val="22"/>
                <w:szCs w:val="22"/>
              </w:rPr>
              <w:t xml:space="preserve">The </w:t>
            </w:r>
            <w:r>
              <w:rPr>
                <w:sz w:val="22"/>
                <w:szCs w:val="22"/>
              </w:rPr>
              <w:t xml:space="preserve">design and conduct of the </w:t>
            </w:r>
            <w:r w:rsidRPr="005E2585">
              <w:rPr>
                <w:sz w:val="22"/>
                <w:szCs w:val="22"/>
              </w:rPr>
              <w:t xml:space="preserve">PIE </w:t>
            </w:r>
            <w:r>
              <w:rPr>
                <w:sz w:val="22"/>
                <w:szCs w:val="22"/>
              </w:rPr>
              <w:t xml:space="preserve">Program </w:t>
            </w:r>
            <w:r w:rsidR="009172B4">
              <w:rPr>
                <w:sz w:val="22"/>
                <w:szCs w:val="22"/>
              </w:rPr>
              <w:t>continue</w:t>
            </w:r>
            <w:r>
              <w:rPr>
                <w:sz w:val="22"/>
                <w:szCs w:val="22"/>
              </w:rPr>
              <w:t xml:space="preserve"> to be relevant in terms of alignment with </w:t>
            </w:r>
            <w:r w:rsidR="00F65F9E">
              <w:rPr>
                <w:sz w:val="22"/>
                <w:szCs w:val="22"/>
              </w:rPr>
              <w:t>Australia’s new Development Partnership Plan</w:t>
            </w:r>
            <w:r w:rsidR="00F04F07">
              <w:rPr>
                <w:sz w:val="22"/>
                <w:szCs w:val="22"/>
              </w:rPr>
              <w:t xml:space="preserve"> (D</w:t>
            </w:r>
            <w:r w:rsidR="00215D45">
              <w:rPr>
                <w:sz w:val="22"/>
                <w:szCs w:val="22"/>
              </w:rPr>
              <w:t>P</w:t>
            </w:r>
            <w:r w:rsidR="00F04F07">
              <w:rPr>
                <w:sz w:val="22"/>
                <w:szCs w:val="22"/>
              </w:rPr>
              <w:t>P)</w:t>
            </w:r>
            <w:r w:rsidR="00F65F9E">
              <w:rPr>
                <w:sz w:val="22"/>
                <w:szCs w:val="22"/>
              </w:rPr>
              <w:t xml:space="preserve"> 2024-2029</w:t>
            </w:r>
            <w:r w:rsidR="00F65F9E">
              <w:rPr>
                <w:rStyle w:val="FootnoteReference"/>
                <w:sz w:val="22"/>
                <w:szCs w:val="22"/>
              </w:rPr>
              <w:footnoteReference w:id="2"/>
            </w:r>
            <w:r w:rsidR="00F65F9E">
              <w:rPr>
                <w:sz w:val="22"/>
                <w:szCs w:val="22"/>
              </w:rPr>
              <w:t xml:space="preserve"> with PNG, GoPNG policies and </w:t>
            </w:r>
            <w:r>
              <w:rPr>
                <w:sz w:val="22"/>
                <w:szCs w:val="22"/>
              </w:rPr>
              <w:t>priorities and with school system improvement research and practice.</w:t>
            </w:r>
          </w:p>
        </w:tc>
      </w:tr>
    </w:tbl>
    <w:p w14:paraId="2A0BFF5B" w14:textId="76D04EDA" w:rsidR="005567E6" w:rsidRPr="008C47D0" w:rsidRDefault="005567E6" w:rsidP="0065260C">
      <w:pPr>
        <w:pStyle w:val="ListParagraph"/>
        <w:numPr>
          <w:ilvl w:val="0"/>
          <w:numId w:val="27"/>
        </w:numPr>
        <w:spacing w:before="120"/>
        <w:ind w:left="714" w:hanging="357"/>
        <w:rPr>
          <w:i/>
          <w:iCs/>
          <w:sz w:val="22"/>
          <w:szCs w:val="22"/>
        </w:rPr>
      </w:pPr>
      <w:r w:rsidRPr="0065260C">
        <w:rPr>
          <w:i/>
          <w:iCs/>
          <w:sz w:val="22"/>
          <w:szCs w:val="22"/>
        </w:rPr>
        <w:t xml:space="preserve">The Program’s relevance is evident in its alignment with the </w:t>
      </w:r>
      <w:r w:rsidR="000371DA">
        <w:rPr>
          <w:i/>
          <w:iCs/>
          <w:sz w:val="22"/>
          <w:szCs w:val="22"/>
        </w:rPr>
        <w:t xml:space="preserve">new </w:t>
      </w:r>
      <w:r w:rsidRPr="0065260C">
        <w:rPr>
          <w:i/>
          <w:iCs/>
          <w:sz w:val="22"/>
          <w:szCs w:val="22"/>
        </w:rPr>
        <w:t>Minister for Education’s priorities for education</w:t>
      </w:r>
      <w:r w:rsidR="002B63F3">
        <w:rPr>
          <w:i/>
          <w:iCs/>
          <w:sz w:val="22"/>
          <w:szCs w:val="22"/>
        </w:rPr>
        <w:t xml:space="preserve"> </w:t>
      </w:r>
      <w:r w:rsidR="00B35214">
        <w:rPr>
          <w:i/>
          <w:iCs/>
          <w:sz w:val="22"/>
          <w:szCs w:val="22"/>
        </w:rPr>
        <w:t xml:space="preserve">and the </w:t>
      </w:r>
      <w:r w:rsidR="002B63F3">
        <w:rPr>
          <w:i/>
          <w:iCs/>
          <w:sz w:val="22"/>
          <w:szCs w:val="22"/>
        </w:rPr>
        <w:t>PNG</w:t>
      </w:r>
      <w:r w:rsidR="00A536DD">
        <w:rPr>
          <w:i/>
          <w:iCs/>
          <w:sz w:val="22"/>
          <w:szCs w:val="22"/>
        </w:rPr>
        <w:t xml:space="preserve"> </w:t>
      </w:r>
      <w:r w:rsidRPr="0065260C">
        <w:rPr>
          <w:i/>
          <w:iCs/>
          <w:sz w:val="22"/>
          <w:szCs w:val="22"/>
        </w:rPr>
        <w:t>National Education Plan</w:t>
      </w:r>
      <w:r w:rsidR="002B63F3">
        <w:rPr>
          <w:i/>
          <w:iCs/>
          <w:sz w:val="22"/>
          <w:szCs w:val="22"/>
        </w:rPr>
        <w:t xml:space="preserve">. </w:t>
      </w:r>
      <w:r w:rsidR="002B63F3" w:rsidRPr="00C90671">
        <w:rPr>
          <w:i/>
          <w:iCs/>
          <w:sz w:val="22"/>
          <w:szCs w:val="22"/>
        </w:rPr>
        <w:t>Its relevance is also evident in the new Australia – Papua New Guinea DPP</w:t>
      </w:r>
      <w:r w:rsidR="00832A8B" w:rsidRPr="008C47D0">
        <w:rPr>
          <w:i/>
          <w:iCs/>
          <w:sz w:val="22"/>
          <w:szCs w:val="22"/>
        </w:rPr>
        <w:t xml:space="preserve"> and</w:t>
      </w:r>
      <w:r w:rsidRPr="008C47D0">
        <w:rPr>
          <w:i/>
          <w:iCs/>
          <w:sz w:val="22"/>
          <w:szCs w:val="22"/>
        </w:rPr>
        <w:t xml:space="preserve"> learning from research into improving school systems.</w:t>
      </w:r>
    </w:p>
    <w:p w14:paraId="29501975" w14:textId="306DE72D"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 xml:space="preserve">Based on this alignment the program design continues to be relevant, however, it is important that the focus continue to be on ‘facilitating, testing, and monitoring innovative ways’ and ‘influencing policy and systems-based change’, rather than </w:t>
      </w:r>
      <w:r w:rsidR="009623C9">
        <w:rPr>
          <w:i/>
          <w:iCs/>
          <w:sz w:val="22"/>
          <w:szCs w:val="22"/>
        </w:rPr>
        <w:t xml:space="preserve">trying to </w:t>
      </w:r>
      <w:r w:rsidR="00540CBB">
        <w:rPr>
          <w:i/>
          <w:iCs/>
          <w:sz w:val="22"/>
          <w:szCs w:val="22"/>
        </w:rPr>
        <w:t>achieve positive change for al</w:t>
      </w:r>
      <w:r w:rsidR="00AF038D">
        <w:rPr>
          <w:i/>
          <w:iCs/>
          <w:sz w:val="22"/>
          <w:szCs w:val="22"/>
        </w:rPr>
        <w:t xml:space="preserve">l, </w:t>
      </w:r>
      <w:r w:rsidR="00540CBB">
        <w:rPr>
          <w:i/>
          <w:iCs/>
          <w:sz w:val="22"/>
          <w:szCs w:val="22"/>
        </w:rPr>
        <w:t>across every target province.</w:t>
      </w:r>
    </w:p>
    <w:p w14:paraId="7954C60C" w14:textId="77777777" w:rsidR="005567E6" w:rsidRPr="0065260C" w:rsidRDefault="005567E6" w:rsidP="0065260C">
      <w:pPr>
        <w:rPr>
          <w:b/>
          <w:bCs/>
          <w:sz w:val="22"/>
          <w:szCs w:val="22"/>
        </w:rPr>
      </w:pPr>
      <w:r w:rsidRPr="0065260C">
        <w:rPr>
          <w:b/>
          <w:bCs/>
          <w:sz w:val="22"/>
          <w:szCs w:val="22"/>
        </w:rPr>
        <w:t>KRQ 2 – Effectiveness</w:t>
      </w:r>
    </w:p>
    <w:tbl>
      <w:tblPr>
        <w:tblStyle w:val="TableGrid"/>
        <w:tblW w:w="0" w:type="auto"/>
        <w:tblLook w:val="04A0" w:firstRow="1" w:lastRow="0" w:firstColumn="1" w:lastColumn="0" w:noHBand="0" w:noVBand="1"/>
      </w:tblPr>
      <w:tblGrid>
        <w:gridCol w:w="9628"/>
      </w:tblGrid>
      <w:tr w:rsidR="005567E6" w:rsidRPr="00446567" w14:paraId="55B87B47" w14:textId="77777777" w:rsidTr="00E020A1">
        <w:tc>
          <w:tcPr>
            <w:tcW w:w="9628" w:type="dxa"/>
          </w:tcPr>
          <w:p w14:paraId="443EC068" w14:textId="77777777" w:rsidR="005567E6" w:rsidRDefault="005567E6" w:rsidP="00E020A1">
            <w:pPr>
              <w:spacing w:after="120"/>
              <w:rPr>
                <w:i/>
                <w:iCs/>
                <w:sz w:val="22"/>
                <w:szCs w:val="22"/>
              </w:rPr>
            </w:pPr>
            <w:r w:rsidRPr="00F94D53">
              <w:rPr>
                <w:i/>
                <w:iCs/>
                <w:sz w:val="22"/>
                <w:szCs w:val="22"/>
              </w:rPr>
              <w:t>What progress has been observed in relation to the respective Intermediate and End of Program Outcomes? Which activities appear to be having a greater impact than others? Are there any activities which appear to have negligible to no impact to date, or not progressing as planned?</w:t>
            </w:r>
          </w:p>
          <w:p w14:paraId="26D61E40" w14:textId="66968775" w:rsidR="00701111" w:rsidRDefault="005567E6" w:rsidP="00E020A1">
            <w:pPr>
              <w:spacing w:after="120"/>
              <w:rPr>
                <w:sz w:val="22"/>
                <w:szCs w:val="22"/>
              </w:rPr>
            </w:pPr>
            <w:r w:rsidRPr="00E020A1">
              <w:rPr>
                <w:sz w:val="22"/>
                <w:szCs w:val="22"/>
              </w:rPr>
              <w:t xml:space="preserve">At the 18-month implementation point </w:t>
            </w:r>
            <w:r w:rsidRPr="00D506B1">
              <w:rPr>
                <w:sz w:val="22"/>
                <w:szCs w:val="22"/>
              </w:rPr>
              <w:t xml:space="preserve">considerable progress has been made in terms of the Program’s core activities and </w:t>
            </w:r>
            <w:r>
              <w:rPr>
                <w:sz w:val="22"/>
                <w:szCs w:val="22"/>
              </w:rPr>
              <w:t xml:space="preserve">results designed to deliver the Program’s EOIOs. </w:t>
            </w:r>
            <w:r w:rsidR="00D65835">
              <w:rPr>
                <w:sz w:val="22"/>
                <w:szCs w:val="22"/>
              </w:rPr>
              <w:t xml:space="preserve">In </w:t>
            </w:r>
            <w:r w:rsidR="00A2595B">
              <w:rPr>
                <w:sz w:val="22"/>
                <w:szCs w:val="22"/>
              </w:rPr>
              <w:t xml:space="preserve">a relatively short period of time the Program has </w:t>
            </w:r>
            <w:r w:rsidR="0068688F">
              <w:rPr>
                <w:sz w:val="22"/>
                <w:szCs w:val="22"/>
              </w:rPr>
              <w:t xml:space="preserve">made some notable achievements, including the </w:t>
            </w:r>
            <w:r w:rsidR="00CD2B89">
              <w:rPr>
                <w:sz w:val="22"/>
                <w:szCs w:val="22"/>
              </w:rPr>
              <w:t xml:space="preserve">Back-to-School campaigns in 2023 and 2024, the </w:t>
            </w:r>
            <w:r w:rsidR="003C30EB">
              <w:rPr>
                <w:sz w:val="22"/>
                <w:szCs w:val="22"/>
              </w:rPr>
              <w:t>delivery of literacy training to teachers and support material for teachers and students</w:t>
            </w:r>
            <w:r w:rsidR="00701111">
              <w:rPr>
                <w:sz w:val="22"/>
                <w:szCs w:val="22"/>
              </w:rPr>
              <w:t xml:space="preserve">, </w:t>
            </w:r>
            <w:r w:rsidR="000402F3">
              <w:rPr>
                <w:sz w:val="22"/>
                <w:szCs w:val="22"/>
              </w:rPr>
              <w:t>provision of home learning packs,</w:t>
            </w:r>
            <w:r w:rsidR="003C30EB">
              <w:rPr>
                <w:sz w:val="22"/>
                <w:szCs w:val="22"/>
              </w:rPr>
              <w:t xml:space="preserve"> and the</w:t>
            </w:r>
            <w:r w:rsidR="000402F3">
              <w:rPr>
                <w:sz w:val="22"/>
                <w:szCs w:val="22"/>
              </w:rPr>
              <w:t xml:space="preserve"> necessary and welcom</w:t>
            </w:r>
            <w:r w:rsidR="0021284C">
              <w:rPr>
                <w:sz w:val="22"/>
                <w:szCs w:val="22"/>
              </w:rPr>
              <w:t>e</w:t>
            </w:r>
            <w:r w:rsidR="003C30EB">
              <w:rPr>
                <w:sz w:val="22"/>
                <w:szCs w:val="22"/>
              </w:rPr>
              <w:t xml:space="preserve"> </w:t>
            </w:r>
            <w:r w:rsidR="003B6C23">
              <w:rPr>
                <w:sz w:val="22"/>
                <w:szCs w:val="22"/>
              </w:rPr>
              <w:t xml:space="preserve">shift in policy development and approval. </w:t>
            </w:r>
          </w:p>
          <w:p w14:paraId="287FB3B4" w14:textId="034A6512" w:rsidR="00290339" w:rsidRDefault="005567E6" w:rsidP="00E020A1">
            <w:pPr>
              <w:spacing w:after="120"/>
              <w:rPr>
                <w:sz w:val="22"/>
                <w:szCs w:val="22"/>
              </w:rPr>
            </w:pPr>
            <w:r>
              <w:rPr>
                <w:sz w:val="22"/>
                <w:szCs w:val="22"/>
              </w:rPr>
              <w:t>Some activities have been delayed to varying degrees (against original timelines) e.g.</w:t>
            </w:r>
            <w:r w:rsidR="0021284C">
              <w:rPr>
                <w:sz w:val="22"/>
                <w:szCs w:val="22"/>
              </w:rPr>
              <w:t>,</w:t>
            </w:r>
            <w:r w:rsidR="00701111">
              <w:rPr>
                <w:sz w:val="22"/>
                <w:szCs w:val="22"/>
              </w:rPr>
              <w:t xml:space="preserve"> school leadership and management training</w:t>
            </w:r>
            <w:r>
              <w:rPr>
                <w:sz w:val="22"/>
                <w:szCs w:val="22"/>
              </w:rPr>
              <w:t xml:space="preserve">, disbursement of AQEFA grants. </w:t>
            </w:r>
            <w:r w:rsidR="005F64E0">
              <w:rPr>
                <w:sz w:val="22"/>
                <w:szCs w:val="22"/>
              </w:rPr>
              <w:t xml:space="preserve">The planned parenting and </w:t>
            </w:r>
            <w:r w:rsidR="005F64E0">
              <w:rPr>
                <w:sz w:val="22"/>
                <w:szCs w:val="22"/>
              </w:rPr>
              <w:lastRenderedPageBreak/>
              <w:t xml:space="preserve">health program is yet to commence due to </w:t>
            </w:r>
            <w:r w:rsidR="004A4889">
              <w:rPr>
                <w:sz w:val="22"/>
                <w:szCs w:val="22"/>
              </w:rPr>
              <w:t>challenges in outsourcing and the tighter budget situation.</w:t>
            </w:r>
          </w:p>
          <w:p w14:paraId="36682DF9" w14:textId="4FD97107" w:rsidR="005567E6" w:rsidRPr="00531307" w:rsidRDefault="00FB230D" w:rsidP="00E020A1">
            <w:pPr>
              <w:spacing w:after="120"/>
              <w:rPr>
                <w:sz w:val="22"/>
                <w:szCs w:val="22"/>
              </w:rPr>
            </w:pPr>
            <w:r>
              <w:rPr>
                <w:sz w:val="22"/>
                <w:szCs w:val="22"/>
              </w:rPr>
              <w:t>While progress is evident, consistent with the Program’s theory of change, it is too early to expect improved learning outcomes to be evident. Given the challenge that exists in delivering, at scale, improvements in student learning the Program should consider whether its capacity to measure and report improvements in teaching quality is sufficient.</w:t>
            </w:r>
          </w:p>
        </w:tc>
      </w:tr>
    </w:tbl>
    <w:p w14:paraId="215E3A1F" w14:textId="77777777"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lastRenderedPageBreak/>
        <w:t>Significant benefits would accrue from the program more frequently and systematically collecting and reporting data (quantitative and qualitative) to illustrate progress (or not) in relation to the theory of change and using this to report progress and/or inform decision making on next steps.</w:t>
      </w:r>
    </w:p>
    <w:p w14:paraId="36E87D3F" w14:textId="77777777"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Given the timeline for the program and the inherent difficulty of moving the student learning dial, the program has a clear focus on the quality of teaching - a core driver for improved student learning. However, there is a need to sharpen the program's description and measure of the quality of teaching - because this is what needs to improve first, before learning outcomes shift.</w:t>
      </w:r>
    </w:p>
    <w:p w14:paraId="0D0A288A" w14:textId="77777777" w:rsidR="005567E6" w:rsidRPr="0065260C" w:rsidRDefault="005567E6" w:rsidP="0065260C">
      <w:pPr>
        <w:rPr>
          <w:b/>
          <w:bCs/>
          <w:sz w:val="22"/>
          <w:szCs w:val="22"/>
        </w:rPr>
      </w:pPr>
      <w:r w:rsidRPr="0065260C">
        <w:rPr>
          <w:b/>
          <w:bCs/>
          <w:sz w:val="22"/>
          <w:szCs w:val="22"/>
        </w:rPr>
        <w:t>KRQ 3 – Efficiency</w:t>
      </w:r>
    </w:p>
    <w:tbl>
      <w:tblPr>
        <w:tblStyle w:val="TableGrid"/>
        <w:tblW w:w="0" w:type="auto"/>
        <w:tblLook w:val="04A0" w:firstRow="1" w:lastRow="0" w:firstColumn="1" w:lastColumn="0" w:noHBand="0" w:noVBand="1"/>
      </w:tblPr>
      <w:tblGrid>
        <w:gridCol w:w="9628"/>
      </w:tblGrid>
      <w:tr w:rsidR="005567E6" w:rsidRPr="001410A4" w14:paraId="5B5A7CBD" w14:textId="77777777" w:rsidTr="00E020A1">
        <w:tc>
          <w:tcPr>
            <w:tcW w:w="9628" w:type="dxa"/>
          </w:tcPr>
          <w:p w14:paraId="59C1F9CB" w14:textId="77777777" w:rsidR="005567E6" w:rsidRDefault="005567E6" w:rsidP="00E020A1">
            <w:pPr>
              <w:spacing w:after="120"/>
              <w:rPr>
                <w:i/>
                <w:iCs/>
                <w:sz w:val="22"/>
                <w:szCs w:val="22"/>
              </w:rPr>
            </w:pPr>
            <w:r w:rsidRPr="003262F1">
              <w:rPr>
                <w:i/>
                <w:iCs/>
                <w:sz w:val="22"/>
                <w:szCs w:val="22"/>
              </w:rPr>
              <w:t>To what extent is PIE implementation demonstrating value for money and providing an understanding of the cost of doing business in elementary/primary education in PNG in selected provinces?</w:t>
            </w:r>
          </w:p>
          <w:p w14:paraId="4EB02CA9" w14:textId="0DB8CA11" w:rsidR="00841D74" w:rsidRDefault="005567E6" w:rsidP="00E020A1">
            <w:pPr>
              <w:spacing w:after="120"/>
              <w:rPr>
                <w:sz w:val="22"/>
                <w:szCs w:val="22"/>
              </w:rPr>
            </w:pPr>
            <w:r>
              <w:rPr>
                <w:sz w:val="22"/>
                <w:szCs w:val="22"/>
              </w:rPr>
              <w:t xml:space="preserve">As the program has moved from design to inception and to implementation there has been significant learning about the cost of doing business in PNG and the four </w:t>
            </w:r>
            <w:r w:rsidR="00475559">
              <w:rPr>
                <w:sz w:val="22"/>
                <w:szCs w:val="22"/>
              </w:rPr>
              <w:t>locations</w:t>
            </w:r>
            <w:r>
              <w:rPr>
                <w:sz w:val="22"/>
                <w:szCs w:val="22"/>
              </w:rPr>
              <w:t xml:space="preserve">. </w:t>
            </w:r>
          </w:p>
          <w:p w14:paraId="1E07CD07" w14:textId="32883ABB" w:rsidR="00EB7FF4" w:rsidRDefault="00EB7FF4" w:rsidP="00E020A1">
            <w:pPr>
              <w:spacing w:after="120"/>
              <w:rPr>
                <w:sz w:val="22"/>
                <w:szCs w:val="22"/>
              </w:rPr>
            </w:pPr>
            <w:r>
              <w:rPr>
                <w:sz w:val="22"/>
                <w:szCs w:val="22"/>
              </w:rPr>
              <w:t>A CBA analysis, based on modelling results from similar programs, budgeted costs and target gains, concludes that PIE is a sound value for money investment.</w:t>
            </w:r>
            <w:r w:rsidR="00CC6032">
              <w:rPr>
                <w:sz w:val="22"/>
                <w:szCs w:val="22"/>
              </w:rPr>
              <w:t xml:space="preserve"> The Program </w:t>
            </w:r>
            <w:r w:rsidR="00D6341B">
              <w:rPr>
                <w:sz w:val="22"/>
                <w:szCs w:val="22"/>
              </w:rPr>
              <w:t>has consistently sought to keep costs down, using resources as efficiently as possible</w:t>
            </w:r>
            <w:r w:rsidR="00AC547A">
              <w:rPr>
                <w:sz w:val="22"/>
                <w:szCs w:val="22"/>
              </w:rPr>
              <w:t xml:space="preserve">. </w:t>
            </w:r>
            <w:r w:rsidR="009848B9">
              <w:rPr>
                <w:sz w:val="22"/>
                <w:szCs w:val="22"/>
              </w:rPr>
              <w:t>PIE has also benefited from the Shared Services arrangement with the Managing Contractor</w:t>
            </w:r>
            <w:r w:rsidR="00870405">
              <w:rPr>
                <w:sz w:val="22"/>
                <w:szCs w:val="22"/>
              </w:rPr>
              <w:t>.</w:t>
            </w:r>
            <w:r w:rsidR="00AC547A">
              <w:rPr>
                <w:sz w:val="22"/>
                <w:szCs w:val="22"/>
              </w:rPr>
              <w:t xml:space="preserve"> </w:t>
            </w:r>
          </w:p>
          <w:p w14:paraId="0198BB6A" w14:textId="13A2BBAF" w:rsidR="005567E6" w:rsidRPr="00E020A1" w:rsidRDefault="005567E6" w:rsidP="00E020A1">
            <w:pPr>
              <w:spacing w:after="120"/>
              <w:rPr>
                <w:sz w:val="22"/>
                <w:szCs w:val="22"/>
              </w:rPr>
            </w:pPr>
            <w:r>
              <w:rPr>
                <w:sz w:val="22"/>
                <w:szCs w:val="22"/>
              </w:rPr>
              <w:t>Data collection and reflection is a positive feature of the PIE program operation</w:t>
            </w:r>
            <w:r w:rsidR="00B315F0">
              <w:rPr>
                <w:sz w:val="22"/>
                <w:szCs w:val="22"/>
              </w:rPr>
              <w:t xml:space="preserve">, however, based </w:t>
            </w:r>
            <w:r w:rsidR="00870405">
              <w:rPr>
                <w:sz w:val="22"/>
                <w:szCs w:val="22"/>
              </w:rPr>
              <w:t xml:space="preserve">on experience and learning </w:t>
            </w:r>
            <w:r w:rsidR="00C93DD5">
              <w:rPr>
                <w:sz w:val="22"/>
                <w:szCs w:val="22"/>
              </w:rPr>
              <w:t xml:space="preserve">to date there appear to be some </w:t>
            </w:r>
            <w:r w:rsidR="009B560D">
              <w:rPr>
                <w:sz w:val="22"/>
                <w:szCs w:val="22"/>
              </w:rPr>
              <w:t xml:space="preserve">opportunities to refine </w:t>
            </w:r>
            <w:r w:rsidR="001153CB">
              <w:rPr>
                <w:sz w:val="22"/>
                <w:szCs w:val="22"/>
              </w:rPr>
              <w:t xml:space="preserve">data collection and reflection processes </w:t>
            </w:r>
            <w:r w:rsidR="00605CE1">
              <w:rPr>
                <w:sz w:val="22"/>
                <w:szCs w:val="22"/>
              </w:rPr>
              <w:t>to enhance program learning</w:t>
            </w:r>
            <w:r w:rsidR="002F0B72">
              <w:rPr>
                <w:sz w:val="22"/>
                <w:szCs w:val="22"/>
              </w:rPr>
              <w:t>.</w:t>
            </w:r>
            <w:r>
              <w:rPr>
                <w:sz w:val="22"/>
                <w:szCs w:val="22"/>
              </w:rPr>
              <w:t xml:space="preserve"> </w:t>
            </w:r>
          </w:p>
        </w:tc>
      </w:tr>
    </w:tbl>
    <w:p w14:paraId="39705772" w14:textId="77777777"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The Program clearly seeks to build on its own research and learning (and from other programs); however, more strategic use of piloting and phasing of activities could enhance program learning and strengthen demonstration of value for money.</w:t>
      </w:r>
    </w:p>
    <w:p w14:paraId="41A698EF" w14:textId="77777777" w:rsidR="00134A46" w:rsidRPr="00032598" w:rsidRDefault="005567E6" w:rsidP="00134A46">
      <w:pPr>
        <w:pStyle w:val="ListParagraph"/>
        <w:numPr>
          <w:ilvl w:val="0"/>
          <w:numId w:val="34"/>
        </w:numPr>
        <w:spacing w:before="120" w:after="120"/>
        <w:rPr>
          <w:i/>
          <w:iCs/>
          <w:color w:val="0070C0"/>
          <w:sz w:val="22"/>
          <w:szCs w:val="22"/>
        </w:rPr>
      </w:pPr>
      <w:r w:rsidRPr="0065260C">
        <w:rPr>
          <w:i/>
          <w:iCs/>
          <w:sz w:val="22"/>
          <w:szCs w:val="22"/>
        </w:rPr>
        <w:t>The strategic focus and oversight of the program would be improved via a regular external strategic monitoring and advisory function (as initially proposed</w:t>
      </w:r>
      <w:r w:rsidR="00ED6C2F">
        <w:rPr>
          <w:i/>
          <w:iCs/>
          <w:sz w:val="22"/>
          <w:szCs w:val="22"/>
        </w:rPr>
        <w:t xml:space="preserve"> in the IDD</w:t>
      </w:r>
      <w:r w:rsidRPr="0065260C">
        <w:rPr>
          <w:i/>
          <w:iCs/>
          <w:sz w:val="22"/>
          <w:szCs w:val="22"/>
        </w:rPr>
        <w:t xml:space="preserve">) and more systematic engagement of DFAT / AHC personnel in key review / reflection activities. </w:t>
      </w:r>
      <w:r w:rsidR="00134A46" w:rsidRPr="00C90671">
        <w:rPr>
          <w:i/>
          <w:iCs/>
          <w:sz w:val="22"/>
          <w:szCs w:val="22"/>
        </w:rPr>
        <w:t>Increased DFAT/AHC involvement in strategic discussions could also strengthen their ability to engage in policy dialogue on key issues at high levels.</w:t>
      </w:r>
    </w:p>
    <w:p w14:paraId="25D78E3A" w14:textId="2F45D5A1" w:rsidR="005567E6" w:rsidRPr="0065260C" w:rsidRDefault="005567E6" w:rsidP="00C90671">
      <w:pPr>
        <w:pStyle w:val="ListParagraph"/>
        <w:spacing w:before="120"/>
        <w:ind w:left="714"/>
        <w:rPr>
          <w:i/>
          <w:iCs/>
          <w:sz w:val="22"/>
          <w:szCs w:val="22"/>
        </w:rPr>
      </w:pPr>
    </w:p>
    <w:p w14:paraId="1DF22B91" w14:textId="77777777" w:rsidR="005567E6" w:rsidRPr="0065260C" w:rsidRDefault="005567E6" w:rsidP="00D5339B">
      <w:pPr>
        <w:pageBreakBefore/>
        <w:rPr>
          <w:b/>
          <w:bCs/>
          <w:sz w:val="22"/>
          <w:szCs w:val="22"/>
        </w:rPr>
      </w:pPr>
      <w:r w:rsidRPr="0065260C">
        <w:rPr>
          <w:b/>
          <w:bCs/>
          <w:sz w:val="22"/>
          <w:szCs w:val="22"/>
        </w:rPr>
        <w:lastRenderedPageBreak/>
        <w:t>KRQ 4 – Sustainability</w:t>
      </w:r>
    </w:p>
    <w:tbl>
      <w:tblPr>
        <w:tblStyle w:val="TableGrid"/>
        <w:tblW w:w="0" w:type="auto"/>
        <w:tblLook w:val="04A0" w:firstRow="1" w:lastRow="0" w:firstColumn="1" w:lastColumn="0" w:noHBand="0" w:noVBand="1"/>
      </w:tblPr>
      <w:tblGrid>
        <w:gridCol w:w="9628"/>
      </w:tblGrid>
      <w:tr w:rsidR="005567E6" w:rsidRPr="001410A4" w14:paraId="03D357C9" w14:textId="77777777" w:rsidTr="00E020A1">
        <w:tc>
          <w:tcPr>
            <w:tcW w:w="9628" w:type="dxa"/>
          </w:tcPr>
          <w:p w14:paraId="6E7E25BA" w14:textId="77777777" w:rsidR="005567E6" w:rsidRPr="00E020A1" w:rsidRDefault="005567E6" w:rsidP="00E020A1">
            <w:pPr>
              <w:spacing w:after="120"/>
              <w:rPr>
                <w:i/>
                <w:iCs/>
                <w:sz w:val="22"/>
                <w:szCs w:val="22"/>
              </w:rPr>
            </w:pPr>
            <w:r w:rsidRPr="004812A1">
              <w:rPr>
                <w:i/>
                <w:iCs/>
                <w:sz w:val="22"/>
                <w:szCs w:val="22"/>
              </w:rPr>
              <w:t>At this point in the program are there any interventions that appear more likely than others of being sustained beyond the PIE project cycle? Why might this be so and are there any thoughts on what would be required to increase sustainability and replicability? Which interventions appear to be greatest value for money at this point in the program?</w:t>
            </w:r>
          </w:p>
          <w:p w14:paraId="1221A337" w14:textId="293D000F" w:rsidR="00536313" w:rsidRDefault="005567E6" w:rsidP="00E020A1">
            <w:pPr>
              <w:spacing w:after="120"/>
              <w:rPr>
                <w:sz w:val="22"/>
                <w:szCs w:val="22"/>
              </w:rPr>
            </w:pPr>
            <w:r>
              <w:rPr>
                <w:sz w:val="22"/>
                <w:szCs w:val="22"/>
              </w:rPr>
              <w:t xml:space="preserve">The conduct of the Bilum Books workshops and follow-up teacher learning circles appear to have </w:t>
            </w:r>
            <w:r w:rsidR="00EA182A">
              <w:rPr>
                <w:sz w:val="22"/>
                <w:szCs w:val="22"/>
              </w:rPr>
              <w:t>created desire</w:t>
            </w:r>
            <w:r w:rsidR="00170504">
              <w:rPr>
                <w:sz w:val="22"/>
                <w:szCs w:val="22"/>
              </w:rPr>
              <w:t xml:space="preserve"> amongst teachers</w:t>
            </w:r>
            <w:r w:rsidR="00EA182A">
              <w:rPr>
                <w:sz w:val="22"/>
                <w:szCs w:val="22"/>
              </w:rPr>
              <w:t xml:space="preserve"> </w:t>
            </w:r>
            <w:r>
              <w:rPr>
                <w:sz w:val="22"/>
                <w:szCs w:val="22"/>
              </w:rPr>
              <w:t>for further teacher in-service training</w:t>
            </w:r>
            <w:r w:rsidR="00ED6C2F">
              <w:rPr>
                <w:sz w:val="22"/>
                <w:szCs w:val="22"/>
              </w:rPr>
              <w:t>, resources</w:t>
            </w:r>
            <w:r>
              <w:rPr>
                <w:sz w:val="22"/>
                <w:szCs w:val="22"/>
              </w:rPr>
              <w:t xml:space="preserve"> and support which provides opportunity for professional engagement within and beyond schools. Further </w:t>
            </w:r>
            <w:r w:rsidR="006E4D1B">
              <w:rPr>
                <w:sz w:val="22"/>
                <w:szCs w:val="22"/>
              </w:rPr>
              <w:t xml:space="preserve">structured and </w:t>
            </w:r>
            <w:r w:rsidR="00115E7E">
              <w:rPr>
                <w:sz w:val="22"/>
                <w:szCs w:val="22"/>
              </w:rPr>
              <w:t xml:space="preserve">regular </w:t>
            </w:r>
            <w:r>
              <w:rPr>
                <w:sz w:val="22"/>
                <w:szCs w:val="22"/>
              </w:rPr>
              <w:t xml:space="preserve">in-service </w:t>
            </w:r>
            <w:r w:rsidR="00115E7E">
              <w:rPr>
                <w:sz w:val="22"/>
                <w:szCs w:val="22"/>
              </w:rPr>
              <w:t xml:space="preserve">training </w:t>
            </w:r>
            <w:r>
              <w:rPr>
                <w:sz w:val="22"/>
                <w:szCs w:val="22"/>
              </w:rPr>
              <w:t xml:space="preserve">events as well as the PIE TUF activity can be expected to build the momentum. </w:t>
            </w:r>
          </w:p>
          <w:p w14:paraId="208501C5" w14:textId="148B7BF3" w:rsidR="00711A11" w:rsidRDefault="00536313" w:rsidP="00E020A1">
            <w:pPr>
              <w:spacing w:after="120"/>
              <w:rPr>
                <w:sz w:val="22"/>
                <w:szCs w:val="22"/>
              </w:rPr>
            </w:pPr>
            <w:r>
              <w:rPr>
                <w:sz w:val="22"/>
                <w:szCs w:val="22"/>
              </w:rPr>
              <w:t>The Program has also made a significant contribu</w:t>
            </w:r>
            <w:r w:rsidR="00F04F07">
              <w:rPr>
                <w:sz w:val="22"/>
                <w:szCs w:val="22"/>
              </w:rPr>
              <w:t xml:space="preserve">tion </w:t>
            </w:r>
            <w:r>
              <w:rPr>
                <w:sz w:val="22"/>
                <w:szCs w:val="22"/>
              </w:rPr>
              <w:t xml:space="preserve">to the development of key policy documents that provide clarity about expectations in areas such as Teacher Development, GESI, Inclusive Education and School learning and improvement plans. Clarity about such areas provide a platform for further planning and implementation provincially and nationally. </w:t>
            </w:r>
          </w:p>
          <w:p w14:paraId="465C97F8" w14:textId="3D306894" w:rsidR="00536313" w:rsidRDefault="00536313" w:rsidP="00E020A1">
            <w:pPr>
              <w:spacing w:after="120"/>
              <w:rPr>
                <w:sz w:val="22"/>
                <w:szCs w:val="22"/>
              </w:rPr>
            </w:pPr>
            <w:r>
              <w:rPr>
                <w:sz w:val="22"/>
                <w:szCs w:val="22"/>
              </w:rPr>
              <w:t xml:space="preserve">Further support for development and implementation of </w:t>
            </w:r>
            <w:r w:rsidR="00711A11">
              <w:rPr>
                <w:sz w:val="22"/>
                <w:szCs w:val="22"/>
              </w:rPr>
              <w:t xml:space="preserve">such enabling </w:t>
            </w:r>
            <w:r w:rsidR="0085579C">
              <w:rPr>
                <w:sz w:val="22"/>
                <w:szCs w:val="22"/>
              </w:rPr>
              <w:t xml:space="preserve">activities, </w:t>
            </w:r>
            <w:r w:rsidR="00556FE9">
              <w:rPr>
                <w:sz w:val="22"/>
                <w:szCs w:val="22"/>
              </w:rPr>
              <w:t xml:space="preserve">and a sharp focus </w:t>
            </w:r>
            <w:r w:rsidR="00793629">
              <w:rPr>
                <w:sz w:val="22"/>
                <w:szCs w:val="22"/>
              </w:rPr>
              <w:t xml:space="preserve">across all </w:t>
            </w:r>
            <w:r w:rsidR="009E6BFB">
              <w:rPr>
                <w:sz w:val="22"/>
                <w:szCs w:val="22"/>
              </w:rPr>
              <w:t xml:space="preserve">Program </w:t>
            </w:r>
            <w:r w:rsidR="00793629">
              <w:rPr>
                <w:sz w:val="22"/>
                <w:szCs w:val="22"/>
              </w:rPr>
              <w:t xml:space="preserve">activities </w:t>
            </w:r>
            <w:r w:rsidR="009E6BFB">
              <w:rPr>
                <w:sz w:val="22"/>
                <w:szCs w:val="22"/>
              </w:rPr>
              <w:t xml:space="preserve">will be important </w:t>
            </w:r>
            <w:r w:rsidR="00793629">
              <w:rPr>
                <w:sz w:val="22"/>
                <w:szCs w:val="22"/>
              </w:rPr>
              <w:t>for momentum to be sustained</w:t>
            </w:r>
            <w:r w:rsidR="009E6BFB">
              <w:rPr>
                <w:sz w:val="22"/>
                <w:szCs w:val="22"/>
              </w:rPr>
              <w:t xml:space="preserve"> and to maximise chances of success</w:t>
            </w:r>
            <w:r>
              <w:rPr>
                <w:sz w:val="22"/>
                <w:szCs w:val="22"/>
              </w:rPr>
              <w:t>.</w:t>
            </w:r>
            <w:r w:rsidR="007220CB">
              <w:rPr>
                <w:sz w:val="22"/>
                <w:szCs w:val="22"/>
              </w:rPr>
              <w:t xml:space="preserve"> </w:t>
            </w:r>
          </w:p>
          <w:p w14:paraId="098CF7BE" w14:textId="693F3C3F" w:rsidR="005567E6" w:rsidRDefault="007E628C" w:rsidP="00E020A1">
            <w:pPr>
              <w:spacing w:after="120"/>
              <w:rPr>
                <w:sz w:val="22"/>
                <w:szCs w:val="22"/>
              </w:rPr>
            </w:pPr>
            <w:r w:rsidRPr="007E628C">
              <w:rPr>
                <w:sz w:val="22"/>
                <w:szCs w:val="22"/>
              </w:rPr>
              <w:t xml:space="preserve">Continuing to support successful models of in-service </w:t>
            </w:r>
            <w:r>
              <w:rPr>
                <w:sz w:val="22"/>
                <w:szCs w:val="22"/>
              </w:rPr>
              <w:t>training</w:t>
            </w:r>
            <w:r w:rsidR="00927693">
              <w:rPr>
                <w:sz w:val="22"/>
                <w:szCs w:val="22"/>
              </w:rPr>
              <w:t>, including through budget planning and allocation,</w:t>
            </w:r>
            <w:r>
              <w:rPr>
                <w:sz w:val="22"/>
                <w:szCs w:val="22"/>
              </w:rPr>
              <w:t xml:space="preserve"> </w:t>
            </w:r>
            <w:r w:rsidRPr="007E628C">
              <w:rPr>
                <w:sz w:val="22"/>
                <w:szCs w:val="22"/>
              </w:rPr>
              <w:t>has the potential to encourage provincial and national department</w:t>
            </w:r>
            <w:r w:rsidR="000C68AE">
              <w:rPr>
                <w:sz w:val="22"/>
                <w:szCs w:val="22"/>
              </w:rPr>
              <w:t>s</w:t>
            </w:r>
            <w:r w:rsidRPr="007E628C">
              <w:rPr>
                <w:sz w:val="22"/>
                <w:szCs w:val="22"/>
              </w:rPr>
              <w:t xml:space="preserve"> to take steps to</w:t>
            </w:r>
            <w:r w:rsidR="000C68AE">
              <w:rPr>
                <w:sz w:val="22"/>
                <w:szCs w:val="22"/>
              </w:rPr>
              <w:t xml:space="preserve"> </w:t>
            </w:r>
            <w:r w:rsidR="005567E6">
              <w:rPr>
                <w:sz w:val="22"/>
                <w:szCs w:val="22"/>
              </w:rPr>
              <w:t>(re)introduc</w:t>
            </w:r>
            <w:r w:rsidR="00E13D83">
              <w:rPr>
                <w:sz w:val="22"/>
                <w:szCs w:val="22"/>
              </w:rPr>
              <w:t xml:space="preserve">e </w:t>
            </w:r>
            <w:r w:rsidR="005567E6">
              <w:rPr>
                <w:sz w:val="22"/>
                <w:szCs w:val="22"/>
              </w:rPr>
              <w:t>(quality) NIST and PIST programs.</w:t>
            </w:r>
          </w:p>
          <w:p w14:paraId="787A386B" w14:textId="7E583664" w:rsidR="000F6BD9" w:rsidRPr="00E020A1" w:rsidRDefault="000F6BD9" w:rsidP="00E020A1">
            <w:pPr>
              <w:spacing w:after="120"/>
              <w:rPr>
                <w:sz w:val="22"/>
                <w:szCs w:val="22"/>
              </w:rPr>
            </w:pPr>
            <w:r>
              <w:rPr>
                <w:sz w:val="22"/>
                <w:szCs w:val="22"/>
              </w:rPr>
              <w:t>Given</w:t>
            </w:r>
            <w:r w:rsidR="005D76C0">
              <w:rPr>
                <w:sz w:val="22"/>
                <w:szCs w:val="22"/>
              </w:rPr>
              <w:t xml:space="preserve"> </w:t>
            </w:r>
            <w:r w:rsidR="00F04F07">
              <w:rPr>
                <w:sz w:val="22"/>
                <w:szCs w:val="22"/>
              </w:rPr>
              <w:t>NDoE</w:t>
            </w:r>
            <w:r w:rsidR="005D76C0">
              <w:rPr>
                <w:sz w:val="22"/>
                <w:szCs w:val="22"/>
              </w:rPr>
              <w:t xml:space="preserve"> budget limitations the Program </w:t>
            </w:r>
            <w:r w:rsidR="00F04F07">
              <w:rPr>
                <w:sz w:val="22"/>
                <w:szCs w:val="22"/>
              </w:rPr>
              <w:t xml:space="preserve">and DFAT </w:t>
            </w:r>
            <w:r w:rsidR="005D76C0">
              <w:rPr>
                <w:sz w:val="22"/>
                <w:szCs w:val="22"/>
              </w:rPr>
              <w:t xml:space="preserve">might consider </w:t>
            </w:r>
            <w:r w:rsidR="005D76C0" w:rsidRPr="005D76C0">
              <w:rPr>
                <w:sz w:val="22"/>
                <w:szCs w:val="22"/>
              </w:rPr>
              <w:t xml:space="preserve">further </w:t>
            </w:r>
            <w:r w:rsidR="00527C3A">
              <w:rPr>
                <w:sz w:val="22"/>
                <w:szCs w:val="22"/>
              </w:rPr>
              <w:t xml:space="preserve">policy dialogue and </w:t>
            </w:r>
            <w:r w:rsidR="005D76C0" w:rsidRPr="005D76C0">
              <w:rPr>
                <w:sz w:val="22"/>
                <w:szCs w:val="22"/>
              </w:rPr>
              <w:t xml:space="preserve">advocacy work </w:t>
            </w:r>
            <w:r w:rsidR="00F04F07">
              <w:rPr>
                <w:sz w:val="22"/>
                <w:szCs w:val="22"/>
              </w:rPr>
              <w:t xml:space="preserve">(in collaboration with WB PASA and other Development Partners) </w:t>
            </w:r>
            <w:r w:rsidR="00134A46">
              <w:rPr>
                <w:sz w:val="22"/>
                <w:szCs w:val="22"/>
              </w:rPr>
              <w:t>for NDoE and PDoE to</w:t>
            </w:r>
            <w:r w:rsidR="005D76C0" w:rsidRPr="005D76C0">
              <w:rPr>
                <w:sz w:val="22"/>
                <w:szCs w:val="22"/>
              </w:rPr>
              <w:t xml:space="preserve"> allocate funds </w:t>
            </w:r>
            <w:r w:rsidR="00134A46">
              <w:rPr>
                <w:sz w:val="22"/>
                <w:szCs w:val="22"/>
              </w:rPr>
              <w:t>more efficiently</w:t>
            </w:r>
            <w:r w:rsidR="0086690E">
              <w:rPr>
                <w:sz w:val="22"/>
                <w:szCs w:val="22"/>
              </w:rPr>
              <w:t xml:space="preserve"> to activities that evidence shows will </w:t>
            </w:r>
            <w:r w:rsidR="005D76C0" w:rsidRPr="005D76C0">
              <w:rPr>
                <w:sz w:val="22"/>
                <w:szCs w:val="22"/>
              </w:rPr>
              <w:t>improve learning</w:t>
            </w:r>
            <w:r w:rsidR="009E6BFB">
              <w:rPr>
                <w:sz w:val="22"/>
                <w:szCs w:val="22"/>
              </w:rPr>
              <w:t xml:space="preserve">. </w:t>
            </w:r>
          </w:p>
        </w:tc>
      </w:tr>
    </w:tbl>
    <w:p w14:paraId="1D01CEBA" w14:textId="77777777"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 xml:space="preserve">Use of a longer-term vision (plan) for early years learning improvement in PNG (i.e. beyond the life of the current program) would contribute to a sharpened focus on sustainability through reflection on and influencing of program planning and activities, and engagement with partners. </w:t>
      </w:r>
    </w:p>
    <w:p w14:paraId="4D29CDEB" w14:textId="77777777" w:rsidR="005567E6" w:rsidRPr="0065260C" w:rsidRDefault="005567E6" w:rsidP="0065260C">
      <w:pPr>
        <w:rPr>
          <w:b/>
          <w:bCs/>
          <w:sz w:val="22"/>
          <w:szCs w:val="22"/>
        </w:rPr>
      </w:pPr>
      <w:r w:rsidRPr="0065260C">
        <w:rPr>
          <w:b/>
          <w:bCs/>
          <w:sz w:val="22"/>
          <w:szCs w:val="22"/>
        </w:rPr>
        <w:t>KRQ 5 – Monitoring and Evaluation</w:t>
      </w:r>
    </w:p>
    <w:tbl>
      <w:tblPr>
        <w:tblStyle w:val="TableGrid"/>
        <w:tblW w:w="0" w:type="auto"/>
        <w:tblLook w:val="04A0" w:firstRow="1" w:lastRow="0" w:firstColumn="1" w:lastColumn="0" w:noHBand="0" w:noVBand="1"/>
      </w:tblPr>
      <w:tblGrid>
        <w:gridCol w:w="9628"/>
      </w:tblGrid>
      <w:tr w:rsidR="005567E6" w:rsidRPr="007D31F3" w14:paraId="099CF563" w14:textId="77777777" w:rsidTr="00E020A1">
        <w:tc>
          <w:tcPr>
            <w:tcW w:w="9628" w:type="dxa"/>
          </w:tcPr>
          <w:p w14:paraId="57CD9885" w14:textId="77777777" w:rsidR="005567E6" w:rsidRDefault="005567E6" w:rsidP="00E020A1">
            <w:pPr>
              <w:spacing w:after="120"/>
              <w:rPr>
                <w:i/>
                <w:iCs/>
                <w:sz w:val="22"/>
                <w:szCs w:val="22"/>
              </w:rPr>
            </w:pPr>
            <w:r w:rsidRPr="00C42422">
              <w:rPr>
                <w:i/>
                <w:iCs/>
                <w:sz w:val="22"/>
                <w:szCs w:val="22"/>
              </w:rPr>
              <w:t>To what extent is the M&amp;E system providing useful information in relation to the program IOs and EOPOs and for this progress review? To what extent does the M&amp;E system appear to be appropriate for informing DFAT considerations for future investments / PIE phases?</w:t>
            </w:r>
          </w:p>
          <w:p w14:paraId="05611297" w14:textId="192B9909" w:rsidR="005567E6" w:rsidRDefault="005567E6" w:rsidP="00E020A1">
            <w:pPr>
              <w:spacing w:after="120"/>
              <w:rPr>
                <w:sz w:val="22"/>
                <w:szCs w:val="22"/>
              </w:rPr>
            </w:pPr>
            <w:r>
              <w:rPr>
                <w:sz w:val="22"/>
                <w:szCs w:val="22"/>
              </w:rPr>
              <w:t>The M&amp;E s</w:t>
            </w:r>
            <w:r w:rsidRPr="00A06437">
              <w:rPr>
                <w:sz w:val="22"/>
                <w:szCs w:val="22"/>
              </w:rPr>
              <w:t>ystem is judged to be appropriate for reporting against the PIE IOs and EOIOs</w:t>
            </w:r>
            <w:r>
              <w:rPr>
                <w:sz w:val="22"/>
                <w:szCs w:val="22"/>
              </w:rPr>
              <w:t xml:space="preserve"> and has provided useful information for this review. The c</w:t>
            </w:r>
            <w:r w:rsidRPr="00A06437">
              <w:rPr>
                <w:sz w:val="22"/>
                <w:szCs w:val="22"/>
              </w:rPr>
              <w:t>urrent M</w:t>
            </w:r>
            <w:r>
              <w:rPr>
                <w:sz w:val="22"/>
                <w:szCs w:val="22"/>
              </w:rPr>
              <w:t>&amp;E system would usefully</w:t>
            </w:r>
            <w:r w:rsidRPr="00A06437">
              <w:rPr>
                <w:sz w:val="22"/>
                <w:szCs w:val="22"/>
              </w:rPr>
              <w:t xml:space="preserve"> inform DFAT </w:t>
            </w:r>
            <w:r w:rsidR="00253D8C">
              <w:rPr>
                <w:sz w:val="22"/>
                <w:szCs w:val="22"/>
              </w:rPr>
              <w:t>on</w:t>
            </w:r>
            <w:r>
              <w:rPr>
                <w:sz w:val="22"/>
                <w:szCs w:val="22"/>
              </w:rPr>
              <w:t xml:space="preserve"> the effective</w:t>
            </w:r>
            <w:r w:rsidR="00253D8C">
              <w:rPr>
                <w:sz w:val="22"/>
                <w:szCs w:val="22"/>
              </w:rPr>
              <w:t>ness</w:t>
            </w:r>
            <w:r>
              <w:rPr>
                <w:sz w:val="22"/>
                <w:szCs w:val="22"/>
              </w:rPr>
              <w:t xml:space="preserve"> of the program and discussion about future phases.</w:t>
            </w:r>
          </w:p>
          <w:p w14:paraId="7812F063" w14:textId="77777777" w:rsidR="005567E6" w:rsidRPr="00E020A1" w:rsidRDefault="005567E6" w:rsidP="00E020A1">
            <w:pPr>
              <w:spacing w:after="120"/>
              <w:rPr>
                <w:sz w:val="22"/>
                <w:szCs w:val="22"/>
              </w:rPr>
            </w:pPr>
            <w:r>
              <w:rPr>
                <w:sz w:val="22"/>
                <w:szCs w:val="22"/>
              </w:rPr>
              <w:t>However, there is value in streamlining the system and improving some elements, particularly the capacity to measure and report in teaching quality.</w:t>
            </w:r>
          </w:p>
        </w:tc>
      </w:tr>
    </w:tbl>
    <w:p w14:paraId="657E8E56" w14:textId="0A2FE565"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Strengthened L</w:t>
      </w:r>
      <w:r w:rsidR="00F04F07">
        <w:rPr>
          <w:i/>
          <w:iCs/>
          <w:sz w:val="22"/>
          <w:szCs w:val="22"/>
        </w:rPr>
        <w:t>earning</w:t>
      </w:r>
      <w:r w:rsidRPr="0065260C">
        <w:rPr>
          <w:i/>
          <w:iCs/>
          <w:sz w:val="22"/>
          <w:szCs w:val="22"/>
        </w:rPr>
        <w:t xml:space="preserve"> and A</w:t>
      </w:r>
      <w:r w:rsidR="00F04F07">
        <w:rPr>
          <w:i/>
          <w:iCs/>
          <w:sz w:val="22"/>
          <w:szCs w:val="22"/>
        </w:rPr>
        <w:t>daptation</w:t>
      </w:r>
      <w:r w:rsidRPr="0065260C">
        <w:rPr>
          <w:i/>
          <w:iCs/>
          <w:sz w:val="22"/>
          <w:szCs w:val="22"/>
        </w:rPr>
        <w:t xml:space="preserve"> elements of the MERLA strategy could be combined with enhanced capacity and quality of communication activities and products, to showcase best practice and influence PNG education policy and practice.</w:t>
      </w:r>
    </w:p>
    <w:p w14:paraId="43275BFF" w14:textId="77777777" w:rsidR="005567E6" w:rsidRPr="0065260C" w:rsidRDefault="005567E6" w:rsidP="0065260C">
      <w:pPr>
        <w:pStyle w:val="ListParagraph"/>
        <w:numPr>
          <w:ilvl w:val="0"/>
          <w:numId w:val="27"/>
        </w:numPr>
        <w:spacing w:before="120"/>
        <w:ind w:left="714" w:hanging="357"/>
        <w:rPr>
          <w:i/>
          <w:iCs/>
          <w:sz w:val="22"/>
          <w:szCs w:val="22"/>
        </w:rPr>
      </w:pPr>
      <w:r w:rsidRPr="0065260C">
        <w:rPr>
          <w:i/>
          <w:iCs/>
          <w:sz w:val="22"/>
          <w:szCs w:val="22"/>
        </w:rPr>
        <w:t>There is merit in the program strengthening in-progress assessment of effectiveness, in relation to teacher quality and improved student learning, to contribute to continuous program monitoring and to inform the need for and nature of any program adaptations.</w:t>
      </w:r>
    </w:p>
    <w:p w14:paraId="0102FAB0" w14:textId="77777777" w:rsidR="00721C96" w:rsidRPr="0065260C" w:rsidRDefault="00721C96" w:rsidP="00D5339B">
      <w:pPr>
        <w:pageBreakBefore/>
        <w:rPr>
          <w:b/>
          <w:bCs/>
          <w:sz w:val="22"/>
          <w:szCs w:val="22"/>
        </w:rPr>
      </w:pPr>
      <w:r w:rsidRPr="0065260C">
        <w:rPr>
          <w:b/>
          <w:bCs/>
          <w:sz w:val="22"/>
          <w:szCs w:val="22"/>
        </w:rPr>
        <w:lastRenderedPageBreak/>
        <w:t>Recommendations</w:t>
      </w:r>
    </w:p>
    <w:p w14:paraId="13D0C2F5" w14:textId="389AA7BE" w:rsidR="00D12A44" w:rsidRDefault="00D12A44" w:rsidP="00D12A44">
      <w:pPr>
        <w:pStyle w:val="ListParagraph"/>
        <w:numPr>
          <w:ilvl w:val="0"/>
          <w:numId w:val="26"/>
        </w:numPr>
        <w:rPr>
          <w:sz w:val="22"/>
          <w:szCs w:val="22"/>
        </w:rPr>
      </w:pPr>
      <w:r>
        <w:rPr>
          <w:sz w:val="22"/>
          <w:szCs w:val="22"/>
        </w:rPr>
        <w:t xml:space="preserve">Program resourcing </w:t>
      </w:r>
      <w:r w:rsidR="00616DC4">
        <w:rPr>
          <w:sz w:val="22"/>
          <w:szCs w:val="22"/>
        </w:rPr>
        <w:t>–</w:t>
      </w:r>
      <w:r>
        <w:rPr>
          <w:sz w:val="22"/>
          <w:szCs w:val="22"/>
        </w:rPr>
        <w:t xml:space="preserve"> Br</w:t>
      </w:r>
      <w:r w:rsidRPr="00E020A1">
        <w:rPr>
          <w:sz w:val="22"/>
          <w:szCs w:val="22"/>
        </w:rPr>
        <w:t xml:space="preserve">ing forward the </w:t>
      </w:r>
      <w:r>
        <w:rPr>
          <w:sz w:val="22"/>
          <w:szCs w:val="22"/>
        </w:rPr>
        <w:t>Phase 2 budget allocation to the current phase, so that AUD</w:t>
      </w:r>
      <w:r w:rsidRPr="00E020A1">
        <w:rPr>
          <w:sz w:val="22"/>
          <w:szCs w:val="22"/>
        </w:rPr>
        <w:t>75</w:t>
      </w:r>
      <w:r>
        <w:rPr>
          <w:sz w:val="22"/>
          <w:szCs w:val="22"/>
        </w:rPr>
        <w:t xml:space="preserve">m is available for </w:t>
      </w:r>
      <w:r w:rsidR="00446870">
        <w:rPr>
          <w:sz w:val="22"/>
          <w:szCs w:val="22"/>
        </w:rPr>
        <w:t xml:space="preserve">the remaining years of </w:t>
      </w:r>
      <w:r>
        <w:rPr>
          <w:sz w:val="22"/>
          <w:szCs w:val="22"/>
        </w:rPr>
        <w:t>Phase 1.</w:t>
      </w:r>
    </w:p>
    <w:p w14:paraId="3D8C78E2" w14:textId="1F498227" w:rsidR="00D12A44" w:rsidRDefault="00D12A44" w:rsidP="00D12A44">
      <w:pPr>
        <w:pStyle w:val="ListParagraph"/>
        <w:numPr>
          <w:ilvl w:val="0"/>
          <w:numId w:val="26"/>
        </w:numPr>
        <w:rPr>
          <w:sz w:val="22"/>
          <w:szCs w:val="22"/>
        </w:rPr>
      </w:pPr>
      <w:r>
        <w:rPr>
          <w:sz w:val="22"/>
          <w:szCs w:val="22"/>
        </w:rPr>
        <w:t xml:space="preserve">Strategic oversight and governance </w:t>
      </w:r>
      <w:r w:rsidR="00616DC4">
        <w:rPr>
          <w:sz w:val="22"/>
          <w:szCs w:val="22"/>
        </w:rPr>
        <w:t>–</w:t>
      </w:r>
      <w:r>
        <w:rPr>
          <w:sz w:val="22"/>
          <w:szCs w:val="22"/>
        </w:rPr>
        <w:t xml:space="preserve"> Introduce a</w:t>
      </w:r>
      <w:r w:rsidRPr="00306DC8">
        <w:rPr>
          <w:sz w:val="22"/>
          <w:szCs w:val="22"/>
        </w:rPr>
        <w:t xml:space="preserve"> regular external strategic monitoring and advisory function</w:t>
      </w:r>
      <w:r>
        <w:rPr>
          <w:sz w:val="22"/>
          <w:szCs w:val="22"/>
        </w:rPr>
        <w:t>.</w:t>
      </w:r>
    </w:p>
    <w:p w14:paraId="78C2D2E7" w14:textId="2CABB817" w:rsidR="00D12A44" w:rsidRDefault="00D12A44" w:rsidP="00D12A44">
      <w:pPr>
        <w:pStyle w:val="ListParagraph"/>
        <w:numPr>
          <w:ilvl w:val="0"/>
          <w:numId w:val="26"/>
        </w:numPr>
        <w:rPr>
          <w:sz w:val="22"/>
          <w:szCs w:val="22"/>
        </w:rPr>
      </w:pPr>
      <w:r w:rsidRPr="006C3AB0">
        <w:rPr>
          <w:sz w:val="22"/>
          <w:szCs w:val="22"/>
        </w:rPr>
        <w:t xml:space="preserve">Program activity stock-take (and </w:t>
      </w:r>
      <w:r w:rsidR="00C90671" w:rsidRPr="006C3AB0">
        <w:rPr>
          <w:sz w:val="22"/>
          <w:szCs w:val="22"/>
        </w:rPr>
        <w:t>adjustment)</w:t>
      </w:r>
      <w:r w:rsidR="00C90671">
        <w:rPr>
          <w:sz w:val="22"/>
          <w:szCs w:val="22"/>
        </w:rPr>
        <w:t xml:space="preserve"> </w:t>
      </w:r>
      <w:r w:rsidR="00C90671" w:rsidRPr="00616DC4">
        <w:rPr>
          <w:sz w:val="22"/>
          <w:szCs w:val="22"/>
        </w:rPr>
        <w:t>–</w:t>
      </w:r>
      <w:r>
        <w:rPr>
          <w:sz w:val="22"/>
          <w:szCs w:val="22"/>
        </w:rPr>
        <w:t xml:space="preserve"> Undertake a program activity stock-take to decide on appropriate adjustments to program activities to improve effectiveness, efficiency and sustainability.</w:t>
      </w:r>
    </w:p>
    <w:p w14:paraId="5FEFA926" w14:textId="5E85D358" w:rsidR="00D12A44" w:rsidRDefault="00D12A44" w:rsidP="00D12A44">
      <w:pPr>
        <w:pStyle w:val="ListParagraph"/>
        <w:numPr>
          <w:ilvl w:val="0"/>
          <w:numId w:val="26"/>
        </w:numPr>
        <w:rPr>
          <w:sz w:val="22"/>
          <w:szCs w:val="22"/>
        </w:rPr>
      </w:pPr>
      <w:r>
        <w:rPr>
          <w:sz w:val="22"/>
          <w:szCs w:val="22"/>
        </w:rPr>
        <w:t xml:space="preserve">Refine the MERLA framework </w:t>
      </w:r>
      <w:r w:rsidR="00616DC4">
        <w:rPr>
          <w:sz w:val="22"/>
          <w:szCs w:val="22"/>
        </w:rPr>
        <w:t>–</w:t>
      </w:r>
      <w:r>
        <w:rPr>
          <w:sz w:val="22"/>
          <w:szCs w:val="22"/>
        </w:rPr>
        <w:t xml:space="preserve"> Draw on the PIE MES Review and experience to date to refine the MERLA strategy and framework.</w:t>
      </w:r>
    </w:p>
    <w:p w14:paraId="42FA0575" w14:textId="10369C82" w:rsidR="009B72E5" w:rsidRDefault="009B72E5" w:rsidP="00D12A44">
      <w:pPr>
        <w:pStyle w:val="ListParagraph"/>
        <w:numPr>
          <w:ilvl w:val="0"/>
          <w:numId w:val="26"/>
        </w:numPr>
        <w:rPr>
          <w:sz w:val="22"/>
          <w:szCs w:val="22"/>
        </w:rPr>
      </w:pPr>
      <w:bookmarkStart w:id="4" w:name="_Hlk176183058"/>
      <w:r>
        <w:rPr>
          <w:sz w:val="22"/>
          <w:szCs w:val="22"/>
        </w:rPr>
        <w:t>Strengthe</w:t>
      </w:r>
      <w:r w:rsidR="004E7A40">
        <w:rPr>
          <w:sz w:val="22"/>
          <w:szCs w:val="22"/>
        </w:rPr>
        <w:t>n</w:t>
      </w:r>
      <w:r>
        <w:rPr>
          <w:sz w:val="22"/>
          <w:szCs w:val="22"/>
        </w:rPr>
        <w:t xml:space="preserve"> strategic communic</w:t>
      </w:r>
      <w:r w:rsidR="0076057F">
        <w:rPr>
          <w:sz w:val="22"/>
          <w:szCs w:val="22"/>
        </w:rPr>
        <w:t xml:space="preserve">ation </w:t>
      </w:r>
      <w:r w:rsidR="00616DC4">
        <w:rPr>
          <w:sz w:val="22"/>
          <w:szCs w:val="22"/>
        </w:rPr>
        <w:t>–</w:t>
      </w:r>
      <w:r w:rsidR="0076057F">
        <w:rPr>
          <w:sz w:val="22"/>
          <w:szCs w:val="22"/>
        </w:rPr>
        <w:t xml:space="preserve"> I</w:t>
      </w:r>
      <w:r>
        <w:rPr>
          <w:sz w:val="22"/>
          <w:szCs w:val="22"/>
        </w:rPr>
        <w:t xml:space="preserve">ncrease the Program’s collateral and capacity for </w:t>
      </w:r>
      <w:r w:rsidRPr="00CD2C22">
        <w:rPr>
          <w:sz w:val="22"/>
          <w:szCs w:val="22"/>
        </w:rPr>
        <w:t xml:space="preserve">public diplomacy </w:t>
      </w:r>
      <w:r>
        <w:rPr>
          <w:sz w:val="22"/>
          <w:szCs w:val="22"/>
        </w:rPr>
        <w:t>and polic</w:t>
      </w:r>
      <w:r w:rsidRPr="00CD2C22">
        <w:rPr>
          <w:sz w:val="22"/>
          <w:szCs w:val="22"/>
        </w:rPr>
        <w:t>y influence</w:t>
      </w:r>
      <w:r w:rsidR="004E7A40">
        <w:rPr>
          <w:sz w:val="22"/>
          <w:szCs w:val="22"/>
        </w:rPr>
        <w:t>.</w:t>
      </w:r>
    </w:p>
    <w:bookmarkEnd w:id="4"/>
    <w:p w14:paraId="0E2F3C31" w14:textId="7F7B0698" w:rsidR="00D12A44" w:rsidRDefault="00D12A44" w:rsidP="00D12A44">
      <w:pPr>
        <w:pStyle w:val="ListParagraph"/>
        <w:numPr>
          <w:ilvl w:val="0"/>
          <w:numId w:val="26"/>
        </w:numPr>
        <w:rPr>
          <w:sz w:val="22"/>
          <w:szCs w:val="22"/>
        </w:rPr>
      </w:pPr>
      <w:r w:rsidRPr="00437589">
        <w:rPr>
          <w:sz w:val="22"/>
          <w:szCs w:val="22"/>
        </w:rPr>
        <w:t>Adjust current provincial engagement</w:t>
      </w:r>
      <w:r>
        <w:rPr>
          <w:sz w:val="22"/>
          <w:szCs w:val="22"/>
        </w:rPr>
        <w:t xml:space="preserve"> </w:t>
      </w:r>
      <w:r w:rsidR="00616DC4">
        <w:rPr>
          <w:sz w:val="22"/>
          <w:szCs w:val="22"/>
        </w:rPr>
        <w:t>–</w:t>
      </w:r>
      <w:r>
        <w:rPr>
          <w:sz w:val="22"/>
          <w:szCs w:val="22"/>
        </w:rPr>
        <w:t xml:space="preserve"> Review progress to date and prioritise next steps in each of the four </w:t>
      </w:r>
      <w:r w:rsidR="00475559">
        <w:rPr>
          <w:sz w:val="22"/>
          <w:szCs w:val="22"/>
        </w:rPr>
        <w:t>locations</w:t>
      </w:r>
      <w:r w:rsidR="004555DB">
        <w:rPr>
          <w:sz w:val="22"/>
          <w:szCs w:val="22"/>
        </w:rPr>
        <w:t xml:space="preserve"> to account for local context and priorities, and progress and learning to date</w:t>
      </w:r>
      <w:r>
        <w:rPr>
          <w:sz w:val="22"/>
          <w:szCs w:val="22"/>
        </w:rPr>
        <w:t>.</w:t>
      </w:r>
    </w:p>
    <w:p w14:paraId="30B9F819" w14:textId="01E2140C" w:rsidR="00D12A44" w:rsidRPr="00E020A1" w:rsidRDefault="00D12A44" w:rsidP="00D12A44">
      <w:pPr>
        <w:pStyle w:val="ListParagraph"/>
        <w:numPr>
          <w:ilvl w:val="0"/>
          <w:numId w:val="26"/>
        </w:numPr>
        <w:rPr>
          <w:sz w:val="22"/>
          <w:szCs w:val="22"/>
        </w:rPr>
      </w:pPr>
      <w:r w:rsidRPr="003C64A8">
        <w:rPr>
          <w:sz w:val="22"/>
          <w:szCs w:val="22"/>
        </w:rPr>
        <w:t>Geographic expansion</w:t>
      </w:r>
      <w:r>
        <w:rPr>
          <w:sz w:val="22"/>
          <w:szCs w:val="22"/>
        </w:rPr>
        <w:t xml:space="preserve"> – PIE should not proceed to a </w:t>
      </w:r>
      <w:r w:rsidRPr="0023030F">
        <w:rPr>
          <w:sz w:val="22"/>
          <w:szCs w:val="22"/>
        </w:rPr>
        <w:t>5th province</w:t>
      </w:r>
      <w:r>
        <w:rPr>
          <w:sz w:val="22"/>
          <w:szCs w:val="22"/>
        </w:rPr>
        <w:t xml:space="preserve"> in the short term</w:t>
      </w:r>
      <w:r w:rsidR="00F71DFF">
        <w:rPr>
          <w:sz w:val="22"/>
          <w:szCs w:val="22"/>
        </w:rPr>
        <w:t>. Rather</w:t>
      </w:r>
      <w:r w:rsidR="00CF4E35">
        <w:rPr>
          <w:sz w:val="22"/>
          <w:szCs w:val="22"/>
        </w:rPr>
        <w:t>,</w:t>
      </w:r>
      <w:r w:rsidR="00E80367">
        <w:rPr>
          <w:sz w:val="22"/>
          <w:szCs w:val="22"/>
        </w:rPr>
        <w:t xml:space="preserve"> expansion to other provinces </w:t>
      </w:r>
      <w:r w:rsidR="00402415">
        <w:rPr>
          <w:sz w:val="22"/>
          <w:szCs w:val="22"/>
        </w:rPr>
        <w:t xml:space="preserve">should be driven by GoPNG, with </w:t>
      </w:r>
      <w:r w:rsidR="001E708E">
        <w:rPr>
          <w:sz w:val="22"/>
          <w:szCs w:val="22"/>
        </w:rPr>
        <w:t>PI</w:t>
      </w:r>
      <w:r w:rsidR="00402415">
        <w:rPr>
          <w:sz w:val="22"/>
          <w:szCs w:val="22"/>
        </w:rPr>
        <w:t>E support</w:t>
      </w:r>
      <w:r w:rsidR="001E708E">
        <w:rPr>
          <w:sz w:val="22"/>
          <w:szCs w:val="22"/>
        </w:rPr>
        <w:t xml:space="preserve">, informed by a </w:t>
      </w:r>
      <w:r w:rsidR="006A2F5C">
        <w:rPr>
          <w:sz w:val="22"/>
          <w:szCs w:val="22"/>
        </w:rPr>
        <w:t>longer-term</w:t>
      </w:r>
      <w:r>
        <w:rPr>
          <w:sz w:val="22"/>
          <w:szCs w:val="22"/>
        </w:rPr>
        <w:t xml:space="preserve"> plan for </w:t>
      </w:r>
      <w:r w:rsidR="00D5339B">
        <w:rPr>
          <w:sz w:val="22"/>
          <w:szCs w:val="22"/>
        </w:rPr>
        <w:t>expansion and</w:t>
      </w:r>
      <w:r w:rsidR="00DA3DDD">
        <w:rPr>
          <w:sz w:val="22"/>
          <w:szCs w:val="22"/>
        </w:rPr>
        <w:t xml:space="preserve"> </w:t>
      </w:r>
      <w:r>
        <w:rPr>
          <w:sz w:val="22"/>
          <w:szCs w:val="22"/>
        </w:rPr>
        <w:t>consultation with other partners, including the World Bank.</w:t>
      </w:r>
    </w:p>
    <w:p w14:paraId="23816D80" w14:textId="77777777" w:rsidR="00B02DFA" w:rsidRDefault="00B02DFA" w:rsidP="00211EAF">
      <w:pPr>
        <w:rPr>
          <w:sz w:val="22"/>
          <w:szCs w:val="22"/>
        </w:rPr>
      </w:pPr>
    </w:p>
    <w:p w14:paraId="4A4CFBFF" w14:textId="77777777" w:rsidR="00721C96" w:rsidRDefault="00721C96" w:rsidP="00211EAF">
      <w:pPr>
        <w:rPr>
          <w:sz w:val="22"/>
          <w:szCs w:val="22"/>
        </w:rPr>
      </w:pPr>
    </w:p>
    <w:p w14:paraId="45ABCF1E" w14:textId="77777777" w:rsidR="00721C96" w:rsidRDefault="00721C96" w:rsidP="00211EAF">
      <w:pPr>
        <w:rPr>
          <w:sz w:val="22"/>
          <w:szCs w:val="22"/>
        </w:rPr>
      </w:pPr>
    </w:p>
    <w:p w14:paraId="76BCA704" w14:textId="77777777" w:rsidR="00B02DFA" w:rsidRPr="00211EAF" w:rsidRDefault="00B02DFA" w:rsidP="00211EAF">
      <w:pPr>
        <w:rPr>
          <w:sz w:val="22"/>
          <w:szCs w:val="22"/>
        </w:rPr>
      </w:pPr>
    </w:p>
    <w:p w14:paraId="4ABCDB40" w14:textId="5C0E28C3" w:rsidR="00337382" w:rsidRPr="0067009A" w:rsidRDefault="00D74E33" w:rsidP="0065260C">
      <w:pPr>
        <w:pStyle w:val="Heading1"/>
        <w:pageBreakBefore/>
        <w:ind w:left="425" w:hanging="425"/>
      </w:pPr>
      <w:bookmarkStart w:id="5" w:name="_Toc180756317"/>
      <w:r>
        <w:t>Purpose</w:t>
      </w:r>
      <w:bookmarkEnd w:id="5"/>
    </w:p>
    <w:p w14:paraId="63270209" w14:textId="46C0BFE2" w:rsidR="00093948" w:rsidRDefault="00337382" w:rsidP="00337382">
      <w:pPr>
        <w:rPr>
          <w:sz w:val="22"/>
          <w:szCs w:val="22"/>
        </w:rPr>
      </w:pPr>
      <w:r w:rsidRPr="00C8460B">
        <w:rPr>
          <w:sz w:val="22"/>
          <w:szCs w:val="22"/>
        </w:rPr>
        <w:t>Th</w:t>
      </w:r>
      <w:r w:rsidR="008C37D8">
        <w:rPr>
          <w:sz w:val="22"/>
          <w:szCs w:val="22"/>
        </w:rPr>
        <w:t xml:space="preserve">is </w:t>
      </w:r>
      <w:r w:rsidR="00B23162">
        <w:rPr>
          <w:sz w:val="22"/>
          <w:szCs w:val="22"/>
        </w:rPr>
        <w:t xml:space="preserve">report </w:t>
      </w:r>
      <w:r w:rsidR="004163D8">
        <w:rPr>
          <w:sz w:val="22"/>
          <w:szCs w:val="22"/>
        </w:rPr>
        <w:t xml:space="preserve">is a response to </w:t>
      </w:r>
      <w:r w:rsidR="00F84064">
        <w:rPr>
          <w:sz w:val="22"/>
          <w:szCs w:val="22"/>
        </w:rPr>
        <w:t xml:space="preserve">a </w:t>
      </w:r>
      <w:r w:rsidR="004163D8">
        <w:rPr>
          <w:sz w:val="22"/>
          <w:szCs w:val="22"/>
        </w:rPr>
        <w:t>DFAT P</w:t>
      </w:r>
      <w:r w:rsidR="00527C3A">
        <w:rPr>
          <w:sz w:val="22"/>
          <w:szCs w:val="22"/>
        </w:rPr>
        <w:t>ort Moresby</w:t>
      </w:r>
      <w:r w:rsidR="004163D8">
        <w:rPr>
          <w:sz w:val="22"/>
          <w:szCs w:val="22"/>
        </w:rPr>
        <w:t xml:space="preserve"> </w:t>
      </w:r>
      <w:r w:rsidR="00F84064">
        <w:rPr>
          <w:sz w:val="22"/>
          <w:szCs w:val="22"/>
        </w:rPr>
        <w:t xml:space="preserve">request to conduct an Independent Progress Review of the </w:t>
      </w:r>
      <w:r w:rsidR="00F84064" w:rsidRPr="00C90671">
        <w:rPr>
          <w:i/>
          <w:iCs/>
          <w:sz w:val="22"/>
          <w:szCs w:val="22"/>
        </w:rPr>
        <w:t>Partnerships for Improving Education (PIE)</w:t>
      </w:r>
      <w:r w:rsidR="00F84064">
        <w:rPr>
          <w:sz w:val="22"/>
          <w:szCs w:val="22"/>
        </w:rPr>
        <w:t xml:space="preserve"> Program</w:t>
      </w:r>
      <w:r w:rsidR="00AA4564">
        <w:rPr>
          <w:sz w:val="22"/>
          <w:szCs w:val="22"/>
        </w:rPr>
        <w:t xml:space="preserve">. </w:t>
      </w:r>
      <w:r w:rsidR="00384BE5" w:rsidRPr="00384BE5">
        <w:rPr>
          <w:sz w:val="22"/>
          <w:szCs w:val="22"/>
        </w:rPr>
        <w:t>The primary audience for this review is DFAT P</w:t>
      </w:r>
      <w:r w:rsidR="00527C3A">
        <w:rPr>
          <w:sz w:val="22"/>
          <w:szCs w:val="22"/>
        </w:rPr>
        <w:t>ort Moresby and Canberra</w:t>
      </w:r>
      <w:r w:rsidR="00384BE5" w:rsidRPr="00384BE5">
        <w:rPr>
          <w:sz w:val="22"/>
          <w:szCs w:val="22"/>
        </w:rPr>
        <w:t xml:space="preserve">. </w:t>
      </w:r>
      <w:r w:rsidR="00384BE5">
        <w:rPr>
          <w:sz w:val="22"/>
          <w:szCs w:val="22"/>
        </w:rPr>
        <w:t xml:space="preserve"> </w:t>
      </w:r>
    </w:p>
    <w:p w14:paraId="2C7D4D89" w14:textId="6ABDD3C3" w:rsidR="002C4760" w:rsidRPr="00F41862" w:rsidRDefault="00211EAF" w:rsidP="0065260C">
      <w:pPr>
        <w:pStyle w:val="Heading1"/>
        <w:keepNext/>
        <w:ind w:left="425" w:hanging="425"/>
      </w:pPr>
      <w:bookmarkStart w:id="6" w:name="_Toc180756318"/>
      <w:r>
        <w:t>Review Process</w:t>
      </w:r>
      <w:bookmarkEnd w:id="6"/>
    </w:p>
    <w:p w14:paraId="53275AB5" w14:textId="2A353B1A" w:rsidR="00A05154" w:rsidRDefault="00A05154" w:rsidP="00A05154">
      <w:pPr>
        <w:rPr>
          <w:sz w:val="22"/>
          <w:szCs w:val="22"/>
        </w:rPr>
      </w:pPr>
      <w:r>
        <w:rPr>
          <w:sz w:val="22"/>
          <w:szCs w:val="22"/>
        </w:rPr>
        <w:t xml:space="preserve">The DFAT Tasking Note for this Independent Progress Review </w:t>
      </w:r>
      <w:r w:rsidR="007D0701">
        <w:rPr>
          <w:sz w:val="22"/>
          <w:szCs w:val="22"/>
        </w:rPr>
        <w:t>proposed</w:t>
      </w:r>
      <w:r w:rsidR="00976038">
        <w:rPr>
          <w:sz w:val="22"/>
          <w:szCs w:val="22"/>
        </w:rPr>
        <w:t xml:space="preserve">: </w:t>
      </w:r>
    </w:p>
    <w:p w14:paraId="68916E60" w14:textId="77777777" w:rsidR="00A05154" w:rsidRPr="00CC36B7" w:rsidRDefault="00A05154" w:rsidP="00B14AF6">
      <w:pPr>
        <w:pStyle w:val="ListParagraph"/>
        <w:numPr>
          <w:ilvl w:val="0"/>
          <w:numId w:val="31"/>
        </w:numPr>
        <w:ind w:left="709" w:hanging="426"/>
        <w:rPr>
          <w:i/>
          <w:iCs/>
          <w:sz w:val="22"/>
          <w:szCs w:val="22"/>
        </w:rPr>
      </w:pPr>
      <w:r w:rsidRPr="00CC36B7">
        <w:rPr>
          <w:i/>
          <w:iCs/>
          <w:sz w:val="22"/>
          <w:szCs w:val="22"/>
        </w:rPr>
        <w:t xml:space="preserve">A formative (year 2) review of PIE will enable DFAT to understand what changes may need to be actioned to ensure PIE’s long-term success (and sustainability) and to inform DFAT considerations for future PIE phases and resourcing. </w:t>
      </w:r>
    </w:p>
    <w:p w14:paraId="2E44461F" w14:textId="1B1D2296" w:rsidR="00A05154" w:rsidRPr="00B5212F" w:rsidRDefault="00A05154" w:rsidP="00592329">
      <w:pPr>
        <w:pStyle w:val="ListParagraph"/>
        <w:numPr>
          <w:ilvl w:val="0"/>
          <w:numId w:val="31"/>
        </w:numPr>
        <w:ind w:left="709" w:hanging="426"/>
        <w:rPr>
          <w:i/>
          <w:iCs/>
          <w:sz w:val="22"/>
          <w:szCs w:val="22"/>
        </w:rPr>
      </w:pPr>
      <w:r w:rsidRPr="00B5212F">
        <w:rPr>
          <w:i/>
          <w:iCs/>
          <w:sz w:val="22"/>
          <w:szCs w:val="22"/>
        </w:rPr>
        <w:t>The overall review will have three separate but compl</w:t>
      </w:r>
      <w:r w:rsidR="00DC0D8D">
        <w:rPr>
          <w:i/>
          <w:iCs/>
          <w:sz w:val="22"/>
          <w:szCs w:val="22"/>
        </w:rPr>
        <w:t>e</w:t>
      </w:r>
      <w:r w:rsidRPr="00B5212F">
        <w:rPr>
          <w:i/>
          <w:iCs/>
          <w:sz w:val="22"/>
          <w:szCs w:val="22"/>
        </w:rPr>
        <w:t>mentary components:</w:t>
      </w:r>
    </w:p>
    <w:p w14:paraId="0C42E6A9" w14:textId="77777777" w:rsidR="00A05154" w:rsidRPr="00C9072B" w:rsidRDefault="00A05154" w:rsidP="00592329">
      <w:pPr>
        <w:pStyle w:val="ListParagraph"/>
        <w:numPr>
          <w:ilvl w:val="1"/>
          <w:numId w:val="32"/>
        </w:numPr>
        <w:tabs>
          <w:tab w:val="left" w:pos="1134"/>
        </w:tabs>
        <w:ind w:left="1134" w:hanging="284"/>
        <w:rPr>
          <w:i/>
          <w:iCs/>
          <w:sz w:val="22"/>
          <w:szCs w:val="22"/>
        </w:rPr>
      </w:pPr>
      <w:r w:rsidRPr="00B5212F">
        <w:rPr>
          <w:i/>
          <w:iCs/>
          <w:sz w:val="22"/>
          <w:szCs w:val="22"/>
        </w:rPr>
        <w:t>Cost benefit analysis of interventions impacting on student learning (Human Development Monitoring and Evaluation Services (HDMES</w:t>
      </w:r>
      <w:r w:rsidRPr="00B5212F">
        <w:rPr>
          <w:sz w:val="22"/>
          <w:szCs w:val="22"/>
        </w:rPr>
        <w:t>))</w:t>
      </w:r>
      <w:r>
        <w:rPr>
          <w:sz w:val="22"/>
          <w:szCs w:val="22"/>
        </w:rPr>
        <w:t xml:space="preserve">. </w:t>
      </w:r>
    </w:p>
    <w:p w14:paraId="3C2B55B1" w14:textId="77777777" w:rsidR="00A05154" w:rsidRDefault="00A05154" w:rsidP="00592329">
      <w:pPr>
        <w:pStyle w:val="ListParagraph"/>
        <w:numPr>
          <w:ilvl w:val="1"/>
          <w:numId w:val="32"/>
        </w:numPr>
        <w:tabs>
          <w:tab w:val="left" w:pos="1134"/>
        </w:tabs>
        <w:ind w:left="1134" w:hanging="284"/>
        <w:rPr>
          <w:i/>
          <w:iCs/>
          <w:sz w:val="22"/>
          <w:szCs w:val="22"/>
        </w:rPr>
      </w:pPr>
      <w:r w:rsidRPr="00B5212F">
        <w:rPr>
          <w:i/>
          <w:iCs/>
          <w:sz w:val="22"/>
          <w:szCs w:val="22"/>
        </w:rPr>
        <w:t>Review (check) of the M&amp;E System (HDMES)</w:t>
      </w:r>
      <w:r>
        <w:rPr>
          <w:i/>
          <w:iCs/>
          <w:sz w:val="22"/>
          <w:szCs w:val="22"/>
        </w:rPr>
        <w:t>.</w:t>
      </w:r>
    </w:p>
    <w:p w14:paraId="7697DD0F" w14:textId="4D45D635" w:rsidR="00A05154" w:rsidRPr="00B5212F" w:rsidRDefault="00A05154" w:rsidP="00592329">
      <w:pPr>
        <w:pStyle w:val="ListParagraph"/>
        <w:numPr>
          <w:ilvl w:val="1"/>
          <w:numId w:val="32"/>
        </w:numPr>
        <w:tabs>
          <w:tab w:val="left" w:pos="1134"/>
        </w:tabs>
        <w:ind w:left="1134" w:hanging="284"/>
        <w:rPr>
          <w:i/>
          <w:iCs/>
          <w:sz w:val="22"/>
          <w:szCs w:val="22"/>
        </w:rPr>
      </w:pPr>
      <w:r w:rsidRPr="00B5212F">
        <w:rPr>
          <w:i/>
          <w:iCs/>
          <w:sz w:val="22"/>
          <w:szCs w:val="22"/>
        </w:rPr>
        <w:t xml:space="preserve">Strategic Overview: Theory of Change review, responses to the Key Review Questions including assumptions, risks and resource concerns. In addition to a desk review and in-country consultations, the final report will draw on findings from component i) and ii) to answer Key Review Questions and make recommendations to DFAT on resourcing, timing, any future programmatic shifts and further analysis required.  </w:t>
      </w:r>
    </w:p>
    <w:p w14:paraId="0FF3709A" w14:textId="19857215" w:rsidR="0013073A" w:rsidRDefault="0013073A" w:rsidP="00B14AF6">
      <w:pPr>
        <w:rPr>
          <w:sz w:val="22"/>
          <w:szCs w:val="22"/>
        </w:rPr>
      </w:pPr>
      <w:r>
        <w:rPr>
          <w:sz w:val="22"/>
          <w:szCs w:val="22"/>
        </w:rPr>
        <w:t xml:space="preserve">The </w:t>
      </w:r>
      <w:r w:rsidR="00280F46">
        <w:rPr>
          <w:sz w:val="22"/>
          <w:szCs w:val="22"/>
        </w:rPr>
        <w:t>Independent Progress R</w:t>
      </w:r>
      <w:r>
        <w:rPr>
          <w:sz w:val="22"/>
          <w:szCs w:val="22"/>
        </w:rPr>
        <w:t xml:space="preserve">eview </w:t>
      </w:r>
      <w:r w:rsidR="00280F46">
        <w:rPr>
          <w:sz w:val="22"/>
          <w:szCs w:val="22"/>
        </w:rPr>
        <w:t xml:space="preserve">(Strategic Overview) </w:t>
      </w:r>
      <w:r>
        <w:rPr>
          <w:sz w:val="22"/>
          <w:szCs w:val="22"/>
        </w:rPr>
        <w:t>was undertaken by Robert Randall</w:t>
      </w:r>
      <w:r w:rsidR="00CC36B7">
        <w:rPr>
          <w:sz w:val="22"/>
          <w:szCs w:val="22"/>
        </w:rPr>
        <w:t>, engaged on behalf of DFAT by the Strategic Development Group</w:t>
      </w:r>
      <w:r w:rsidR="00280F46">
        <w:rPr>
          <w:sz w:val="22"/>
          <w:szCs w:val="22"/>
        </w:rPr>
        <w:t>.</w:t>
      </w:r>
    </w:p>
    <w:p w14:paraId="7E71B7AD" w14:textId="506AFA12" w:rsidR="00592329" w:rsidRDefault="00100DB1" w:rsidP="00592329">
      <w:pPr>
        <w:keepNext/>
        <w:spacing w:after="0"/>
        <w:rPr>
          <w:sz w:val="22"/>
          <w:szCs w:val="22"/>
        </w:rPr>
      </w:pPr>
      <w:r w:rsidRPr="00592329">
        <w:rPr>
          <w:sz w:val="22"/>
          <w:szCs w:val="22"/>
        </w:rPr>
        <w:t xml:space="preserve">The </w:t>
      </w:r>
      <w:r w:rsidR="00280F46">
        <w:rPr>
          <w:sz w:val="22"/>
          <w:szCs w:val="22"/>
        </w:rPr>
        <w:t>R</w:t>
      </w:r>
      <w:r w:rsidRPr="00592329">
        <w:rPr>
          <w:sz w:val="22"/>
          <w:szCs w:val="22"/>
        </w:rPr>
        <w:t xml:space="preserve">eview </w:t>
      </w:r>
      <w:r>
        <w:rPr>
          <w:sz w:val="22"/>
          <w:szCs w:val="22"/>
        </w:rPr>
        <w:t>too</w:t>
      </w:r>
      <w:r w:rsidR="00592329">
        <w:rPr>
          <w:sz w:val="22"/>
          <w:szCs w:val="22"/>
        </w:rPr>
        <w:t>k</w:t>
      </w:r>
      <w:r w:rsidRPr="00592329">
        <w:rPr>
          <w:sz w:val="22"/>
          <w:szCs w:val="22"/>
        </w:rPr>
        <w:t xml:space="preserve"> place between 29 July and 30 August</w:t>
      </w:r>
      <w:r w:rsidR="00527C3A">
        <w:rPr>
          <w:sz w:val="22"/>
          <w:szCs w:val="22"/>
        </w:rPr>
        <w:t xml:space="preserve"> 2024</w:t>
      </w:r>
      <w:r w:rsidRPr="00592329">
        <w:rPr>
          <w:sz w:val="22"/>
          <w:szCs w:val="22"/>
        </w:rPr>
        <w:t>.</w:t>
      </w:r>
      <w:r w:rsidR="00592329">
        <w:rPr>
          <w:sz w:val="22"/>
          <w:szCs w:val="22"/>
        </w:rPr>
        <w:t xml:space="preserve"> It involved:</w:t>
      </w:r>
    </w:p>
    <w:p w14:paraId="60418427" w14:textId="539E634F" w:rsidR="00592329" w:rsidRDefault="00592329" w:rsidP="00592329">
      <w:pPr>
        <w:pStyle w:val="ListParagraph"/>
        <w:keepNext/>
        <w:numPr>
          <w:ilvl w:val="0"/>
          <w:numId w:val="33"/>
        </w:numPr>
        <w:rPr>
          <w:sz w:val="22"/>
          <w:szCs w:val="22"/>
        </w:rPr>
      </w:pPr>
      <w:r w:rsidRPr="00592329">
        <w:rPr>
          <w:sz w:val="22"/>
          <w:szCs w:val="22"/>
        </w:rPr>
        <w:t xml:space="preserve">a </w:t>
      </w:r>
      <w:r w:rsidR="00527C3A">
        <w:rPr>
          <w:sz w:val="22"/>
          <w:szCs w:val="22"/>
        </w:rPr>
        <w:t xml:space="preserve">desk </w:t>
      </w:r>
      <w:r w:rsidR="00100DB1" w:rsidRPr="00592329">
        <w:rPr>
          <w:sz w:val="22"/>
          <w:szCs w:val="22"/>
        </w:rPr>
        <w:t xml:space="preserve">review of documents provided by </w:t>
      </w:r>
      <w:r w:rsidR="00527C3A">
        <w:rPr>
          <w:sz w:val="22"/>
          <w:szCs w:val="22"/>
        </w:rPr>
        <w:t xml:space="preserve">Port Moresby </w:t>
      </w:r>
      <w:r w:rsidR="00100DB1" w:rsidRPr="00592329">
        <w:rPr>
          <w:sz w:val="22"/>
          <w:szCs w:val="22"/>
        </w:rPr>
        <w:t>Post</w:t>
      </w:r>
    </w:p>
    <w:p w14:paraId="62D62FB4" w14:textId="77777777" w:rsidR="00592329" w:rsidRDefault="00100DB1" w:rsidP="00592329">
      <w:pPr>
        <w:pStyle w:val="ListParagraph"/>
        <w:keepNext/>
        <w:numPr>
          <w:ilvl w:val="0"/>
          <w:numId w:val="33"/>
        </w:numPr>
        <w:rPr>
          <w:sz w:val="22"/>
          <w:szCs w:val="22"/>
        </w:rPr>
      </w:pPr>
      <w:r w:rsidRPr="00592329">
        <w:rPr>
          <w:sz w:val="22"/>
          <w:szCs w:val="22"/>
        </w:rPr>
        <w:t>initial (remote) interviews with key stakeholders</w:t>
      </w:r>
    </w:p>
    <w:p w14:paraId="77802727" w14:textId="77709D45" w:rsidR="00592329" w:rsidRDefault="00592329" w:rsidP="00592329">
      <w:pPr>
        <w:pStyle w:val="ListParagraph"/>
        <w:keepNext/>
        <w:numPr>
          <w:ilvl w:val="0"/>
          <w:numId w:val="33"/>
        </w:numPr>
        <w:rPr>
          <w:sz w:val="22"/>
          <w:szCs w:val="22"/>
        </w:rPr>
      </w:pPr>
      <w:r w:rsidRPr="009B6489">
        <w:rPr>
          <w:sz w:val="22"/>
          <w:szCs w:val="22"/>
        </w:rPr>
        <w:t>in-country interviews / workshops with key stakeholders</w:t>
      </w:r>
    </w:p>
    <w:p w14:paraId="050468FD" w14:textId="39507379" w:rsidR="00100DB1" w:rsidRPr="00592329" w:rsidRDefault="00100DB1" w:rsidP="00592329">
      <w:pPr>
        <w:pStyle w:val="ListParagraph"/>
        <w:keepNext/>
        <w:numPr>
          <w:ilvl w:val="0"/>
          <w:numId w:val="33"/>
        </w:numPr>
        <w:rPr>
          <w:sz w:val="22"/>
          <w:szCs w:val="22"/>
        </w:rPr>
      </w:pPr>
      <w:r w:rsidRPr="00592329">
        <w:rPr>
          <w:sz w:val="22"/>
          <w:szCs w:val="22"/>
        </w:rPr>
        <w:t>regular meetings with the client (DFAT POM).</w:t>
      </w:r>
    </w:p>
    <w:p w14:paraId="551D023A" w14:textId="3AC67444" w:rsidR="00A43307" w:rsidRPr="00863D5E" w:rsidRDefault="0067009A" w:rsidP="00721C96">
      <w:pPr>
        <w:pStyle w:val="Heading1"/>
        <w:keepNext/>
        <w:ind w:left="425" w:hanging="425"/>
      </w:pPr>
      <w:bookmarkStart w:id="7" w:name="_Toc180756319"/>
      <w:r w:rsidRPr="00863D5E">
        <w:t>Context</w:t>
      </w:r>
      <w:bookmarkEnd w:id="7"/>
    </w:p>
    <w:p w14:paraId="05C109BC" w14:textId="28B8013D" w:rsidR="0022571C" w:rsidRDefault="00584C7B" w:rsidP="00ED63EE">
      <w:pPr>
        <w:rPr>
          <w:sz w:val="22"/>
          <w:szCs w:val="22"/>
        </w:rPr>
      </w:pPr>
      <w:r w:rsidRPr="00584C7B">
        <w:rPr>
          <w:sz w:val="22"/>
          <w:szCs w:val="22"/>
        </w:rPr>
        <w:t xml:space="preserve">Partnerships for Improving Education (PIE) is an 8-year investment (2022-29) partnering with the Government of PNG to improve inclusive access to, and quality delivery of, early grades education (Prep to Grade 2). PIE is </w:t>
      </w:r>
      <w:r w:rsidR="0022571C">
        <w:rPr>
          <w:sz w:val="22"/>
          <w:szCs w:val="22"/>
        </w:rPr>
        <w:t>working</w:t>
      </w:r>
      <w:r w:rsidRPr="00584C7B">
        <w:rPr>
          <w:sz w:val="22"/>
          <w:szCs w:val="22"/>
        </w:rPr>
        <w:t xml:space="preserve"> in four locations representative of the four regions of PNG: Enga, Sandaun and Central provinces and the Autonomous Region of Bougainville (ARoB). The program partners with National Department of Education (NDoE), Provincial Divisions of Education (PDoE) and Bougainville Department of Education (BDoE) to deliver on PNG’s National Education Plan (NEP). Th</w:t>
      </w:r>
      <w:r w:rsidR="00B83F42">
        <w:rPr>
          <w:sz w:val="22"/>
          <w:szCs w:val="22"/>
        </w:rPr>
        <w:t xml:space="preserve">e Program </w:t>
      </w:r>
      <w:r w:rsidRPr="00584C7B">
        <w:rPr>
          <w:sz w:val="22"/>
          <w:szCs w:val="22"/>
        </w:rPr>
        <w:t>follows a ‘working with’ partner governments approach to encourage participation and sustainability.</w:t>
      </w:r>
    </w:p>
    <w:p w14:paraId="3C238BBE" w14:textId="33085D08" w:rsidR="00834CD4" w:rsidRDefault="00834CD4" w:rsidP="00ED63EE">
      <w:pPr>
        <w:rPr>
          <w:sz w:val="22"/>
          <w:szCs w:val="22"/>
        </w:rPr>
      </w:pPr>
      <w:r>
        <w:rPr>
          <w:sz w:val="22"/>
          <w:szCs w:val="22"/>
        </w:rPr>
        <w:t xml:space="preserve">PIE follows and builds on </w:t>
      </w:r>
      <w:r w:rsidR="008B5334">
        <w:rPr>
          <w:sz w:val="22"/>
          <w:szCs w:val="22"/>
        </w:rPr>
        <w:t>the PNG Partnership Fund (PPF)</w:t>
      </w:r>
      <w:r w:rsidR="00612F73">
        <w:rPr>
          <w:sz w:val="22"/>
          <w:szCs w:val="22"/>
        </w:rPr>
        <w:t xml:space="preserve"> and works </w:t>
      </w:r>
      <w:r w:rsidR="00951396">
        <w:rPr>
          <w:sz w:val="22"/>
          <w:szCs w:val="22"/>
        </w:rPr>
        <w:t>closely with the World Bank</w:t>
      </w:r>
      <w:r w:rsidR="00136A02">
        <w:rPr>
          <w:sz w:val="22"/>
          <w:szCs w:val="22"/>
        </w:rPr>
        <w:t xml:space="preserve">’s </w:t>
      </w:r>
      <w:r w:rsidR="00217A96" w:rsidRPr="00217A96">
        <w:rPr>
          <w:sz w:val="22"/>
          <w:szCs w:val="22"/>
        </w:rPr>
        <w:t>Programmatic Advisory Services and Analytics</w:t>
      </w:r>
      <w:r w:rsidR="00217A96">
        <w:rPr>
          <w:sz w:val="22"/>
          <w:szCs w:val="22"/>
        </w:rPr>
        <w:t xml:space="preserve"> (PASA) facility.</w:t>
      </w:r>
      <w:r w:rsidR="00951396">
        <w:rPr>
          <w:sz w:val="22"/>
          <w:szCs w:val="22"/>
        </w:rPr>
        <w:t xml:space="preserve"> </w:t>
      </w:r>
      <w:r w:rsidR="00612F73">
        <w:rPr>
          <w:sz w:val="22"/>
          <w:szCs w:val="22"/>
        </w:rPr>
        <w:t xml:space="preserve"> </w:t>
      </w:r>
    </w:p>
    <w:p w14:paraId="0350F6E1" w14:textId="77777777" w:rsidR="001D31AE" w:rsidRPr="00863D5E" w:rsidRDefault="008312A4" w:rsidP="00863D5E">
      <w:pPr>
        <w:pStyle w:val="Heading2"/>
      </w:pPr>
      <w:bookmarkStart w:id="8" w:name="_Toc180756320"/>
      <w:r w:rsidRPr="00863D5E">
        <w:t xml:space="preserve">From design to </w:t>
      </w:r>
      <w:r w:rsidR="001D31AE" w:rsidRPr="00863D5E">
        <w:t>engagement</w:t>
      </w:r>
      <w:bookmarkEnd w:id="8"/>
    </w:p>
    <w:p w14:paraId="7A76E976" w14:textId="088A15A4" w:rsidR="00CC70B2" w:rsidRPr="00F94D53" w:rsidRDefault="00CC70B2" w:rsidP="00CC70B2">
      <w:pPr>
        <w:pStyle w:val="ListParagraph"/>
        <w:numPr>
          <w:ilvl w:val="0"/>
          <w:numId w:val="34"/>
        </w:numPr>
        <w:spacing w:before="120" w:after="120"/>
        <w:rPr>
          <w:i/>
          <w:iCs/>
          <w:color w:val="0070C0"/>
          <w:sz w:val="22"/>
          <w:szCs w:val="22"/>
        </w:rPr>
      </w:pPr>
      <w:r w:rsidRPr="00F94D53">
        <w:rPr>
          <w:i/>
          <w:iCs/>
          <w:color w:val="0070C0"/>
          <w:sz w:val="22"/>
          <w:szCs w:val="22"/>
        </w:rPr>
        <w:t xml:space="preserve">From the outset the program was severely challenged to deliver the expected outcomes – there were two more provinces than originally envisaged </w:t>
      </w:r>
      <w:r>
        <w:rPr>
          <w:i/>
          <w:iCs/>
          <w:color w:val="0070C0"/>
          <w:sz w:val="22"/>
          <w:szCs w:val="22"/>
        </w:rPr>
        <w:t xml:space="preserve">in the </w:t>
      </w:r>
      <w:r w:rsidRPr="00F94D53">
        <w:rPr>
          <w:i/>
          <w:iCs/>
          <w:color w:val="0070C0"/>
          <w:sz w:val="22"/>
          <w:szCs w:val="22"/>
        </w:rPr>
        <w:t xml:space="preserve">design and no change to the budget; and, over time it has become apparent that the program needed to </w:t>
      </w:r>
      <w:r>
        <w:rPr>
          <w:i/>
          <w:iCs/>
          <w:color w:val="0070C0"/>
          <w:sz w:val="22"/>
          <w:szCs w:val="22"/>
        </w:rPr>
        <w:t>support</w:t>
      </w:r>
      <w:r w:rsidRPr="00F94D53">
        <w:rPr>
          <w:i/>
          <w:iCs/>
          <w:color w:val="0070C0"/>
          <w:sz w:val="22"/>
          <w:szCs w:val="22"/>
        </w:rPr>
        <w:t xml:space="preserve"> teachers (and students) than originally envisaged, as well as increased costs of doing business.</w:t>
      </w:r>
    </w:p>
    <w:p w14:paraId="2CDF38AB" w14:textId="4DBC95CE" w:rsidR="007337B1" w:rsidRPr="007337B1" w:rsidRDefault="0068621D" w:rsidP="0021517D">
      <w:pPr>
        <w:rPr>
          <w:sz w:val="22"/>
          <w:szCs w:val="22"/>
        </w:rPr>
      </w:pPr>
      <w:r>
        <w:rPr>
          <w:sz w:val="22"/>
          <w:szCs w:val="22"/>
        </w:rPr>
        <w:t>During development</w:t>
      </w:r>
      <w:r w:rsidR="00267244">
        <w:rPr>
          <w:sz w:val="22"/>
          <w:szCs w:val="22"/>
        </w:rPr>
        <w:t xml:space="preserve"> of the IDD </w:t>
      </w:r>
      <w:r w:rsidR="007337B1">
        <w:rPr>
          <w:sz w:val="22"/>
          <w:szCs w:val="22"/>
        </w:rPr>
        <w:t xml:space="preserve">the </w:t>
      </w:r>
      <w:r w:rsidR="002268C5">
        <w:rPr>
          <w:sz w:val="22"/>
          <w:szCs w:val="22"/>
        </w:rPr>
        <w:t xml:space="preserve">scope </w:t>
      </w:r>
      <w:r w:rsidR="00267244">
        <w:rPr>
          <w:sz w:val="22"/>
          <w:szCs w:val="22"/>
        </w:rPr>
        <w:t>of the program c</w:t>
      </w:r>
      <w:r w:rsidR="002268C5">
        <w:rPr>
          <w:sz w:val="22"/>
          <w:szCs w:val="22"/>
        </w:rPr>
        <w:t xml:space="preserve">hanged from </w:t>
      </w:r>
      <w:r w:rsidR="0071431D" w:rsidRPr="007337B1">
        <w:rPr>
          <w:sz w:val="22"/>
          <w:szCs w:val="22"/>
        </w:rPr>
        <w:t>two</w:t>
      </w:r>
      <w:r w:rsidR="007337B1" w:rsidRPr="007337B1">
        <w:rPr>
          <w:sz w:val="22"/>
          <w:szCs w:val="22"/>
        </w:rPr>
        <w:t xml:space="preserve"> provinces to </w:t>
      </w:r>
      <w:r w:rsidR="00527C3A">
        <w:rPr>
          <w:sz w:val="22"/>
          <w:szCs w:val="22"/>
        </w:rPr>
        <w:t>four</w:t>
      </w:r>
      <w:r w:rsidR="002268C5">
        <w:rPr>
          <w:sz w:val="22"/>
          <w:szCs w:val="22"/>
        </w:rPr>
        <w:t xml:space="preserve">, </w:t>
      </w:r>
      <w:r w:rsidR="00267244">
        <w:rPr>
          <w:sz w:val="22"/>
          <w:szCs w:val="22"/>
        </w:rPr>
        <w:t xml:space="preserve">with </w:t>
      </w:r>
      <w:r w:rsidR="00691A1A">
        <w:rPr>
          <w:sz w:val="22"/>
          <w:szCs w:val="22"/>
        </w:rPr>
        <w:t xml:space="preserve">no variation to the </w:t>
      </w:r>
      <w:r w:rsidR="00D67869">
        <w:rPr>
          <w:sz w:val="22"/>
          <w:szCs w:val="22"/>
        </w:rPr>
        <w:t>resource allocation.</w:t>
      </w:r>
    </w:p>
    <w:p w14:paraId="381050D5" w14:textId="65161D5A" w:rsidR="000834A8" w:rsidRPr="0061206C" w:rsidRDefault="000834A8" w:rsidP="00B14AF6">
      <w:pPr>
        <w:pStyle w:val="Quote"/>
        <w:ind w:left="426"/>
        <w:jc w:val="left"/>
      </w:pPr>
      <w:r w:rsidRPr="0061206C">
        <w:t xml:space="preserve">The process for selecting the initial two provinces </w:t>
      </w:r>
      <w:r w:rsidR="00DC6199">
        <w:t>…</w:t>
      </w:r>
      <w:r w:rsidRPr="0061206C">
        <w:t xml:space="preserve"> took into account, among other factors, the </w:t>
      </w:r>
      <w:bookmarkStart w:id="9" w:name="_Hlk175758172"/>
      <w:r w:rsidRPr="0061206C">
        <w:t>potential they offered for demonstrating effective approaches to system level change</w:t>
      </w:r>
      <w:bookmarkEnd w:id="9"/>
      <w:r w:rsidRPr="0061206C">
        <w:t xml:space="preserve">. … Subsequent to the initial design consultations, at the request of NDoE, additional provinces were added to ensure each geographic region is represented. </w:t>
      </w:r>
      <w:r w:rsidR="0021517D" w:rsidRPr="0061206C">
        <w:t>(IDD, p.23)</w:t>
      </w:r>
    </w:p>
    <w:p w14:paraId="4B0FA387" w14:textId="5326C318" w:rsidR="00F12796" w:rsidRDefault="00EA52D8" w:rsidP="00F12796">
      <w:pPr>
        <w:rPr>
          <w:sz w:val="22"/>
          <w:szCs w:val="22"/>
        </w:rPr>
      </w:pPr>
      <w:r>
        <w:rPr>
          <w:sz w:val="22"/>
          <w:szCs w:val="22"/>
        </w:rPr>
        <w:t xml:space="preserve">Design intentions </w:t>
      </w:r>
      <w:r w:rsidR="00967645">
        <w:rPr>
          <w:sz w:val="22"/>
          <w:szCs w:val="22"/>
        </w:rPr>
        <w:t xml:space="preserve">on anticipated scope of activity, anticipated activity costs and budget allocation </w:t>
      </w:r>
      <w:r w:rsidR="005B6CE5">
        <w:rPr>
          <w:sz w:val="22"/>
          <w:szCs w:val="22"/>
        </w:rPr>
        <w:t xml:space="preserve">set out in the IDD </w:t>
      </w:r>
      <w:r>
        <w:rPr>
          <w:sz w:val="22"/>
          <w:szCs w:val="22"/>
        </w:rPr>
        <w:t xml:space="preserve">provide a </w:t>
      </w:r>
      <w:r w:rsidR="00DE34E7">
        <w:rPr>
          <w:sz w:val="22"/>
          <w:szCs w:val="22"/>
        </w:rPr>
        <w:t xml:space="preserve">reference point </w:t>
      </w:r>
      <w:r>
        <w:rPr>
          <w:sz w:val="22"/>
          <w:szCs w:val="22"/>
        </w:rPr>
        <w:t>against which the ‘realit</w:t>
      </w:r>
      <w:r w:rsidR="00D07441">
        <w:rPr>
          <w:sz w:val="22"/>
          <w:szCs w:val="22"/>
        </w:rPr>
        <w:t>y</w:t>
      </w:r>
      <w:r>
        <w:rPr>
          <w:sz w:val="22"/>
          <w:szCs w:val="22"/>
        </w:rPr>
        <w:t xml:space="preserve">’ </w:t>
      </w:r>
      <w:r w:rsidR="0094610C">
        <w:rPr>
          <w:sz w:val="22"/>
          <w:szCs w:val="22"/>
        </w:rPr>
        <w:t>and expectations met by the contractor ca</w:t>
      </w:r>
      <w:r w:rsidR="00DE34E7">
        <w:rPr>
          <w:sz w:val="22"/>
          <w:szCs w:val="22"/>
        </w:rPr>
        <w:t>n be compared</w:t>
      </w:r>
      <w:r w:rsidR="00967645">
        <w:rPr>
          <w:sz w:val="22"/>
          <w:szCs w:val="22"/>
        </w:rPr>
        <w:t xml:space="preserve"> (see discussion </w:t>
      </w:r>
      <w:r w:rsidR="00CE5754">
        <w:rPr>
          <w:sz w:val="22"/>
          <w:szCs w:val="22"/>
        </w:rPr>
        <w:t>in the next section)</w:t>
      </w:r>
      <w:r w:rsidR="001A701B">
        <w:rPr>
          <w:sz w:val="22"/>
          <w:szCs w:val="22"/>
        </w:rPr>
        <w:t>.</w:t>
      </w:r>
      <w:r w:rsidR="00871B7C">
        <w:rPr>
          <w:sz w:val="22"/>
          <w:szCs w:val="22"/>
        </w:rPr>
        <w:t xml:space="preserve"> </w:t>
      </w:r>
    </w:p>
    <w:p w14:paraId="342219EE" w14:textId="094BCE65" w:rsidR="006436A8" w:rsidRDefault="006436A8" w:rsidP="00B14AF6">
      <w:pPr>
        <w:pStyle w:val="Quote"/>
        <w:ind w:left="426"/>
        <w:jc w:val="left"/>
      </w:pPr>
      <w:r w:rsidRPr="0066143C">
        <w:t>The amount of AUD 23.2 million over 8 years is based on upgrading approximately 900</w:t>
      </w:r>
      <w:r w:rsidR="00004743" w:rsidRPr="00B14AF6">
        <w:footnoteReference w:id="3"/>
      </w:r>
      <w:r w:rsidRPr="0066143C">
        <w:t xml:space="preserve"> early grade teachers and 80 supervisors per annum at a unit cost of AUD 3,000 per annum</w:t>
      </w:r>
      <w:r w:rsidRPr="006436A8">
        <w:t xml:space="preserve">. </w:t>
      </w:r>
      <w:r w:rsidR="0066143C">
        <w:t>(</w:t>
      </w:r>
      <w:r w:rsidR="001A701B">
        <w:t xml:space="preserve">IDD </w:t>
      </w:r>
      <w:r w:rsidR="0066143C">
        <w:t>p.67)</w:t>
      </w:r>
    </w:p>
    <w:p w14:paraId="7426037A" w14:textId="3D3976EE" w:rsidR="005B6CE5" w:rsidRPr="005B6CE5" w:rsidRDefault="005B6CE5" w:rsidP="00B14AF6">
      <w:pPr>
        <w:pStyle w:val="Quote"/>
        <w:ind w:left="426"/>
        <w:jc w:val="left"/>
      </w:pPr>
      <w:r>
        <w:t>There is also an assumption that provinces will have adequate absorptive capacity to begin the program at a high level of activity and maintain this over a number of successive years. (IDD p.</w:t>
      </w:r>
      <w:r w:rsidR="00EA52D8">
        <w:t>69)</w:t>
      </w:r>
    </w:p>
    <w:p w14:paraId="112BF075" w14:textId="66533147" w:rsidR="001D31AE" w:rsidRDefault="001D31AE" w:rsidP="00863D5E">
      <w:pPr>
        <w:pStyle w:val="Heading2"/>
      </w:pPr>
      <w:bookmarkStart w:id="10" w:name="_Toc180756321"/>
      <w:r>
        <w:t xml:space="preserve">From inception to </w:t>
      </w:r>
      <w:r w:rsidR="00E90C2F">
        <w:t>implementation</w:t>
      </w:r>
      <w:bookmarkEnd w:id="10"/>
    </w:p>
    <w:p w14:paraId="6713D330" w14:textId="77777777" w:rsidR="00CC70B2" w:rsidRDefault="00CC70B2" w:rsidP="00CC70B2">
      <w:pPr>
        <w:pStyle w:val="ListParagraph"/>
        <w:numPr>
          <w:ilvl w:val="0"/>
          <w:numId w:val="34"/>
        </w:numPr>
        <w:spacing w:before="120" w:after="120"/>
        <w:rPr>
          <w:i/>
          <w:iCs/>
          <w:color w:val="0070C0"/>
          <w:sz w:val="22"/>
          <w:szCs w:val="22"/>
        </w:rPr>
      </w:pPr>
      <w:r w:rsidRPr="00F94D53">
        <w:rPr>
          <w:i/>
          <w:iCs/>
          <w:color w:val="0070C0"/>
          <w:sz w:val="22"/>
          <w:szCs w:val="22"/>
        </w:rPr>
        <w:t>It is likely that, if what is now known about the program scope and costs was applied to the initial design and plans, the 5-year budget would be significantly larger and close to the 8-year program allocation of AUD75m.</w:t>
      </w:r>
    </w:p>
    <w:p w14:paraId="5A76CDA5" w14:textId="72CDD3E3" w:rsidR="00596BD9" w:rsidRDefault="008F5D80" w:rsidP="008F5D80">
      <w:pPr>
        <w:rPr>
          <w:sz w:val="22"/>
          <w:szCs w:val="22"/>
        </w:rPr>
      </w:pPr>
      <w:r>
        <w:rPr>
          <w:sz w:val="22"/>
          <w:szCs w:val="22"/>
        </w:rPr>
        <w:t xml:space="preserve">Early in the </w:t>
      </w:r>
      <w:r w:rsidR="005500A9">
        <w:rPr>
          <w:sz w:val="22"/>
          <w:szCs w:val="22"/>
        </w:rPr>
        <w:t>P</w:t>
      </w:r>
      <w:r>
        <w:rPr>
          <w:sz w:val="22"/>
          <w:szCs w:val="22"/>
        </w:rPr>
        <w:t xml:space="preserve">rogram’s life, </w:t>
      </w:r>
      <w:r w:rsidR="00E42AB6">
        <w:rPr>
          <w:sz w:val="22"/>
          <w:szCs w:val="22"/>
        </w:rPr>
        <w:t>it became apparent</w:t>
      </w:r>
      <w:r w:rsidR="005500A9">
        <w:rPr>
          <w:sz w:val="22"/>
          <w:szCs w:val="22"/>
        </w:rPr>
        <w:t xml:space="preserve"> to the</w:t>
      </w:r>
      <w:r w:rsidR="00E42AB6">
        <w:rPr>
          <w:sz w:val="22"/>
          <w:szCs w:val="22"/>
        </w:rPr>
        <w:t xml:space="preserve"> </w:t>
      </w:r>
      <w:r w:rsidR="005500A9">
        <w:rPr>
          <w:sz w:val="22"/>
          <w:szCs w:val="22"/>
        </w:rPr>
        <w:t xml:space="preserve">Program </w:t>
      </w:r>
      <w:r w:rsidR="00E42AB6">
        <w:rPr>
          <w:sz w:val="22"/>
          <w:szCs w:val="22"/>
        </w:rPr>
        <w:t xml:space="preserve">that </w:t>
      </w:r>
      <w:r w:rsidR="00C27C11">
        <w:rPr>
          <w:sz w:val="22"/>
          <w:szCs w:val="22"/>
        </w:rPr>
        <w:t xml:space="preserve">a range of factors would </w:t>
      </w:r>
      <w:r w:rsidR="00040B57">
        <w:rPr>
          <w:sz w:val="22"/>
          <w:szCs w:val="22"/>
        </w:rPr>
        <w:t>add pressure to the operation of the program</w:t>
      </w:r>
      <w:r w:rsidR="00042B4C">
        <w:rPr>
          <w:sz w:val="22"/>
          <w:szCs w:val="22"/>
        </w:rPr>
        <w:t xml:space="preserve"> and the budget. These </w:t>
      </w:r>
      <w:r w:rsidR="00967307">
        <w:rPr>
          <w:sz w:val="22"/>
          <w:szCs w:val="22"/>
        </w:rPr>
        <w:t xml:space="preserve">factors </w:t>
      </w:r>
      <w:r w:rsidR="00696057">
        <w:rPr>
          <w:sz w:val="22"/>
          <w:szCs w:val="22"/>
        </w:rPr>
        <w:t xml:space="preserve">can be grouped into </w:t>
      </w:r>
      <w:r w:rsidR="00021FEB">
        <w:rPr>
          <w:sz w:val="22"/>
          <w:szCs w:val="22"/>
        </w:rPr>
        <w:t>four</w:t>
      </w:r>
      <w:r w:rsidR="00D4220D">
        <w:rPr>
          <w:sz w:val="22"/>
          <w:szCs w:val="22"/>
        </w:rPr>
        <w:t xml:space="preserve"> broad categories</w:t>
      </w:r>
      <w:r w:rsidR="002A21E9">
        <w:rPr>
          <w:sz w:val="22"/>
          <w:szCs w:val="22"/>
        </w:rPr>
        <w:t>, based on data provided by the Program</w:t>
      </w:r>
      <w:r w:rsidR="00896FBF">
        <w:rPr>
          <w:sz w:val="22"/>
          <w:szCs w:val="22"/>
        </w:rPr>
        <w:t xml:space="preserve">, </w:t>
      </w:r>
      <w:r w:rsidR="009B7AEB">
        <w:rPr>
          <w:sz w:val="22"/>
          <w:szCs w:val="22"/>
        </w:rPr>
        <w:t xml:space="preserve">which </w:t>
      </w:r>
      <w:r w:rsidR="00896FBF">
        <w:rPr>
          <w:sz w:val="22"/>
          <w:szCs w:val="22"/>
        </w:rPr>
        <w:t xml:space="preserve">are discussed below. </w:t>
      </w:r>
      <w:r w:rsidR="00E04AFC">
        <w:rPr>
          <w:sz w:val="22"/>
          <w:szCs w:val="22"/>
        </w:rPr>
        <w:t xml:space="preserve">The impact of </w:t>
      </w:r>
      <w:r w:rsidR="00FD14E0">
        <w:rPr>
          <w:sz w:val="22"/>
          <w:szCs w:val="22"/>
        </w:rPr>
        <w:t xml:space="preserve">these factors on the Program budget are </w:t>
      </w:r>
      <w:r w:rsidR="00596BD9">
        <w:rPr>
          <w:sz w:val="22"/>
          <w:szCs w:val="22"/>
        </w:rPr>
        <w:t xml:space="preserve">illustrated in </w:t>
      </w:r>
      <w:r w:rsidR="00F51443">
        <w:rPr>
          <w:sz w:val="22"/>
          <w:szCs w:val="22"/>
        </w:rPr>
        <w:fldChar w:fldCharType="begin"/>
      </w:r>
      <w:r w:rsidR="00F51443">
        <w:rPr>
          <w:sz w:val="22"/>
          <w:szCs w:val="22"/>
        </w:rPr>
        <w:instrText xml:space="preserve"> REF _Ref175992491 \h </w:instrText>
      </w:r>
      <w:r w:rsidR="00F51443">
        <w:rPr>
          <w:sz w:val="22"/>
          <w:szCs w:val="22"/>
        </w:rPr>
      </w:r>
      <w:r w:rsidR="00F51443">
        <w:rPr>
          <w:sz w:val="22"/>
          <w:szCs w:val="22"/>
        </w:rPr>
        <w:fldChar w:fldCharType="separate"/>
      </w:r>
      <w:r w:rsidR="00EF5E31">
        <w:t xml:space="preserve">Table </w:t>
      </w:r>
      <w:r w:rsidR="00EF5E31">
        <w:rPr>
          <w:noProof/>
        </w:rPr>
        <w:t>1</w:t>
      </w:r>
      <w:r w:rsidR="00F51443">
        <w:rPr>
          <w:sz w:val="22"/>
          <w:szCs w:val="22"/>
        </w:rPr>
        <w:fldChar w:fldCharType="end"/>
      </w:r>
      <w:r w:rsidR="00B23972">
        <w:rPr>
          <w:sz w:val="22"/>
          <w:szCs w:val="22"/>
        </w:rPr>
        <w:t xml:space="preserve">, representing an increase on budget allocations </w:t>
      </w:r>
      <w:r w:rsidR="00AC365D">
        <w:rPr>
          <w:sz w:val="22"/>
          <w:szCs w:val="22"/>
        </w:rPr>
        <w:t>of AUD</w:t>
      </w:r>
      <w:r w:rsidR="008A1CAC">
        <w:rPr>
          <w:sz w:val="22"/>
          <w:szCs w:val="22"/>
        </w:rPr>
        <w:t>6</w:t>
      </w:r>
      <w:r w:rsidR="00A04F21">
        <w:rPr>
          <w:sz w:val="22"/>
          <w:szCs w:val="22"/>
        </w:rPr>
        <w:t>.5m</w:t>
      </w:r>
      <w:r w:rsidR="008A1CAC">
        <w:rPr>
          <w:sz w:val="22"/>
          <w:szCs w:val="22"/>
        </w:rPr>
        <w:t xml:space="preserve"> </w:t>
      </w:r>
      <w:r w:rsidR="009B7AEB">
        <w:rPr>
          <w:sz w:val="22"/>
          <w:szCs w:val="22"/>
        </w:rPr>
        <w:t xml:space="preserve">across </w:t>
      </w:r>
      <w:r w:rsidR="000F248B">
        <w:rPr>
          <w:sz w:val="22"/>
          <w:szCs w:val="22"/>
        </w:rPr>
        <w:t>four key activities</w:t>
      </w:r>
      <w:r w:rsidR="008A5BCE">
        <w:rPr>
          <w:sz w:val="22"/>
          <w:szCs w:val="22"/>
        </w:rPr>
        <w:t xml:space="preserve"> from when activities were planned to implementation</w:t>
      </w:r>
      <w:r w:rsidR="0006312A">
        <w:rPr>
          <w:sz w:val="22"/>
          <w:szCs w:val="22"/>
        </w:rPr>
        <w:t>.</w:t>
      </w:r>
    </w:p>
    <w:p w14:paraId="1374CDF5" w14:textId="77161449" w:rsidR="00596BD9" w:rsidRDefault="00F51443" w:rsidP="00F51443">
      <w:pPr>
        <w:pStyle w:val="Caption"/>
        <w:keepNext/>
      </w:pPr>
      <w:bookmarkStart w:id="11" w:name="_Ref175992491"/>
      <w:bookmarkStart w:id="12" w:name="_Ref175992482"/>
      <w:r>
        <w:t xml:space="preserve">Table </w:t>
      </w:r>
      <w:r>
        <w:fldChar w:fldCharType="begin"/>
      </w:r>
      <w:r>
        <w:instrText xml:space="preserve"> SEQ Table \* ARABIC </w:instrText>
      </w:r>
      <w:r>
        <w:fldChar w:fldCharType="separate"/>
      </w:r>
      <w:r w:rsidR="00EF5E31">
        <w:rPr>
          <w:noProof/>
        </w:rPr>
        <w:t>1</w:t>
      </w:r>
      <w:r>
        <w:rPr>
          <w:noProof/>
        </w:rPr>
        <w:fldChar w:fldCharType="end"/>
      </w:r>
      <w:bookmarkEnd w:id="1"/>
      <w:bookmarkEnd w:id="11"/>
      <w:r>
        <w:t>:</w:t>
      </w:r>
      <w:r w:rsidR="00596BD9">
        <w:t>Increased costs due to population (provided by PIE program – August 2024)</w:t>
      </w:r>
      <w:bookmarkEnd w:id="12"/>
    </w:p>
    <w:tbl>
      <w:tblPr>
        <w:tblStyle w:val="TableGrid"/>
        <w:tblW w:w="9634" w:type="dxa"/>
        <w:tblLook w:val="04A0" w:firstRow="1" w:lastRow="0" w:firstColumn="1" w:lastColumn="0" w:noHBand="0" w:noVBand="1"/>
      </w:tblPr>
      <w:tblGrid>
        <w:gridCol w:w="1926"/>
        <w:gridCol w:w="1927"/>
        <w:gridCol w:w="1927"/>
        <w:gridCol w:w="1927"/>
        <w:gridCol w:w="1927"/>
      </w:tblGrid>
      <w:tr w:rsidR="00735236" w:rsidRPr="00735236" w14:paraId="229235DB" w14:textId="77777777" w:rsidTr="0065260C">
        <w:tc>
          <w:tcPr>
            <w:tcW w:w="1926" w:type="dxa"/>
            <w:shd w:val="clear" w:color="auto" w:fill="FFFFFF" w:themeFill="background1"/>
          </w:tcPr>
          <w:p w14:paraId="030DDBD7" w14:textId="419A2BA3" w:rsidR="00596BD9" w:rsidRPr="0065260C" w:rsidRDefault="00596BD9" w:rsidP="00E020A1">
            <w:pPr>
              <w:pStyle w:val="TableParagraph"/>
              <w:kinsoku w:val="0"/>
              <w:overflowPunct w:val="0"/>
              <w:spacing w:before="121"/>
              <w:ind w:left="0" w:right="172" w:firstLine="0"/>
              <w:rPr>
                <w:rFonts w:ascii="Calibri Light" w:hAnsi="Calibri Light" w:cs="Calibri Light"/>
                <w:b/>
                <w:bCs/>
                <w:sz w:val="20"/>
                <w:szCs w:val="20"/>
              </w:rPr>
            </w:pPr>
            <w:r w:rsidRPr="0065260C">
              <w:rPr>
                <w:rFonts w:ascii="Calibri Light" w:hAnsi="Calibri Light" w:cs="Calibri Light"/>
                <w:b/>
                <w:bCs/>
                <w:sz w:val="20"/>
                <w:szCs w:val="20"/>
              </w:rPr>
              <w:t>AUD</w:t>
            </w:r>
            <w:r w:rsidR="0006312A" w:rsidRPr="0065260C">
              <w:rPr>
                <w:rFonts w:ascii="Calibri Light" w:hAnsi="Calibri Light" w:cs="Calibri Light"/>
                <w:b/>
                <w:bCs/>
                <w:sz w:val="20"/>
                <w:szCs w:val="20"/>
              </w:rPr>
              <w:t xml:space="preserve"> (000’s)</w:t>
            </w:r>
          </w:p>
        </w:tc>
        <w:tc>
          <w:tcPr>
            <w:tcW w:w="1927" w:type="dxa"/>
            <w:shd w:val="clear" w:color="auto" w:fill="FFFFFF" w:themeFill="background1"/>
          </w:tcPr>
          <w:p w14:paraId="45B7848C" w14:textId="5502304C" w:rsidR="00596BD9" w:rsidRPr="0065260C" w:rsidRDefault="00596BD9" w:rsidP="000C30C8">
            <w:pPr>
              <w:pStyle w:val="TableParagraph"/>
              <w:kinsoku w:val="0"/>
              <w:overflowPunct w:val="0"/>
              <w:spacing w:before="121"/>
              <w:ind w:left="0" w:right="172" w:firstLine="0"/>
              <w:jc w:val="center"/>
              <w:rPr>
                <w:rFonts w:ascii="Calibri Light" w:hAnsi="Calibri Light" w:cs="Calibri Light"/>
                <w:b/>
                <w:bCs/>
                <w:sz w:val="20"/>
                <w:szCs w:val="20"/>
              </w:rPr>
            </w:pPr>
            <w:r w:rsidRPr="0065260C">
              <w:rPr>
                <w:rFonts w:ascii="Calibri Light" w:hAnsi="Calibri Light" w:cs="Calibri Light"/>
                <w:b/>
                <w:bCs/>
                <w:sz w:val="20"/>
                <w:szCs w:val="20"/>
              </w:rPr>
              <w:t>Bilum Books teacher texts</w:t>
            </w:r>
            <w:r w:rsidR="0010086D" w:rsidRPr="0065260C">
              <w:rPr>
                <w:rStyle w:val="FootnoteReference"/>
                <w:rFonts w:ascii="Calibri Light" w:hAnsi="Calibri Light" w:cs="Calibri Light"/>
                <w:b/>
                <w:bCs/>
                <w:sz w:val="20"/>
                <w:szCs w:val="20"/>
              </w:rPr>
              <w:footnoteReference w:id="4"/>
            </w:r>
          </w:p>
        </w:tc>
        <w:tc>
          <w:tcPr>
            <w:tcW w:w="1927" w:type="dxa"/>
            <w:shd w:val="clear" w:color="auto" w:fill="FFFFFF" w:themeFill="background1"/>
          </w:tcPr>
          <w:p w14:paraId="2C64C69B" w14:textId="3DCACB83" w:rsidR="00596BD9" w:rsidRPr="0065260C" w:rsidRDefault="00596BD9" w:rsidP="000C30C8">
            <w:pPr>
              <w:pStyle w:val="TableParagraph"/>
              <w:kinsoku w:val="0"/>
              <w:overflowPunct w:val="0"/>
              <w:spacing w:before="121"/>
              <w:ind w:left="0" w:right="172" w:firstLine="0"/>
              <w:jc w:val="center"/>
              <w:rPr>
                <w:rFonts w:ascii="Calibri Light" w:hAnsi="Calibri Light" w:cs="Calibri Light"/>
                <w:b/>
                <w:bCs/>
                <w:sz w:val="20"/>
                <w:szCs w:val="20"/>
              </w:rPr>
            </w:pPr>
            <w:r w:rsidRPr="0065260C">
              <w:rPr>
                <w:rFonts w:ascii="Calibri Light" w:hAnsi="Calibri Light" w:cs="Calibri Light"/>
                <w:b/>
                <w:bCs/>
                <w:sz w:val="20"/>
                <w:szCs w:val="20"/>
              </w:rPr>
              <w:t>Bilum Books student books</w:t>
            </w:r>
            <w:r w:rsidR="00C47560" w:rsidRPr="0065260C">
              <w:rPr>
                <w:rStyle w:val="FootnoteReference"/>
                <w:rFonts w:ascii="Calibri Light" w:hAnsi="Calibri Light" w:cs="Calibri Light"/>
                <w:b/>
                <w:bCs/>
                <w:sz w:val="20"/>
                <w:szCs w:val="20"/>
              </w:rPr>
              <w:footnoteReference w:id="5"/>
            </w:r>
          </w:p>
        </w:tc>
        <w:tc>
          <w:tcPr>
            <w:tcW w:w="1927" w:type="dxa"/>
            <w:shd w:val="clear" w:color="auto" w:fill="FFFFFF" w:themeFill="background1"/>
          </w:tcPr>
          <w:p w14:paraId="3123E753" w14:textId="33E0F5C3" w:rsidR="00596BD9" w:rsidRPr="0065260C" w:rsidRDefault="00596BD9" w:rsidP="000C30C8">
            <w:pPr>
              <w:pStyle w:val="TableParagraph"/>
              <w:kinsoku w:val="0"/>
              <w:overflowPunct w:val="0"/>
              <w:spacing w:before="121"/>
              <w:ind w:left="0" w:right="172" w:firstLine="0"/>
              <w:jc w:val="center"/>
              <w:rPr>
                <w:rFonts w:ascii="Calibri Light" w:hAnsi="Calibri Light" w:cs="Calibri Light"/>
                <w:b/>
                <w:bCs/>
                <w:sz w:val="20"/>
                <w:szCs w:val="20"/>
              </w:rPr>
            </w:pPr>
            <w:r w:rsidRPr="0065260C">
              <w:rPr>
                <w:rFonts w:ascii="Calibri Light" w:hAnsi="Calibri Light" w:cs="Calibri Light"/>
                <w:b/>
                <w:bCs/>
                <w:sz w:val="20"/>
                <w:szCs w:val="20"/>
              </w:rPr>
              <w:t>Classroom libraries and readers</w:t>
            </w:r>
            <w:r w:rsidR="00BE67A8" w:rsidRPr="0065260C">
              <w:rPr>
                <w:rStyle w:val="FootnoteReference"/>
                <w:rFonts w:ascii="Calibri Light" w:hAnsi="Calibri Light" w:cs="Calibri Light"/>
                <w:b/>
                <w:bCs/>
                <w:sz w:val="20"/>
                <w:szCs w:val="20"/>
              </w:rPr>
              <w:footnoteReference w:id="6"/>
            </w:r>
          </w:p>
        </w:tc>
        <w:tc>
          <w:tcPr>
            <w:tcW w:w="1927" w:type="dxa"/>
            <w:shd w:val="clear" w:color="auto" w:fill="FFFFFF" w:themeFill="background1"/>
          </w:tcPr>
          <w:p w14:paraId="496E2BC6" w14:textId="77777777" w:rsidR="00596BD9" w:rsidRPr="0065260C" w:rsidRDefault="00596BD9" w:rsidP="000C30C8">
            <w:pPr>
              <w:pStyle w:val="TableParagraph"/>
              <w:kinsoku w:val="0"/>
              <w:overflowPunct w:val="0"/>
              <w:spacing w:before="121"/>
              <w:ind w:left="0" w:right="172" w:firstLine="0"/>
              <w:jc w:val="center"/>
              <w:rPr>
                <w:rFonts w:ascii="Calibri Light" w:hAnsi="Calibri Light" w:cs="Calibri Light"/>
                <w:b/>
                <w:bCs/>
                <w:sz w:val="20"/>
                <w:szCs w:val="20"/>
              </w:rPr>
            </w:pPr>
            <w:r w:rsidRPr="0065260C">
              <w:rPr>
                <w:rFonts w:ascii="Calibri Light" w:hAnsi="Calibri Light" w:cs="Calibri Light"/>
                <w:b/>
                <w:bCs/>
                <w:sz w:val="20"/>
                <w:szCs w:val="20"/>
              </w:rPr>
              <w:t>Training costs</w:t>
            </w:r>
            <w:r w:rsidRPr="0065260C">
              <w:rPr>
                <w:rStyle w:val="FootnoteReference"/>
                <w:rFonts w:ascii="Calibri Light" w:hAnsi="Calibri Light" w:cs="Calibri Light"/>
                <w:b/>
                <w:bCs/>
                <w:sz w:val="20"/>
                <w:szCs w:val="20"/>
              </w:rPr>
              <w:footnoteReference w:id="7"/>
            </w:r>
          </w:p>
        </w:tc>
      </w:tr>
      <w:tr w:rsidR="00DF5F5B" w:rsidRPr="00C72885" w14:paraId="7ECCD2B3" w14:textId="77777777" w:rsidTr="0065260C">
        <w:tc>
          <w:tcPr>
            <w:tcW w:w="1926" w:type="dxa"/>
            <w:vAlign w:val="center"/>
          </w:tcPr>
          <w:p w14:paraId="5E28CDC0" w14:textId="047379B5" w:rsidR="00596BD9" w:rsidRPr="00C72885" w:rsidRDefault="00596BD9" w:rsidP="0065260C">
            <w:pPr>
              <w:pStyle w:val="TableParagraph"/>
              <w:kinsoku w:val="0"/>
              <w:overflowPunct w:val="0"/>
              <w:spacing w:before="121"/>
              <w:ind w:left="0" w:right="172" w:firstLine="0"/>
              <w:jc w:val="center"/>
              <w:rPr>
                <w:rFonts w:ascii="Calibri Light" w:hAnsi="Calibri Light" w:cs="Calibri Light"/>
                <w:color w:val="252525"/>
                <w:sz w:val="20"/>
                <w:szCs w:val="20"/>
              </w:rPr>
            </w:pPr>
            <w:r w:rsidRPr="00C72885">
              <w:rPr>
                <w:rFonts w:ascii="Calibri Light" w:hAnsi="Calibri Light" w:cs="Calibri Light"/>
                <w:color w:val="252525"/>
                <w:sz w:val="20"/>
                <w:szCs w:val="20"/>
              </w:rPr>
              <w:t xml:space="preserve">Original </w:t>
            </w:r>
            <w:r w:rsidR="00F9089C">
              <w:rPr>
                <w:rFonts w:ascii="Calibri Light" w:hAnsi="Calibri Light" w:cs="Calibri Light"/>
                <w:color w:val="252525"/>
                <w:sz w:val="20"/>
                <w:szCs w:val="20"/>
              </w:rPr>
              <w:t xml:space="preserve">budget </w:t>
            </w:r>
            <w:r w:rsidRPr="00C72885">
              <w:rPr>
                <w:rFonts w:ascii="Calibri Light" w:hAnsi="Calibri Light" w:cs="Calibri Light"/>
                <w:color w:val="252525"/>
                <w:sz w:val="20"/>
                <w:szCs w:val="20"/>
              </w:rPr>
              <w:t>estimates</w:t>
            </w:r>
          </w:p>
        </w:tc>
        <w:tc>
          <w:tcPr>
            <w:tcW w:w="1927" w:type="dxa"/>
            <w:vAlign w:val="center"/>
          </w:tcPr>
          <w:p w14:paraId="5E6A2B9F" w14:textId="74887A04" w:rsidR="00596BD9" w:rsidRPr="00C72885" w:rsidRDefault="00596BD9" w:rsidP="00DF5F5B">
            <w:pPr>
              <w:pStyle w:val="TableParagraph"/>
              <w:kinsoku w:val="0"/>
              <w:overflowPunct w:val="0"/>
              <w:spacing w:before="121"/>
              <w:ind w:left="0" w:right="172" w:firstLine="0"/>
              <w:jc w:val="center"/>
              <w:rPr>
                <w:rFonts w:ascii="Calibri Light" w:hAnsi="Calibri Light" w:cs="Calibri Light"/>
                <w:color w:val="252525"/>
                <w:sz w:val="20"/>
                <w:szCs w:val="20"/>
              </w:rPr>
            </w:pPr>
            <w:r w:rsidRPr="00C72885">
              <w:rPr>
                <w:rFonts w:ascii="Calibri Light" w:hAnsi="Calibri Light" w:cs="Calibri Light"/>
                <w:color w:val="252525"/>
                <w:sz w:val="20"/>
                <w:szCs w:val="20"/>
              </w:rPr>
              <w:t>2,013</w:t>
            </w:r>
          </w:p>
        </w:tc>
        <w:tc>
          <w:tcPr>
            <w:tcW w:w="1927" w:type="dxa"/>
            <w:vAlign w:val="center"/>
          </w:tcPr>
          <w:p w14:paraId="2A1849AE" w14:textId="32BDF326" w:rsidR="00596BD9" w:rsidRPr="00C72885" w:rsidRDefault="00596BD9" w:rsidP="00DF5F5B">
            <w:pPr>
              <w:pStyle w:val="TableParagraph"/>
              <w:kinsoku w:val="0"/>
              <w:overflowPunct w:val="0"/>
              <w:spacing w:before="121"/>
              <w:ind w:left="0" w:right="172" w:firstLine="0"/>
              <w:jc w:val="center"/>
              <w:rPr>
                <w:rFonts w:ascii="Calibri Light" w:hAnsi="Calibri Light" w:cs="Calibri Light"/>
                <w:color w:val="252525"/>
                <w:sz w:val="20"/>
                <w:szCs w:val="20"/>
              </w:rPr>
            </w:pPr>
            <w:r w:rsidRPr="00C72885">
              <w:rPr>
                <w:rFonts w:ascii="Calibri Light" w:hAnsi="Calibri Light" w:cs="Calibri Light"/>
                <w:color w:val="252525"/>
                <w:sz w:val="20"/>
                <w:szCs w:val="20"/>
              </w:rPr>
              <w:t>2,000</w:t>
            </w:r>
          </w:p>
        </w:tc>
        <w:tc>
          <w:tcPr>
            <w:tcW w:w="1927" w:type="dxa"/>
            <w:vAlign w:val="center"/>
          </w:tcPr>
          <w:p w14:paraId="00CF66AA" w14:textId="3C25D0D9" w:rsidR="00596BD9" w:rsidRPr="00C72885" w:rsidRDefault="00596BD9" w:rsidP="00DF5F5B">
            <w:pPr>
              <w:pStyle w:val="TableParagraph"/>
              <w:kinsoku w:val="0"/>
              <w:overflowPunct w:val="0"/>
              <w:spacing w:before="121"/>
              <w:ind w:left="0" w:right="172" w:firstLine="0"/>
              <w:jc w:val="center"/>
              <w:rPr>
                <w:rFonts w:ascii="Calibri Light" w:hAnsi="Calibri Light" w:cs="Calibri Light"/>
                <w:color w:val="252525"/>
                <w:sz w:val="20"/>
                <w:szCs w:val="20"/>
              </w:rPr>
            </w:pPr>
            <w:r w:rsidRPr="00C72885">
              <w:rPr>
                <w:rFonts w:ascii="Calibri Light" w:hAnsi="Calibri Light" w:cs="Calibri Light"/>
                <w:color w:val="252525"/>
                <w:sz w:val="20"/>
                <w:szCs w:val="20"/>
              </w:rPr>
              <w:t>768</w:t>
            </w:r>
          </w:p>
        </w:tc>
        <w:tc>
          <w:tcPr>
            <w:tcW w:w="1927" w:type="dxa"/>
            <w:vAlign w:val="center"/>
          </w:tcPr>
          <w:p w14:paraId="2FA2420E" w14:textId="11C9D8B8" w:rsidR="00596BD9" w:rsidRPr="00C72885" w:rsidRDefault="00596BD9" w:rsidP="00DF5F5B">
            <w:pPr>
              <w:pStyle w:val="TableParagraph"/>
              <w:kinsoku w:val="0"/>
              <w:overflowPunct w:val="0"/>
              <w:spacing w:before="121"/>
              <w:ind w:left="0" w:right="172" w:firstLine="0"/>
              <w:jc w:val="center"/>
              <w:rPr>
                <w:rFonts w:ascii="Calibri Light" w:hAnsi="Calibri Light" w:cs="Calibri Light"/>
                <w:color w:val="252525"/>
                <w:sz w:val="20"/>
                <w:szCs w:val="20"/>
              </w:rPr>
            </w:pPr>
            <w:r w:rsidRPr="00C72885">
              <w:rPr>
                <w:rFonts w:ascii="Calibri Light" w:hAnsi="Calibri Light" w:cs="Calibri Light"/>
                <w:color w:val="252525"/>
                <w:sz w:val="20"/>
                <w:szCs w:val="20"/>
              </w:rPr>
              <w:t>3,520</w:t>
            </w:r>
          </w:p>
        </w:tc>
      </w:tr>
      <w:tr w:rsidR="00DF5F5B" w:rsidRPr="00C72885" w14:paraId="27BA8F28" w14:textId="77777777" w:rsidTr="0065260C">
        <w:tc>
          <w:tcPr>
            <w:tcW w:w="1926" w:type="dxa"/>
            <w:vAlign w:val="center"/>
          </w:tcPr>
          <w:p w14:paraId="12BC0A8A" w14:textId="77777777" w:rsidR="00596BD9" w:rsidRPr="00C72885" w:rsidRDefault="00596BD9" w:rsidP="00C90671">
            <w:pPr>
              <w:pStyle w:val="TableParagraph"/>
              <w:kinsoku w:val="0"/>
              <w:overflowPunct w:val="0"/>
              <w:spacing w:after="120"/>
              <w:ind w:left="0" w:right="172" w:firstLine="0"/>
              <w:contextualSpacing/>
              <w:jc w:val="center"/>
              <w:rPr>
                <w:rFonts w:ascii="Calibri Light" w:hAnsi="Calibri Light" w:cs="Calibri Light"/>
                <w:color w:val="252525"/>
                <w:sz w:val="20"/>
                <w:szCs w:val="20"/>
              </w:rPr>
            </w:pPr>
            <w:r w:rsidRPr="00C72885">
              <w:rPr>
                <w:rFonts w:ascii="Calibri Light" w:hAnsi="Calibri Light" w:cs="Calibri Light"/>
                <w:color w:val="252525"/>
                <w:sz w:val="20"/>
                <w:szCs w:val="20"/>
              </w:rPr>
              <w:t>Additional costs</w:t>
            </w:r>
          </w:p>
        </w:tc>
        <w:tc>
          <w:tcPr>
            <w:tcW w:w="1927" w:type="dxa"/>
            <w:vAlign w:val="center"/>
          </w:tcPr>
          <w:p w14:paraId="480DE760" w14:textId="4F68DDE3" w:rsidR="00DF5F5B" w:rsidRDefault="00596BD9"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sidRPr="00C72885">
              <w:rPr>
                <w:rFonts w:ascii="Calibri Light" w:hAnsi="Calibri Light" w:cs="Calibri Light"/>
                <w:color w:val="252525"/>
                <w:sz w:val="20"/>
                <w:szCs w:val="20"/>
              </w:rPr>
              <w:t>2,500</w:t>
            </w:r>
          </w:p>
          <w:p w14:paraId="52ED0269" w14:textId="7F1F852C" w:rsidR="00596BD9" w:rsidRPr="00C72885" w:rsidRDefault="002634E0"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Pr>
                <w:rFonts w:ascii="Calibri Light" w:hAnsi="Calibri Light" w:cs="Calibri Light"/>
                <w:color w:val="252525"/>
                <w:sz w:val="20"/>
                <w:szCs w:val="20"/>
              </w:rPr>
              <w:t>(124% inc</w:t>
            </w:r>
            <w:r w:rsidR="00E23508">
              <w:rPr>
                <w:rFonts w:ascii="Calibri Light" w:hAnsi="Calibri Light" w:cs="Calibri Light"/>
                <w:color w:val="252525"/>
                <w:sz w:val="20"/>
                <w:szCs w:val="20"/>
              </w:rPr>
              <w:t>rease</w:t>
            </w:r>
            <w:r>
              <w:rPr>
                <w:rFonts w:ascii="Calibri Light" w:hAnsi="Calibri Light" w:cs="Calibri Light"/>
                <w:color w:val="252525"/>
                <w:sz w:val="20"/>
                <w:szCs w:val="20"/>
              </w:rPr>
              <w:t>)</w:t>
            </w:r>
          </w:p>
        </w:tc>
        <w:tc>
          <w:tcPr>
            <w:tcW w:w="1927" w:type="dxa"/>
            <w:vAlign w:val="center"/>
          </w:tcPr>
          <w:p w14:paraId="34053EE6" w14:textId="05151A1F" w:rsidR="00DF5F5B" w:rsidRDefault="00596BD9"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sidRPr="00C72885">
              <w:rPr>
                <w:rFonts w:ascii="Calibri Light" w:hAnsi="Calibri Light" w:cs="Calibri Light"/>
                <w:color w:val="252525"/>
                <w:sz w:val="20"/>
                <w:szCs w:val="20"/>
              </w:rPr>
              <w:t>1,13</w:t>
            </w:r>
            <w:r w:rsidR="00495FD4">
              <w:rPr>
                <w:rFonts w:ascii="Calibri Light" w:hAnsi="Calibri Light" w:cs="Calibri Light"/>
                <w:color w:val="252525"/>
                <w:sz w:val="20"/>
                <w:szCs w:val="20"/>
              </w:rPr>
              <w:t>4</w:t>
            </w:r>
          </w:p>
          <w:p w14:paraId="69824B69" w14:textId="2277C74A" w:rsidR="00596BD9" w:rsidRPr="00C72885" w:rsidRDefault="00952FB1"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Pr>
                <w:rFonts w:ascii="Calibri Light" w:hAnsi="Calibri Light" w:cs="Calibri Light"/>
                <w:color w:val="252525"/>
                <w:sz w:val="20"/>
                <w:szCs w:val="20"/>
              </w:rPr>
              <w:t>(57% inc</w:t>
            </w:r>
            <w:r w:rsidR="00E23508">
              <w:rPr>
                <w:rFonts w:ascii="Calibri Light" w:hAnsi="Calibri Light" w:cs="Calibri Light"/>
                <w:color w:val="252525"/>
                <w:sz w:val="20"/>
                <w:szCs w:val="20"/>
              </w:rPr>
              <w:t>rease</w:t>
            </w:r>
            <w:r>
              <w:rPr>
                <w:rFonts w:ascii="Calibri Light" w:hAnsi="Calibri Light" w:cs="Calibri Light"/>
                <w:color w:val="252525"/>
                <w:sz w:val="20"/>
                <w:szCs w:val="20"/>
              </w:rPr>
              <w:t>)</w:t>
            </w:r>
          </w:p>
        </w:tc>
        <w:tc>
          <w:tcPr>
            <w:tcW w:w="1927" w:type="dxa"/>
            <w:vAlign w:val="center"/>
          </w:tcPr>
          <w:p w14:paraId="33E543B9" w14:textId="1597C3C6" w:rsidR="00DF5F5B" w:rsidRDefault="00596BD9"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sidRPr="00C72885">
              <w:rPr>
                <w:rFonts w:ascii="Calibri Light" w:hAnsi="Calibri Light" w:cs="Calibri Light"/>
                <w:color w:val="252525"/>
                <w:sz w:val="20"/>
                <w:szCs w:val="20"/>
              </w:rPr>
              <w:t>33</w:t>
            </w:r>
            <w:r w:rsidR="00495FD4">
              <w:rPr>
                <w:rFonts w:ascii="Calibri Light" w:hAnsi="Calibri Light" w:cs="Calibri Light"/>
                <w:color w:val="252525"/>
                <w:sz w:val="20"/>
                <w:szCs w:val="20"/>
              </w:rPr>
              <w:t>9</w:t>
            </w:r>
          </w:p>
          <w:p w14:paraId="4693F01C" w14:textId="77358430" w:rsidR="00596BD9" w:rsidRPr="00C72885" w:rsidRDefault="00F23607"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Pr>
                <w:rFonts w:ascii="Calibri Light" w:hAnsi="Calibri Light" w:cs="Calibri Light"/>
                <w:color w:val="252525"/>
                <w:sz w:val="20"/>
                <w:szCs w:val="20"/>
              </w:rPr>
              <w:t>(44% inc</w:t>
            </w:r>
            <w:r w:rsidR="00E23508">
              <w:rPr>
                <w:rFonts w:ascii="Calibri Light" w:hAnsi="Calibri Light" w:cs="Calibri Light"/>
                <w:color w:val="252525"/>
                <w:sz w:val="20"/>
                <w:szCs w:val="20"/>
              </w:rPr>
              <w:t>rease</w:t>
            </w:r>
            <w:r>
              <w:rPr>
                <w:rFonts w:ascii="Calibri Light" w:hAnsi="Calibri Light" w:cs="Calibri Light"/>
                <w:color w:val="252525"/>
                <w:sz w:val="20"/>
                <w:szCs w:val="20"/>
              </w:rPr>
              <w:t>)</w:t>
            </w:r>
          </w:p>
        </w:tc>
        <w:tc>
          <w:tcPr>
            <w:tcW w:w="1927" w:type="dxa"/>
            <w:vAlign w:val="center"/>
          </w:tcPr>
          <w:p w14:paraId="1B40998D" w14:textId="7A3E325B" w:rsidR="00DF5F5B" w:rsidRDefault="00596BD9"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sidRPr="00C72885">
              <w:rPr>
                <w:rFonts w:ascii="Calibri Light" w:hAnsi="Calibri Light" w:cs="Calibri Light"/>
                <w:color w:val="252525"/>
                <w:sz w:val="20"/>
                <w:szCs w:val="20"/>
              </w:rPr>
              <w:t>2,620</w:t>
            </w:r>
          </w:p>
          <w:p w14:paraId="346F2A67" w14:textId="6E6EA22D" w:rsidR="00596BD9" w:rsidRPr="00C72885" w:rsidRDefault="00D84C05" w:rsidP="00C90671">
            <w:pPr>
              <w:pStyle w:val="TableParagraph"/>
              <w:kinsoku w:val="0"/>
              <w:overflowPunct w:val="0"/>
              <w:spacing w:after="120"/>
              <w:ind w:left="0" w:right="170" w:firstLine="0"/>
              <w:contextualSpacing/>
              <w:jc w:val="center"/>
              <w:rPr>
                <w:rFonts w:ascii="Calibri Light" w:hAnsi="Calibri Light" w:cs="Calibri Light"/>
                <w:color w:val="252525"/>
                <w:sz w:val="20"/>
                <w:szCs w:val="20"/>
              </w:rPr>
            </w:pPr>
            <w:r>
              <w:rPr>
                <w:rFonts w:ascii="Calibri Light" w:hAnsi="Calibri Light" w:cs="Calibri Light"/>
                <w:color w:val="252525"/>
                <w:sz w:val="20"/>
                <w:szCs w:val="20"/>
              </w:rPr>
              <w:t>(74% inc</w:t>
            </w:r>
            <w:r w:rsidR="00E23508">
              <w:rPr>
                <w:rFonts w:ascii="Calibri Light" w:hAnsi="Calibri Light" w:cs="Calibri Light"/>
                <w:color w:val="252525"/>
                <w:sz w:val="20"/>
                <w:szCs w:val="20"/>
              </w:rPr>
              <w:t>rease</w:t>
            </w:r>
            <w:r>
              <w:rPr>
                <w:rFonts w:ascii="Calibri Light" w:hAnsi="Calibri Light" w:cs="Calibri Light"/>
                <w:color w:val="252525"/>
                <w:sz w:val="20"/>
                <w:szCs w:val="20"/>
              </w:rPr>
              <w:t>)</w:t>
            </w:r>
          </w:p>
        </w:tc>
      </w:tr>
    </w:tbl>
    <w:p w14:paraId="4B27DCB2" w14:textId="56A72002" w:rsidR="00D4220D" w:rsidRDefault="00D4220D" w:rsidP="008F5D80">
      <w:pPr>
        <w:rPr>
          <w:sz w:val="22"/>
          <w:szCs w:val="22"/>
        </w:rPr>
      </w:pPr>
    </w:p>
    <w:p w14:paraId="01195ABD" w14:textId="77777777" w:rsidR="00E54B79" w:rsidRPr="00E54B79" w:rsidRDefault="00E54B79" w:rsidP="00C90671">
      <w:pPr>
        <w:keepNext/>
        <w:rPr>
          <w:sz w:val="22"/>
          <w:szCs w:val="22"/>
          <w:u w:val="single"/>
        </w:rPr>
      </w:pPr>
      <w:r w:rsidRPr="00E54B79">
        <w:rPr>
          <w:sz w:val="22"/>
          <w:szCs w:val="22"/>
          <w:u w:val="single"/>
        </w:rPr>
        <w:t>Greater numbers than expected of teachers (and students)</w:t>
      </w:r>
    </w:p>
    <w:p w14:paraId="1DFDD884" w14:textId="1FEF6E8D" w:rsidR="00E54B79" w:rsidRPr="008F5D80" w:rsidRDefault="004E0670" w:rsidP="00E54B79">
      <w:pPr>
        <w:rPr>
          <w:sz w:val="22"/>
          <w:szCs w:val="22"/>
        </w:rPr>
      </w:pPr>
      <w:r>
        <w:rPr>
          <w:sz w:val="22"/>
          <w:szCs w:val="22"/>
        </w:rPr>
        <w:t xml:space="preserve">Initial planning </w:t>
      </w:r>
      <w:r w:rsidR="008A5BCE">
        <w:rPr>
          <w:sz w:val="22"/>
          <w:szCs w:val="22"/>
        </w:rPr>
        <w:t>for rolling out Bilum Books</w:t>
      </w:r>
      <w:r w:rsidR="009A078B">
        <w:rPr>
          <w:sz w:val="22"/>
          <w:szCs w:val="22"/>
        </w:rPr>
        <w:t xml:space="preserve"> </w:t>
      </w:r>
      <w:r w:rsidR="008A5BCE">
        <w:rPr>
          <w:sz w:val="22"/>
          <w:szCs w:val="22"/>
        </w:rPr>
        <w:t xml:space="preserve">(BB) training </w:t>
      </w:r>
      <w:r>
        <w:rPr>
          <w:sz w:val="22"/>
          <w:szCs w:val="22"/>
        </w:rPr>
        <w:t xml:space="preserve">was based on </w:t>
      </w:r>
      <w:r w:rsidR="002B45FE">
        <w:rPr>
          <w:sz w:val="22"/>
          <w:szCs w:val="22"/>
        </w:rPr>
        <w:t>data in the</w:t>
      </w:r>
      <w:r w:rsidR="00E953EF">
        <w:rPr>
          <w:sz w:val="22"/>
          <w:szCs w:val="22"/>
        </w:rPr>
        <w:t xml:space="preserve"> 2018</w:t>
      </w:r>
      <w:r w:rsidR="002B45FE">
        <w:rPr>
          <w:sz w:val="22"/>
          <w:szCs w:val="22"/>
        </w:rPr>
        <w:t xml:space="preserve"> </w:t>
      </w:r>
      <w:r w:rsidR="00E54B79" w:rsidRPr="008F5D80">
        <w:rPr>
          <w:sz w:val="22"/>
          <w:szCs w:val="22"/>
        </w:rPr>
        <w:t>Education Management Information System</w:t>
      </w:r>
      <w:r w:rsidR="001D69DA">
        <w:rPr>
          <w:sz w:val="22"/>
          <w:szCs w:val="22"/>
        </w:rPr>
        <w:t xml:space="preserve"> (EMIS</w:t>
      </w:r>
      <w:r w:rsidR="00170DE8">
        <w:rPr>
          <w:sz w:val="22"/>
          <w:szCs w:val="22"/>
        </w:rPr>
        <w:t>);</w:t>
      </w:r>
      <w:r w:rsidR="00E953EF">
        <w:rPr>
          <w:sz w:val="22"/>
          <w:szCs w:val="22"/>
        </w:rPr>
        <w:t xml:space="preserve"> </w:t>
      </w:r>
      <w:r w:rsidR="00692867">
        <w:rPr>
          <w:sz w:val="22"/>
          <w:szCs w:val="22"/>
        </w:rPr>
        <w:t>however,</w:t>
      </w:r>
      <w:r w:rsidR="00626448">
        <w:rPr>
          <w:sz w:val="22"/>
          <w:szCs w:val="22"/>
        </w:rPr>
        <w:t xml:space="preserve"> th</w:t>
      </w:r>
      <w:r w:rsidR="00E54B79" w:rsidRPr="008F5D80">
        <w:rPr>
          <w:sz w:val="22"/>
          <w:szCs w:val="22"/>
        </w:rPr>
        <w:t>e latest full school census</w:t>
      </w:r>
      <w:r w:rsidR="001D69DA">
        <w:rPr>
          <w:sz w:val="22"/>
          <w:szCs w:val="22"/>
        </w:rPr>
        <w:t xml:space="preserve"> (EMIS 202</w:t>
      </w:r>
      <w:r w:rsidR="00862C1B">
        <w:rPr>
          <w:sz w:val="22"/>
          <w:szCs w:val="22"/>
        </w:rPr>
        <w:t xml:space="preserve">3) </w:t>
      </w:r>
      <w:r w:rsidR="00626448">
        <w:rPr>
          <w:sz w:val="22"/>
          <w:szCs w:val="22"/>
        </w:rPr>
        <w:t xml:space="preserve">and </w:t>
      </w:r>
      <w:r w:rsidR="00E54B79" w:rsidRPr="008F5D80">
        <w:rPr>
          <w:sz w:val="22"/>
          <w:szCs w:val="22"/>
        </w:rPr>
        <w:t xml:space="preserve">face-to-face training data </w:t>
      </w:r>
      <w:r w:rsidR="0019054D">
        <w:rPr>
          <w:sz w:val="22"/>
          <w:szCs w:val="22"/>
        </w:rPr>
        <w:t>indicates that</w:t>
      </w:r>
      <w:r w:rsidR="00E54B79" w:rsidRPr="008F5D80">
        <w:rPr>
          <w:sz w:val="22"/>
          <w:szCs w:val="22"/>
        </w:rPr>
        <w:t xml:space="preserve">: </w:t>
      </w:r>
    </w:p>
    <w:p w14:paraId="1C3FE2C3" w14:textId="50AA521B" w:rsidR="009B27FB" w:rsidRPr="000B60B8" w:rsidRDefault="009B27FB" w:rsidP="009B27FB">
      <w:pPr>
        <w:pStyle w:val="ListParagraph"/>
        <w:numPr>
          <w:ilvl w:val="0"/>
          <w:numId w:val="3"/>
        </w:numPr>
        <w:rPr>
          <w:sz w:val="22"/>
          <w:szCs w:val="22"/>
        </w:rPr>
      </w:pPr>
      <w:r>
        <w:rPr>
          <w:sz w:val="22"/>
          <w:szCs w:val="22"/>
        </w:rPr>
        <w:t>t</w:t>
      </w:r>
      <w:r w:rsidRPr="00F81F6D">
        <w:rPr>
          <w:sz w:val="22"/>
          <w:szCs w:val="22"/>
        </w:rPr>
        <w:t>eacher numbers</w:t>
      </w:r>
      <w:r w:rsidR="00735236">
        <w:rPr>
          <w:sz w:val="22"/>
          <w:szCs w:val="22"/>
        </w:rPr>
        <w:t xml:space="preserve"> (registered/on payroll)</w:t>
      </w:r>
      <w:r w:rsidRPr="00F81F6D">
        <w:rPr>
          <w:sz w:val="22"/>
          <w:szCs w:val="22"/>
        </w:rPr>
        <w:t xml:space="preserve"> have increased by at least 7%</w:t>
      </w:r>
      <w:r w:rsidRPr="000B60B8">
        <w:rPr>
          <w:vertAlign w:val="superscript"/>
        </w:rPr>
        <w:footnoteReference w:id="8"/>
      </w:r>
      <w:r w:rsidRPr="000B60B8">
        <w:rPr>
          <w:sz w:val="22"/>
          <w:szCs w:val="22"/>
          <w:vertAlign w:val="superscript"/>
        </w:rPr>
        <w:t xml:space="preserve"> </w:t>
      </w:r>
      <w:r w:rsidR="002F65BE">
        <w:rPr>
          <w:sz w:val="22"/>
          <w:szCs w:val="22"/>
        </w:rPr>
        <w:t>; and</w:t>
      </w:r>
    </w:p>
    <w:p w14:paraId="2E680DA8" w14:textId="4418A378" w:rsidR="00E54B79" w:rsidRDefault="00E54B79" w:rsidP="002333AF">
      <w:pPr>
        <w:pStyle w:val="ListParagraph"/>
        <w:numPr>
          <w:ilvl w:val="0"/>
          <w:numId w:val="3"/>
        </w:numPr>
        <w:rPr>
          <w:sz w:val="22"/>
          <w:szCs w:val="22"/>
        </w:rPr>
      </w:pPr>
      <w:r w:rsidRPr="00F81F6D">
        <w:rPr>
          <w:sz w:val="22"/>
          <w:szCs w:val="22"/>
        </w:rPr>
        <w:t>student numbers have increased by at least 14%</w:t>
      </w:r>
      <w:r w:rsidR="008D1999">
        <w:rPr>
          <w:sz w:val="22"/>
          <w:szCs w:val="22"/>
        </w:rPr>
        <w:t>.</w:t>
      </w:r>
    </w:p>
    <w:p w14:paraId="28938953" w14:textId="3466BDDD" w:rsidR="008B6DD7" w:rsidRDefault="00B92354" w:rsidP="001F1190">
      <w:pPr>
        <w:rPr>
          <w:sz w:val="22"/>
          <w:szCs w:val="22"/>
        </w:rPr>
      </w:pPr>
      <w:r>
        <w:rPr>
          <w:sz w:val="22"/>
          <w:szCs w:val="22"/>
        </w:rPr>
        <w:t xml:space="preserve">Further, </w:t>
      </w:r>
      <w:r w:rsidR="00F21058">
        <w:rPr>
          <w:sz w:val="22"/>
          <w:szCs w:val="22"/>
        </w:rPr>
        <w:t xml:space="preserve">the Program reports that </w:t>
      </w:r>
      <w:r w:rsidR="00DF5A16">
        <w:rPr>
          <w:sz w:val="22"/>
          <w:szCs w:val="22"/>
        </w:rPr>
        <w:t>a</w:t>
      </w:r>
      <w:r w:rsidR="00DF5A16" w:rsidRPr="00DF5A16">
        <w:rPr>
          <w:sz w:val="22"/>
          <w:szCs w:val="22"/>
        </w:rPr>
        <w:t xml:space="preserve">cross </w:t>
      </w:r>
      <w:r w:rsidR="00DF5A16">
        <w:rPr>
          <w:sz w:val="22"/>
          <w:szCs w:val="22"/>
        </w:rPr>
        <w:t>t</w:t>
      </w:r>
      <w:r w:rsidR="00DF5A16" w:rsidRPr="00DF5A16">
        <w:rPr>
          <w:sz w:val="22"/>
          <w:szCs w:val="22"/>
        </w:rPr>
        <w:t xml:space="preserve">hree </w:t>
      </w:r>
      <w:r w:rsidR="008A5BCE">
        <w:rPr>
          <w:sz w:val="22"/>
          <w:szCs w:val="22"/>
        </w:rPr>
        <w:t xml:space="preserve">BB training </w:t>
      </w:r>
      <w:r w:rsidR="00DF5A16" w:rsidRPr="00DF5A16">
        <w:rPr>
          <w:sz w:val="22"/>
          <w:szCs w:val="22"/>
        </w:rPr>
        <w:t xml:space="preserve">locations there have been </w:t>
      </w:r>
      <w:r w:rsidR="00FC5DD8">
        <w:rPr>
          <w:sz w:val="22"/>
          <w:szCs w:val="22"/>
        </w:rPr>
        <w:t>around 500 a</w:t>
      </w:r>
      <w:r w:rsidR="00DF5A16" w:rsidRPr="00DF5A16">
        <w:rPr>
          <w:sz w:val="22"/>
          <w:szCs w:val="22"/>
        </w:rPr>
        <w:t>dditional</w:t>
      </w:r>
      <w:r w:rsidR="00F21058">
        <w:rPr>
          <w:sz w:val="22"/>
          <w:szCs w:val="22"/>
        </w:rPr>
        <w:t xml:space="preserve"> </w:t>
      </w:r>
      <w:r w:rsidR="00DF5A16" w:rsidRPr="00DF5A16">
        <w:rPr>
          <w:sz w:val="22"/>
          <w:szCs w:val="22"/>
        </w:rPr>
        <w:t>people present at training requiring accommodation. Th</w:t>
      </w:r>
      <w:r w:rsidR="00F21058">
        <w:rPr>
          <w:sz w:val="22"/>
          <w:szCs w:val="22"/>
        </w:rPr>
        <w:t xml:space="preserve">ese have been </w:t>
      </w:r>
      <w:r w:rsidR="00DF5A16" w:rsidRPr="00DF5A16">
        <w:rPr>
          <w:sz w:val="22"/>
          <w:szCs w:val="22"/>
        </w:rPr>
        <w:t>both volunteer/unregistered teachers</w:t>
      </w:r>
      <w:r w:rsidR="00F21058">
        <w:rPr>
          <w:sz w:val="22"/>
          <w:szCs w:val="22"/>
        </w:rPr>
        <w:t>,</w:t>
      </w:r>
      <w:r w:rsidR="00DF5A16" w:rsidRPr="00DF5A16">
        <w:rPr>
          <w:sz w:val="22"/>
          <w:szCs w:val="22"/>
        </w:rPr>
        <w:t xml:space="preserve"> who are often the only educator available in their location</w:t>
      </w:r>
      <w:r w:rsidR="00F21058">
        <w:rPr>
          <w:sz w:val="22"/>
          <w:szCs w:val="22"/>
        </w:rPr>
        <w:t>,</w:t>
      </w:r>
      <w:r w:rsidR="00DF5A16" w:rsidRPr="00DF5A16">
        <w:rPr>
          <w:sz w:val="22"/>
          <w:szCs w:val="22"/>
        </w:rPr>
        <w:t xml:space="preserve"> and babysitters enabling the participation of primary caregivers. </w:t>
      </w:r>
      <w:r w:rsidR="00F21058" w:rsidRPr="00DF5A16">
        <w:rPr>
          <w:sz w:val="22"/>
          <w:szCs w:val="22"/>
        </w:rPr>
        <w:t>The additional participants have resulted in extra costs (food and additional beds in rooms)</w:t>
      </w:r>
      <w:r w:rsidR="00F21058">
        <w:rPr>
          <w:sz w:val="22"/>
          <w:szCs w:val="22"/>
        </w:rPr>
        <w:t xml:space="preserve"> of </w:t>
      </w:r>
      <w:r w:rsidR="00F606FF">
        <w:rPr>
          <w:sz w:val="22"/>
          <w:szCs w:val="22"/>
        </w:rPr>
        <w:t xml:space="preserve">around AUD790k (noting that this is </w:t>
      </w:r>
      <w:r w:rsidR="00F21058" w:rsidRPr="00DF5A16">
        <w:rPr>
          <w:sz w:val="22"/>
          <w:szCs w:val="22"/>
        </w:rPr>
        <w:t>not the full cost associated with genuine training participant</w:t>
      </w:r>
      <w:r w:rsidR="00574453">
        <w:rPr>
          <w:sz w:val="22"/>
          <w:szCs w:val="22"/>
        </w:rPr>
        <w:t>s</w:t>
      </w:r>
      <w:r w:rsidR="00F606FF">
        <w:rPr>
          <w:sz w:val="22"/>
          <w:szCs w:val="22"/>
        </w:rPr>
        <w:t>)</w:t>
      </w:r>
      <w:r w:rsidR="00F21058" w:rsidRPr="00DF5A16">
        <w:rPr>
          <w:sz w:val="22"/>
          <w:szCs w:val="22"/>
        </w:rPr>
        <w:t>.</w:t>
      </w:r>
    </w:p>
    <w:p w14:paraId="3CC96DD4" w14:textId="20F443F8" w:rsidR="00F578B5" w:rsidRDefault="008B6DD7" w:rsidP="00863D5E">
      <w:pPr>
        <w:spacing w:after="0"/>
        <w:rPr>
          <w:sz w:val="22"/>
          <w:szCs w:val="22"/>
        </w:rPr>
      </w:pPr>
      <w:r>
        <w:rPr>
          <w:sz w:val="22"/>
          <w:szCs w:val="22"/>
        </w:rPr>
        <w:t>From a</w:t>
      </w:r>
      <w:r w:rsidR="007A48D9">
        <w:rPr>
          <w:sz w:val="22"/>
          <w:szCs w:val="22"/>
        </w:rPr>
        <w:t xml:space="preserve">n </w:t>
      </w:r>
      <w:r>
        <w:rPr>
          <w:sz w:val="22"/>
          <w:szCs w:val="22"/>
        </w:rPr>
        <w:t xml:space="preserve">implementation perspective the </w:t>
      </w:r>
      <w:r w:rsidR="007A48D9">
        <w:rPr>
          <w:sz w:val="22"/>
          <w:szCs w:val="22"/>
        </w:rPr>
        <w:t xml:space="preserve">Program </w:t>
      </w:r>
      <w:r w:rsidR="0003610C">
        <w:rPr>
          <w:sz w:val="22"/>
          <w:szCs w:val="22"/>
        </w:rPr>
        <w:t>has found, throughout</w:t>
      </w:r>
      <w:r w:rsidR="00F578B5" w:rsidRPr="00F578B5">
        <w:rPr>
          <w:sz w:val="22"/>
          <w:szCs w:val="22"/>
        </w:rPr>
        <w:t xml:space="preserve"> the rollout and delivery of training of trainers (TOT) and/or direct training, that Trainers and/or participants (i.e. teachers, Inclusive Education Outreach Officers) require additional training beyond initial plans and budgets</w:t>
      </w:r>
      <w:r w:rsidR="000E27CC">
        <w:rPr>
          <w:sz w:val="22"/>
          <w:szCs w:val="22"/>
        </w:rPr>
        <w:t xml:space="preserve">, with such cases </w:t>
      </w:r>
      <w:r w:rsidR="00A97B00">
        <w:rPr>
          <w:sz w:val="22"/>
          <w:szCs w:val="22"/>
        </w:rPr>
        <w:t>requiring additional expenditure (above budget) of AUD</w:t>
      </w:r>
      <w:r w:rsidR="000F513C">
        <w:rPr>
          <w:sz w:val="22"/>
          <w:szCs w:val="22"/>
        </w:rPr>
        <w:t>172k.</w:t>
      </w:r>
      <w:r w:rsidR="00F578B5" w:rsidRPr="00F578B5">
        <w:rPr>
          <w:sz w:val="22"/>
          <w:szCs w:val="22"/>
        </w:rPr>
        <w:t xml:space="preserve">  Examples </w:t>
      </w:r>
      <w:r w:rsidR="00F578B5">
        <w:rPr>
          <w:sz w:val="22"/>
          <w:szCs w:val="22"/>
        </w:rPr>
        <w:t>include:</w:t>
      </w:r>
    </w:p>
    <w:p w14:paraId="37C6CADB" w14:textId="30025C88" w:rsidR="00D568E2" w:rsidRPr="00D568E2" w:rsidRDefault="00D568E2" w:rsidP="00D568E2">
      <w:pPr>
        <w:pStyle w:val="ListParagraph"/>
        <w:numPr>
          <w:ilvl w:val="0"/>
          <w:numId w:val="3"/>
        </w:numPr>
        <w:rPr>
          <w:sz w:val="22"/>
          <w:szCs w:val="22"/>
        </w:rPr>
      </w:pPr>
      <w:r w:rsidRPr="00D568E2">
        <w:rPr>
          <w:sz w:val="22"/>
          <w:szCs w:val="22"/>
        </w:rPr>
        <w:t>Math</w:t>
      </w:r>
      <w:r w:rsidR="00464E67">
        <w:rPr>
          <w:sz w:val="22"/>
          <w:szCs w:val="22"/>
        </w:rPr>
        <w:t>ematics</w:t>
      </w:r>
      <w:r w:rsidRPr="00D568E2">
        <w:rPr>
          <w:sz w:val="22"/>
          <w:szCs w:val="22"/>
        </w:rPr>
        <w:t xml:space="preserve"> Training: PIE held a TOT in Port Moresby in March 2024</w:t>
      </w:r>
      <w:r w:rsidR="00464E67">
        <w:rPr>
          <w:sz w:val="22"/>
          <w:szCs w:val="22"/>
        </w:rPr>
        <w:t xml:space="preserve">, which was </w:t>
      </w:r>
      <w:r w:rsidRPr="00D568E2">
        <w:rPr>
          <w:sz w:val="22"/>
          <w:szCs w:val="22"/>
        </w:rPr>
        <w:t xml:space="preserve">followed </w:t>
      </w:r>
      <w:r w:rsidR="00FA7156">
        <w:rPr>
          <w:sz w:val="22"/>
          <w:szCs w:val="22"/>
        </w:rPr>
        <w:t xml:space="preserve">by </w:t>
      </w:r>
      <w:r w:rsidRPr="00D568E2">
        <w:rPr>
          <w:sz w:val="22"/>
          <w:szCs w:val="22"/>
        </w:rPr>
        <w:t xml:space="preserve">cascade training </w:t>
      </w:r>
      <w:r w:rsidR="00FA7156">
        <w:rPr>
          <w:sz w:val="22"/>
          <w:szCs w:val="22"/>
        </w:rPr>
        <w:t xml:space="preserve">sessions </w:t>
      </w:r>
      <w:r w:rsidRPr="00D568E2">
        <w:rPr>
          <w:sz w:val="22"/>
          <w:szCs w:val="22"/>
        </w:rPr>
        <w:t>in sub-national locations.  As documented in the May Math Exception Report</w:t>
      </w:r>
      <w:r w:rsidR="006B1011">
        <w:rPr>
          <w:rStyle w:val="FootnoteReference"/>
          <w:sz w:val="22"/>
          <w:szCs w:val="22"/>
        </w:rPr>
        <w:footnoteReference w:id="9"/>
      </w:r>
      <w:r w:rsidRPr="00D568E2">
        <w:rPr>
          <w:sz w:val="22"/>
          <w:szCs w:val="22"/>
        </w:rPr>
        <w:t xml:space="preserve"> </w:t>
      </w:r>
      <w:r w:rsidR="006B1011">
        <w:rPr>
          <w:sz w:val="22"/>
          <w:szCs w:val="22"/>
        </w:rPr>
        <w:t xml:space="preserve">concerns about </w:t>
      </w:r>
      <w:r w:rsidR="00E3260B">
        <w:rPr>
          <w:sz w:val="22"/>
          <w:szCs w:val="22"/>
        </w:rPr>
        <w:t xml:space="preserve">participant </w:t>
      </w:r>
      <w:r w:rsidRPr="00D568E2">
        <w:rPr>
          <w:sz w:val="22"/>
          <w:szCs w:val="22"/>
        </w:rPr>
        <w:t xml:space="preserve">content knowledge </w:t>
      </w:r>
      <w:r w:rsidR="00E3260B">
        <w:rPr>
          <w:sz w:val="22"/>
          <w:szCs w:val="22"/>
        </w:rPr>
        <w:t xml:space="preserve">resulted in a </w:t>
      </w:r>
      <w:r w:rsidRPr="00D568E2">
        <w:rPr>
          <w:sz w:val="22"/>
          <w:szCs w:val="22"/>
        </w:rPr>
        <w:t>follow-up mathematics TOT in May 2024</w:t>
      </w:r>
      <w:r w:rsidR="004D7CFD">
        <w:rPr>
          <w:sz w:val="22"/>
          <w:szCs w:val="22"/>
        </w:rPr>
        <w:t>.</w:t>
      </w:r>
    </w:p>
    <w:p w14:paraId="60611018" w14:textId="313E8048" w:rsidR="00D568E2" w:rsidRPr="00D568E2" w:rsidRDefault="004D7CFD" w:rsidP="00D568E2">
      <w:pPr>
        <w:pStyle w:val="ListParagraph"/>
        <w:numPr>
          <w:ilvl w:val="0"/>
          <w:numId w:val="3"/>
        </w:numPr>
        <w:rPr>
          <w:sz w:val="22"/>
          <w:szCs w:val="22"/>
        </w:rPr>
      </w:pPr>
      <w:r>
        <w:rPr>
          <w:sz w:val="22"/>
          <w:szCs w:val="22"/>
        </w:rPr>
        <w:t>T</w:t>
      </w:r>
      <w:r w:rsidR="00DF507A">
        <w:rPr>
          <w:sz w:val="22"/>
          <w:szCs w:val="22"/>
        </w:rPr>
        <w:t>e</w:t>
      </w:r>
      <w:r w:rsidR="00D568E2" w:rsidRPr="00D568E2">
        <w:rPr>
          <w:sz w:val="22"/>
          <w:szCs w:val="22"/>
        </w:rPr>
        <w:t xml:space="preserve">acher Learning Circle Refresher Training: </w:t>
      </w:r>
      <w:r w:rsidR="00DF507A">
        <w:rPr>
          <w:sz w:val="22"/>
          <w:szCs w:val="22"/>
        </w:rPr>
        <w:t xml:space="preserve">Based on </w:t>
      </w:r>
      <w:r w:rsidR="00DD42AC">
        <w:rPr>
          <w:sz w:val="22"/>
          <w:szCs w:val="22"/>
        </w:rPr>
        <w:t xml:space="preserve">feedback from the </w:t>
      </w:r>
      <w:r w:rsidR="00D568E2" w:rsidRPr="00D568E2">
        <w:rPr>
          <w:sz w:val="22"/>
          <w:szCs w:val="22"/>
        </w:rPr>
        <w:t xml:space="preserve">Term 2 2023 Joint-Monitoring Visit, TLC phone survey and reflections from cohort 1 of the Bilum Books Literacy Training </w:t>
      </w:r>
      <w:r w:rsidR="00975428">
        <w:rPr>
          <w:sz w:val="22"/>
          <w:szCs w:val="22"/>
        </w:rPr>
        <w:t xml:space="preserve">it became apparent that </w:t>
      </w:r>
      <w:r w:rsidR="00D568E2" w:rsidRPr="00D568E2">
        <w:rPr>
          <w:sz w:val="22"/>
          <w:szCs w:val="22"/>
        </w:rPr>
        <w:t xml:space="preserve">TLC Leaders did not understand </w:t>
      </w:r>
      <w:r w:rsidR="00A30B04">
        <w:rPr>
          <w:sz w:val="22"/>
          <w:szCs w:val="22"/>
        </w:rPr>
        <w:t>and were not confident in th</w:t>
      </w:r>
      <w:r w:rsidR="00D568E2" w:rsidRPr="00D568E2">
        <w:rPr>
          <w:sz w:val="22"/>
          <w:szCs w:val="22"/>
        </w:rPr>
        <w:t>eir role</w:t>
      </w:r>
      <w:r w:rsidR="00AD1D5F">
        <w:rPr>
          <w:sz w:val="22"/>
          <w:szCs w:val="22"/>
        </w:rPr>
        <w:t>. Refresher training</w:t>
      </w:r>
      <w:r w:rsidR="00AD1D5F">
        <w:rPr>
          <w:rStyle w:val="FootnoteReference"/>
          <w:sz w:val="22"/>
          <w:szCs w:val="22"/>
        </w:rPr>
        <w:footnoteReference w:id="10"/>
      </w:r>
      <w:r w:rsidR="00AD1D5F">
        <w:rPr>
          <w:sz w:val="22"/>
          <w:szCs w:val="22"/>
        </w:rPr>
        <w:t xml:space="preserve"> was conducted. </w:t>
      </w:r>
      <w:r w:rsidR="00D568E2" w:rsidRPr="00D568E2">
        <w:rPr>
          <w:sz w:val="22"/>
          <w:szCs w:val="22"/>
        </w:rPr>
        <w:t xml:space="preserve"> </w:t>
      </w:r>
    </w:p>
    <w:p w14:paraId="58FB8652" w14:textId="0D54104B" w:rsidR="00F578B5" w:rsidRPr="0065260C" w:rsidRDefault="00D568E2" w:rsidP="00760804">
      <w:pPr>
        <w:pStyle w:val="ListParagraph"/>
        <w:numPr>
          <w:ilvl w:val="0"/>
          <w:numId w:val="3"/>
        </w:numPr>
        <w:rPr>
          <w:sz w:val="22"/>
          <w:szCs w:val="22"/>
        </w:rPr>
      </w:pPr>
      <w:r w:rsidRPr="00D568E2">
        <w:rPr>
          <w:sz w:val="22"/>
          <w:szCs w:val="22"/>
        </w:rPr>
        <w:t>Inclusive Education</w:t>
      </w:r>
      <w:r w:rsidR="001C1976">
        <w:rPr>
          <w:sz w:val="22"/>
          <w:szCs w:val="22"/>
        </w:rPr>
        <w:t>:</w:t>
      </w:r>
      <w:r w:rsidRPr="00D568E2">
        <w:rPr>
          <w:sz w:val="22"/>
          <w:szCs w:val="22"/>
        </w:rPr>
        <w:t xml:space="preserve"> In January</w:t>
      </w:r>
      <w:r w:rsidR="00572A66">
        <w:rPr>
          <w:sz w:val="22"/>
          <w:szCs w:val="22"/>
        </w:rPr>
        <w:t>,</w:t>
      </w:r>
      <w:r w:rsidRPr="00D568E2">
        <w:rPr>
          <w:sz w:val="22"/>
          <w:szCs w:val="22"/>
        </w:rPr>
        <w:t xml:space="preserve"> PIE delivered national training to IERC staff</w:t>
      </w:r>
      <w:r w:rsidR="001E0B81">
        <w:rPr>
          <w:sz w:val="22"/>
          <w:szCs w:val="22"/>
        </w:rPr>
        <w:t xml:space="preserve"> and PIE deployed IERC Outreach Officers,</w:t>
      </w:r>
      <w:r w:rsidRPr="00D568E2">
        <w:rPr>
          <w:sz w:val="22"/>
          <w:szCs w:val="22"/>
        </w:rPr>
        <w:t xml:space="preserve"> on the Inclusive Education Policy and associated implementation Guides.</w:t>
      </w:r>
      <w:r w:rsidR="005C703A">
        <w:rPr>
          <w:sz w:val="22"/>
          <w:szCs w:val="22"/>
        </w:rPr>
        <w:t xml:space="preserve"> A</w:t>
      </w:r>
      <w:r w:rsidRPr="00D568E2">
        <w:rPr>
          <w:sz w:val="22"/>
          <w:szCs w:val="22"/>
        </w:rPr>
        <w:t xml:space="preserve">s outreach officers continued to report and display </w:t>
      </w:r>
      <w:r w:rsidR="005C703A">
        <w:rPr>
          <w:sz w:val="22"/>
          <w:szCs w:val="22"/>
        </w:rPr>
        <w:t xml:space="preserve">a lack of understanding about their </w:t>
      </w:r>
      <w:r w:rsidR="00A266FD">
        <w:rPr>
          <w:sz w:val="22"/>
          <w:szCs w:val="22"/>
        </w:rPr>
        <w:t>roles</w:t>
      </w:r>
      <w:r w:rsidR="00572A66">
        <w:rPr>
          <w:sz w:val="22"/>
          <w:szCs w:val="22"/>
        </w:rPr>
        <w:t>,</w:t>
      </w:r>
      <w:r w:rsidR="005C703A">
        <w:rPr>
          <w:sz w:val="22"/>
          <w:szCs w:val="22"/>
        </w:rPr>
        <w:t xml:space="preserve"> </w:t>
      </w:r>
      <w:r w:rsidR="001D6A92">
        <w:rPr>
          <w:sz w:val="22"/>
          <w:szCs w:val="22"/>
        </w:rPr>
        <w:t>refresher training was conducted</w:t>
      </w:r>
      <w:r w:rsidRPr="00D568E2">
        <w:rPr>
          <w:sz w:val="22"/>
          <w:szCs w:val="22"/>
        </w:rPr>
        <w:t xml:space="preserve">. </w:t>
      </w:r>
    </w:p>
    <w:p w14:paraId="1B909F62" w14:textId="3BFDA65F" w:rsidR="008F5D80" w:rsidRPr="008F5D80" w:rsidRDefault="00E54B79" w:rsidP="00E54B79">
      <w:pPr>
        <w:rPr>
          <w:sz w:val="22"/>
          <w:szCs w:val="22"/>
        </w:rPr>
      </w:pPr>
      <w:bookmarkStart w:id="13" w:name="_Hlk175648331"/>
      <w:r w:rsidRPr="00E54B79">
        <w:rPr>
          <w:sz w:val="22"/>
          <w:szCs w:val="22"/>
          <w:u w:val="single"/>
        </w:rPr>
        <w:t>Increased costs of doing business.</w:t>
      </w:r>
      <w:r w:rsidRPr="008F5D80">
        <w:rPr>
          <w:sz w:val="22"/>
          <w:szCs w:val="22"/>
        </w:rPr>
        <w:t xml:space="preserve"> </w:t>
      </w:r>
    </w:p>
    <w:bookmarkEnd w:id="13"/>
    <w:p w14:paraId="0093D316" w14:textId="59D3B620" w:rsidR="00830484" w:rsidRPr="00830484" w:rsidRDefault="00830484" w:rsidP="00830484">
      <w:pPr>
        <w:rPr>
          <w:sz w:val="22"/>
          <w:szCs w:val="22"/>
        </w:rPr>
      </w:pPr>
      <w:r w:rsidRPr="00830484">
        <w:rPr>
          <w:sz w:val="22"/>
          <w:szCs w:val="22"/>
        </w:rPr>
        <w:t>Global inflationary pressures and local events such as the January 10</w:t>
      </w:r>
      <w:r w:rsidR="004F40C5" w:rsidRPr="00830484">
        <w:rPr>
          <w:sz w:val="22"/>
          <w:szCs w:val="22"/>
        </w:rPr>
        <w:t>, 2024</w:t>
      </w:r>
      <w:r>
        <w:rPr>
          <w:sz w:val="22"/>
          <w:szCs w:val="22"/>
        </w:rPr>
        <w:t xml:space="preserve"> </w:t>
      </w:r>
      <w:r w:rsidRPr="00830484">
        <w:rPr>
          <w:sz w:val="22"/>
          <w:szCs w:val="22"/>
        </w:rPr>
        <w:t xml:space="preserve">civil disturbance have resulted in an increase in the cost of goods, services and program delivery. This has been evident in the cost of vehicle fuel, rental accommodation options for long-term advisers, hotels, venue hire for training and the cost of training materials and printing.  </w:t>
      </w:r>
    </w:p>
    <w:p w14:paraId="4215A412" w14:textId="428893A3" w:rsidR="00830484" w:rsidRPr="00830484" w:rsidRDefault="000423E1" w:rsidP="00D639CB">
      <w:pPr>
        <w:spacing w:after="0"/>
        <w:rPr>
          <w:sz w:val="22"/>
          <w:szCs w:val="22"/>
        </w:rPr>
      </w:pPr>
      <w:r>
        <w:rPr>
          <w:sz w:val="22"/>
          <w:szCs w:val="22"/>
        </w:rPr>
        <w:t>Examples include:</w:t>
      </w:r>
    </w:p>
    <w:p w14:paraId="5661159D" w14:textId="6F222F78" w:rsidR="00A11D89" w:rsidRPr="00C708DD" w:rsidRDefault="00B85467" w:rsidP="0065260C">
      <w:pPr>
        <w:pStyle w:val="ListParagraph"/>
        <w:numPr>
          <w:ilvl w:val="0"/>
          <w:numId w:val="3"/>
        </w:numPr>
        <w:rPr>
          <w:sz w:val="22"/>
          <w:szCs w:val="22"/>
        </w:rPr>
      </w:pPr>
      <w:r w:rsidRPr="00856947">
        <w:rPr>
          <w:sz w:val="22"/>
          <w:szCs w:val="22"/>
        </w:rPr>
        <w:t xml:space="preserve">The security situation in Enga has remained unstable since the 2022 national general election. </w:t>
      </w:r>
      <w:r w:rsidR="001658E2" w:rsidRPr="00856947">
        <w:rPr>
          <w:sz w:val="22"/>
          <w:szCs w:val="22"/>
        </w:rPr>
        <w:t>Program implementation in Enga was heavily adjusted from March 2023 with a focus on emergency programming and governance systems strengthening</w:t>
      </w:r>
      <w:r w:rsidR="00BB18D6" w:rsidRPr="00856947">
        <w:rPr>
          <w:sz w:val="22"/>
          <w:szCs w:val="22"/>
        </w:rPr>
        <w:t xml:space="preserve">. While some funds have </w:t>
      </w:r>
      <w:r w:rsidR="00802342" w:rsidRPr="00856947">
        <w:rPr>
          <w:sz w:val="22"/>
          <w:szCs w:val="22"/>
        </w:rPr>
        <w:t xml:space="preserve">been </w:t>
      </w:r>
      <w:r w:rsidR="006308D1" w:rsidRPr="00856947">
        <w:rPr>
          <w:sz w:val="22"/>
          <w:szCs w:val="22"/>
        </w:rPr>
        <w:t>diverted to other activities</w:t>
      </w:r>
      <w:r w:rsidR="00572A66">
        <w:rPr>
          <w:sz w:val="22"/>
          <w:szCs w:val="22"/>
        </w:rPr>
        <w:t>,</w:t>
      </w:r>
      <w:r w:rsidR="006308D1" w:rsidRPr="00856947">
        <w:rPr>
          <w:sz w:val="22"/>
          <w:szCs w:val="22"/>
        </w:rPr>
        <w:t xml:space="preserve"> the Program has incurred </w:t>
      </w:r>
      <w:r w:rsidR="00802342" w:rsidRPr="00856947">
        <w:rPr>
          <w:sz w:val="22"/>
          <w:szCs w:val="22"/>
        </w:rPr>
        <w:t xml:space="preserve">increased security and program costs for the activities that have </w:t>
      </w:r>
      <w:r w:rsidR="00856947" w:rsidRPr="00856947">
        <w:rPr>
          <w:sz w:val="22"/>
          <w:szCs w:val="22"/>
        </w:rPr>
        <w:t>occurred in 2023 and 2024</w:t>
      </w:r>
      <w:r w:rsidR="00CC1144">
        <w:rPr>
          <w:sz w:val="22"/>
          <w:szCs w:val="22"/>
        </w:rPr>
        <w:t>.</w:t>
      </w:r>
    </w:p>
    <w:p w14:paraId="53441F68" w14:textId="1025A329" w:rsidR="00830484" w:rsidRPr="00830484" w:rsidRDefault="00074275" w:rsidP="00830484">
      <w:pPr>
        <w:pStyle w:val="ListParagraph"/>
        <w:numPr>
          <w:ilvl w:val="0"/>
          <w:numId w:val="3"/>
        </w:numPr>
        <w:rPr>
          <w:sz w:val="22"/>
          <w:szCs w:val="22"/>
        </w:rPr>
      </w:pPr>
      <w:r>
        <w:rPr>
          <w:sz w:val="22"/>
          <w:szCs w:val="22"/>
        </w:rPr>
        <w:t xml:space="preserve">Increase in </w:t>
      </w:r>
      <w:r w:rsidR="00830484" w:rsidRPr="00830484">
        <w:rPr>
          <w:sz w:val="22"/>
          <w:szCs w:val="22"/>
        </w:rPr>
        <w:t xml:space="preserve">Air Niugini ticket prices </w:t>
      </w:r>
      <w:r>
        <w:rPr>
          <w:sz w:val="22"/>
          <w:szCs w:val="22"/>
        </w:rPr>
        <w:t>of approx. 3</w:t>
      </w:r>
      <w:r w:rsidR="00830484" w:rsidRPr="00830484">
        <w:rPr>
          <w:sz w:val="22"/>
          <w:szCs w:val="22"/>
        </w:rPr>
        <w:t>0%</w:t>
      </w:r>
      <w:r w:rsidR="00247A79">
        <w:rPr>
          <w:sz w:val="22"/>
          <w:szCs w:val="22"/>
        </w:rPr>
        <w:t xml:space="preserve"> [</w:t>
      </w:r>
      <w:r w:rsidR="00830484" w:rsidRPr="00830484">
        <w:rPr>
          <w:sz w:val="22"/>
          <w:szCs w:val="22"/>
        </w:rPr>
        <w:t xml:space="preserve">Economy POM-Buka return </w:t>
      </w:r>
      <w:r w:rsidR="00247A79">
        <w:rPr>
          <w:sz w:val="22"/>
          <w:szCs w:val="22"/>
        </w:rPr>
        <w:t xml:space="preserve">tickets </w:t>
      </w:r>
      <w:r w:rsidR="00830484" w:rsidRPr="00830484">
        <w:rPr>
          <w:sz w:val="22"/>
          <w:szCs w:val="22"/>
        </w:rPr>
        <w:t>currently range from PGK1,800 to PGK4,800 depending on fuel availability and demand</w:t>
      </w:r>
      <w:r w:rsidR="005E435A">
        <w:rPr>
          <w:sz w:val="22"/>
          <w:szCs w:val="22"/>
        </w:rPr>
        <w:t>]</w:t>
      </w:r>
      <w:r w:rsidR="00B4781E">
        <w:rPr>
          <w:sz w:val="22"/>
          <w:szCs w:val="22"/>
        </w:rPr>
        <w:t>.</w:t>
      </w:r>
    </w:p>
    <w:p w14:paraId="7775A80D" w14:textId="02109A27" w:rsidR="00830484" w:rsidRPr="00830484" w:rsidRDefault="00830484" w:rsidP="00830484">
      <w:pPr>
        <w:pStyle w:val="ListParagraph"/>
        <w:numPr>
          <w:ilvl w:val="0"/>
          <w:numId w:val="3"/>
        </w:numPr>
        <w:rPr>
          <w:sz w:val="22"/>
          <w:szCs w:val="22"/>
        </w:rPr>
      </w:pPr>
      <w:r w:rsidRPr="00830484">
        <w:rPr>
          <w:sz w:val="22"/>
          <w:szCs w:val="22"/>
        </w:rPr>
        <w:t xml:space="preserve">ChildFund </w:t>
      </w:r>
      <w:r w:rsidR="008F56B6">
        <w:rPr>
          <w:sz w:val="22"/>
          <w:szCs w:val="22"/>
        </w:rPr>
        <w:t>(School Leadership and Management training)</w:t>
      </w:r>
      <w:r w:rsidR="006606F1">
        <w:rPr>
          <w:sz w:val="22"/>
          <w:szCs w:val="22"/>
        </w:rPr>
        <w:t xml:space="preserve"> </w:t>
      </w:r>
      <w:r w:rsidRPr="00830484">
        <w:rPr>
          <w:sz w:val="22"/>
          <w:szCs w:val="22"/>
        </w:rPr>
        <w:t xml:space="preserve">have noted the impact </w:t>
      </w:r>
      <w:r w:rsidR="005E435A">
        <w:rPr>
          <w:sz w:val="22"/>
          <w:szCs w:val="22"/>
        </w:rPr>
        <w:t xml:space="preserve">of increased costs </w:t>
      </w:r>
      <w:r w:rsidRPr="00830484">
        <w:rPr>
          <w:sz w:val="22"/>
          <w:szCs w:val="22"/>
        </w:rPr>
        <w:t>on their activity forecast, reporting a 54% increase in costs and requesting up to an additional A</w:t>
      </w:r>
      <w:r w:rsidR="00566AD9">
        <w:rPr>
          <w:sz w:val="22"/>
          <w:szCs w:val="22"/>
        </w:rPr>
        <w:t>UD</w:t>
      </w:r>
      <w:r w:rsidRPr="00830484">
        <w:rPr>
          <w:sz w:val="22"/>
          <w:szCs w:val="22"/>
        </w:rPr>
        <w:t>2</w:t>
      </w:r>
      <w:r w:rsidR="00566AD9">
        <w:rPr>
          <w:sz w:val="22"/>
          <w:szCs w:val="22"/>
        </w:rPr>
        <w:t>m</w:t>
      </w:r>
      <w:r w:rsidRPr="00830484">
        <w:rPr>
          <w:sz w:val="22"/>
          <w:szCs w:val="22"/>
        </w:rPr>
        <w:t xml:space="preserve"> to deliver</w:t>
      </w:r>
      <w:r w:rsidRPr="00830484">
        <w:rPr>
          <w:sz w:val="22"/>
          <w:szCs w:val="22"/>
          <w:vertAlign w:val="superscript"/>
        </w:rPr>
        <w:footnoteReference w:id="11"/>
      </w:r>
      <w:r w:rsidRPr="00830484">
        <w:rPr>
          <w:sz w:val="22"/>
          <w:szCs w:val="22"/>
        </w:rPr>
        <w:t xml:space="preserve">.  </w:t>
      </w:r>
    </w:p>
    <w:p w14:paraId="77BD01AA" w14:textId="1EA8A047" w:rsidR="00830484" w:rsidRPr="00830484" w:rsidRDefault="00830484" w:rsidP="00830484">
      <w:pPr>
        <w:pStyle w:val="ListParagraph"/>
        <w:numPr>
          <w:ilvl w:val="0"/>
          <w:numId w:val="3"/>
        </w:numPr>
        <w:rPr>
          <w:sz w:val="22"/>
          <w:szCs w:val="22"/>
        </w:rPr>
      </w:pPr>
      <w:r w:rsidRPr="00830484">
        <w:rPr>
          <w:sz w:val="22"/>
          <w:szCs w:val="22"/>
        </w:rPr>
        <w:t>Long Term Adviser rental</w:t>
      </w:r>
      <w:r w:rsidR="00572A66">
        <w:rPr>
          <w:sz w:val="22"/>
          <w:szCs w:val="22"/>
        </w:rPr>
        <w:t xml:space="preserve"> accommodation</w:t>
      </w:r>
      <w:r w:rsidR="00566AD9">
        <w:rPr>
          <w:sz w:val="22"/>
          <w:szCs w:val="22"/>
        </w:rPr>
        <w:t xml:space="preserve"> </w:t>
      </w:r>
      <w:r w:rsidR="00572A66">
        <w:rPr>
          <w:sz w:val="22"/>
          <w:szCs w:val="22"/>
        </w:rPr>
        <w:t>is</w:t>
      </w:r>
      <w:r w:rsidR="00566AD9">
        <w:rPr>
          <w:sz w:val="22"/>
          <w:szCs w:val="22"/>
        </w:rPr>
        <w:t xml:space="preserve"> </w:t>
      </w:r>
      <w:r w:rsidRPr="00830484">
        <w:rPr>
          <w:sz w:val="22"/>
          <w:szCs w:val="22"/>
        </w:rPr>
        <w:t>no longer available at the 2022 rate of A</w:t>
      </w:r>
      <w:r w:rsidR="00566AD9">
        <w:rPr>
          <w:sz w:val="22"/>
          <w:szCs w:val="22"/>
        </w:rPr>
        <w:t>UD</w:t>
      </w:r>
      <w:r w:rsidRPr="00830484">
        <w:rPr>
          <w:sz w:val="22"/>
          <w:szCs w:val="22"/>
        </w:rPr>
        <w:t>8</w:t>
      </w:r>
      <w:r w:rsidR="00566AD9">
        <w:rPr>
          <w:sz w:val="22"/>
          <w:szCs w:val="22"/>
        </w:rPr>
        <w:t>k</w:t>
      </w:r>
      <w:r w:rsidRPr="00830484">
        <w:rPr>
          <w:sz w:val="22"/>
          <w:szCs w:val="22"/>
        </w:rPr>
        <w:t xml:space="preserve"> per month</w:t>
      </w:r>
      <w:r w:rsidR="001E78B3">
        <w:rPr>
          <w:sz w:val="22"/>
          <w:szCs w:val="22"/>
        </w:rPr>
        <w:t xml:space="preserve"> with most </w:t>
      </w:r>
      <w:r w:rsidRPr="00830484">
        <w:rPr>
          <w:sz w:val="22"/>
          <w:szCs w:val="22"/>
        </w:rPr>
        <w:t>now around A</w:t>
      </w:r>
      <w:r w:rsidR="001E78B3">
        <w:rPr>
          <w:sz w:val="22"/>
          <w:szCs w:val="22"/>
        </w:rPr>
        <w:t xml:space="preserve">UD10k </w:t>
      </w:r>
      <w:r w:rsidRPr="00830484">
        <w:rPr>
          <w:sz w:val="22"/>
          <w:szCs w:val="22"/>
        </w:rPr>
        <w:t xml:space="preserve">per month. </w:t>
      </w:r>
    </w:p>
    <w:p w14:paraId="28F5DC35" w14:textId="461994DE" w:rsidR="00830484" w:rsidRDefault="00830484" w:rsidP="00830484">
      <w:pPr>
        <w:pStyle w:val="ListParagraph"/>
        <w:numPr>
          <w:ilvl w:val="0"/>
          <w:numId w:val="3"/>
        </w:numPr>
        <w:rPr>
          <w:sz w:val="22"/>
          <w:szCs w:val="22"/>
        </w:rPr>
      </w:pPr>
      <w:r w:rsidRPr="00830484">
        <w:rPr>
          <w:sz w:val="22"/>
          <w:szCs w:val="22"/>
        </w:rPr>
        <w:t>In the 2024 Annual Workplan, the estimated cost for the Diploma in Primary Teaching (in-service) was A</w:t>
      </w:r>
      <w:r w:rsidR="001E78B3">
        <w:rPr>
          <w:sz w:val="22"/>
          <w:szCs w:val="22"/>
        </w:rPr>
        <w:t>UD</w:t>
      </w:r>
      <w:r w:rsidRPr="00830484">
        <w:rPr>
          <w:sz w:val="22"/>
          <w:szCs w:val="22"/>
        </w:rPr>
        <w:t>6</w:t>
      </w:r>
      <w:r w:rsidR="00572A66">
        <w:rPr>
          <w:sz w:val="22"/>
          <w:szCs w:val="22"/>
        </w:rPr>
        <w:t>,</w:t>
      </w:r>
      <w:r w:rsidRPr="00830484">
        <w:rPr>
          <w:sz w:val="22"/>
          <w:szCs w:val="22"/>
        </w:rPr>
        <w:t xml:space="preserve">400 per person. However, after further discussion with the three HEIs, the actual average cost is </w:t>
      </w:r>
      <w:r w:rsidR="00FF3C08">
        <w:rPr>
          <w:sz w:val="22"/>
          <w:szCs w:val="22"/>
        </w:rPr>
        <w:t xml:space="preserve">estimated to be </w:t>
      </w:r>
      <w:r w:rsidRPr="00830484">
        <w:rPr>
          <w:sz w:val="22"/>
          <w:szCs w:val="22"/>
        </w:rPr>
        <w:t>A</w:t>
      </w:r>
      <w:r w:rsidR="00FF3C08">
        <w:rPr>
          <w:sz w:val="22"/>
          <w:szCs w:val="22"/>
        </w:rPr>
        <w:t>UD10k</w:t>
      </w:r>
      <w:r w:rsidRPr="00830484">
        <w:rPr>
          <w:sz w:val="22"/>
          <w:szCs w:val="22"/>
        </w:rPr>
        <w:t xml:space="preserve"> per teacher. This increase is primarily due to the lack of local HEIs or staff in ARoB and Sandaun</w:t>
      </w:r>
      <w:r w:rsidR="00FF3C08">
        <w:rPr>
          <w:sz w:val="22"/>
          <w:szCs w:val="22"/>
        </w:rPr>
        <w:t xml:space="preserve"> requiring </w:t>
      </w:r>
      <w:r w:rsidRPr="00830484">
        <w:rPr>
          <w:sz w:val="22"/>
          <w:szCs w:val="22"/>
        </w:rPr>
        <w:t xml:space="preserve">Divine Word University </w:t>
      </w:r>
      <w:r w:rsidR="00FF3C08">
        <w:rPr>
          <w:sz w:val="22"/>
          <w:szCs w:val="22"/>
        </w:rPr>
        <w:t xml:space="preserve">to </w:t>
      </w:r>
      <w:r w:rsidRPr="00830484">
        <w:rPr>
          <w:sz w:val="22"/>
          <w:szCs w:val="22"/>
        </w:rPr>
        <w:t xml:space="preserve">fly lecturers to these locations and </w:t>
      </w:r>
      <w:r w:rsidR="00572A66">
        <w:rPr>
          <w:sz w:val="22"/>
          <w:szCs w:val="22"/>
        </w:rPr>
        <w:t>hire</w:t>
      </w:r>
      <w:r w:rsidR="00572A66" w:rsidRPr="00830484">
        <w:rPr>
          <w:sz w:val="22"/>
          <w:szCs w:val="22"/>
        </w:rPr>
        <w:t xml:space="preserve"> </w:t>
      </w:r>
      <w:r w:rsidRPr="00830484">
        <w:rPr>
          <w:sz w:val="22"/>
          <w:szCs w:val="22"/>
        </w:rPr>
        <w:t>partner venues.</w:t>
      </w:r>
    </w:p>
    <w:p w14:paraId="7146B006" w14:textId="4475FCAC" w:rsidR="009B4D38" w:rsidRPr="009B4D38" w:rsidRDefault="009B4D38" w:rsidP="0002492D">
      <w:pPr>
        <w:keepNext/>
        <w:rPr>
          <w:sz w:val="22"/>
          <w:szCs w:val="22"/>
          <w:u w:val="single"/>
        </w:rPr>
      </w:pPr>
      <w:r w:rsidRPr="009B4D38">
        <w:rPr>
          <w:sz w:val="22"/>
          <w:szCs w:val="22"/>
          <w:u w:val="single"/>
        </w:rPr>
        <w:t>Additional (unplanned) requests</w:t>
      </w:r>
    </w:p>
    <w:p w14:paraId="5E767F3D" w14:textId="4CEE5FB6" w:rsidR="009B4D38" w:rsidRPr="009B4D38" w:rsidRDefault="009B4D38" w:rsidP="00F53C77">
      <w:pPr>
        <w:spacing w:after="0"/>
        <w:rPr>
          <w:sz w:val="22"/>
          <w:szCs w:val="22"/>
        </w:rPr>
      </w:pPr>
      <w:r w:rsidRPr="009B4D38">
        <w:rPr>
          <w:sz w:val="22"/>
          <w:szCs w:val="22"/>
        </w:rPr>
        <w:t>Throughout implementation 202</w:t>
      </w:r>
      <w:r w:rsidR="001F0ED8">
        <w:rPr>
          <w:sz w:val="22"/>
          <w:szCs w:val="22"/>
        </w:rPr>
        <w:t>3</w:t>
      </w:r>
      <w:r w:rsidRPr="009B4D38">
        <w:rPr>
          <w:sz w:val="22"/>
          <w:szCs w:val="22"/>
        </w:rPr>
        <w:t>-2024 additional programming requests were made which resulted in increased expenditure.</w:t>
      </w:r>
      <w:r w:rsidR="001F0ED8">
        <w:rPr>
          <w:sz w:val="22"/>
          <w:szCs w:val="22"/>
        </w:rPr>
        <w:t xml:space="preserve"> For example:</w:t>
      </w:r>
    </w:p>
    <w:p w14:paraId="2905304F" w14:textId="77777777" w:rsidR="00262785" w:rsidRDefault="009B4D38" w:rsidP="00262785">
      <w:pPr>
        <w:pStyle w:val="ListParagraph"/>
        <w:numPr>
          <w:ilvl w:val="0"/>
          <w:numId w:val="3"/>
        </w:numPr>
        <w:rPr>
          <w:sz w:val="22"/>
          <w:szCs w:val="22"/>
        </w:rPr>
      </w:pPr>
      <w:r w:rsidRPr="009B4D38">
        <w:rPr>
          <w:sz w:val="22"/>
          <w:szCs w:val="22"/>
        </w:rPr>
        <w:t xml:space="preserve">Home Learning Packs (Education in Emergencies programming for Enga: </w:t>
      </w:r>
      <w:r w:rsidR="00DA1B68">
        <w:rPr>
          <w:sz w:val="22"/>
          <w:szCs w:val="22"/>
        </w:rPr>
        <w:t>AUD</w:t>
      </w:r>
      <w:r w:rsidRPr="009B4D38">
        <w:rPr>
          <w:sz w:val="22"/>
          <w:szCs w:val="22"/>
        </w:rPr>
        <w:t>850</w:t>
      </w:r>
      <w:r w:rsidR="00DA1B68">
        <w:rPr>
          <w:sz w:val="22"/>
          <w:szCs w:val="22"/>
        </w:rPr>
        <w:t>k</w:t>
      </w:r>
      <w:r w:rsidRPr="009B4D38">
        <w:rPr>
          <w:sz w:val="22"/>
          <w:szCs w:val="22"/>
        </w:rPr>
        <w:t>).</w:t>
      </w:r>
    </w:p>
    <w:p w14:paraId="20D7E8A7" w14:textId="471AFF58" w:rsidR="009B4D38" w:rsidRPr="00262785" w:rsidRDefault="00262785" w:rsidP="00262785">
      <w:pPr>
        <w:pStyle w:val="ListParagraph"/>
        <w:numPr>
          <w:ilvl w:val="0"/>
          <w:numId w:val="3"/>
        </w:numPr>
        <w:rPr>
          <w:sz w:val="22"/>
          <w:szCs w:val="22"/>
        </w:rPr>
      </w:pPr>
      <w:r>
        <w:rPr>
          <w:sz w:val="22"/>
          <w:szCs w:val="22"/>
        </w:rPr>
        <w:t>C</w:t>
      </w:r>
      <w:r w:rsidR="009B4D38" w:rsidRPr="00262785">
        <w:rPr>
          <w:sz w:val="22"/>
          <w:szCs w:val="22"/>
        </w:rPr>
        <w:t xml:space="preserve">ommitment for EMIS reform </w:t>
      </w:r>
      <w:r w:rsidRPr="00262785">
        <w:rPr>
          <w:sz w:val="22"/>
          <w:szCs w:val="22"/>
        </w:rPr>
        <w:t>– AUD2m, with AUD</w:t>
      </w:r>
      <w:r w:rsidR="009B4D38" w:rsidRPr="00262785">
        <w:rPr>
          <w:sz w:val="22"/>
          <w:szCs w:val="22"/>
        </w:rPr>
        <w:t>250</w:t>
      </w:r>
      <w:r w:rsidRPr="00262785">
        <w:rPr>
          <w:sz w:val="22"/>
          <w:szCs w:val="22"/>
        </w:rPr>
        <w:t xml:space="preserve">k </w:t>
      </w:r>
      <w:r w:rsidR="009B4D38" w:rsidRPr="00262785">
        <w:rPr>
          <w:sz w:val="22"/>
          <w:szCs w:val="22"/>
        </w:rPr>
        <w:t>paid to date.</w:t>
      </w:r>
    </w:p>
    <w:p w14:paraId="4E0D64C3" w14:textId="7428D506" w:rsidR="009B4D38" w:rsidRPr="009B4D38" w:rsidRDefault="009B4D38" w:rsidP="009B4D38">
      <w:pPr>
        <w:pStyle w:val="ListParagraph"/>
        <w:numPr>
          <w:ilvl w:val="0"/>
          <w:numId w:val="3"/>
        </w:numPr>
        <w:rPr>
          <w:sz w:val="22"/>
          <w:szCs w:val="22"/>
        </w:rPr>
      </w:pPr>
      <w:r w:rsidRPr="009B4D38">
        <w:rPr>
          <w:sz w:val="22"/>
          <w:szCs w:val="22"/>
        </w:rPr>
        <w:t xml:space="preserve">Technical requests from </w:t>
      </w:r>
      <w:r w:rsidR="001F0ED8">
        <w:rPr>
          <w:sz w:val="22"/>
          <w:szCs w:val="22"/>
        </w:rPr>
        <w:t xml:space="preserve">National </w:t>
      </w:r>
      <w:r w:rsidRPr="009B4D38">
        <w:rPr>
          <w:sz w:val="22"/>
          <w:szCs w:val="22"/>
        </w:rPr>
        <w:t>Government and Autonomous Bougainville Government</w:t>
      </w:r>
      <w:r w:rsidR="00695784">
        <w:rPr>
          <w:sz w:val="22"/>
          <w:szCs w:val="22"/>
        </w:rPr>
        <w:t>, resulting in a greater than planned expenditure of the</w:t>
      </w:r>
      <w:r w:rsidR="00411B0A" w:rsidRPr="009B4D38">
        <w:rPr>
          <w:sz w:val="22"/>
          <w:szCs w:val="22"/>
        </w:rPr>
        <w:t xml:space="preserve"> non-specified adviser (STA) budget</w:t>
      </w:r>
      <w:r w:rsidR="00695784">
        <w:rPr>
          <w:sz w:val="22"/>
          <w:szCs w:val="22"/>
        </w:rPr>
        <w:t xml:space="preserve"> </w:t>
      </w:r>
      <w:r w:rsidR="00A122B5">
        <w:rPr>
          <w:sz w:val="22"/>
          <w:szCs w:val="22"/>
        </w:rPr>
        <w:t>– 50% (AUD1m) to date</w:t>
      </w:r>
      <w:r w:rsidRPr="009B4D38">
        <w:rPr>
          <w:sz w:val="22"/>
          <w:szCs w:val="22"/>
        </w:rPr>
        <w:t>, with three more years of programming remaining.</w:t>
      </w:r>
    </w:p>
    <w:p w14:paraId="55CA0039" w14:textId="22B2D3C4" w:rsidR="0068001E" w:rsidRDefault="00D0408D" w:rsidP="00863D5E">
      <w:pPr>
        <w:pStyle w:val="Heading2"/>
      </w:pPr>
      <w:bookmarkStart w:id="14" w:name="_Toc180756322"/>
      <w:r>
        <w:t xml:space="preserve">Compromises made to </w:t>
      </w:r>
      <w:r w:rsidR="0068001E">
        <w:t xml:space="preserve">planned program </w:t>
      </w:r>
      <w:r w:rsidR="00A266FD">
        <w:t>activities.</w:t>
      </w:r>
      <w:bookmarkEnd w:id="14"/>
    </w:p>
    <w:p w14:paraId="0318091D" w14:textId="5BDA13F0" w:rsidR="0068001E" w:rsidRPr="0068001E" w:rsidRDefault="00104C93" w:rsidP="00F53C77">
      <w:pPr>
        <w:spacing w:after="0"/>
        <w:rPr>
          <w:sz w:val="22"/>
          <w:szCs w:val="22"/>
        </w:rPr>
      </w:pPr>
      <w:r>
        <w:rPr>
          <w:sz w:val="22"/>
          <w:szCs w:val="22"/>
        </w:rPr>
        <w:t>The program has sought to mitigate increased costs through va</w:t>
      </w:r>
      <w:r w:rsidR="0037711A">
        <w:rPr>
          <w:sz w:val="22"/>
          <w:szCs w:val="22"/>
        </w:rPr>
        <w:t>riations to program deliveries, for example:</w:t>
      </w:r>
    </w:p>
    <w:p w14:paraId="4C2257AE" w14:textId="7A18CA5C" w:rsidR="0068001E" w:rsidRPr="00C7051B" w:rsidRDefault="0068001E" w:rsidP="002333AF">
      <w:pPr>
        <w:pStyle w:val="ListParagraph"/>
        <w:numPr>
          <w:ilvl w:val="0"/>
          <w:numId w:val="3"/>
        </w:numPr>
        <w:rPr>
          <w:sz w:val="22"/>
          <w:szCs w:val="22"/>
        </w:rPr>
      </w:pPr>
      <w:r w:rsidRPr="00C7051B">
        <w:rPr>
          <w:sz w:val="22"/>
          <w:szCs w:val="22"/>
        </w:rPr>
        <w:t>Operating at 12% staffing against expenditure</w:t>
      </w:r>
      <w:r w:rsidR="00D533E7">
        <w:rPr>
          <w:rStyle w:val="FootnoteReference"/>
          <w:sz w:val="22"/>
          <w:szCs w:val="22"/>
        </w:rPr>
        <w:footnoteReference w:id="12"/>
      </w:r>
      <w:r w:rsidRPr="00C7051B">
        <w:rPr>
          <w:sz w:val="22"/>
          <w:szCs w:val="22"/>
        </w:rPr>
        <w:t xml:space="preserve"> </w:t>
      </w:r>
      <w:r w:rsidR="00C7051B">
        <w:rPr>
          <w:sz w:val="22"/>
          <w:szCs w:val="22"/>
        </w:rPr>
        <w:t>vs</w:t>
      </w:r>
      <w:r w:rsidRPr="00C7051B">
        <w:rPr>
          <w:sz w:val="22"/>
          <w:szCs w:val="22"/>
        </w:rPr>
        <w:t xml:space="preserve"> Head Contract </w:t>
      </w:r>
      <w:r w:rsidR="00C7051B">
        <w:rPr>
          <w:sz w:val="22"/>
          <w:szCs w:val="22"/>
        </w:rPr>
        <w:t xml:space="preserve">plan for </w:t>
      </w:r>
      <w:r w:rsidRPr="00C7051B">
        <w:rPr>
          <w:sz w:val="22"/>
          <w:szCs w:val="22"/>
        </w:rPr>
        <w:t>22% of personnel costs against activities</w:t>
      </w:r>
    </w:p>
    <w:p w14:paraId="5C8A8641" w14:textId="715C5419" w:rsidR="0068001E" w:rsidRPr="00C7051B" w:rsidRDefault="0068001E" w:rsidP="002333AF">
      <w:pPr>
        <w:pStyle w:val="ListParagraph"/>
        <w:numPr>
          <w:ilvl w:val="0"/>
          <w:numId w:val="3"/>
        </w:numPr>
        <w:rPr>
          <w:sz w:val="22"/>
          <w:szCs w:val="22"/>
        </w:rPr>
      </w:pPr>
      <w:r w:rsidRPr="00C7051B">
        <w:rPr>
          <w:sz w:val="22"/>
          <w:szCs w:val="22"/>
        </w:rPr>
        <w:t>Library for every class (procured enough for 1,500 classrooms rather than 5,500)</w:t>
      </w:r>
    </w:p>
    <w:p w14:paraId="494D4680" w14:textId="52308B22" w:rsidR="0068001E" w:rsidRPr="00C7051B" w:rsidRDefault="00A730CE" w:rsidP="002333AF">
      <w:pPr>
        <w:pStyle w:val="ListParagraph"/>
        <w:numPr>
          <w:ilvl w:val="0"/>
          <w:numId w:val="3"/>
        </w:numPr>
        <w:rPr>
          <w:sz w:val="22"/>
          <w:szCs w:val="22"/>
        </w:rPr>
      </w:pPr>
      <w:r>
        <w:rPr>
          <w:sz w:val="22"/>
          <w:szCs w:val="22"/>
        </w:rPr>
        <w:t>Not purchasing p</w:t>
      </w:r>
      <w:r w:rsidR="0068001E" w:rsidRPr="00C7051B">
        <w:rPr>
          <w:sz w:val="22"/>
          <w:szCs w:val="22"/>
        </w:rPr>
        <w:t>rotective storage box for Bilum Books (additional A</w:t>
      </w:r>
      <w:r w:rsidR="00772F81">
        <w:rPr>
          <w:sz w:val="22"/>
          <w:szCs w:val="22"/>
        </w:rPr>
        <w:t>UD</w:t>
      </w:r>
      <w:r w:rsidR="00086BBA">
        <w:rPr>
          <w:sz w:val="22"/>
          <w:szCs w:val="22"/>
        </w:rPr>
        <w:t>420k</w:t>
      </w:r>
      <w:r w:rsidR="0068001E" w:rsidRPr="00C7051B">
        <w:rPr>
          <w:sz w:val="22"/>
          <w:szCs w:val="22"/>
        </w:rPr>
        <w:t xml:space="preserve"> plus distribution)</w:t>
      </w:r>
    </w:p>
    <w:p w14:paraId="34968301" w14:textId="353BA0AB" w:rsidR="0068001E" w:rsidRPr="00C7051B" w:rsidRDefault="009D1183" w:rsidP="002333AF">
      <w:pPr>
        <w:pStyle w:val="ListParagraph"/>
        <w:numPr>
          <w:ilvl w:val="0"/>
          <w:numId w:val="3"/>
        </w:numPr>
        <w:rPr>
          <w:sz w:val="22"/>
          <w:szCs w:val="22"/>
        </w:rPr>
      </w:pPr>
      <w:r>
        <w:rPr>
          <w:sz w:val="22"/>
          <w:szCs w:val="22"/>
        </w:rPr>
        <w:t xml:space="preserve">Reduced </w:t>
      </w:r>
      <w:r w:rsidR="0068001E" w:rsidRPr="00C7051B">
        <w:rPr>
          <w:sz w:val="22"/>
          <w:szCs w:val="22"/>
        </w:rPr>
        <w:t xml:space="preserve">TLC </w:t>
      </w:r>
      <w:r w:rsidR="00A730CE">
        <w:rPr>
          <w:sz w:val="22"/>
          <w:szCs w:val="22"/>
        </w:rPr>
        <w:t xml:space="preserve">support </w:t>
      </w:r>
      <w:r w:rsidR="0068001E" w:rsidRPr="00C7051B">
        <w:rPr>
          <w:sz w:val="22"/>
          <w:szCs w:val="22"/>
        </w:rPr>
        <w:t xml:space="preserve">and classroom monitoring </w:t>
      </w:r>
    </w:p>
    <w:p w14:paraId="3C085E43" w14:textId="77777777" w:rsidR="00BA09D5" w:rsidRDefault="0068001E" w:rsidP="00392E22">
      <w:pPr>
        <w:pStyle w:val="ListParagraph"/>
        <w:numPr>
          <w:ilvl w:val="0"/>
          <w:numId w:val="3"/>
        </w:numPr>
        <w:rPr>
          <w:sz w:val="22"/>
          <w:szCs w:val="22"/>
        </w:rPr>
      </w:pPr>
      <w:r w:rsidRPr="00C7051B">
        <w:rPr>
          <w:sz w:val="22"/>
          <w:szCs w:val="22"/>
        </w:rPr>
        <w:t>Reduced scope for parenting program</w:t>
      </w:r>
    </w:p>
    <w:p w14:paraId="17557F78" w14:textId="0AEFC7CC" w:rsidR="00BA09D5" w:rsidRPr="00BA09D5" w:rsidRDefault="00BA09D5" w:rsidP="00BA09D5">
      <w:pPr>
        <w:pStyle w:val="ListParagraph"/>
        <w:numPr>
          <w:ilvl w:val="0"/>
          <w:numId w:val="3"/>
        </w:numPr>
        <w:rPr>
          <w:sz w:val="22"/>
          <w:szCs w:val="22"/>
        </w:rPr>
      </w:pPr>
      <w:r w:rsidRPr="00BA09D5">
        <w:rPr>
          <w:sz w:val="22"/>
          <w:szCs w:val="22"/>
        </w:rPr>
        <w:t xml:space="preserve">Limiting </w:t>
      </w:r>
      <w:r>
        <w:rPr>
          <w:sz w:val="22"/>
          <w:szCs w:val="22"/>
        </w:rPr>
        <w:t xml:space="preserve">number of </w:t>
      </w:r>
      <w:r w:rsidR="000E721A">
        <w:rPr>
          <w:sz w:val="22"/>
          <w:szCs w:val="22"/>
        </w:rPr>
        <w:t xml:space="preserve">HEI </w:t>
      </w:r>
      <w:r w:rsidRPr="00BA09D5">
        <w:rPr>
          <w:sz w:val="22"/>
          <w:szCs w:val="22"/>
        </w:rPr>
        <w:t>lecturer</w:t>
      </w:r>
      <w:r w:rsidR="000E721A">
        <w:rPr>
          <w:sz w:val="22"/>
          <w:szCs w:val="22"/>
        </w:rPr>
        <w:t xml:space="preserve"> participation in </w:t>
      </w:r>
      <w:r w:rsidRPr="00BA09D5">
        <w:rPr>
          <w:sz w:val="22"/>
          <w:szCs w:val="22"/>
        </w:rPr>
        <w:t>QUT co-design and lecturer training (only two lecturers per HEI per subject)</w:t>
      </w:r>
    </w:p>
    <w:p w14:paraId="4607D79D" w14:textId="59AA7242" w:rsidR="00BA09D5" w:rsidRPr="00BA09D5" w:rsidRDefault="00BA09D5" w:rsidP="00BA09D5">
      <w:pPr>
        <w:pStyle w:val="ListParagraph"/>
        <w:numPr>
          <w:ilvl w:val="0"/>
          <w:numId w:val="3"/>
        </w:numPr>
        <w:rPr>
          <w:sz w:val="22"/>
          <w:szCs w:val="22"/>
        </w:rPr>
      </w:pPr>
      <w:r w:rsidRPr="00BA09D5">
        <w:rPr>
          <w:sz w:val="22"/>
          <w:szCs w:val="22"/>
        </w:rPr>
        <w:t>Limiting School Leadership and Management Training to 3 participants per school (4 to 5 would be ideal</w:t>
      </w:r>
      <w:r w:rsidR="00572A66">
        <w:rPr>
          <w:sz w:val="22"/>
          <w:szCs w:val="22"/>
        </w:rPr>
        <w:t>, to ensure gender representation</w:t>
      </w:r>
      <w:r w:rsidRPr="00BA09D5">
        <w:rPr>
          <w:sz w:val="22"/>
          <w:szCs w:val="22"/>
        </w:rPr>
        <w:t>).</w:t>
      </w:r>
    </w:p>
    <w:p w14:paraId="0A6EAE2E" w14:textId="2964BD2C" w:rsidR="00392E22" w:rsidRDefault="00E07AEF" w:rsidP="001A451C">
      <w:pPr>
        <w:pStyle w:val="ListParagraph"/>
        <w:numPr>
          <w:ilvl w:val="0"/>
          <w:numId w:val="3"/>
        </w:numPr>
        <w:rPr>
          <w:sz w:val="22"/>
          <w:szCs w:val="22"/>
        </w:rPr>
      </w:pPr>
      <w:r w:rsidRPr="001A451C">
        <w:rPr>
          <w:sz w:val="22"/>
          <w:szCs w:val="22"/>
        </w:rPr>
        <w:t xml:space="preserve">Inability to provide </w:t>
      </w:r>
      <w:r w:rsidR="00A36131" w:rsidRPr="001A451C">
        <w:rPr>
          <w:sz w:val="22"/>
          <w:szCs w:val="22"/>
        </w:rPr>
        <w:t xml:space="preserve">(NDoE desired) </w:t>
      </w:r>
      <w:r w:rsidRPr="001A451C">
        <w:rPr>
          <w:sz w:val="22"/>
          <w:szCs w:val="22"/>
        </w:rPr>
        <w:t>h</w:t>
      </w:r>
      <w:r w:rsidR="00BA09D5" w:rsidRPr="001A451C">
        <w:rPr>
          <w:sz w:val="22"/>
          <w:szCs w:val="22"/>
        </w:rPr>
        <w:t>ead teacher training</w:t>
      </w:r>
      <w:r w:rsidRPr="001A451C">
        <w:rPr>
          <w:sz w:val="22"/>
          <w:szCs w:val="22"/>
        </w:rPr>
        <w:t>, which would have included school-based teacher appraisal and teacher mentoring</w:t>
      </w:r>
      <w:r w:rsidR="00A36131" w:rsidRPr="001A451C">
        <w:rPr>
          <w:sz w:val="22"/>
          <w:szCs w:val="22"/>
        </w:rPr>
        <w:t xml:space="preserve">. </w:t>
      </w:r>
    </w:p>
    <w:p w14:paraId="48295F53" w14:textId="77777777" w:rsidR="007951FE" w:rsidRDefault="007951FE" w:rsidP="007951FE">
      <w:pPr>
        <w:rPr>
          <w:sz w:val="22"/>
          <w:szCs w:val="22"/>
        </w:rPr>
      </w:pPr>
    </w:p>
    <w:p w14:paraId="18917D7A" w14:textId="77777777" w:rsidR="007951FE" w:rsidRPr="007951FE" w:rsidRDefault="007951FE" w:rsidP="007951FE">
      <w:pPr>
        <w:rPr>
          <w:sz w:val="22"/>
          <w:szCs w:val="22"/>
        </w:rPr>
      </w:pPr>
    </w:p>
    <w:p w14:paraId="641634FF" w14:textId="3647727A" w:rsidR="00ED662C" w:rsidRDefault="009752A6" w:rsidP="00863D5E">
      <w:pPr>
        <w:pStyle w:val="Heading1"/>
      </w:pPr>
      <w:bookmarkStart w:id="15" w:name="_Toc180756323"/>
      <w:r>
        <w:t>PIE at the 18</w:t>
      </w:r>
      <w:r w:rsidRPr="009752A6">
        <w:rPr>
          <w:vertAlign w:val="superscript"/>
        </w:rPr>
        <w:t>th</w:t>
      </w:r>
      <w:r>
        <w:t xml:space="preserve"> month </w:t>
      </w:r>
      <w:r w:rsidR="00AD245A">
        <w:t>of implementation</w:t>
      </w:r>
      <w:bookmarkEnd w:id="15"/>
    </w:p>
    <w:p w14:paraId="760E767D" w14:textId="77777777" w:rsidR="008304BB" w:rsidRDefault="008304BB" w:rsidP="00863D5E">
      <w:pPr>
        <w:pStyle w:val="Heading2"/>
      </w:pPr>
      <w:bookmarkStart w:id="16" w:name="_Toc180756324"/>
      <w:r>
        <w:t>Program progress</w:t>
      </w:r>
      <w:bookmarkEnd w:id="16"/>
    </w:p>
    <w:p w14:paraId="03C95B00" w14:textId="7DFAADA8" w:rsidR="00C708DD" w:rsidRDefault="00724C29" w:rsidP="00E8470C">
      <w:pPr>
        <w:spacing w:after="0"/>
        <w:rPr>
          <w:sz w:val="22"/>
          <w:szCs w:val="22"/>
        </w:rPr>
      </w:pPr>
      <w:r w:rsidRPr="002317B1">
        <w:rPr>
          <w:sz w:val="22"/>
          <w:szCs w:val="22"/>
        </w:rPr>
        <w:t>The program has</w:t>
      </w:r>
      <w:r w:rsidR="009E1628">
        <w:rPr>
          <w:sz w:val="22"/>
          <w:szCs w:val="22"/>
        </w:rPr>
        <w:t xml:space="preserve"> recently </w:t>
      </w:r>
      <w:r w:rsidRPr="002317B1">
        <w:rPr>
          <w:sz w:val="22"/>
          <w:szCs w:val="22"/>
        </w:rPr>
        <w:t xml:space="preserve">passed the 18th month </w:t>
      </w:r>
      <w:r w:rsidR="00BA7A8F" w:rsidRPr="002317B1">
        <w:rPr>
          <w:sz w:val="22"/>
          <w:szCs w:val="22"/>
        </w:rPr>
        <w:t>of implementation</w:t>
      </w:r>
      <w:r w:rsidR="00800C58" w:rsidRPr="002317B1">
        <w:rPr>
          <w:sz w:val="22"/>
          <w:szCs w:val="22"/>
        </w:rPr>
        <w:t>, following the initial inception period</w:t>
      </w:r>
      <w:r w:rsidR="002317B1">
        <w:rPr>
          <w:sz w:val="22"/>
          <w:szCs w:val="22"/>
        </w:rPr>
        <w:t xml:space="preserve">. </w:t>
      </w:r>
      <w:r w:rsidR="00F51443">
        <w:rPr>
          <w:sz w:val="22"/>
          <w:szCs w:val="22"/>
        </w:rPr>
        <w:fldChar w:fldCharType="begin"/>
      </w:r>
      <w:r w:rsidR="00F51443">
        <w:rPr>
          <w:sz w:val="22"/>
          <w:szCs w:val="22"/>
        </w:rPr>
        <w:instrText xml:space="preserve"> REF _Ref175992555 \h </w:instrText>
      </w:r>
      <w:r w:rsidR="00F51443">
        <w:rPr>
          <w:sz w:val="22"/>
          <w:szCs w:val="22"/>
        </w:rPr>
      </w:r>
      <w:r w:rsidR="00F51443">
        <w:rPr>
          <w:sz w:val="22"/>
          <w:szCs w:val="22"/>
        </w:rPr>
        <w:fldChar w:fldCharType="separate"/>
      </w:r>
      <w:r w:rsidR="00EF5E31">
        <w:t xml:space="preserve">Table </w:t>
      </w:r>
      <w:r w:rsidR="00EF5E31">
        <w:rPr>
          <w:noProof/>
        </w:rPr>
        <w:t>2</w:t>
      </w:r>
      <w:r w:rsidR="00F51443">
        <w:rPr>
          <w:sz w:val="22"/>
          <w:szCs w:val="22"/>
        </w:rPr>
        <w:fldChar w:fldCharType="end"/>
      </w:r>
      <w:r w:rsidR="002317B1">
        <w:rPr>
          <w:sz w:val="22"/>
          <w:szCs w:val="22"/>
        </w:rPr>
        <w:t xml:space="preserve">, based on </w:t>
      </w:r>
      <w:r w:rsidR="0022508E">
        <w:rPr>
          <w:sz w:val="22"/>
          <w:szCs w:val="22"/>
        </w:rPr>
        <w:t xml:space="preserve">PIE progress reports provides a </w:t>
      </w:r>
      <w:r w:rsidR="00E8470C">
        <w:rPr>
          <w:sz w:val="22"/>
          <w:szCs w:val="22"/>
        </w:rPr>
        <w:t>high-level</w:t>
      </w:r>
      <w:r w:rsidR="0022508E">
        <w:rPr>
          <w:sz w:val="22"/>
          <w:szCs w:val="22"/>
        </w:rPr>
        <w:t xml:space="preserve"> summary of activity </w:t>
      </w:r>
      <w:r w:rsidR="00E8470C">
        <w:rPr>
          <w:sz w:val="22"/>
          <w:szCs w:val="22"/>
        </w:rPr>
        <w:t>over this period.</w:t>
      </w:r>
      <w:r w:rsidR="00497D05">
        <w:rPr>
          <w:sz w:val="22"/>
          <w:szCs w:val="22"/>
        </w:rPr>
        <w:t xml:space="preserve"> </w:t>
      </w:r>
    </w:p>
    <w:p w14:paraId="75E14267" w14:textId="66C0CF40" w:rsidR="00E8470C" w:rsidRPr="0065260C" w:rsidRDefault="00F51443" w:rsidP="0065260C">
      <w:pPr>
        <w:pStyle w:val="Caption"/>
        <w:keepNext/>
      </w:pPr>
      <w:bookmarkStart w:id="17" w:name="_Ref175992555"/>
      <w:r>
        <w:t xml:space="preserve">Table </w:t>
      </w:r>
      <w:r>
        <w:fldChar w:fldCharType="begin"/>
      </w:r>
      <w:r>
        <w:instrText xml:space="preserve"> SEQ Table \* ARABIC </w:instrText>
      </w:r>
      <w:r>
        <w:fldChar w:fldCharType="separate"/>
      </w:r>
      <w:r w:rsidR="00EF5E31">
        <w:rPr>
          <w:noProof/>
        </w:rPr>
        <w:t>2</w:t>
      </w:r>
      <w:r>
        <w:rPr>
          <w:noProof/>
        </w:rPr>
        <w:fldChar w:fldCharType="end"/>
      </w:r>
      <w:bookmarkEnd w:id="17"/>
      <w:r>
        <w:t xml:space="preserve">: </w:t>
      </w:r>
      <w:r w:rsidR="00E8470C" w:rsidRPr="0065260C">
        <w:t>High-level summary of program activity to Ju</w:t>
      </w:r>
      <w:r w:rsidR="00E95864" w:rsidRPr="0065260C">
        <w:t>ne 2024.</w:t>
      </w:r>
    </w:p>
    <w:tbl>
      <w:tblPr>
        <w:tblW w:w="9355" w:type="dxa"/>
        <w:tblBorders>
          <w:top w:val="single" w:sz="8" w:space="0" w:color="065157"/>
          <w:left w:val="single" w:sz="8" w:space="0" w:color="065157"/>
          <w:bottom w:val="single" w:sz="8" w:space="0" w:color="065157"/>
          <w:right w:val="single" w:sz="8" w:space="0" w:color="065157"/>
          <w:insideH w:val="single" w:sz="8" w:space="0" w:color="065157"/>
          <w:insideV w:val="single" w:sz="8" w:space="0" w:color="065157"/>
        </w:tblBorders>
        <w:tblLayout w:type="fixed"/>
        <w:tblLook w:val="0600" w:firstRow="0" w:lastRow="0" w:firstColumn="0" w:lastColumn="0" w:noHBand="1" w:noVBand="1"/>
      </w:tblPr>
      <w:tblGrid>
        <w:gridCol w:w="2268"/>
        <w:gridCol w:w="3543"/>
        <w:gridCol w:w="3544"/>
      </w:tblGrid>
      <w:tr w:rsidR="00A90444" w:rsidRPr="00434A3D" w14:paraId="48724833" w14:textId="57BCD424" w:rsidTr="00A90444">
        <w:trPr>
          <w:trHeight w:val="380"/>
          <w:tblHeader/>
        </w:trPr>
        <w:tc>
          <w:tcPr>
            <w:tcW w:w="2268" w:type="dxa"/>
            <w:shd w:val="clear" w:color="auto" w:fill="BFBFBF" w:themeFill="background1" w:themeFillShade="BF"/>
            <w:tcMar>
              <w:top w:w="100" w:type="dxa"/>
              <w:left w:w="100" w:type="dxa"/>
              <w:bottom w:w="100" w:type="dxa"/>
              <w:right w:w="100" w:type="dxa"/>
            </w:tcMar>
            <w:vAlign w:val="center"/>
          </w:tcPr>
          <w:p w14:paraId="7BF5DCFB" w14:textId="23569939" w:rsidR="00A90444" w:rsidRPr="00434A3D" w:rsidRDefault="00A90444" w:rsidP="00F9716F">
            <w:pPr>
              <w:widowControl w:val="0"/>
              <w:spacing w:after="0" w:line="240" w:lineRule="auto"/>
              <w:jc w:val="center"/>
              <w:rPr>
                <w:b/>
                <w:sz w:val="18"/>
                <w:szCs w:val="18"/>
              </w:rPr>
            </w:pPr>
            <w:r>
              <w:rPr>
                <w:b/>
                <w:sz w:val="18"/>
                <w:szCs w:val="18"/>
              </w:rPr>
              <w:t>Activity</w:t>
            </w:r>
          </w:p>
        </w:tc>
        <w:tc>
          <w:tcPr>
            <w:tcW w:w="3543" w:type="dxa"/>
            <w:shd w:val="clear" w:color="auto" w:fill="BFBFBF" w:themeFill="background1" w:themeFillShade="BF"/>
          </w:tcPr>
          <w:p w14:paraId="7180D244" w14:textId="04AA56FF" w:rsidR="00A90444" w:rsidRDefault="00A90444" w:rsidP="00F9716F">
            <w:pPr>
              <w:widowControl w:val="0"/>
              <w:spacing w:after="0" w:line="240" w:lineRule="auto"/>
              <w:jc w:val="center"/>
              <w:rPr>
                <w:b/>
                <w:sz w:val="18"/>
                <w:szCs w:val="18"/>
              </w:rPr>
            </w:pPr>
            <w:r>
              <w:rPr>
                <w:b/>
                <w:sz w:val="18"/>
                <w:szCs w:val="18"/>
              </w:rPr>
              <w:t>2023 activity</w:t>
            </w:r>
          </w:p>
          <w:p w14:paraId="28D5B3B8" w14:textId="0E47A690" w:rsidR="00A90444" w:rsidRPr="00434A3D" w:rsidRDefault="00A90444" w:rsidP="00F9716F">
            <w:pPr>
              <w:widowControl w:val="0"/>
              <w:spacing w:after="0" w:line="240" w:lineRule="auto"/>
              <w:jc w:val="center"/>
              <w:rPr>
                <w:b/>
                <w:sz w:val="18"/>
                <w:szCs w:val="18"/>
              </w:rPr>
            </w:pPr>
            <w:r>
              <w:rPr>
                <w:b/>
                <w:sz w:val="18"/>
                <w:szCs w:val="18"/>
              </w:rPr>
              <w:t>(Source: 2023 APR p.5, 9)</w:t>
            </w:r>
          </w:p>
        </w:tc>
        <w:tc>
          <w:tcPr>
            <w:tcW w:w="3544" w:type="dxa"/>
            <w:shd w:val="clear" w:color="auto" w:fill="BFBFBF" w:themeFill="background1" w:themeFillShade="BF"/>
          </w:tcPr>
          <w:p w14:paraId="1777CADB" w14:textId="13F8F6D7" w:rsidR="00A90444" w:rsidRDefault="00A90444" w:rsidP="00F9716F">
            <w:pPr>
              <w:widowControl w:val="0"/>
              <w:spacing w:after="0" w:line="240" w:lineRule="auto"/>
              <w:jc w:val="center"/>
              <w:rPr>
                <w:b/>
                <w:sz w:val="18"/>
                <w:szCs w:val="18"/>
              </w:rPr>
            </w:pPr>
            <w:r>
              <w:rPr>
                <w:b/>
                <w:sz w:val="18"/>
                <w:szCs w:val="18"/>
              </w:rPr>
              <w:t>2024 (to June) activity</w:t>
            </w:r>
          </w:p>
          <w:p w14:paraId="022341B9" w14:textId="414709F8" w:rsidR="00A90444" w:rsidRPr="00434A3D" w:rsidRDefault="00A90444" w:rsidP="00F9716F">
            <w:pPr>
              <w:widowControl w:val="0"/>
              <w:spacing w:after="0" w:line="240" w:lineRule="auto"/>
              <w:jc w:val="center"/>
              <w:rPr>
                <w:b/>
                <w:sz w:val="18"/>
                <w:szCs w:val="18"/>
              </w:rPr>
            </w:pPr>
            <w:r>
              <w:rPr>
                <w:b/>
                <w:sz w:val="18"/>
                <w:szCs w:val="18"/>
              </w:rPr>
              <w:t>(Source: 2024 SAR p.6, 7)</w:t>
            </w:r>
          </w:p>
        </w:tc>
      </w:tr>
      <w:tr w:rsidR="00A90444" w:rsidRPr="00434A3D" w14:paraId="06C732D0" w14:textId="641135F2" w:rsidTr="00A90444">
        <w:trPr>
          <w:cantSplit/>
          <w:trHeight w:val="1134"/>
        </w:trPr>
        <w:tc>
          <w:tcPr>
            <w:tcW w:w="2268" w:type="dxa"/>
            <w:tcMar>
              <w:top w:w="100" w:type="dxa"/>
              <w:left w:w="100" w:type="dxa"/>
              <w:bottom w:w="100" w:type="dxa"/>
              <w:right w:w="100" w:type="dxa"/>
            </w:tcMar>
            <w:vAlign w:val="center"/>
          </w:tcPr>
          <w:p w14:paraId="332D65E1" w14:textId="19C76CA1" w:rsidR="00A90444" w:rsidRPr="00A90444" w:rsidRDefault="00A90444" w:rsidP="0064500C">
            <w:pPr>
              <w:widowControl w:val="0"/>
              <w:spacing w:after="0" w:line="240" w:lineRule="auto"/>
              <w:rPr>
                <w:b/>
                <w:sz w:val="18"/>
                <w:szCs w:val="18"/>
                <w:u w:val="single"/>
              </w:rPr>
            </w:pPr>
            <w:r w:rsidRPr="00A90444">
              <w:rPr>
                <w:b/>
                <w:sz w:val="18"/>
                <w:szCs w:val="18"/>
                <w:u w:val="single"/>
              </w:rPr>
              <w:t>EOIO</w:t>
            </w:r>
            <w:r>
              <w:rPr>
                <w:b/>
                <w:sz w:val="18"/>
                <w:szCs w:val="18"/>
                <w:u w:val="single"/>
              </w:rPr>
              <w:t xml:space="preserve"> </w:t>
            </w:r>
            <w:r w:rsidRPr="00A90444">
              <w:rPr>
                <w:b/>
                <w:sz w:val="18"/>
                <w:szCs w:val="18"/>
                <w:u w:val="single"/>
              </w:rPr>
              <w:t>1</w:t>
            </w:r>
          </w:p>
          <w:p w14:paraId="6348A910" w14:textId="20191875" w:rsidR="00A90444" w:rsidRPr="00434A3D" w:rsidRDefault="00A90444" w:rsidP="0064500C">
            <w:pPr>
              <w:widowControl w:val="0"/>
              <w:spacing w:after="0" w:line="240" w:lineRule="auto"/>
              <w:rPr>
                <w:b/>
                <w:sz w:val="18"/>
                <w:szCs w:val="18"/>
              </w:rPr>
            </w:pPr>
            <w:r w:rsidRPr="00434A3D">
              <w:rPr>
                <w:b/>
                <w:sz w:val="18"/>
                <w:szCs w:val="18"/>
              </w:rPr>
              <w:t>AQEFA fund</w:t>
            </w:r>
            <w:r>
              <w:rPr>
                <w:b/>
                <w:sz w:val="18"/>
                <w:szCs w:val="18"/>
              </w:rPr>
              <w:t xml:space="preserve"> </w:t>
            </w:r>
            <w:r>
              <w:rPr>
                <w:sz w:val="18"/>
                <w:szCs w:val="18"/>
              </w:rPr>
              <w:t xml:space="preserve">- </w:t>
            </w:r>
            <w:r w:rsidRPr="00434A3D">
              <w:rPr>
                <w:sz w:val="18"/>
                <w:szCs w:val="18"/>
              </w:rPr>
              <w:t>allocates resources to schools to enhance enrolment and retention efforts.</w:t>
            </w:r>
          </w:p>
        </w:tc>
        <w:tc>
          <w:tcPr>
            <w:tcW w:w="3543" w:type="dxa"/>
          </w:tcPr>
          <w:p w14:paraId="023F4C45" w14:textId="5E70D0A7" w:rsidR="00A90444" w:rsidRDefault="00A90444" w:rsidP="001D1D98">
            <w:pPr>
              <w:pStyle w:val="ListParagraph"/>
              <w:widowControl w:val="0"/>
              <w:numPr>
                <w:ilvl w:val="0"/>
                <w:numId w:val="10"/>
              </w:numPr>
              <w:spacing w:after="0" w:line="240" w:lineRule="auto"/>
              <w:ind w:left="193" w:hanging="218"/>
              <w:rPr>
                <w:sz w:val="18"/>
                <w:szCs w:val="18"/>
              </w:rPr>
            </w:pPr>
            <w:r>
              <w:rPr>
                <w:sz w:val="18"/>
                <w:szCs w:val="18"/>
              </w:rPr>
              <w:t>S</w:t>
            </w:r>
            <w:r w:rsidRPr="001D1D98">
              <w:rPr>
                <w:sz w:val="18"/>
                <w:szCs w:val="18"/>
              </w:rPr>
              <w:t>tudy design and sampling approach for the Achieving Quality Education for All (AQEFA) grant mechanism agreed</w:t>
            </w:r>
          </w:p>
          <w:p w14:paraId="49D7CA06" w14:textId="290185DD" w:rsidR="00A90444" w:rsidRDefault="00A90444" w:rsidP="001D1D98">
            <w:pPr>
              <w:pStyle w:val="ListParagraph"/>
              <w:widowControl w:val="0"/>
              <w:numPr>
                <w:ilvl w:val="0"/>
                <w:numId w:val="10"/>
              </w:numPr>
              <w:spacing w:after="0" w:line="240" w:lineRule="auto"/>
              <w:ind w:left="193" w:hanging="218"/>
              <w:rPr>
                <w:sz w:val="18"/>
                <w:szCs w:val="18"/>
              </w:rPr>
            </w:pPr>
            <w:r w:rsidRPr="001D1D98">
              <w:rPr>
                <w:sz w:val="18"/>
                <w:szCs w:val="18"/>
              </w:rPr>
              <w:t xml:space="preserve">Selection criteria and guidance manuals for AQEFA grant recipient schools </w:t>
            </w:r>
            <w:r w:rsidRPr="00BA645A">
              <w:rPr>
                <w:sz w:val="18"/>
                <w:szCs w:val="18"/>
              </w:rPr>
              <w:t xml:space="preserve">and Inclusive Education Resource Centres (IERCs) </w:t>
            </w:r>
            <w:r w:rsidRPr="001D1D98">
              <w:rPr>
                <w:sz w:val="18"/>
                <w:szCs w:val="18"/>
              </w:rPr>
              <w:t>established and agreed</w:t>
            </w:r>
          </w:p>
          <w:p w14:paraId="06FBB7A5" w14:textId="3A79380B" w:rsidR="00A90444" w:rsidRPr="001D1D98" w:rsidRDefault="00A90444" w:rsidP="001D1D98">
            <w:pPr>
              <w:pStyle w:val="ListParagraph"/>
              <w:widowControl w:val="0"/>
              <w:numPr>
                <w:ilvl w:val="0"/>
                <w:numId w:val="10"/>
              </w:numPr>
              <w:spacing w:after="0" w:line="240" w:lineRule="auto"/>
              <w:ind w:left="193" w:hanging="218"/>
              <w:rPr>
                <w:sz w:val="18"/>
                <w:szCs w:val="18"/>
              </w:rPr>
            </w:pPr>
            <w:r w:rsidRPr="00C0141F">
              <w:rPr>
                <w:sz w:val="18"/>
                <w:szCs w:val="18"/>
              </w:rPr>
              <w:t>Procurement of fund manager and transfer of funds to the fund manager</w:t>
            </w:r>
          </w:p>
        </w:tc>
        <w:tc>
          <w:tcPr>
            <w:tcW w:w="3544" w:type="dxa"/>
          </w:tcPr>
          <w:p w14:paraId="6402D001" w14:textId="77777777" w:rsidR="00A90444" w:rsidRDefault="00A90444" w:rsidP="00707C93">
            <w:pPr>
              <w:pStyle w:val="ListParagraph"/>
              <w:widowControl w:val="0"/>
              <w:numPr>
                <w:ilvl w:val="0"/>
                <w:numId w:val="10"/>
              </w:numPr>
              <w:spacing w:after="0" w:line="240" w:lineRule="auto"/>
              <w:ind w:left="193" w:hanging="218"/>
              <w:rPr>
                <w:sz w:val="18"/>
                <w:szCs w:val="18"/>
              </w:rPr>
            </w:pPr>
            <w:r w:rsidRPr="001D0B41">
              <w:rPr>
                <w:sz w:val="18"/>
                <w:szCs w:val="18"/>
              </w:rPr>
              <w:t>First disbursements for AQEFA grants made to 32 schools and 3 IERCs (total funds disbursed: K221,490)</w:t>
            </w:r>
          </w:p>
          <w:p w14:paraId="17A34BE5" w14:textId="5767BFC8" w:rsidR="00A90444" w:rsidRDefault="00A90444" w:rsidP="008F2EAC">
            <w:pPr>
              <w:pStyle w:val="ListParagraph"/>
              <w:widowControl w:val="0"/>
              <w:numPr>
                <w:ilvl w:val="0"/>
                <w:numId w:val="10"/>
              </w:numPr>
              <w:spacing w:after="0" w:line="240" w:lineRule="auto"/>
              <w:ind w:left="193" w:hanging="218"/>
              <w:rPr>
                <w:sz w:val="18"/>
                <w:szCs w:val="18"/>
              </w:rPr>
            </w:pPr>
            <w:r w:rsidRPr="00707C93">
              <w:rPr>
                <w:sz w:val="18"/>
                <w:szCs w:val="18"/>
              </w:rPr>
              <w:t>School leadership and management training to 1,010 (</w:t>
            </w:r>
            <w:r>
              <w:rPr>
                <w:sz w:val="18"/>
                <w:szCs w:val="18"/>
              </w:rPr>
              <w:t>F:</w:t>
            </w:r>
            <w:r w:rsidRPr="00707C93">
              <w:rPr>
                <w:sz w:val="18"/>
                <w:szCs w:val="18"/>
              </w:rPr>
              <w:t xml:space="preserve">304) teachers, school board members and government officers </w:t>
            </w:r>
          </w:p>
          <w:p w14:paraId="1D140586" w14:textId="423547EE" w:rsidR="00A90444" w:rsidRPr="001F0B29" w:rsidRDefault="00A90444" w:rsidP="005643CF">
            <w:pPr>
              <w:pStyle w:val="ListParagraph"/>
              <w:widowControl w:val="0"/>
              <w:numPr>
                <w:ilvl w:val="0"/>
                <w:numId w:val="10"/>
              </w:numPr>
              <w:spacing w:after="0" w:line="240" w:lineRule="auto"/>
              <w:ind w:left="193" w:hanging="218"/>
              <w:rPr>
                <w:sz w:val="18"/>
                <w:szCs w:val="18"/>
              </w:rPr>
            </w:pPr>
            <w:r w:rsidRPr="001F0B29">
              <w:rPr>
                <w:sz w:val="18"/>
                <w:szCs w:val="18"/>
              </w:rPr>
              <w:t>AQEFA training to 126 (F: 54) TICs, School Board of Governance Chairperson and a Board member</w:t>
            </w:r>
          </w:p>
          <w:p w14:paraId="034F7FF3" w14:textId="11153AFF" w:rsidR="00A90444" w:rsidRPr="008F2EAC" w:rsidRDefault="00A90444" w:rsidP="005643CF">
            <w:pPr>
              <w:pStyle w:val="ListParagraph"/>
              <w:widowControl w:val="0"/>
              <w:numPr>
                <w:ilvl w:val="0"/>
                <w:numId w:val="10"/>
              </w:numPr>
              <w:spacing w:after="0" w:line="240" w:lineRule="auto"/>
              <w:ind w:left="193" w:hanging="218"/>
              <w:rPr>
                <w:sz w:val="18"/>
                <w:szCs w:val="18"/>
              </w:rPr>
            </w:pPr>
            <w:r w:rsidRPr="001F0B29">
              <w:rPr>
                <w:sz w:val="18"/>
                <w:szCs w:val="18"/>
              </w:rPr>
              <w:t>Distribution of library boxes to 16 AQEFA schools</w:t>
            </w:r>
          </w:p>
        </w:tc>
      </w:tr>
      <w:tr w:rsidR="00A90444" w:rsidRPr="00434A3D" w14:paraId="3C11FDB8" w14:textId="42E2BE33" w:rsidTr="00A90444">
        <w:trPr>
          <w:cantSplit/>
          <w:trHeight w:val="1134"/>
        </w:trPr>
        <w:tc>
          <w:tcPr>
            <w:tcW w:w="2268" w:type="dxa"/>
            <w:tcMar>
              <w:top w:w="100" w:type="dxa"/>
              <w:left w:w="100" w:type="dxa"/>
              <w:bottom w:w="100" w:type="dxa"/>
              <w:right w:w="100" w:type="dxa"/>
            </w:tcMar>
            <w:vAlign w:val="center"/>
          </w:tcPr>
          <w:p w14:paraId="4654514A" w14:textId="2A01953F" w:rsidR="00A90444" w:rsidRPr="00A90444" w:rsidRDefault="00A90444" w:rsidP="00A716D2">
            <w:pPr>
              <w:widowControl w:val="0"/>
              <w:spacing w:after="0" w:line="240" w:lineRule="auto"/>
              <w:rPr>
                <w:b/>
                <w:sz w:val="18"/>
                <w:szCs w:val="18"/>
                <w:u w:val="single"/>
              </w:rPr>
            </w:pPr>
            <w:r w:rsidRPr="00A90444">
              <w:rPr>
                <w:b/>
                <w:sz w:val="18"/>
                <w:szCs w:val="18"/>
                <w:u w:val="single"/>
              </w:rPr>
              <w:t>EOIO</w:t>
            </w:r>
            <w:r>
              <w:rPr>
                <w:b/>
                <w:sz w:val="18"/>
                <w:szCs w:val="18"/>
                <w:u w:val="single"/>
              </w:rPr>
              <w:t xml:space="preserve"> </w:t>
            </w:r>
            <w:r w:rsidRPr="00A90444">
              <w:rPr>
                <w:b/>
                <w:sz w:val="18"/>
                <w:szCs w:val="18"/>
                <w:u w:val="single"/>
              </w:rPr>
              <w:t>1</w:t>
            </w:r>
          </w:p>
          <w:p w14:paraId="22F51C99" w14:textId="70534A3F" w:rsidR="00A90444" w:rsidRPr="00434A3D" w:rsidRDefault="00A90444" w:rsidP="00A716D2">
            <w:pPr>
              <w:widowControl w:val="0"/>
              <w:spacing w:after="0" w:line="240" w:lineRule="auto"/>
              <w:rPr>
                <w:b/>
                <w:sz w:val="18"/>
                <w:szCs w:val="18"/>
              </w:rPr>
            </w:pPr>
            <w:r w:rsidRPr="00434A3D">
              <w:rPr>
                <w:b/>
                <w:sz w:val="18"/>
                <w:szCs w:val="18"/>
              </w:rPr>
              <w:t>Community engagement</w:t>
            </w:r>
            <w:r>
              <w:rPr>
                <w:b/>
                <w:sz w:val="18"/>
                <w:szCs w:val="18"/>
              </w:rPr>
              <w:t xml:space="preserve"> - </w:t>
            </w:r>
            <w:r w:rsidRPr="007951FE">
              <w:rPr>
                <w:bCs/>
                <w:sz w:val="18"/>
                <w:szCs w:val="18"/>
              </w:rPr>
              <w:t>s</w:t>
            </w:r>
            <w:r w:rsidRPr="00434A3D">
              <w:rPr>
                <w:sz w:val="18"/>
                <w:szCs w:val="18"/>
              </w:rPr>
              <w:t>eeks to involve parents and the broader community in educational decisions and discussions by establishing parents and citizens (P&amp;C) groups and implementing parent training programs</w:t>
            </w:r>
          </w:p>
        </w:tc>
        <w:tc>
          <w:tcPr>
            <w:tcW w:w="3543" w:type="dxa"/>
          </w:tcPr>
          <w:p w14:paraId="03712C76" w14:textId="768511B0" w:rsidR="00A90444" w:rsidRPr="005E1A46" w:rsidRDefault="00A90444" w:rsidP="005643CF">
            <w:pPr>
              <w:pStyle w:val="ListParagraph"/>
              <w:widowControl w:val="0"/>
              <w:numPr>
                <w:ilvl w:val="0"/>
                <w:numId w:val="10"/>
              </w:numPr>
              <w:spacing w:after="0" w:line="240" w:lineRule="auto"/>
              <w:ind w:left="193" w:hanging="218"/>
              <w:rPr>
                <w:sz w:val="18"/>
                <w:szCs w:val="18"/>
              </w:rPr>
            </w:pPr>
            <w:r w:rsidRPr="005E1A46">
              <w:rPr>
                <w:sz w:val="18"/>
                <w:szCs w:val="18"/>
              </w:rPr>
              <w:t>Scoping and concept design for the school health and parenting program</w:t>
            </w:r>
          </w:p>
          <w:p w14:paraId="7D362A25" w14:textId="6A0490F5" w:rsidR="00A90444" w:rsidRPr="00434A3D" w:rsidRDefault="00A90444" w:rsidP="005643CF">
            <w:pPr>
              <w:pStyle w:val="ListParagraph"/>
              <w:widowControl w:val="0"/>
              <w:numPr>
                <w:ilvl w:val="0"/>
                <w:numId w:val="10"/>
              </w:numPr>
              <w:spacing w:after="0" w:line="240" w:lineRule="auto"/>
              <w:ind w:left="193" w:hanging="218"/>
              <w:rPr>
                <w:sz w:val="18"/>
                <w:szCs w:val="18"/>
              </w:rPr>
            </w:pPr>
            <w:r w:rsidRPr="005E1A46">
              <w:rPr>
                <w:sz w:val="18"/>
                <w:szCs w:val="18"/>
              </w:rPr>
              <w:t>Procurement of sub-contractor (INGO) for program delivery</w:t>
            </w:r>
          </w:p>
        </w:tc>
        <w:tc>
          <w:tcPr>
            <w:tcW w:w="3544" w:type="dxa"/>
          </w:tcPr>
          <w:p w14:paraId="605E8CA3" w14:textId="4C3A094E" w:rsidR="00A90444" w:rsidRDefault="00A90444" w:rsidP="00275EC3">
            <w:pPr>
              <w:widowControl w:val="0"/>
              <w:numPr>
                <w:ilvl w:val="0"/>
                <w:numId w:val="10"/>
              </w:numPr>
              <w:tabs>
                <w:tab w:val="left" w:pos="225"/>
              </w:tabs>
              <w:spacing w:after="0" w:line="240" w:lineRule="auto"/>
              <w:ind w:left="193" w:hanging="218"/>
              <w:rPr>
                <w:sz w:val="18"/>
                <w:szCs w:val="18"/>
              </w:rPr>
            </w:pPr>
            <w:r w:rsidRPr="00275EC3">
              <w:rPr>
                <w:sz w:val="18"/>
                <w:szCs w:val="18"/>
              </w:rPr>
              <w:t>Mobilisation of sub-contractor for the School Health and Parenting Program </w:t>
            </w:r>
          </w:p>
          <w:p w14:paraId="0FA77A08" w14:textId="292A27E6" w:rsidR="00A90444" w:rsidRPr="00434A3D" w:rsidRDefault="00A90444" w:rsidP="005643CF">
            <w:pPr>
              <w:widowControl w:val="0"/>
              <w:tabs>
                <w:tab w:val="left" w:pos="225"/>
              </w:tabs>
              <w:spacing w:after="0" w:line="240" w:lineRule="auto"/>
              <w:ind w:left="193"/>
              <w:rPr>
                <w:sz w:val="18"/>
                <w:szCs w:val="18"/>
              </w:rPr>
            </w:pPr>
            <w:r>
              <w:rPr>
                <w:sz w:val="18"/>
                <w:szCs w:val="18"/>
              </w:rPr>
              <w:t>[</w:t>
            </w:r>
            <w:r w:rsidRPr="00275EC3">
              <w:rPr>
                <w:sz w:val="18"/>
                <w:szCs w:val="18"/>
              </w:rPr>
              <w:t>NB. This activity is paused pending recommendations from the review.</w:t>
            </w:r>
            <w:r>
              <w:rPr>
                <w:sz w:val="18"/>
                <w:szCs w:val="18"/>
              </w:rPr>
              <w:t>]</w:t>
            </w:r>
          </w:p>
        </w:tc>
      </w:tr>
      <w:tr w:rsidR="00A90444" w:rsidRPr="00434A3D" w14:paraId="7BCF4E27" w14:textId="3E330574" w:rsidTr="00A90444">
        <w:trPr>
          <w:trHeight w:val="227"/>
        </w:trPr>
        <w:tc>
          <w:tcPr>
            <w:tcW w:w="2268" w:type="dxa"/>
            <w:tcMar>
              <w:top w:w="100" w:type="dxa"/>
              <w:left w:w="100" w:type="dxa"/>
              <w:bottom w:w="100" w:type="dxa"/>
              <w:right w:w="100" w:type="dxa"/>
            </w:tcMar>
            <w:vAlign w:val="center"/>
          </w:tcPr>
          <w:p w14:paraId="5AB0762A" w14:textId="233B037D" w:rsidR="00A90444" w:rsidRPr="00A90444" w:rsidRDefault="00A90444" w:rsidP="00A716D2">
            <w:pPr>
              <w:widowControl w:val="0"/>
              <w:spacing w:after="0" w:line="240" w:lineRule="auto"/>
              <w:rPr>
                <w:b/>
                <w:sz w:val="18"/>
                <w:szCs w:val="18"/>
                <w:u w:val="single"/>
              </w:rPr>
            </w:pPr>
            <w:r w:rsidRPr="00A90444">
              <w:rPr>
                <w:b/>
                <w:sz w:val="18"/>
                <w:szCs w:val="18"/>
                <w:u w:val="single"/>
              </w:rPr>
              <w:t>EOIO</w:t>
            </w:r>
            <w:r>
              <w:rPr>
                <w:b/>
                <w:sz w:val="18"/>
                <w:szCs w:val="18"/>
                <w:u w:val="single"/>
              </w:rPr>
              <w:t xml:space="preserve"> </w:t>
            </w:r>
            <w:r w:rsidRPr="00A90444">
              <w:rPr>
                <w:b/>
                <w:sz w:val="18"/>
                <w:szCs w:val="18"/>
                <w:u w:val="single"/>
              </w:rPr>
              <w:t>1</w:t>
            </w:r>
          </w:p>
          <w:p w14:paraId="193F492C" w14:textId="382E138A" w:rsidR="00A90444" w:rsidRPr="00434A3D" w:rsidRDefault="00A90444" w:rsidP="00A716D2">
            <w:pPr>
              <w:widowControl w:val="0"/>
              <w:spacing w:after="0" w:line="240" w:lineRule="auto"/>
              <w:rPr>
                <w:b/>
                <w:sz w:val="18"/>
                <w:szCs w:val="18"/>
              </w:rPr>
            </w:pPr>
            <w:r w:rsidRPr="00434A3D">
              <w:rPr>
                <w:b/>
                <w:sz w:val="18"/>
                <w:szCs w:val="18"/>
              </w:rPr>
              <w:t>Back to School campaign</w:t>
            </w:r>
            <w:r>
              <w:rPr>
                <w:b/>
                <w:sz w:val="18"/>
                <w:szCs w:val="18"/>
              </w:rPr>
              <w:t xml:space="preserve"> - </w:t>
            </w:r>
            <w:r w:rsidRPr="0007561C">
              <w:rPr>
                <w:bCs/>
                <w:sz w:val="18"/>
                <w:szCs w:val="18"/>
              </w:rPr>
              <w:t>a</w:t>
            </w:r>
            <w:r w:rsidRPr="00434A3D">
              <w:rPr>
                <w:sz w:val="18"/>
                <w:szCs w:val="18"/>
              </w:rPr>
              <w:t>ims to enhance parents’ and communities’ understanding of the importance of education.</w:t>
            </w:r>
          </w:p>
        </w:tc>
        <w:tc>
          <w:tcPr>
            <w:tcW w:w="3543" w:type="dxa"/>
          </w:tcPr>
          <w:p w14:paraId="3B55E863" w14:textId="6983CA4D" w:rsidR="00A90444" w:rsidRPr="00397E6D" w:rsidRDefault="00A90444" w:rsidP="00397E6D">
            <w:pPr>
              <w:pStyle w:val="ListParagraph"/>
              <w:widowControl w:val="0"/>
              <w:numPr>
                <w:ilvl w:val="0"/>
                <w:numId w:val="10"/>
              </w:numPr>
              <w:spacing w:line="240" w:lineRule="auto"/>
              <w:ind w:left="193" w:hanging="218"/>
              <w:rPr>
                <w:sz w:val="18"/>
                <w:szCs w:val="18"/>
              </w:rPr>
            </w:pPr>
            <w:r w:rsidRPr="0062060A">
              <w:rPr>
                <w:sz w:val="18"/>
                <w:szCs w:val="18"/>
              </w:rPr>
              <w:t>A back-to-school campaign r</w:t>
            </w:r>
            <w:r>
              <w:rPr>
                <w:sz w:val="18"/>
                <w:szCs w:val="18"/>
              </w:rPr>
              <w:t>a</w:t>
            </w:r>
            <w:r w:rsidRPr="0062060A">
              <w:rPr>
                <w:sz w:val="18"/>
                <w:szCs w:val="18"/>
              </w:rPr>
              <w:t>n in Q1, 2023</w:t>
            </w:r>
            <w:r>
              <w:rPr>
                <w:sz w:val="18"/>
                <w:szCs w:val="18"/>
              </w:rPr>
              <w:t>,</w:t>
            </w:r>
            <w:r w:rsidRPr="00397E6D">
              <w:rPr>
                <w:sz w:val="18"/>
                <w:szCs w:val="18"/>
              </w:rPr>
              <w:t xml:space="preserve"> including print media, posters, stickers, social media, SMS/text blast, and local radio broadcast</w:t>
            </w:r>
          </w:p>
          <w:p w14:paraId="69C0FCBF" w14:textId="77777777" w:rsidR="00A90444" w:rsidRPr="00397E6D" w:rsidRDefault="00A90444" w:rsidP="00397E6D">
            <w:pPr>
              <w:pStyle w:val="ListParagraph"/>
              <w:widowControl w:val="0"/>
              <w:numPr>
                <w:ilvl w:val="0"/>
                <w:numId w:val="10"/>
              </w:numPr>
              <w:spacing w:line="240" w:lineRule="auto"/>
              <w:ind w:left="193" w:hanging="218"/>
              <w:rPr>
                <w:sz w:val="18"/>
                <w:szCs w:val="18"/>
              </w:rPr>
            </w:pPr>
            <w:r w:rsidRPr="00397E6D">
              <w:rPr>
                <w:sz w:val="18"/>
                <w:szCs w:val="18"/>
              </w:rPr>
              <w:t>Distribution of school attendance books</w:t>
            </w:r>
          </w:p>
          <w:p w14:paraId="6F3C3D3E" w14:textId="7FF4EB6C" w:rsidR="00A90444" w:rsidRPr="00434A3D" w:rsidRDefault="00A90444" w:rsidP="00397E6D">
            <w:pPr>
              <w:pStyle w:val="ListParagraph"/>
              <w:widowControl w:val="0"/>
              <w:numPr>
                <w:ilvl w:val="0"/>
                <w:numId w:val="10"/>
              </w:numPr>
              <w:spacing w:after="0" w:line="240" w:lineRule="auto"/>
              <w:ind w:left="193" w:hanging="218"/>
              <w:rPr>
                <w:sz w:val="18"/>
                <w:szCs w:val="18"/>
              </w:rPr>
            </w:pPr>
            <w:r>
              <w:rPr>
                <w:sz w:val="18"/>
                <w:szCs w:val="18"/>
              </w:rPr>
              <w:t>F</w:t>
            </w:r>
            <w:r w:rsidRPr="00397E6D">
              <w:rPr>
                <w:sz w:val="18"/>
                <w:szCs w:val="18"/>
              </w:rPr>
              <w:t>ollow up survey conducted of teachers, parents and students to understand which communication modalities were most effective</w:t>
            </w:r>
          </w:p>
        </w:tc>
        <w:tc>
          <w:tcPr>
            <w:tcW w:w="3544" w:type="dxa"/>
          </w:tcPr>
          <w:p w14:paraId="0DEF2A6D" w14:textId="71F88D4F" w:rsidR="00A90444" w:rsidRDefault="00A90444" w:rsidP="007753A2">
            <w:pPr>
              <w:pStyle w:val="ListParagraph"/>
              <w:widowControl w:val="0"/>
              <w:numPr>
                <w:ilvl w:val="0"/>
                <w:numId w:val="10"/>
              </w:numPr>
              <w:spacing w:after="0" w:line="240" w:lineRule="auto"/>
              <w:ind w:left="193" w:hanging="218"/>
              <w:rPr>
                <w:sz w:val="18"/>
                <w:szCs w:val="18"/>
              </w:rPr>
            </w:pPr>
            <w:r w:rsidRPr="007753A2">
              <w:rPr>
                <w:sz w:val="18"/>
                <w:szCs w:val="18"/>
              </w:rPr>
              <w:t xml:space="preserve">A back-to-school campaign including distribution of attendance books, radio messaging, content posted on the NDoE website and social media, ran at the beginning of the school year (January and February) and at the start of </w:t>
            </w:r>
            <w:r>
              <w:rPr>
                <w:sz w:val="18"/>
                <w:szCs w:val="18"/>
              </w:rPr>
              <w:t>2</w:t>
            </w:r>
            <w:r w:rsidRPr="007753A2">
              <w:rPr>
                <w:sz w:val="18"/>
                <w:szCs w:val="18"/>
                <w:vertAlign w:val="superscript"/>
              </w:rPr>
              <w:t>nd</w:t>
            </w:r>
            <w:r>
              <w:rPr>
                <w:sz w:val="18"/>
                <w:szCs w:val="18"/>
              </w:rPr>
              <w:t xml:space="preserve"> term</w:t>
            </w:r>
          </w:p>
          <w:p w14:paraId="466518AB" w14:textId="3F2FAEAA" w:rsidR="00A90444" w:rsidRPr="00434A3D" w:rsidRDefault="00A90444" w:rsidP="007753A2">
            <w:pPr>
              <w:pStyle w:val="ListParagraph"/>
              <w:widowControl w:val="0"/>
              <w:numPr>
                <w:ilvl w:val="0"/>
                <w:numId w:val="10"/>
              </w:numPr>
              <w:spacing w:after="0" w:line="240" w:lineRule="auto"/>
              <w:ind w:left="193" w:hanging="218"/>
              <w:rPr>
                <w:sz w:val="18"/>
                <w:szCs w:val="18"/>
              </w:rPr>
            </w:pPr>
            <w:r w:rsidRPr="007753A2">
              <w:rPr>
                <w:sz w:val="18"/>
                <w:szCs w:val="18"/>
              </w:rPr>
              <w:t>A breakfast campaign r</w:t>
            </w:r>
            <w:r>
              <w:rPr>
                <w:sz w:val="18"/>
                <w:szCs w:val="18"/>
              </w:rPr>
              <w:t>a</w:t>
            </w:r>
            <w:r w:rsidRPr="007753A2">
              <w:rPr>
                <w:sz w:val="18"/>
                <w:szCs w:val="18"/>
              </w:rPr>
              <w:t>n in May and June to encourage parents and</w:t>
            </w:r>
            <w:r>
              <w:rPr>
                <w:sz w:val="18"/>
                <w:szCs w:val="18"/>
              </w:rPr>
              <w:t xml:space="preserve"> </w:t>
            </w:r>
            <w:r w:rsidRPr="007753A2">
              <w:rPr>
                <w:sz w:val="18"/>
                <w:szCs w:val="18"/>
              </w:rPr>
              <w:t>students to have a healthy, nutritious breakfast before school</w:t>
            </w:r>
          </w:p>
        </w:tc>
      </w:tr>
      <w:tr w:rsidR="00A90444" w:rsidRPr="00434A3D" w14:paraId="6A0CDA86" w14:textId="77777777" w:rsidTr="00A90444">
        <w:trPr>
          <w:trHeight w:val="380"/>
        </w:trPr>
        <w:tc>
          <w:tcPr>
            <w:tcW w:w="2268" w:type="dxa"/>
            <w:tcBorders>
              <w:bottom w:val="single" w:sz="8" w:space="0" w:color="065157"/>
            </w:tcBorders>
            <w:tcMar>
              <w:top w:w="100" w:type="dxa"/>
              <w:left w:w="100" w:type="dxa"/>
              <w:bottom w:w="100" w:type="dxa"/>
              <w:right w:w="100" w:type="dxa"/>
            </w:tcMar>
            <w:vAlign w:val="center"/>
          </w:tcPr>
          <w:p w14:paraId="56F5DA68" w14:textId="6897D108" w:rsidR="00A90444" w:rsidRPr="00A90444" w:rsidRDefault="00A90444" w:rsidP="00A716D2">
            <w:pPr>
              <w:widowControl w:val="0"/>
              <w:spacing w:after="0" w:line="240" w:lineRule="auto"/>
              <w:rPr>
                <w:b/>
                <w:sz w:val="18"/>
                <w:szCs w:val="18"/>
                <w:u w:val="single"/>
              </w:rPr>
            </w:pPr>
            <w:r w:rsidRPr="00A90444">
              <w:rPr>
                <w:b/>
                <w:sz w:val="18"/>
                <w:szCs w:val="18"/>
                <w:u w:val="single"/>
              </w:rPr>
              <w:t>EOIO</w:t>
            </w:r>
            <w:r>
              <w:rPr>
                <w:b/>
                <w:sz w:val="18"/>
                <w:szCs w:val="18"/>
                <w:u w:val="single"/>
              </w:rPr>
              <w:t xml:space="preserve"> </w:t>
            </w:r>
            <w:r w:rsidRPr="00A90444">
              <w:rPr>
                <w:b/>
                <w:sz w:val="18"/>
                <w:szCs w:val="18"/>
                <w:u w:val="single"/>
              </w:rPr>
              <w:t>1</w:t>
            </w:r>
          </w:p>
          <w:p w14:paraId="67BB719C" w14:textId="522B01EE" w:rsidR="00A90444" w:rsidRPr="00434A3D" w:rsidRDefault="00A90444" w:rsidP="00A716D2">
            <w:pPr>
              <w:widowControl w:val="0"/>
              <w:spacing w:after="0" w:line="240" w:lineRule="auto"/>
              <w:rPr>
                <w:b/>
                <w:sz w:val="18"/>
                <w:szCs w:val="18"/>
              </w:rPr>
            </w:pPr>
            <w:r>
              <w:rPr>
                <w:b/>
                <w:sz w:val="18"/>
                <w:szCs w:val="18"/>
              </w:rPr>
              <w:t>Other/GEDSI</w:t>
            </w:r>
          </w:p>
        </w:tc>
        <w:tc>
          <w:tcPr>
            <w:tcW w:w="3543" w:type="dxa"/>
            <w:tcBorders>
              <w:bottom w:val="single" w:sz="8" w:space="0" w:color="065157"/>
            </w:tcBorders>
          </w:tcPr>
          <w:p w14:paraId="7F1BD49D" w14:textId="2061CFF9" w:rsidR="00A90444" w:rsidRPr="0062060A" w:rsidRDefault="00A90444" w:rsidP="005643CF">
            <w:pPr>
              <w:pStyle w:val="ListParagraph"/>
              <w:widowControl w:val="0"/>
              <w:numPr>
                <w:ilvl w:val="0"/>
                <w:numId w:val="10"/>
              </w:numPr>
              <w:spacing w:after="0" w:line="240" w:lineRule="auto"/>
              <w:ind w:left="193" w:hanging="218"/>
              <w:rPr>
                <w:sz w:val="18"/>
                <w:szCs w:val="18"/>
              </w:rPr>
            </w:pPr>
            <w:r w:rsidRPr="00775193">
              <w:rPr>
                <w:sz w:val="18"/>
                <w:szCs w:val="18"/>
              </w:rPr>
              <w:t>Distribution of attendance records to encourage tracking of attendance and retention of students</w:t>
            </w:r>
          </w:p>
        </w:tc>
        <w:tc>
          <w:tcPr>
            <w:tcW w:w="3544" w:type="dxa"/>
            <w:tcBorders>
              <w:bottom w:val="single" w:sz="8" w:space="0" w:color="065157"/>
            </w:tcBorders>
          </w:tcPr>
          <w:p w14:paraId="5BE0676B" w14:textId="6752124C" w:rsidR="00A90444" w:rsidRDefault="00A90444" w:rsidP="008F7AB3">
            <w:pPr>
              <w:pStyle w:val="ListParagraph"/>
              <w:widowControl w:val="0"/>
              <w:numPr>
                <w:ilvl w:val="0"/>
                <w:numId w:val="10"/>
              </w:numPr>
              <w:spacing w:after="0" w:line="240" w:lineRule="auto"/>
              <w:ind w:left="193" w:hanging="218"/>
              <w:rPr>
                <w:sz w:val="18"/>
                <w:szCs w:val="18"/>
              </w:rPr>
            </w:pPr>
            <w:r>
              <w:rPr>
                <w:sz w:val="18"/>
                <w:szCs w:val="18"/>
              </w:rPr>
              <w:t>T</w:t>
            </w:r>
            <w:r w:rsidRPr="008F7AB3">
              <w:rPr>
                <w:sz w:val="18"/>
                <w:szCs w:val="18"/>
              </w:rPr>
              <w:t>raining for Inclusive Education Resource Centres (IERCs), including individual education plans and an Outreach Policy and guidance</w:t>
            </w:r>
          </w:p>
          <w:p w14:paraId="6035E39D" w14:textId="18CB905E" w:rsidR="00A90444" w:rsidRDefault="00A90444" w:rsidP="008F7AB3">
            <w:pPr>
              <w:pStyle w:val="ListParagraph"/>
              <w:widowControl w:val="0"/>
              <w:numPr>
                <w:ilvl w:val="0"/>
                <w:numId w:val="10"/>
              </w:numPr>
              <w:spacing w:after="0" w:line="240" w:lineRule="auto"/>
              <w:ind w:left="193" w:hanging="218"/>
              <w:rPr>
                <w:sz w:val="18"/>
                <w:szCs w:val="18"/>
              </w:rPr>
            </w:pPr>
            <w:r>
              <w:rPr>
                <w:sz w:val="18"/>
                <w:szCs w:val="18"/>
              </w:rPr>
              <w:t>428 (F: 203) Prep to Grade 2 students screened (Sandaun)</w:t>
            </w:r>
          </w:p>
          <w:p w14:paraId="69B89A85" w14:textId="7983409E" w:rsidR="00A90444" w:rsidRPr="00726E9A" w:rsidRDefault="00A90444" w:rsidP="00726E9A">
            <w:pPr>
              <w:pStyle w:val="ListParagraph"/>
              <w:widowControl w:val="0"/>
              <w:numPr>
                <w:ilvl w:val="0"/>
                <w:numId w:val="10"/>
              </w:numPr>
              <w:spacing w:after="0" w:line="240" w:lineRule="auto"/>
              <w:ind w:left="193" w:hanging="218"/>
              <w:rPr>
                <w:sz w:val="18"/>
                <w:szCs w:val="18"/>
              </w:rPr>
            </w:pPr>
            <w:r w:rsidRPr="006D0995">
              <w:rPr>
                <w:sz w:val="18"/>
                <w:szCs w:val="18"/>
              </w:rPr>
              <w:t>Eight trainers provided with master training and guidance to distribute, train and monitor use of classroom libraries and levelled readers</w:t>
            </w:r>
          </w:p>
        </w:tc>
      </w:tr>
      <w:tr w:rsidR="00A90444" w:rsidRPr="00434A3D" w14:paraId="5ED9679A" w14:textId="21AC7423" w:rsidTr="00A90444">
        <w:trPr>
          <w:trHeight w:val="380"/>
        </w:trPr>
        <w:tc>
          <w:tcPr>
            <w:tcW w:w="2268" w:type="dxa"/>
            <w:shd w:val="clear" w:color="auto" w:fill="D9D9D9" w:themeFill="background1" w:themeFillShade="D9"/>
            <w:tcMar>
              <w:top w:w="100" w:type="dxa"/>
              <w:left w:w="100" w:type="dxa"/>
              <w:bottom w:w="100" w:type="dxa"/>
              <w:right w:w="100" w:type="dxa"/>
            </w:tcMar>
            <w:vAlign w:val="center"/>
          </w:tcPr>
          <w:p w14:paraId="3309D39D" w14:textId="269CCE01" w:rsidR="00A90444" w:rsidRPr="00A90444" w:rsidRDefault="00A90444" w:rsidP="004412D6">
            <w:pPr>
              <w:widowControl w:val="0"/>
              <w:spacing w:after="0" w:line="240" w:lineRule="auto"/>
              <w:rPr>
                <w:b/>
                <w:sz w:val="18"/>
                <w:szCs w:val="18"/>
                <w:u w:val="single"/>
              </w:rPr>
            </w:pPr>
            <w:r w:rsidRPr="00A90444">
              <w:rPr>
                <w:b/>
                <w:sz w:val="18"/>
                <w:szCs w:val="18"/>
                <w:u w:val="single"/>
              </w:rPr>
              <w:t>EOIO 2</w:t>
            </w:r>
          </w:p>
          <w:p w14:paraId="5AF62CF2" w14:textId="4008F773" w:rsidR="00A90444" w:rsidRPr="00434A3D" w:rsidRDefault="00A90444" w:rsidP="004412D6">
            <w:pPr>
              <w:widowControl w:val="0"/>
              <w:spacing w:after="0" w:line="240" w:lineRule="auto"/>
              <w:rPr>
                <w:b/>
                <w:sz w:val="18"/>
                <w:szCs w:val="18"/>
              </w:rPr>
            </w:pPr>
            <w:r w:rsidRPr="00434A3D">
              <w:rPr>
                <w:b/>
                <w:sz w:val="18"/>
                <w:szCs w:val="18"/>
              </w:rPr>
              <w:t>Bilum Books + in-service training</w:t>
            </w:r>
            <w:r>
              <w:rPr>
                <w:b/>
                <w:sz w:val="18"/>
                <w:szCs w:val="18"/>
              </w:rPr>
              <w:t xml:space="preserve"> - </w:t>
            </w:r>
            <w:r>
              <w:rPr>
                <w:sz w:val="18"/>
                <w:szCs w:val="18"/>
              </w:rPr>
              <w:t>pr</w:t>
            </w:r>
            <w:r w:rsidRPr="00434A3D">
              <w:rPr>
                <w:sz w:val="18"/>
                <w:szCs w:val="18"/>
              </w:rPr>
              <w:t xml:space="preserve">ovides teachers with specialised resources and student workbooks that align with </w:t>
            </w:r>
            <w:r>
              <w:rPr>
                <w:sz w:val="18"/>
                <w:szCs w:val="18"/>
              </w:rPr>
              <w:t>curriculum</w:t>
            </w:r>
            <w:r w:rsidRPr="00434A3D">
              <w:rPr>
                <w:sz w:val="18"/>
                <w:szCs w:val="18"/>
              </w:rPr>
              <w:t xml:space="preserve"> standards, </w:t>
            </w:r>
            <w:r>
              <w:rPr>
                <w:sz w:val="18"/>
                <w:szCs w:val="18"/>
              </w:rPr>
              <w:t>and training in the use of the resources.</w:t>
            </w:r>
          </w:p>
        </w:tc>
        <w:tc>
          <w:tcPr>
            <w:tcW w:w="3543" w:type="dxa"/>
            <w:shd w:val="clear" w:color="auto" w:fill="D9D9D9" w:themeFill="background1" w:themeFillShade="D9"/>
          </w:tcPr>
          <w:p w14:paraId="75575607" w14:textId="681C408F" w:rsidR="00A90444" w:rsidRDefault="00A90444" w:rsidP="0062060A">
            <w:pPr>
              <w:pStyle w:val="ListParagraph"/>
              <w:widowControl w:val="0"/>
              <w:numPr>
                <w:ilvl w:val="0"/>
                <w:numId w:val="10"/>
              </w:numPr>
              <w:spacing w:after="0" w:line="240" w:lineRule="auto"/>
              <w:ind w:left="193" w:hanging="218"/>
              <w:rPr>
                <w:sz w:val="18"/>
                <w:szCs w:val="18"/>
              </w:rPr>
            </w:pPr>
            <w:r w:rsidRPr="00A65A66">
              <w:rPr>
                <w:sz w:val="18"/>
                <w:szCs w:val="18"/>
              </w:rPr>
              <w:t>3,132 teachers received training in Bilum Books English</w:t>
            </w:r>
          </w:p>
          <w:p w14:paraId="100E1B6F" w14:textId="0D0A1660" w:rsidR="00A90444" w:rsidRPr="00434A3D" w:rsidRDefault="00A90444" w:rsidP="0062060A">
            <w:pPr>
              <w:pStyle w:val="ListParagraph"/>
              <w:widowControl w:val="0"/>
              <w:numPr>
                <w:ilvl w:val="0"/>
                <w:numId w:val="10"/>
              </w:numPr>
              <w:spacing w:after="0" w:line="240" w:lineRule="auto"/>
              <w:ind w:left="193" w:hanging="218"/>
              <w:rPr>
                <w:sz w:val="18"/>
                <w:szCs w:val="18"/>
              </w:rPr>
            </w:pPr>
            <w:r w:rsidRPr="00A65A66">
              <w:rPr>
                <w:sz w:val="18"/>
                <w:szCs w:val="18"/>
              </w:rPr>
              <w:t xml:space="preserve">252 teacher learning circles </w:t>
            </w:r>
            <w:r>
              <w:rPr>
                <w:sz w:val="18"/>
                <w:szCs w:val="18"/>
              </w:rPr>
              <w:t>e</w:t>
            </w:r>
            <w:r w:rsidRPr="00A65A66">
              <w:rPr>
                <w:sz w:val="18"/>
                <w:szCs w:val="18"/>
              </w:rPr>
              <w:t>stablished</w:t>
            </w:r>
          </w:p>
        </w:tc>
        <w:tc>
          <w:tcPr>
            <w:tcW w:w="3544" w:type="dxa"/>
            <w:shd w:val="clear" w:color="auto" w:fill="D9D9D9" w:themeFill="background1" w:themeFillShade="D9"/>
          </w:tcPr>
          <w:p w14:paraId="04B75131" w14:textId="77777777" w:rsidR="00A90444" w:rsidRDefault="00A90444" w:rsidP="00804E4C">
            <w:pPr>
              <w:pStyle w:val="ListParagraph"/>
              <w:widowControl w:val="0"/>
              <w:numPr>
                <w:ilvl w:val="0"/>
                <w:numId w:val="10"/>
              </w:numPr>
              <w:spacing w:after="0" w:line="240" w:lineRule="auto"/>
              <w:ind w:left="193" w:hanging="218"/>
              <w:rPr>
                <w:sz w:val="18"/>
                <w:szCs w:val="18"/>
              </w:rPr>
            </w:pPr>
            <w:r>
              <w:rPr>
                <w:sz w:val="18"/>
                <w:szCs w:val="18"/>
              </w:rPr>
              <w:t xml:space="preserve">1087 teachers </w:t>
            </w:r>
            <w:r w:rsidRPr="00A65A66">
              <w:rPr>
                <w:sz w:val="18"/>
                <w:szCs w:val="18"/>
              </w:rPr>
              <w:t>received training in Bilum Books English</w:t>
            </w:r>
            <w:r>
              <w:rPr>
                <w:sz w:val="18"/>
                <w:szCs w:val="18"/>
              </w:rPr>
              <w:t xml:space="preserve"> [4215 (F:2214) trained to date.]</w:t>
            </w:r>
          </w:p>
          <w:p w14:paraId="6FF0222D" w14:textId="39ECCE12" w:rsidR="00A90444" w:rsidRPr="00434A3D" w:rsidRDefault="00A90444" w:rsidP="00804E4C">
            <w:pPr>
              <w:pStyle w:val="ListParagraph"/>
              <w:widowControl w:val="0"/>
              <w:numPr>
                <w:ilvl w:val="0"/>
                <w:numId w:val="10"/>
              </w:numPr>
              <w:spacing w:after="0" w:line="240" w:lineRule="auto"/>
              <w:ind w:left="193" w:hanging="218"/>
              <w:rPr>
                <w:sz w:val="18"/>
                <w:szCs w:val="18"/>
              </w:rPr>
            </w:pPr>
            <w:r w:rsidRPr="00CD6A47">
              <w:rPr>
                <w:sz w:val="18"/>
                <w:szCs w:val="18"/>
              </w:rPr>
              <w:t>1 TLC Literacy refresher training conducted</w:t>
            </w:r>
            <w:r>
              <w:rPr>
                <w:sz w:val="18"/>
                <w:szCs w:val="18"/>
              </w:rPr>
              <w:t>.</w:t>
            </w:r>
          </w:p>
        </w:tc>
      </w:tr>
      <w:tr w:rsidR="00A90444" w:rsidRPr="00434A3D" w14:paraId="081D7AAE" w14:textId="77777777" w:rsidTr="00A90444">
        <w:trPr>
          <w:trHeight w:val="380"/>
        </w:trPr>
        <w:tc>
          <w:tcPr>
            <w:tcW w:w="2268" w:type="dxa"/>
            <w:shd w:val="clear" w:color="auto" w:fill="D9D9D9" w:themeFill="background1" w:themeFillShade="D9"/>
            <w:tcMar>
              <w:top w:w="100" w:type="dxa"/>
              <w:left w:w="100" w:type="dxa"/>
              <w:bottom w:w="100" w:type="dxa"/>
              <w:right w:w="100" w:type="dxa"/>
            </w:tcMar>
            <w:vAlign w:val="center"/>
          </w:tcPr>
          <w:p w14:paraId="4D1D68AA" w14:textId="054E6B15" w:rsidR="00A90444" w:rsidRPr="00A90444" w:rsidRDefault="00A90444" w:rsidP="004412D6">
            <w:pPr>
              <w:widowControl w:val="0"/>
              <w:spacing w:after="0" w:line="240" w:lineRule="auto"/>
              <w:rPr>
                <w:b/>
                <w:sz w:val="18"/>
                <w:szCs w:val="18"/>
                <w:u w:val="single"/>
              </w:rPr>
            </w:pPr>
            <w:r w:rsidRPr="00A90444">
              <w:rPr>
                <w:b/>
                <w:sz w:val="18"/>
                <w:szCs w:val="18"/>
                <w:u w:val="single"/>
              </w:rPr>
              <w:t>EOIO 2</w:t>
            </w:r>
          </w:p>
          <w:p w14:paraId="1282FEC4" w14:textId="7B036A99" w:rsidR="00A90444" w:rsidRPr="00434A3D" w:rsidRDefault="00A90444" w:rsidP="004412D6">
            <w:pPr>
              <w:widowControl w:val="0"/>
              <w:spacing w:after="0" w:line="240" w:lineRule="auto"/>
              <w:rPr>
                <w:b/>
                <w:sz w:val="18"/>
                <w:szCs w:val="18"/>
              </w:rPr>
            </w:pPr>
            <w:r>
              <w:rPr>
                <w:b/>
                <w:sz w:val="18"/>
                <w:szCs w:val="18"/>
              </w:rPr>
              <w:t>Mathematics</w:t>
            </w:r>
          </w:p>
        </w:tc>
        <w:tc>
          <w:tcPr>
            <w:tcW w:w="3543" w:type="dxa"/>
            <w:shd w:val="clear" w:color="auto" w:fill="D9D9D9" w:themeFill="background1" w:themeFillShade="D9"/>
          </w:tcPr>
          <w:p w14:paraId="46747347" w14:textId="5294DE87" w:rsidR="00A90444" w:rsidRPr="00A65A66" w:rsidRDefault="00A90444" w:rsidP="005643CF">
            <w:pPr>
              <w:pStyle w:val="ListParagraph"/>
              <w:widowControl w:val="0"/>
              <w:numPr>
                <w:ilvl w:val="0"/>
                <w:numId w:val="10"/>
              </w:numPr>
              <w:spacing w:after="0" w:line="240" w:lineRule="auto"/>
              <w:ind w:left="193" w:hanging="218"/>
              <w:rPr>
                <w:sz w:val="18"/>
                <w:szCs w:val="18"/>
              </w:rPr>
            </w:pPr>
            <w:r w:rsidRPr="0053233E">
              <w:rPr>
                <w:sz w:val="18"/>
                <w:szCs w:val="18"/>
              </w:rPr>
              <w:t>Design and development of Mathematics Pedagogy Training materials (Trainers Guide, Participants Manual, student stencil book and TLC Guide)</w:t>
            </w:r>
          </w:p>
        </w:tc>
        <w:tc>
          <w:tcPr>
            <w:tcW w:w="3544" w:type="dxa"/>
            <w:shd w:val="clear" w:color="auto" w:fill="D9D9D9" w:themeFill="background1" w:themeFillShade="D9"/>
          </w:tcPr>
          <w:p w14:paraId="12A85305" w14:textId="7943BAEA" w:rsidR="00A90444" w:rsidRDefault="00A90444" w:rsidP="00536CEE">
            <w:pPr>
              <w:pStyle w:val="ListParagraph"/>
              <w:widowControl w:val="0"/>
              <w:numPr>
                <w:ilvl w:val="0"/>
                <w:numId w:val="10"/>
              </w:numPr>
              <w:spacing w:after="0" w:line="240" w:lineRule="auto"/>
              <w:ind w:left="193" w:hanging="218"/>
              <w:rPr>
                <w:sz w:val="18"/>
                <w:szCs w:val="18"/>
              </w:rPr>
            </w:pPr>
            <w:r w:rsidRPr="00536CEE">
              <w:rPr>
                <w:sz w:val="18"/>
                <w:szCs w:val="18"/>
              </w:rPr>
              <w:t>Early grade maths pedagogy training manual, teachers’ manual, teacher learning circle guide, student stencil books and maths packs developed and prepositioned for maths in-service training</w:t>
            </w:r>
            <w:r>
              <w:rPr>
                <w:sz w:val="18"/>
                <w:szCs w:val="18"/>
              </w:rPr>
              <w:t xml:space="preserve"> planned for </w:t>
            </w:r>
            <w:r w:rsidRPr="00536CEE">
              <w:rPr>
                <w:sz w:val="18"/>
                <w:szCs w:val="18"/>
              </w:rPr>
              <w:t>term</w:t>
            </w:r>
            <w:r>
              <w:rPr>
                <w:sz w:val="18"/>
                <w:szCs w:val="18"/>
              </w:rPr>
              <w:t xml:space="preserve">s 3 and </w:t>
            </w:r>
            <w:r w:rsidRPr="00536CEE">
              <w:rPr>
                <w:sz w:val="18"/>
                <w:szCs w:val="18"/>
              </w:rPr>
              <w:t>4 2024</w:t>
            </w:r>
          </w:p>
          <w:p w14:paraId="7C774EF8" w14:textId="3429B09E" w:rsidR="00A90444" w:rsidRPr="00434A3D" w:rsidRDefault="00A90444" w:rsidP="00536CEE">
            <w:pPr>
              <w:pStyle w:val="ListParagraph"/>
              <w:widowControl w:val="0"/>
              <w:numPr>
                <w:ilvl w:val="0"/>
                <w:numId w:val="10"/>
              </w:numPr>
              <w:spacing w:after="0" w:line="240" w:lineRule="auto"/>
              <w:ind w:left="193" w:hanging="218"/>
              <w:rPr>
                <w:sz w:val="18"/>
                <w:szCs w:val="18"/>
              </w:rPr>
            </w:pPr>
            <w:r w:rsidRPr="00F67714">
              <w:rPr>
                <w:sz w:val="18"/>
                <w:szCs w:val="18"/>
              </w:rPr>
              <w:t>3</w:t>
            </w:r>
            <w:r>
              <w:rPr>
                <w:sz w:val="18"/>
                <w:szCs w:val="18"/>
              </w:rPr>
              <w:t xml:space="preserve"> </w:t>
            </w:r>
            <w:r w:rsidRPr="00F67714">
              <w:rPr>
                <w:sz w:val="18"/>
                <w:szCs w:val="18"/>
              </w:rPr>
              <w:t>x TOT for Math Pedagogy Trainers conducted (66 Trainers)</w:t>
            </w:r>
          </w:p>
        </w:tc>
      </w:tr>
      <w:tr w:rsidR="00A90444" w:rsidRPr="00434A3D" w14:paraId="1CC776AA" w14:textId="3D4ED2BE" w:rsidTr="00A90444">
        <w:trPr>
          <w:trHeight w:val="380"/>
        </w:trPr>
        <w:tc>
          <w:tcPr>
            <w:tcW w:w="2268" w:type="dxa"/>
            <w:shd w:val="clear" w:color="auto" w:fill="D9D9D9" w:themeFill="background1" w:themeFillShade="D9"/>
            <w:tcMar>
              <w:top w:w="100" w:type="dxa"/>
              <w:left w:w="100" w:type="dxa"/>
              <w:bottom w:w="100" w:type="dxa"/>
              <w:right w:w="100" w:type="dxa"/>
            </w:tcMar>
            <w:vAlign w:val="center"/>
          </w:tcPr>
          <w:p w14:paraId="2D4C447C" w14:textId="37D8949B" w:rsidR="00A90444" w:rsidRPr="00A90444" w:rsidRDefault="00A90444" w:rsidP="004412D6">
            <w:pPr>
              <w:widowControl w:val="0"/>
              <w:spacing w:after="0" w:line="240" w:lineRule="auto"/>
              <w:rPr>
                <w:b/>
                <w:sz w:val="18"/>
                <w:szCs w:val="18"/>
                <w:u w:val="single"/>
              </w:rPr>
            </w:pPr>
            <w:r w:rsidRPr="00A90444">
              <w:rPr>
                <w:b/>
                <w:sz w:val="18"/>
                <w:szCs w:val="18"/>
                <w:u w:val="single"/>
              </w:rPr>
              <w:t>EOIO 2</w:t>
            </w:r>
          </w:p>
          <w:p w14:paraId="5568673F" w14:textId="2C6EAF6A" w:rsidR="00A90444" w:rsidRPr="00434A3D" w:rsidRDefault="00A90444" w:rsidP="004412D6">
            <w:pPr>
              <w:widowControl w:val="0"/>
              <w:spacing w:after="0" w:line="240" w:lineRule="auto"/>
              <w:rPr>
                <w:b/>
                <w:sz w:val="18"/>
                <w:szCs w:val="18"/>
              </w:rPr>
            </w:pPr>
            <w:r w:rsidRPr="00434A3D">
              <w:rPr>
                <w:b/>
                <w:sz w:val="18"/>
                <w:szCs w:val="18"/>
              </w:rPr>
              <w:t>Teacher Upgrading Fund (TUF)</w:t>
            </w:r>
            <w:r>
              <w:rPr>
                <w:b/>
                <w:sz w:val="18"/>
                <w:szCs w:val="18"/>
              </w:rPr>
              <w:t xml:space="preserve"> - </w:t>
            </w:r>
            <w:r w:rsidRPr="00912FE3">
              <w:rPr>
                <w:bCs/>
                <w:sz w:val="18"/>
                <w:szCs w:val="18"/>
              </w:rPr>
              <w:t>a</w:t>
            </w:r>
            <w:r w:rsidRPr="00434A3D">
              <w:rPr>
                <w:sz w:val="18"/>
                <w:szCs w:val="18"/>
              </w:rPr>
              <w:t>ims to upgrade or improve primary school teachers’ knowledge of material, teaching techniques, and strategies.</w:t>
            </w:r>
          </w:p>
        </w:tc>
        <w:tc>
          <w:tcPr>
            <w:tcW w:w="3543" w:type="dxa"/>
            <w:shd w:val="clear" w:color="auto" w:fill="D9D9D9" w:themeFill="background1" w:themeFillShade="D9"/>
          </w:tcPr>
          <w:p w14:paraId="3D1BD2CB" w14:textId="3E69737E" w:rsidR="00A90444" w:rsidRPr="00434A3D" w:rsidRDefault="00A90444" w:rsidP="00FD4ABD">
            <w:pPr>
              <w:pStyle w:val="ListParagraph"/>
              <w:widowControl w:val="0"/>
              <w:numPr>
                <w:ilvl w:val="0"/>
                <w:numId w:val="10"/>
              </w:numPr>
              <w:spacing w:after="0" w:line="240" w:lineRule="auto"/>
              <w:ind w:left="193" w:hanging="218"/>
              <w:rPr>
                <w:sz w:val="18"/>
                <w:szCs w:val="18"/>
              </w:rPr>
            </w:pPr>
            <w:r w:rsidRPr="00FD4ABD">
              <w:rPr>
                <w:sz w:val="18"/>
                <w:szCs w:val="18"/>
              </w:rPr>
              <w:t xml:space="preserve">Queensland University of Technology (QUT) contracted to co-design a diploma upgrading course and support delivery of quality training. The DWU Board </w:t>
            </w:r>
            <w:r>
              <w:rPr>
                <w:sz w:val="18"/>
                <w:szCs w:val="18"/>
              </w:rPr>
              <w:t xml:space="preserve">approved the </w:t>
            </w:r>
            <w:r w:rsidRPr="00FD4ABD">
              <w:rPr>
                <w:sz w:val="18"/>
                <w:szCs w:val="18"/>
              </w:rPr>
              <w:t>program specification document</w:t>
            </w:r>
          </w:p>
        </w:tc>
        <w:tc>
          <w:tcPr>
            <w:tcW w:w="3544" w:type="dxa"/>
            <w:shd w:val="clear" w:color="auto" w:fill="D9D9D9" w:themeFill="background1" w:themeFillShade="D9"/>
          </w:tcPr>
          <w:p w14:paraId="60668891" w14:textId="77777777" w:rsidR="00A90444" w:rsidRDefault="00A90444" w:rsidP="00916F41">
            <w:pPr>
              <w:pStyle w:val="ListParagraph"/>
              <w:widowControl w:val="0"/>
              <w:numPr>
                <w:ilvl w:val="0"/>
                <w:numId w:val="10"/>
              </w:numPr>
              <w:spacing w:after="0" w:line="240" w:lineRule="auto"/>
              <w:ind w:left="193" w:hanging="218"/>
              <w:rPr>
                <w:sz w:val="18"/>
                <w:szCs w:val="18"/>
              </w:rPr>
            </w:pPr>
            <w:r>
              <w:rPr>
                <w:sz w:val="18"/>
                <w:szCs w:val="18"/>
              </w:rPr>
              <w:t>P</w:t>
            </w:r>
            <w:r w:rsidRPr="00916F41">
              <w:rPr>
                <w:sz w:val="18"/>
                <w:szCs w:val="18"/>
              </w:rPr>
              <w:t xml:space="preserve">rimary diploma upgrading program, co-designed with 3 higher education institutes and the Queensland University of Technology, approved by Divine Word University’s Governing Council and Academic Board; 6 of the 8 </w:t>
            </w:r>
            <w:r>
              <w:rPr>
                <w:sz w:val="18"/>
                <w:szCs w:val="18"/>
              </w:rPr>
              <w:t xml:space="preserve">co-designed </w:t>
            </w:r>
            <w:r w:rsidRPr="00916F41">
              <w:rPr>
                <w:sz w:val="18"/>
                <w:szCs w:val="18"/>
              </w:rPr>
              <w:t>modules co</w:t>
            </w:r>
            <w:r>
              <w:rPr>
                <w:sz w:val="18"/>
                <w:szCs w:val="18"/>
              </w:rPr>
              <w:t xml:space="preserve">mpleted, </w:t>
            </w:r>
            <w:r w:rsidRPr="009124E2">
              <w:rPr>
                <w:sz w:val="18"/>
                <w:szCs w:val="18"/>
              </w:rPr>
              <w:t>2 lecturer trainings completed</w:t>
            </w:r>
          </w:p>
          <w:p w14:paraId="2ACCA6D9" w14:textId="6E80774C" w:rsidR="00A90444" w:rsidRDefault="00A90444" w:rsidP="00916F41">
            <w:pPr>
              <w:pStyle w:val="ListParagraph"/>
              <w:widowControl w:val="0"/>
              <w:numPr>
                <w:ilvl w:val="0"/>
                <w:numId w:val="10"/>
              </w:numPr>
              <w:spacing w:after="0" w:line="240" w:lineRule="auto"/>
              <w:ind w:left="193" w:hanging="218"/>
              <w:rPr>
                <w:sz w:val="18"/>
                <w:szCs w:val="18"/>
              </w:rPr>
            </w:pPr>
            <w:r>
              <w:rPr>
                <w:sz w:val="18"/>
                <w:szCs w:val="18"/>
              </w:rPr>
              <w:t>C</w:t>
            </w:r>
            <w:r w:rsidRPr="00105526">
              <w:rPr>
                <w:sz w:val="18"/>
                <w:szCs w:val="18"/>
              </w:rPr>
              <w:t>ourse modules on professional standards, child development, and citizen and Christian values</w:t>
            </w:r>
            <w:r>
              <w:rPr>
                <w:sz w:val="18"/>
                <w:szCs w:val="18"/>
              </w:rPr>
              <w:t xml:space="preserve"> incorporate gender equality</w:t>
            </w:r>
          </w:p>
          <w:p w14:paraId="13F79286" w14:textId="6FE1F94A" w:rsidR="00A90444" w:rsidRPr="00434A3D" w:rsidRDefault="00A90444" w:rsidP="00916F41">
            <w:pPr>
              <w:pStyle w:val="ListParagraph"/>
              <w:widowControl w:val="0"/>
              <w:numPr>
                <w:ilvl w:val="0"/>
                <w:numId w:val="10"/>
              </w:numPr>
              <w:spacing w:after="0" w:line="240" w:lineRule="auto"/>
              <w:ind w:left="193" w:hanging="218"/>
              <w:rPr>
                <w:sz w:val="18"/>
                <w:szCs w:val="18"/>
              </w:rPr>
            </w:pPr>
            <w:r w:rsidRPr="00344A7F">
              <w:rPr>
                <w:sz w:val="18"/>
                <w:szCs w:val="18"/>
              </w:rPr>
              <w:t>Proposal and budget development for HEIs (PNGEI, Divine Word University and Enga Innovative University) to be subcontracted under the TUF to deliver the Diploma in Education (in-Service)</w:t>
            </w:r>
          </w:p>
        </w:tc>
      </w:tr>
      <w:tr w:rsidR="00A90444" w:rsidRPr="00434A3D" w14:paraId="1A4675CA" w14:textId="77777777" w:rsidTr="00A90444">
        <w:trPr>
          <w:trHeight w:val="380"/>
        </w:trPr>
        <w:tc>
          <w:tcPr>
            <w:tcW w:w="2268" w:type="dxa"/>
            <w:shd w:val="clear" w:color="auto" w:fill="D9D9D9" w:themeFill="background1" w:themeFillShade="D9"/>
            <w:tcMar>
              <w:top w:w="100" w:type="dxa"/>
              <w:left w:w="100" w:type="dxa"/>
              <w:bottom w:w="100" w:type="dxa"/>
              <w:right w:w="100" w:type="dxa"/>
            </w:tcMar>
            <w:vAlign w:val="center"/>
          </w:tcPr>
          <w:p w14:paraId="7E13E8DA" w14:textId="073B419F" w:rsidR="00A90444" w:rsidRPr="00A90444" w:rsidRDefault="00A90444" w:rsidP="004412D6">
            <w:pPr>
              <w:widowControl w:val="0"/>
              <w:spacing w:after="0" w:line="240" w:lineRule="auto"/>
              <w:rPr>
                <w:b/>
                <w:sz w:val="18"/>
                <w:szCs w:val="18"/>
                <w:u w:val="single"/>
              </w:rPr>
            </w:pPr>
            <w:r w:rsidRPr="00A90444">
              <w:rPr>
                <w:b/>
                <w:sz w:val="18"/>
                <w:szCs w:val="18"/>
                <w:u w:val="single"/>
              </w:rPr>
              <w:t>EOIO 2</w:t>
            </w:r>
          </w:p>
          <w:p w14:paraId="29E472CB" w14:textId="0AC9E2F1" w:rsidR="00A90444" w:rsidRPr="00434A3D" w:rsidRDefault="00A90444" w:rsidP="004412D6">
            <w:pPr>
              <w:widowControl w:val="0"/>
              <w:spacing w:after="0" w:line="240" w:lineRule="auto"/>
              <w:rPr>
                <w:b/>
                <w:sz w:val="18"/>
                <w:szCs w:val="18"/>
              </w:rPr>
            </w:pPr>
            <w:r>
              <w:rPr>
                <w:b/>
                <w:sz w:val="18"/>
                <w:szCs w:val="18"/>
              </w:rPr>
              <w:t>Other</w:t>
            </w:r>
          </w:p>
        </w:tc>
        <w:tc>
          <w:tcPr>
            <w:tcW w:w="3543" w:type="dxa"/>
            <w:shd w:val="clear" w:color="auto" w:fill="D9D9D9" w:themeFill="background1" w:themeFillShade="D9"/>
          </w:tcPr>
          <w:p w14:paraId="3D2CADBF" w14:textId="605B8024" w:rsidR="00A90444" w:rsidRDefault="00A90444" w:rsidP="00E34352">
            <w:pPr>
              <w:pStyle w:val="ListParagraph"/>
              <w:widowControl w:val="0"/>
              <w:numPr>
                <w:ilvl w:val="0"/>
                <w:numId w:val="10"/>
              </w:numPr>
              <w:spacing w:after="0" w:line="240" w:lineRule="auto"/>
              <w:ind w:left="193" w:hanging="218"/>
              <w:rPr>
                <w:sz w:val="18"/>
                <w:szCs w:val="18"/>
              </w:rPr>
            </w:pPr>
            <w:r>
              <w:rPr>
                <w:sz w:val="18"/>
                <w:szCs w:val="18"/>
              </w:rPr>
              <w:t>T</w:t>
            </w:r>
            <w:r w:rsidRPr="007A422E">
              <w:rPr>
                <w:sz w:val="18"/>
                <w:szCs w:val="18"/>
              </w:rPr>
              <w:t>eacher registration study examining barriers and enablers for male and female teachers finalised, presented to the NDoE Secretary and TMT. This study led to the review of the Education Act</w:t>
            </w:r>
            <w:r>
              <w:rPr>
                <w:sz w:val="18"/>
                <w:szCs w:val="18"/>
              </w:rPr>
              <w:t xml:space="preserve"> and reinforced the </w:t>
            </w:r>
            <w:r w:rsidRPr="007A422E">
              <w:rPr>
                <w:sz w:val="18"/>
                <w:szCs w:val="18"/>
              </w:rPr>
              <w:t>need for an integrated Teacher Information Management System (TIMS) and updated Education Management Information System (EMIS)</w:t>
            </w:r>
          </w:p>
          <w:p w14:paraId="157B2259" w14:textId="77777777" w:rsidR="00A90444" w:rsidRDefault="00A90444" w:rsidP="00E34352">
            <w:pPr>
              <w:pStyle w:val="ListParagraph"/>
              <w:widowControl w:val="0"/>
              <w:numPr>
                <w:ilvl w:val="0"/>
                <w:numId w:val="10"/>
              </w:numPr>
              <w:spacing w:after="0" w:line="240" w:lineRule="auto"/>
              <w:ind w:left="193" w:hanging="218"/>
              <w:rPr>
                <w:sz w:val="18"/>
                <w:szCs w:val="18"/>
              </w:rPr>
            </w:pPr>
            <w:r>
              <w:rPr>
                <w:sz w:val="18"/>
                <w:szCs w:val="18"/>
              </w:rPr>
              <w:t xml:space="preserve">Supported the </w:t>
            </w:r>
            <w:r w:rsidRPr="00802ECC">
              <w:rPr>
                <w:sz w:val="18"/>
                <w:szCs w:val="18"/>
              </w:rPr>
              <w:t>Teacher Registration and Professional Development Division</w:t>
            </w:r>
            <w:r>
              <w:rPr>
                <w:sz w:val="18"/>
                <w:szCs w:val="18"/>
              </w:rPr>
              <w:t xml:space="preserve"> to draft the </w:t>
            </w:r>
            <w:r w:rsidRPr="00802ECC">
              <w:rPr>
                <w:sz w:val="18"/>
                <w:szCs w:val="18"/>
              </w:rPr>
              <w:t>Teacher Professional Development Policy and results framework</w:t>
            </w:r>
          </w:p>
          <w:p w14:paraId="7BFDB493" w14:textId="7C413391" w:rsidR="00A90444" w:rsidRPr="00434A3D" w:rsidRDefault="00A90444" w:rsidP="00E34352">
            <w:pPr>
              <w:pStyle w:val="ListParagraph"/>
              <w:widowControl w:val="0"/>
              <w:numPr>
                <w:ilvl w:val="0"/>
                <w:numId w:val="10"/>
              </w:numPr>
              <w:spacing w:after="0" w:line="240" w:lineRule="auto"/>
              <w:ind w:left="193" w:hanging="218"/>
              <w:rPr>
                <w:sz w:val="18"/>
                <w:szCs w:val="18"/>
              </w:rPr>
            </w:pPr>
            <w:r w:rsidRPr="0065260C">
              <w:rPr>
                <w:sz w:val="18"/>
                <w:szCs w:val="18"/>
              </w:rPr>
              <w:t>Home learning packs distributed to 32530 students in Enga</w:t>
            </w:r>
            <w:r w:rsidRPr="005D51CD">
              <w:rPr>
                <w:sz w:val="18"/>
                <w:szCs w:val="18"/>
              </w:rPr>
              <w:t>.</w:t>
            </w:r>
          </w:p>
        </w:tc>
        <w:tc>
          <w:tcPr>
            <w:tcW w:w="3544" w:type="dxa"/>
            <w:shd w:val="clear" w:color="auto" w:fill="D9D9D9" w:themeFill="background1" w:themeFillShade="D9"/>
          </w:tcPr>
          <w:p w14:paraId="1C920FB1" w14:textId="516D863C" w:rsidR="00A90444" w:rsidRDefault="00A90444" w:rsidP="00400AC0">
            <w:pPr>
              <w:pStyle w:val="ListParagraph"/>
              <w:widowControl w:val="0"/>
              <w:numPr>
                <w:ilvl w:val="0"/>
                <w:numId w:val="10"/>
              </w:numPr>
              <w:spacing w:after="0" w:line="240" w:lineRule="auto"/>
              <w:ind w:left="193" w:hanging="218"/>
              <w:rPr>
                <w:sz w:val="18"/>
                <w:szCs w:val="18"/>
              </w:rPr>
            </w:pPr>
            <w:r>
              <w:rPr>
                <w:sz w:val="18"/>
                <w:szCs w:val="18"/>
              </w:rPr>
              <w:t>F</w:t>
            </w:r>
            <w:r w:rsidRPr="00400AC0">
              <w:rPr>
                <w:sz w:val="18"/>
                <w:szCs w:val="18"/>
              </w:rPr>
              <w:t>irst milestone for the integrated data management system to enable streamlining of teacher management completed following extensive consultation across the NDo</w:t>
            </w:r>
            <w:r>
              <w:rPr>
                <w:sz w:val="18"/>
                <w:szCs w:val="18"/>
              </w:rPr>
              <w:t>E</w:t>
            </w:r>
          </w:p>
          <w:p w14:paraId="74C5DD78" w14:textId="71C38DBA" w:rsidR="00A90444" w:rsidRDefault="00A90444" w:rsidP="00400AC0">
            <w:pPr>
              <w:pStyle w:val="ListParagraph"/>
              <w:widowControl w:val="0"/>
              <w:numPr>
                <w:ilvl w:val="0"/>
                <w:numId w:val="10"/>
              </w:numPr>
              <w:spacing w:after="0" w:line="240" w:lineRule="auto"/>
              <w:ind w:left="193" w:hanging="218"/>
              <w:rPr>
                <w:sz w:val="18"/>
                <w:szCs w:val="18"/>
              </w:rPr>
            </w:pPr>
            <w:r w:rsidRPr="002F5CD2">
              <w:rPr>
                <w:sz w:val="18"/>
                <w:szCs w:val="18"/>
              </w:rPr>
              <w:t>Teacher Professional Development Policy, implementation guidelines and results framework developed</w:t>
            </w:r>
          </w:p>
          <w:p w14:paraId="20180173" w14:textId="762101EB" w:rsidR="00A90444" w:rsidRDefault="00A90444" w:rsidP="00400AC0">
            <w:pPr>
              <w:pStyle w:val="ListParagraph"/>
              <w:widowControl w:val="0"/>
              <w:numPr>
                <w:ilvl w:val="0"/>
                <w:numId w:val="10"/>
              </w:numPr>
              <w:spacing w:after="0" w:line="240" w:lineRule="auto"/>
              <w:ind w:left="193" w:hanging="218"/>
              <w:rPr>
                <w:sz w:val="18"/>
                <w:szCs w:val="18"/>
              </w:rPr>
            </w:pPr>
            <w:r w:rsidRPr="00A5280E">
              <w:rPr>
                <w:sz w:val="18"/>
                <w:szCs w:val="18"/>
              </w:rPr>
              <w:t>Representation at IFTRA in Brisbane, QLD and presentation on the Teacher Registration Study</w:t>
            </w:r>
          </w:p>
          <w:p w14:paraId="4F0552CE" w14:textId="16775D41" w:rsidR="00A90444" w:rsidRPr="00434A3D" w:rsidRDefault="00A90444" w:rsidP="00400AC0">
            <w:pPr>
              <w:pStyle w:val="ListParagraph"/>
              <w:widowControl w:val="0"/>
              <w:numPr>
                <w:ilvl w:val="0"/>
                <w:numId w:val="10"/>
              </w:numPr>
              <w:spacing w:after="0" w:line="240" w:lineRule="auto"/>
              <w:ind w:left="193" w:hanging="218"/>
              <w:rPr>
                <w:sz w:val="18"/>
                <w:szCs w:val="18"/>
              </w:rPr>
            </w:pPr>
            <w:r w:rsidRPr="0065260C">
              <w:rPr>
                <w:sz w:val="18"/>
                <w:szCs w:val="18"/>
              </w:rPr>
              <w:t>Home learning packs distributed to 1296 students (F:544) in Enga</w:t>
            </w:r>
          </w:p>
        </w:tc>
      </w:tr>
      <w:tr w:rsidR="00A90444" w:rsidRPr="00434A3D" w14:paraId="3B36DB0E" w14:textId="0B93B7F0" w:rsidTr="00A90444">
        <w:trPr>
          <w:cantSplit/>
          <w:trHeight w:val="1134"/>
        </w:trPr>
        <w:tc>
          <w:tcPr>
            <w:tcW w:w="2268" w:type="dxa"/>
            <w:tcMar>
              <w:top w:w="100" w:type="dxa"/>
              <w:left w:w="100" w:type="dxa"/>
              <w:bottom w:w="100" w:type="dxa"/>
              <w:right w:w="100" w:type="dxa"/>
            </w:tcMar>
            <w:vAlign w:val="center"/>
          </w:tcPr>
          <w:p w14:paraId="4C95049A" w14:textId="2F9A2654" w:rsidR="00A90444" w:rsidRPr="00A90444" w:rsidRDefault="00A90444" w:rsidP="004412D6">
            <w:pPr>
              <w:widowControl w:val="0"/>
              <w:spacing w:after="0" w:line="240" w:lineRule="auto"/>
              <w:rPr>
                <w:b/>
                <w:sz w:val="18"/>
                <w:szCs w:val="18"/>
                <w:u w:val="single"/>
              </w:rPr>
            </w:pPr>
            <w:r w:rsidRPr="00A90444">
              <w:rPr>
                <w:b/>
                <w:sz w:val="18"/>
                <w:szCs w:val="18"/>
                <w:u w:val="single"/>
              </w:rPr>
              <w:t>EOIO 3</w:t>
            </w:r>
          </w:p>
          <w:p w14:paraId="2B200803" w14:textId="075114BB" w:rsidR="00A90444" w:rsidRPr="00434A3D" w:rsidRDefault="00A90444" w:rsidP="004412D6">
            <w:pPr>
              <w:widowControl w:val="0"/>
              <w:spacing w:after="0" w:line="240" w:lineRule="auto"/>
              <w:rPr>
                <w:b/>
                <w:sz w:val="18"/>
                <w:szCs w:val="18"/>
              </w:rPr>
            </w:pPr>
            <w:r w:rsidRPr="00434A3D">
              <w:rPr>
                <w:b/>
                <w:sz w:val="18"/>
                <w:szCs w:val="18"/>
              </w:rPr>
              <w:t>Improved school management</w:t>
            </w:r>
            <w:r>
              <w:rPr>
                <w:b/>
                <w:sz w:val="18"/>
                <w:szCs w:val="18"/>
              </w:rPr>
              <w:t xml:space="preserve"> - </w:t>
            </w:r>
            <w:r w:rsidRPr="00F46593">
              <w:rPr>
                <w:bCs/>
                <w:sz w:val="18"/>
                <w:szCs w:val="18"/>
              </w:rPr>
              <w:t>a</w:t>
            </w:r>
            <w:r w:rsidRPr="00434A3D">
              <w:rPr>
                <w:sz w:val="18"/>
                <w:szCs w:val="18"/>
              </w:rPr>
              <w:t>ims to enhance governance within schools. This includes updating policies, frameworks, and procedures related to curriculum planning, inclusive education, disability support, GEDSI policies, and teacher codes of conduct.</w:t>
            </w:r>
          </w:p>
        </w:tc>
        <w:tc>
          <w:tcPr>
            <w:tcW w:w="3543" w:type="dxa"/>
          </w:tcPr>
          <w:p w14:paraId="2068B012" w14:textId="77777777" w:rsidR="00A90444" w:rsidRDefault="00A90444" w:rsidP="00E34352">
            <w:pPr>
              <w:pStyle w:val="ListParagraph"/>
              <w:widowControl w:val="0"/>
              <w:numPr>
                <w:ilvl w:val="0"/>
                <w:numId w:val="10"/>
              </w:numPr>
              <w:spacing w:after="0" w:line="240" w:lineRule="auto"/>
              <w:ind w:left="193" w:hanging="218"/>
              <w:rPr>
                <w:sz w:val="18"/>
                <w:szCs w:val="18"/>
              </w:rPr>
            </w:pPr>
            <w:r w:rsidRPr="00E34352">
              <w:rPr>
                <w:sz w:val="18"/>
                <w:szCs w:val="18"/>
              </w:rPr>
              <w:t>Policy, results framework and implementation guide</w:t>
            </w:r>
            <w:r>
              <w:rPr>
                <w:sz w:val="18"/>
                <w:szCs w:val="18"/>
              </w:rPr>
              <w:t xml:space="preserve"> developed for:</w:t>
            </w:r>
          </w:p>
          <w:p w14:paraId="69E22AE3" w14:textId="77777777" w:rsidR="00A90444" w:rsidRDefault="00A90444" w:rsidP="00E34352">
            <w:pPr>
              <w:pStyle w:val="ListParagraph"/>
              <w:widowControl w:val="0"/>
              <w:numPr>
                <w:ilvl w:val="1"/>
                <w:numId w:val="10"/>
              </w:numPr>
              <w:spacing w:after="0" w:line="240" w:lineRule="auto"/>
              <w:ind w:left="335" w:hanging="142"/>
              <w:rPr>
                <w:sz w:val="18"/>
                <w:szCs w:val="18"/>
              </w:rPr>
            </w:pPr>
            <w:r>
              <w:rPr>
                <w:sz w:val="18"/>
                <w:szCs w:val="18"/>
              </w:rPr>
              <w:t>Gender equality and social inclusion (GESI)</w:t>
            </w:r>
          </w:p>
          <w:p w14:paraId="29514A0A" w14:textId="77777777" w:rsidR="00A90444" w:rsidRDefault="00A90444" w:rsidP="00E34352">
            <w:pPr>
              <w:pStyle w:val="ListParagraph"/>
              <w:widowControl w:val="0"/>
              <w:numPr>
                <w:ilvl w:val="1"/>
                <w:numId w:val="10"/>
              </w:numPr>
              <w:spacing w:after="0" w:line="240" w:lineRule="auto"/>
              <w:ind w:left="335" w:hanging="142"/>
              <w:rPr>
                <w:sz w:val="18"/>
                <w:szCs w:val="18"/>
              </w:rPr>
            </w:pPr>
            <w:r>
              <w:rPr>
                <w:sz w:val="18"/>
                <w:szCs w:val="18"/>
              </w:rPr>
              <w:t>Inclusive Education</w:t>
            </w:r>
          </w:p>
          <w:p w14:paraId="4124898A" w14:textId="67705751" w:rsidR="00A90444" w:rsidRDefault="00A90444" w:rsidP="00E34352">
            <w:pPr>
              <w:pStyle w:val="ListParagraph"/>
              <w:widowControl w:val="0"/>
              <w:numPr>
                <w:ilvl w:val="1"/>
                <w:numId w:val="10"/>
              </w:numPr>
              <w:spacing w:after="0" w:line="240" w:lineRule="auto"/>
              <w:ind w:left="335" w:hanging="142"/>
              <w:rPr>
                <w:sz w:val="18"/>
                <w:szCs w:val="18"/>
              </w:rPr>
            </w:pPr>
            <w:r>
              <w:rPr>
                <w:sz w:val="18"/>
                <w:szCs w:val="18"/>
              </w:rPr>
              <w:t>School learning and improvement plan (SLIP).</w:t>
            </w:r>
          </w:p>
          <w:p w14:paraId="2B5A45C7" w14:textId="30BF3806" w:rsidR="00A90444" w:rsidRDefault="00A90444" w:rsidP="005643CF">
            <w:pPr>
              <w:pStyle w:val="ListParagraph"/>
              <w:widowControl w:val="0"/>
              <w:numPr>
                <w:ilvl w:val="0"/>
                <w:numId w:val="10"/>
              </w:numPr>
              <w:spacing w:after="0" w:line="240" w:lineRule="auto"/>
              <w:ind w:left="193" w:hanging="218"/>
              <w:rPr>
                <w:sz w:val="18"/>
                <w:szCs w:val="18"/>
              </w:rPr>
            </w:pPr>
            <w:r>
              <w:rPr>
                <w:sz w:val="18"/>
                <w:szCs w:val="18"/>
              </w:rPr>
              <w:t>Established GEDSI Technical Working Group</w:t>
            </w:r>
          </w:p>
          <w:p w14:paraId="42FB45CA" w14:textId="7CF6C57F" w:rsidR="00A90444" w:rsidRPr="00751C37" w:rsidRDefault="00A90444" w:rsidP="005643CF">
            <w:pPr>
              <w:pStyle w:val="ListParagraph"/>
              <w:widowControl w:val="0"/>
              <w:numPr>
                <w:ilvl w:val="0"/>
                <w:numId w:val="10"/>
              </w:numPr>
              <w:spacing w:after="0" w:line="240" w:lineRule="auto"/>
              <w:ind w:left="193" w:hanging="218"/>
              <w:rPr>
                <w:sz w:val="18"/>
                <w:szCs w:val="18"/>
              </w:rPr>
            </w:pPr>
            <w:r w:rsidRPr="00751C37">
              <w:rPr>
                <w:sz w:val="18"/>
                <w:szCs w:val="18"/>
              </w:rPr>
              <w:t xml:space="preserve">Support </w:t>
            </w:r>
            <w:r>
              <w:rPr>
                <w:sz w:val="18"/>
                <w:szCs w:val="18"/>
              </w:rPr>
              <w:t xml:space="preserve">for </w:t>
            </w:r>
            <w:r w:rsidRPr="00751C37">
              <w:rPr>
                <w:sz w:val="18"/>
                <w:szCs w:val="18"/>
              </w:rPr>
              <w:t xml:space="preserve">review of the Central Province Education Act </w:t>
            </w:r>
          </w:p>
          <w:p w14:paraId="3CB129A1" w14:textId="22038D5A" w:rsidR="00A90444" w:rsidRPr="00751C37" w:rsidRDefault="00A90444" w:rsidP="005643CF">
            <w:pPr>
              <w:pStyle w:val="ListParagraph"/>
              <w:widowControl w:val="0"/>
              <w:numPr>
                <w:ilvl w:val="0"/>
                <w:numId w:val="10"/>
              </w:numPr>
              <w:spacing w:after="0" w:line="240" w:lineRule="auto"/>
              <w:ind w:left="193" w:hanging="218"/>
              <w:rPr>
                <w:sz w:val="18"/>
                <w:szCs w:val="18"/>
              </w:rPr>
            </w:pPr>
            <w:r w:rsidRPr="00751C37">
              <w:rPr>
                <w:sz w:val="18"/>
                <w:szCs w:val="18"/>
              </w:rPr>
              <w:t>Support</w:t>
            </w:r>
            <w:r>
              <w:rPr>
                <w:sz w:val="18"/>
                <w:szCs w:val="18"/>
              </w:rPr>
              <w:t xml:space="preserve"> for </w:t>
            </w:r>
            <w:r w:rsidRPr="00751C37">
              <w:rPr>
                <w:sz w:val="18"/>
                <w:szCs w:val="18"/>
              </w:rPr>
              <w:t xml:space="preserve">review of the National Education Act </w:t>
            </w:r>
          </w:p>
          <w:p w14:paraId="2503D762" w14:textId="74A564C0" w:rsidR="00A90444" w:rsidRDefault="00A90444" w:rsidP="003A04ED">
            <w:pPr>
              <w:pStyle w:val="ListParagraph"/>
              <w:widowControl w:val="0"/>
              <w:numPr>
                <w:ilvl w:val="0"/>
                <w:numId w:val="10"/>
              </w:numPr>
              <w:spacing w:after="0" w:line="240" w:lineRule="auto"/>
              <w:ind w:left="193" w:hanging="218"/>
              <w:rPr>
                <w:sz w:val="18"/>
                <w:szCs w:val="18"/>
              </w:rPr>
            </w:pPr>
            <w:r w:rsidRPr="007C0881">
              <w:rPr>
                <w:sz w:val="18"/>
                <w:szCs w:val="18"/>
              </w:rPr>
              <w:t xml:space="preserve">PEIPs </w:t>
            </w:r>
            <w:r>
              <w:rPr>
                <w:sz w:val="18"/>
                <w:szCs w:val="18"/>
              </w:rPr>
              <w:t>completed and d</w:t>
            </w:r>
            <w:r w:rsidRPr="007C0881">
              <w:rPr>
                <w:sz w:val="18"/>
                <w:szCs w:val="18"/>
              </w:rPr>
              <w:t>elivered for Enga, Sandaun and Central</w:t>
            </w:r>
          </w:p>
          <w:p w14:paraId="7585A2D7" w14:textId="7D52850A" w:rsidR="00A90444" w:rsidRDefault="00A90444" w:rsidP="003A04ED">
            <w:pPr>
              <w:pStyle w:val="ListParagraph"/>
              <w:widowControl w:val="0"/>
              <w:numPr>
                <w:ilvl w:val="0"/>
                <w:numId w:val="10"/>
              </w:numPr>
              <w:spacing w:after="0" w:line="240" w:lineRule="auto"/>
              <w:ind w:left="193" w:hanging="218"/>
              <w:rPr>
                <w:sz w:val="18"/>
                <w:szCs w:val="18"/>
              </w:rPr>
            </w:pPr>
            <w:r w:rsidRPr="003A04ED">
              <w:rPr>
                <w:sz w:val="18"/>
                <w:szCs w:val="18"/>
              </w:rPr>
              <w:t xml:space="preserve">School Inspections Division induction manual and training guide finalised and delivered to 255 inspectors across four </w:t>
            </w:r>
            <w:r>
              <w:rPr>
                <w:sz w:val="18"/>
                <w:szCs w:val="18"/>
              </w:rPr>
              <w:t xml:space="preserve">PNG </w:t>
            </w:r>
            <w:r w:rsidRPr="003A04ED">
              <w:rPr>
                <w:sz w:val="18"/>
                <w:szCs w:val="18"/>
              </w:rPr>
              <w:t>regions</w:t>
            </w:r>
          </w:p>
          <w:p w14:paraId="697B786E" w14:textId="77777777" w:rsidR="00A90444" w:rsidRDefault="00A90444" w:rsidP="003A04ED">
            <w:pPr>
              <w:pStyle w:val="ListParagraph"/>
              <w:widowControl w:val="0"/>
              <w:numPr>
                <w:ilvl w:val="0"/>
                <w:numId w:val="10"/>
              </w:numPr>
              <w:spacing w:after="0" w:line="240" w:lineRule="auto"/>
              <w:ind w:left="193" w:hanging="218"/>
              <w:rPr>
                <w:sz w:val="18"/>
                <w:szCs w:val="18"/>
              </w:rPr>
            </w:pPr>
            <w:r>
              <w:rPr>
                <w:sz w:val="18"/>
                <w:szCs w:val="18"/>
              </w:rPr>
              <w:t>F</w:t>
            </w:r>
            <w:r w:rsidRPr="00BA17D3">
              <w:rPr>
                <w:sz w:val="18"/>
                <w:szCs w:val="18"/>
              </w:rPr>
              <w:t xml:space="preserve">acilitated distribution, collection, and entry of 1,441 early grade school census data forms (78% of early grade schools in PIE </w:t>
            </w:r>
            <w:r>
              <w:rPr>
                <w:sz w:val="18"/>
                <w:szCs w:val="18"/>
              </w:rPr>
              <w:t>provinces</w:t>
            </w:r>
            <w:r w:rsidRPr="00BA17D3">
              <w:rPr>
                <w:sz w:val="18"/>
                <w:szCs w:val="18"/>
              </w:rPr>
              <w:t>)</w:t>
            </w:r>
          </w:p>
          <w:p w14:paraId="35E75DC5" w14:textId="2AE012C0" w:rsidR="00A90444" w:rsidRPr="002B3F90" w:rsidRDefault="00A90444" w:rsidP="003A04ED">
            <w:pPr>
              <w:pStyle w:val="ListParagraph"/>
              <w:widowControl w:val="0"/>
              <w:numPr>
                <w:ilvl w:val="0"/>
                <w:numId w:val="10"/>
              </w:numPr>
              <w:spacing w:after="0" w:line="240" w:lineRule="auto"/>
              <w:ind w:left="193" w:hanging="218"/>
              <w:rPr>
                <w:sz w:val="18"/>
                <w:szCs w:val="18"/>
              </w:rPr>
            </w:pPr>
            <w:r w:rsidRPr="00F85CC9">
              <w:rPr>
                <w:sz w:val="18"/>
                <w:szCs w:val="18"/>
              </w:rPr>
              <w:t xml:space="preserve">Digital skills training and resource assistance to improve data management and planning </w:t>
            </w:r>
            <w:r>
              <w:rPr>
                <w:sz w:val="18"/>
                <w:szCs w:val="18"/>
              </w:rPr>
              <w:t xml:space="preserve">provided to </w:t>
            </w:r>
            <w:r w:rsidRPr="00F85CC9">
              <w:rPr>
                <w:sz w:val="18"/>
                <w:szCs w:val="18"/>
              </w:rPr>
              <w:t>54 (F:9) PDoE</w:t>
            </w:r>
            <w:r>
              <w:rPr>
                <w:sz w:val="18"/>
                <w:szCs w:val="18"/>
              </w:rPr>
              <w:t xml:space="preserve"> and B</w:t>
            </w:r>
            <w:r w:rsidRPr="00F85CC9">
              <w:rPr>
                <w:sz w:val="18"/>
                <w:szCs w:val="18"/>
              </w:rPr>
              <w:t>DoE officers</w:t>
            </w:r>
          </w:p>
        </w:tc>
        <w:tc>
          <w:tcPr>
            <w:tcW w:w="3544" w:type="dxa"/>
          </w:tcPr>
          <w:p w14:paraId="652DAA8C" w14:textId="77777777" w:rsidR="00A90444" w:rsidRDefault="00A90444" w:rsidP="0030621A">
            <w:pPr>
              <w:pStyle w:val="ListParagraph"/>
              <w:widowControl w:val="0"/>
              <w:numPr>
                <w:ilvl w:val="0"/>
                <w:numId w:val="10"/>
              </w:numPr>
              <w:spacing w:after="0" w:line="240" w:lineRule="auto"/>
              <w:ind w:left="193" w:hanging="218"/>
              <w:rPr>
                <w:sz w:val="18"/>
                <w:szCs w:val="18"/>
              </w:rPr>
            </w:pPr>
            <w:r w:rsidRPr="00E34352">
              <w:rPr>
                <w:sz w:val="18"/>
                <w:szCs w:val="18"/>
              </w:rPr>
              <w:t>Policy, results framework and implementation guide</w:t>
            </w:r>
            <w:r>
              <w:rPr>
                <w:sz w:val="18"/>
                <w:szCs w:val="18"/>
              </w:rPr>
              <w:t xml:space="preserve"> developed for:</w:t>
            </w:r>
          </w:p>
          <w:p w14:paraId="5CA2A234" w14:textId="2F8CF38B" w:rsidR="00A90444" w:rsidRDefault="00A90444" w:rsidP="00E56F54">
            <w:pPr>
              <w:pStyle w:val="ListParagraph"/>
              <w:widowControl w:val="0"/>
              <w:numPr>
                <w:ilvl w:val="1"/>
                <w:numId w:val="10"/>
              </w:numPr>
              <w:spacing w:after="0" w:line="240" w:lineRule="auto"/>
              <w:ind w:left="335" w:hanging="142"/>
              <w:rPr>
                <w:sz w:val="18"/>
                <w:szCs w:val="18"/>
              </w:rPr>
            </w:pPr>
            <w:r>
              <w:rPr>
                <w:sz w:val="18"/>
                <w:szCs w:val="18"/>
              </w:rPr>
              <w:t>School registration</w:t>
            </w:r>
          </w:p>
          <w:p w14:paraId="24D4D41B" w14:textId="7F749C24" w:rsidR="00A90444" w:rsidRPr="00E56F54" w:rsidRDefault="00A90444" w:rsidP="00E56F54">
            <w:pPr>
              <w:pStyle w:val="ListParagraph"/>
              <w:widowControl w:val="0"/>
              <w:numPr>
                <w:ilvl w:val="1"/>
                <w:numId w:val="10"/>
              </w:numPr>
              <w:spacing w:after="0" w:line="240" w:lineRule="auto"/>
              <w:ind w:left="335" w:hanging="142"/>
              <w:rPr>
                <w:sz w:val="18"/>
                <w:szCs w:val="18"/>
              </w:rPr>
            </w:pPr>
            <w:r>
              <w:rPr>
                <w:sz w:val="18"/>
                <w:szCs w:val="18"/>
              </w:rPr>
              <w:t>School health (v.0)</w:t>
            </w:r>
          </w:p>
          <w:p w14:paraId="1114459D" w14:textId="61C6DE8C" w:rsidR="00A90444" w:rsidRDefault="00A90444" w:rsidP="0030621A">
            <w:pPr>
              <w:pStyle w:val="ListParagraph"/>
              <w:widowControl w:val="0"/>
              <w:numPr>
                <w:ilvl w:val="0"/>
                <w:numId w:val="10"/>
              </w:numPr>
              <w:spacing w:after="0" w:line="240" w:lineRule="auto"/>
              <w:ind w:left="193" w:hanging="218"/>
              <w:rPr>
                <w:sz w:val="18"/>
                <w:szCs w:val="18"/>
              </w:rPr>
            </w:pPr>
            <w:r w:rsidRPr="00257B02">
              <w:rPr>
                <w:sz w:val="18"/>
                <w:szCs w:val="18"/>
              </w:rPr>
              <w:t>S</w:t>
            </w:r>
            <w:r>
              <w:rPr>
                <w:sz w:val="18"/>
                <w:szCs w:val="18"/>
              </w:rPr>
              <w:t xml:space="preserve">LIP </w:t>
            </w:r>
            <w:r w:rsidRPr="00257B02">
              <w:rPr>
                <w:sz w:val="18"/>
                <w:szCs w:val="18"/>
              </w:rPr>
              <w:t xml:space="preserve">Policy, results framework and implementation guide approved by the Top Management Team and endorsed </w:t>
            </w:r>
          </w:p>
          <w:p w14:paraId="0ADBAC07" w14:textId="25547BE6" w:rsidR="00A90444" w:rsidRDefault="00A90444" w:rsidP="002949C8">
            <w:pPr>
              <w:pStyle w:val="ListParagraph"/>
              <w:widowControl w:val="0"/>
              <w:numPr>
                <w:ilvl w:val="0"/>
                <w:numId w:val="10"/>
              </w:numPr>
              <w:spacing w:after="0" w:line="240" w:lineRule="auto"/>
              <w:ind w:left="193" w:hanging="218"/>
              <w:rPr>
                <w:sz w:val="18"/>
                <w:szCs w:val="18"/>
              </w:rPr>
            </w:pPr>
            <w:r>
              <w:rPr>
                <w:sz w:val="18"/>
                <w:szCs w:val="18"/>
              </w:rPr>
              <w:t>D</w:t>
            </w:r>
            <w:r w:rsidRPr="002949C8">
              <w:rPr>
                <w:sz w:val="18"/>
                <w:szCs w:val="18"/>
              </w:rPr>
              <w:t>igital skills training and resource assistance to improve data management and planning reached 114 (</w:t>
            </w:r>
            <w:r>
              <w:rPr>
                <w:sz w:val="18"/>
                <w:szCs w:val="18"/>
              </w:rPr>
              <w:t>F:</w:t>
            </w:r>
            <w:r w:rsidRPr="002949C8">
              <w:rPr>
                <w:sz w:val="18"/>
                <w:szCs w:val="18"/>
              </w:rPr>
              <w:t>30) PDoE and BDoE officers</w:t>
            </w:r>
          </w:p>
          <w:p w14:paraId="39A2D3CC" w14:textId="3521F4A2" w:rsidR="00A90444" w:rsidRDefault="00A90444" w:rsidP="002949C8">
            <w:pPr>
              <w:pStyle w:val="ListParagraph"/>
              <w:widowControl w:val="0"/>
              <w:numPr>
                <w:ilvl w:val="0"/>
                <w:numId w:val="10"/>
              </w:numPr>
              <w:spacing w:after="0" w:line="240" w:lineRule="auto"/>
              <w:ind w:left="193" w:hanging="218"/>
              <w:rPr>
                <w:sz w:val="18"/>
                <w:szCs w:val="18"/>
              </w:rPr>
            </w:pPr>
            <w:r>
              <w:rPr>
                <w:sz w:val="18"/>
                <w:szCs w:val="18"/>
              </w:rPr>
              <w:t>School-based assessment survey conducted – report and data to inform National assessment and reporting policy</w:t>
            </w:r>
          </w:p>
          <w:p w14:paraId="0BDA9CD1" w14:textId="72B2A8AA" w:rsidR="00A90444" w:rsidRDefault="00A90444" w:rsidP="002949C8">
            <w:pPr>
              <w:pStyle w:val="ListParagraph"/>
              <w:widowControl w:val="0"/>
              <w:numPr>
                <w:ilvl w:val="0"/>
                <w:numId w:val="10"/>
              </w:numPr>
              <w:spacing w:after="0" w:line="240" w:lineRule="auto"/>
              <w:ind w:left="193" w:hanging="218"/>
              <w:rPr>
                <w:sz w:val="18"/>
                <w:szCs w:val="18"/>
              </w:rPr>
            </w:pPr>
            <w:r>
              <w:rPr>
                <w:sz w:val="18"/>
                <w:szCs w:val="18"/>
              </w:rPr>
              <w:t>Human resource data collection for 4 provinces</w:t>
            </w:r>
          </w:p>
          <w:p w14:paraId="357F2DE4" w14:textId="77777777" w:rsidR="00A90444" w:rsidRDefault="00A90444" w:rsidP="002949C8">
            <w:pPr>
              <w:pStyle w:val="ListParagraph"/>
              <w:widowControl w:val="0"/>
              <w:numPr>
                <w:ilvl w:val="0"/>
                <w:numId w:val="10"/>
              </w:numPr>
              <w:spacing w:after="0" w:line="240" w:lineRule="auto"/>
              <w:ind w:left="193" w:hanging="218"/>
              <w:rPr>
                <w:sz w:val="18"/>
                <w:szCs w:val="18"/>
              </w:rPr>
            </w:pPr>
            <w:r w:rsidRPr="00D23144">
              <w:rPr>
                <w:sz w:val="18"/>
                <w:szCs w:val="18"/>
              </w:rPr>
              <w:t xml:space="preserve">Support </w:t>
            </w:r>
            <w:r>
              <w:rPr>
                <w:sz w:val="18"/>
                <w:szCs w:val="18"/>
              </w:rPr>
              <w:t xml:space="preserve">for </w:t>
            </w:r>
            <w:r w:rsidRPr="00D23144">
              <w:rPr>
                <w:sz w:val="18"/>
                <w:szCs w:val="18"/>
              </w:rPr>
              <w:t>review of the Bougainville Education Act and broader legislative framework supporting the Bougainville Department of Education</w:t>
            </w:r>
          </w:p>
          <w:p w14:paraId="3D043134" w14:textId="35485C8E" w:rsidR="00A90444" w:rsidRPr="00434A3D" w:rsidRDefault="00A90444" w:rsidP="002949C8">
            <w:pPr>
              <w:pStyle w:val="ListParagraph"/>
              <w:widowControl w:val="0"/>
              <w:numPr>
                <w:ilvl w:val="0"/>
                <w:numId w:val="10"/>
              </w:numPr>
              <w:spacing w:after="0" w:line="240" w:lineRule="auto"/>
              <w:ind w:left="193" w:hanging="218"/>
              <w:rPr>
                <w:sz w:val="18"/>
                <w:szCs w:val="18"/>
              </w:rPr>
            </w:pPr>
            <w:r>
              <w:rPr>
                <w:sz w:val="18"/>
                <w:szCs w:val="18"/>
              </w:rPr>
              <w:t xml:space="preserve">Following advice from PIE, </w:t>
            </w:r>
            <w:r w:rsidRPr="00372819">
              <w:rPr>
                <w:sz w:val="18"/>
                <w:szCs w:val="18"/>
              </w:rPr>
              <w:t>NDoE have confirmed that the development of the Teaching Standards Framework will be gender-responsive and disability inclusive</w:t>
            </w:r>
          </w:p>
        </w:tc>
      </w:tr>
      <w:tr w:rsidR="00A90444" w:rsidRPr="00434A3D" w14:paraId="03207861" w14:textId="77777777" w:rsidTr="00A90444">
        <w:trPr>
          <w:cantSplit/>
          <w:trHeight w:val="1134"/>
        </w:trPr>
        <w:tc>
          <w:tcPr>
            <w:tcW w:w="2268" w:type="dxa"/>
            <w:tcMar>
              <w:top w:w="100" w:type="dxa"/>
              <w:left w:w="100" w:type="dxa"/>
              <w:bottom w:w="100" w:type="dxa"/>
              <w:right w:w="100" w:type="dxa"/>
            </w:tcMar>
            <w:vAlign w:val="center"/>
          </w:tcPr>
          <w:p w14:paraId="6CBECD10" w14:textId="77777777" w:rsidR="00A90444" w:rsidRPr="00A90444" w:rsidRDefault="00A90444" w:rsidP="00A90444">
            <w:pPr>
              <w:widowControl w:val="0"/>
              <w:spacing w:after="0" w:line="240" w:lineRule="auto"/>
              <w:rPr>
                <w:b/>
                <w:sz w:val="18"/>
                <w:szCs w:val="18"/>
                <w:u w:val="single"/>
              </w:rPr>
            </w:pPr>
            <w:r w:rsidRPr="00A90444">
              <w:rPr>
                <w:b/>
                <w:sz w:val="18"/>
                <w:szCs w:val="18"/>
                <w:u w:val="single"/>
              </w:rPr>
              <w:t>EOIO 3</w:t>
            </w:r>
          </w:p>
          <w:p w14:paraId="55B06FD3" w14:textId="68A70895" w:rsidR="00A90444" w:rsidRDefault="00A90444" w:rsidP="004412D6">
            <w:pPr>
              <w:widowControl w:val="0"/>
              <w:spacing w:after="0" w:line="240" w:lineRule="auto"/>
              <w:rPr>
                <w:b/>
                <w:sz w:val="18"/>
                <w:szCs w:val="18"/>
              </w:rPr>
            </w:pPr>
          </w:p>
          <w:p w14:paraId="399266B9" w14:textId="38D16F87" w:rsidR="00A90444" w:rsidRPr="00434A3D" w:rsidRDefault="00A90444" w:rsidP="004412D6">
            <w:pPr>
              <w:widowControl w:val="0"/>
              <w:spacing w:after="0" w:line="240" w:lineRule="auto"/>
              <w:rPr>
                <w:b/>
                <w:sz w:val="18"/>
                <w:szCs w:val="18"/>
              </w:rPr>
            </w:pPr>
            <w:r>
              <w:rPr>
                <w:b/>
                <w:sz w:val="18"/>
                <w:szCs w:val="18"/>
              </w:rPr>
              <w:t>MERLA</w:t>
            </w:r>
          </w:p>
        </w:tc>
        <w:tc>
          <w:tcPr>
            <w:tcW w:w="3543" w:type="dxa"/>
          </w:tcPr>
          <w:p w14:paraId="45A238B2" w14:textId="77777777" w:rsidR="00A90444" w:rsidRDefault="00A90444" w:rsidP="00865163">
            <w:pPr>
              <w:pStyle w:val="ListParagraph"/>
              <w:widowControl w:val="0"/>
              <w:numPr>
                <w:ilvl w:val="0"/>
                <w:numId w:val="10"/>
              </w:numPr>
              <w:spacing w:after="0" w:line="240" w:lineRule="auto"/>
              <w:ind w:left="193" w:hanging="218"/>
              <w:rPr>
                <w:sz w:val="18"/>
                <w:szCs w:val="18"/>
              </w:rPr>
            </w:pPr>
            <w:r>
              <w:rPr>
                <w:sz w:val="18"/>
                <w:szCs w:val="18"/>
              </w:rPr>
              <w:t>School level monitoring tool collects gender and disability data</w:t>
            </w:r>
          </w:p>
          <w:p w14:paraId="407BA46B" w14:textId="40A6AAE6" w:rsidR="00A90444" w:rsidRPr="00E34352" w:rsidRDefault="00A90444" w:rsidP="00865163">
            <w:pPr>
              <w:pStyle w:val="ListParagraph"/>
              <w:widowControl w:val="0"/>
              <w:numPr>
                <w:ilvl w:val="0"/>
                <w:numId w:val="10"/>
              </w:numPr>
              <w:spacing w:after="0" w:line="240" w:lineRule="auto"/>
              <w:ind w:left="193" w:hanging="218"/>
              <w:rPr>
                <w:sz w:val="18"/>
                <w:szCs w:val="18"/>
              </w:rPr>
            </w:pPr>
            <w:r w:rsidRPr="00EF4A87">
              <w:rPr>
                <w:sz w:val="18"/>
                <w:szCs w:val="18"/>
              </w:rPr>
              <w:t xml:space="preserve">Subnational Institutional Capacity Assessment </w:t>
            </w:r>
            <w:r>
              <w:rPr>
                <w:sz w:val="18"/>
                <w:szCs w:val="18"/>
              </w:rPr>
              <w:t xml:space="preserve">(SICA) </w:t>
            </w:r>
            <w:r w:rsidRPr="00EF4A87">
              <w:rPr>
                <w:sz w:val="18"/>
                <w:szCs w:val="18"/>
              </w:rPr>
              <w:t>gather</w:t>
            </w:r>
            <w:r>
              <w:rPr>
                <w:sz w:val="18"/>
                <w:szCs w:val="18"/>
              </w:rPr>
              <w:t>s</w:t>
            </w:r>
            <w:r w:rsidRPr="00EF4A87">
              <w:rPr>
                <w:sz w:val="18"/>
                <w:szCs w:val="18"/>
              </w:rPr>
              <w:t xml:space="preserve"> data on women's participation on school boards</w:t>
            </w:r>
            <w:r>
              <w:rPr>
                <w:sz w:val="18"/>
                <w:szCs w:val="18"/>
              </w:rPr>
              <w:t xml:space="preserve">, </w:t>
            </w:r>
            <w:r w:rsidRPr="00EF4A87">
              <w:rPr>
                <w:sz w:val="18"/>
                <w:szCs w:val="18"/>
              </w:rPr>
              <w:t>to provide insights for initiatives aimed at promoting women's leadership</w:t>
            </w:r>
          </w:p>
        </w:tc>
        <w:tc>
          <w:tcPr>
            <w:tcW w:w="3544" w:type="dxa"/>
          </w:tcPr>
          <w:p w14:paraId="625F7536" w14:textId="63CF6354" w:rsidR="00A90444" w:rsidRPr="00E34352" w:rsidRDefault="00A90444" w:rsidP="0030621A">
            <w:pPr>
              <w:pStyle w:val="ListParagraph"/>
              <w:widowControl w:val="0"/>
              <w:numPr>
                <w:ilvl w:val="0"/>
                <w:numId w:val="10"/>
              </w:numPr>
              <w:spacing w:after="0" w:line="240" w:lineRule="auto"/>
              <w:ind w:left="193" w:hanging="218"/>
              <w:rPr>
                <w:sz w:val="18"/>
                <w:szCs w:val="18"/>
              </w:rPr>
            </w:pPr>
            <w:r w:rsidRPr="00406118">
              <w:rPr>
                <w:sz w:val="18"/>
                <w:szCs w:val="18"/>
              </w:rPr>
              <w:t>MERLA system collects sex-disaggregated data, and reports on gender equality outcomes (e.g. IO 1.1 and IO 1.2)</w:t>
            </w:r>
          </w:p>
        </w:tc>
      </w:tr>
    </w:tbl>
    <w:p w14:paraId="64C69937" w14:textId="77777777" w:rsidR="00DE0CB2" w:rsidRDefault="00DE0CB2" w:rsidP="00460058">
      <w:pPr>
        <w:rPr>
          <w:color w:val="FF0000"/>
          <w:sz w:val="22"/>
          <w:szCs w:val="22"/>
        </w:rPr>
      </w:pPr>
    </w:p>
    <w:p w14:paraId="4F689114" w14:textId="77777777" w:rsidR="00465E3D" w:rsidRDefault="00465E3D" w:rsidP="00465E3D">
      <w:pPr>
        <w:pStyle w:val="Heading2"/>
      </w:pPr>
      <w:bookmarkStart w:id="18" w:name="_Toc180756325"/>
      <w:r>
        <w:t>Current state challenges</w:t>
      </w:r>
      <w:bookmarkEnd w:id="18"/>
    </w:p>
    <w:p w14:paraId="7992959D" w14:textId="6F424719" w:rsidR="00465E3D" w:rsidRDefault="00465E3D" w:rsidP="00465E3D">
      <w:pPr>
        <w:spacing w:after="0"/>
        <w:rPr>
          <w:sz w:val="22"/>
          <w:szCs w:val="22"/>
        </w:rPr>
      </w:pPr>
      <w:r>
        <w:rPr>
          <w:sz w:val="22"/>
          <w:szCs w:val="22"/>
        </w:rPr>
        <w:t xml:space="preserve">This section highlights challenges that have and continue to confront the </w:t>
      </w:r>
      <w:r w:rsidR="001B64B5">
        <w:rPr>
          <w:sz w:val="22"/>
          <w:szCs w:val="22"/>
        </w:rPr>
        <w:t xml:space="preserve">Program. </w:t>
      </w:r>
      <w:r>
        <w:rPr>
          <w:sz w:val="22"/>
          <w:szCs w:val="22"/>
        </w:rPr>
        <w:t xml:space="preserve">These are in addition to the cost and resourcing challenges discussed earlier in Section 4. Some of the challenges are drawn from the PIE </w:t>
      </w:r>
      <w:r w:rsidRPr="00FC0C40">
        <w:rPr>
          <w:i/>
          <w:iCs/>
          <w:sz w:val="22"/>
          <w:szCs w:val="22"/>
        </w:rPr>
        <w:t>2024 Semi-annual performance report</w:t>
      </w:r>
      <w:r>
        <w:rPr>
          <w:i/>
          <w:iCs/>
          <w:sz w:val="22"/>
          <w:szCs w:val="22"/>
        </w:rPr>
        <w:t>,</w:t>
      </w:r>
      <w:r>
        <w:rPr>
          <w:sz w:val="22"/>
          <w:szCs w:val="22"/>
        </w:rPr>
        <w:t xml:space="preserve"> and some are drawn from the broader literature and experience on school system improvement. Key challenges (and discussion </w:t>
      </w:r>
      <w:r w:rsidR="00F979D2">
        <w:rPr>
          <w:sz w:val="22"/>
          <w:szCs w:val="22"/>
        </w:rPr>
        <w:t xml:space="preserve">on </w:t>
      </w:r>
      <w:r w:rsidR="000D395F">
        <w:rPr>
          <w:sz w:val="22"/>
          <w:szCs w:val="22"/>
        </w:rPr>
        <w:t>responses</w:t>
      </w:r>
      <w:r>
        <w:rPr>
          <w:sz w:val="22"/>
          <w:szCs w:val="22"/>
        </w:rPr>
        <w:t xml:space="preserve">) include: </w:t>
      </w:r>
    </w:p>
    <w:p w14:paraId="36F66684" w14:textId="08E91D69" w:rsidR="00465E3D" w:rsidRPr="001F1190" w:rsidRDefault="008055B1" w:rsidP="001F1190">
      <w:pPr>
        <w:pStyle w:val="ListParagraph"/>
        <w:keepNext/>
        <w:numPr>
          <w:ilvl w:val="0"/>
          <w:numId w:val="11"/>
        </w:numPr>
        <w:spacing w:after="0"/>
        <w:ind w:left="714" w:hanging="357"/>
        <w:rPr>
          <w:sz w:val="22"/>
          <w:szCs w:val="22"/>
          <w:u w:val="single"/>
        </w:rPr>
      </w:pPr>
      <w:r>
        <w:rPr>
          <w:sz w:val="22"/>
          <w:szCs w:val="22"/>
        </w:rPr>
        <w:t xml:space="preserve">The </w:t>
      </w:r>
      <w:r w:rsidRPr="00FC0C40">
        <w:rPr>
          <w:i/>
          <w:iCs/>
          <w:sz w:val="22"/>
          <w:szCs w:val="22"/>
        </w:rPr>
        <w:t>2024 Semi-annual performance report</w:t>
      </w:r>
      <w:r w:rsidRPr="00AD435C">
        <w:rPr>
          <w:sz w:val="22"/>
          <w:szCs w:val="22"/>
        </w:rPr>
        <w:t xml:space="preserve"> </w:t>
      </w:r>
      <w:r>
        <w:rPr>
          <w:sz w:val="22"/>
          <w:szCs w:val="22"/>
        </w:rPr>
        <w:t xml:space="preserve">(p.10) </w:t>
      </w:r>
      <w:r w:rsidRPr="00AD435C">
        <w:rPr>
          <w:sz w:val="22"/>
          <w:szCs w:val="22"/>
        </w:rPr>
        <w:t>notes</w:t>
      </w:r>
      <w:r>
        <w:rPr>
          <w:sz w:val="22"/>
          <w:szCs w:val="22"/>
        </w:rPr>
        <w:t xml:space="preserve"> capacity and capability gaps in national and provincial divisions. Some gaps are because of unfilled or acting positions. </w:t>
      </w:r>
      <w:r w:rsidR="001F1190" w:rsidRPr="001F1190">
        <w:rPr>
          <w:sz w:val="22"/>
          <w:szCs w:val="22"/>
        </w:rPr>
        <w:t>As</w:t>
      </w:r>
      <w:r w:rsidR="00465E3D" w:rsidRPr="001F1190">
        <w:rPr>
          <w:sz w:val="22"/>
          <w:szCs w:val="22"/>
        </w:rPr>
        <w:t xml:space="preserve"> noted in the 2022 SICA (p.5)</w:t>
      </w:r>
      <w:r>
        <w:rPr>
          <w:sz w:val="22"/>
          <w:szCs w:val="22"/>
        </w:rPr>
        <w:t>,</w:t>
      </w:r>
      <w:r w:rsidR="00465E3D" w:rsidRPr="001F1190">
        <w:rPr>
          <w:sz w:val="22"/>
          <w:szCs w:val="22"/>
        </w:rPr>
        <w:t xml:space="preserve"> ‘Across all areas, including strategic planning, inspections, teacher professional development, school leadership and management and monitoring and evaluation, there is plenty of scope and opportunity’ to strengthen systems.  PIE has responded to this through embedding personnel nationally and provincially who assist with, amongst other matters, the drafting of key education policies (and implementation support) and planning processes as well by undertaking</w:t>
      </w:r>
      <w:r w:rsidR="00E76B8D" w:rsidRPr="001F1190">
        <w:rPr>
          <w:sz w:val="22"/>
          <w:szCs w:val="22"/>
        </w:rPr>
        <w:t xml:space="preserve"> and facilitating</w:t>
      </w:r>
      <w:r w:rsidR="00465E3D" w:rsidRPr="001F1190">
        <w:rPr>
          <w:sz w:val="22"/>
          <w:szCs w:val="22"/>
        </w:rPr>
        <w:t xml:space="preserve"> training programs. </w:t>
      </w:r>
    </w:p>
    <w:p w14:paraId="71B4B4D0" w14:textId="38016EBB" w:rsidR="00503B8E" w:rsidRPr="0065260C" w:rsidRDefault="00465E3D" w:rsidP="0065260C">
      <w:pPr>
        <w:pStyle w:val="ListParagraph"/>
        <w:spacing w:after="0"/>
        <w:rPr>
          <w:sz w:val="22"/>
          <w:szCs w:val="22"/>
        </w:rPr>
      </w:pPr>
      <w:r>
        <w:rPr>
          <w:sz w:val="22"/>
          <w:szCs w:val="22"/>
        </w:rPr>
        <w:t>With a view to sustainability</w:t>
      </w:r>
      <w:r w:rsidR="00455862">
        <w:rPr>
          <w:sz w:val="22"/>
          <w:szCs w:val="22"/>
        </w:rPr>
        <w:t>,</w:t>
      </w:r>
      <w:r>
        <w:rPr>
          <w:sz w:val="22"/>
          <w:szCs w:val="22"/>
        </w:rPr>
        <w:t xml:space="preserve"> th</w:t>
      </w:r>
      <w:r w:rsidR="009A0A75">
        <w:rPr>
          <w:sz w:val="22"/>
          <w:szCs w:val="22"/>
        </w:rPr>
        <w:t xml:space="preserve">ere </w:t>
      </w:r>
      <w:r w:rsidR="00455862">
        <w:rPr>
          <w:sz w:val="22"/>
          <w:szCs w:val="22"/>
        </w:rPr>
        <w:t xml:space="preserve">is merit in considering the </w:t>
      </w:r>
      <w:r>
        <w:rPr>
          <w:sz w:val="22"/>
          <w:szCs w:val="22"/>
        </w:rPr>
        <w:t xml:space="preserve">broadening </w:t>
      </w:r>
      <w:r w:rsidR="00455862">
        <w:rPr>
          <w:sz w:val="22"/>
          <w:szCs w:val="22"/>
        </w:rPr>
        <w:t xml:space="preserve">of </w:t>
      </w:r>
      <w:r>
        <w:rPr>
          <w:sz w:val="22"/>
          <w:szCs w:val="22"/>
        </w:rPr>
        <w:t xml:space="preserve">national and provincial support to improve </w:t>
      </w:r>
      <w:r w:rsidR="00503B8E">
        <w:rPr>
          <w:sz w:val="22"/>
          <w:szCs w:val="22"/>
        </w:rPr>
        <w:t>systems and</w:t>
      </w:r>
      <w:r>
        <w:rPr>
          <w:sz w:val="22"/>
          <w:szCs w:val="22"/>
        </w:rPr>
        <w:t xml:space="preserve"> build key position capability</w:t>
      </w:r>
      <w:r w:rsidR="00455862">
        <w:rPr>
          <w:sz w:val="22"/>
          <w:szCs w:val="22"/>
        </w:rPr>
        <w:t xml:space="preserve"> – see </w:t>
      </w:r>
      <w:r w:rsidR="00503B8E">
        <w:rPr>
          <w:sz w:val="22"/>
          <w:szCs w:val="22"/>
        </w:rPr>
        <w:t>Section 7.</w:t>
      </w:r>
    </w:p>
    <w:p w14:paraId="23593F91" w14:textId="5C5500D2" w:rsidR="00F56A18" w:rsidRDefault="00F56A18" w:rsidP="001F1190">
      <w:pPr>
        <w:spacing w:after="0"/>
        <w:rPr>
          <w:sz w:val="22"/>
          <w:szCs w:val="22"/>
        </w:rPr>
      </w:pPr>
    </w:p>
    <w:p w14:paraId="37640CD6" w14:textId="77777777" w:rsidR="001F1190" w:rsidRPr="001F1190" w:rsidRDefault="001F1190" w:rsidP="001F1190">
      <w:pPr>
        <w:spacing w:after="0"/>
        <w:rPr>
          <w:sz w:val="22"/>
          <w:szCs w:val="22"/>
        </w:rPr>
      </w:pPr>
    </w:p>
    <w:p w14:paraId="6487F919" w14:textId="1A5480E9" w:rsidR="00726E9A" w:rsidRPr="004618D7" w:rsidRDefault="00726E9A" w:rsidP="00091F12">
      <w:pPr>
        <w:pStyle w:val="ListParagraph"/>
        <w:numPr>
          <w:ilvl w:val="0"/>
          <w:numId w:val="11"/>
        </w:numPr>
        <w:spacing w:after="0"/>
        <w:rPr>
          <w:sz w:val="22"/>
          <w:szCs w:val="22"/>
          <w:u w:val="single"/>
        </w:rPr>
      </w:pPr>
      <w:r w:rsidRPr="004618D7">
        <w:rPr>
          <w:sz w:val="22"/>
          <w:szCs w:val="22"/>
          <w:u w:val="single"/>
        </w:rPr>
        <w:t>Conflict and disruption in Enga</w:t>
      </w:r>
    </w:p>
    <w:p w14:paraId="77E0F2B0" w14:textId="77777777" w:rsidR="00A566CB" w:rsidRDefault="00A1482D" w:rsidP="00A1482D">
      <w:pPr>
        <w:pStyle w:val="ListParagraph"/>
        <w:spacing w:after="0"/>
        <w:rPr>
          <w:sz w:val="22"/>
          <w:szCs w:val="22"/>
        </w:rPr>
      </w:pPr>
      <w:r>
        <w:rPr>
          <w:sz w:val="22"/>
          <w:szCs w:val="22"/>
        </w:rPr>
        <w:t xml:space="preserve">The </w:t>
      </w:r>
      <w:r w:rsidR="00893320">
        <w:rPr>
          <w:sz w:val="22"/>
          <w:szCs w:val="22"/>
        </w:rPr>
        <w:t xml:space="preserve">August 2024 </w:t>
      </w:r>
      <w:r w:rsidR="009573C3">
        <w:rPr>
          <w:sz w:val="22"/>
          <w:szCs w:val="22"/>
        </w:rPr>
        <w:t xml:space="preserve">Exception Report on </w:t>
      </w:r>
      <w:r w:rsidR="008E5D0D">
        <w:rPr>
          <w:sz w:val="22"/>
          <w:szCs w:val="22"/>
        </w:rPr>
        <w:t xml:space="preserve">security matters in Enga notes that the </w:t>
      </w:r>
      <w:r w:rsidR="00BE69CC">
        <w:rPr>
          <w:sz w:val="22"/>
          <w:szCs w:val="22"/>
        </w:rPr>
        <w:t xml:space="preserve">‘security situation in Enga Province remains highly unstable’ and </w:t>
      </w:r>
      <w:r w:rsidR="00A566CB">
        <w:rPr>
          <w:sz w:val="22"/>
          <w:szCs w:val="22"/>
        </w:rPr>
        <w:t>that ‘</w:t>
      </w:r>
      <w:r w:rsidR="00A566CB" w:rsidRPr="00A566CB">
        <w:rPr>
          <w:sz w:val="22"/>
          <w:szCs w:val="22"/>
        </w:rPr>
        <w:t>Concerns around liability, program disruption and risk to persons and assets remain extremely high</w:t>
      </w:r>
      <w:r w:rsidR="00A566CB">
        <w:rPr>
          <w:sz w:val="22"/>
          <w:szCs w:val="22"/>
        </w:rPr>
        <w:t>’.</w:t>
      </w:r>
    </w:p>
    <w:p w14:paraId="517BD964" w14:textId="7002BBDD" w:rsidR="00A1482D" w:rsidRPr="00091F12" w:rsidRDefault="00A1482D" w:rsidP="00A1482D">
      <w:pPr>
        <w:pStyle w:val="ListParagraph"/>
        <w:spacing w:after="0"/>
        <w:rPr>
          <w:sz w:val="22"/>
          <w:szCs w:val="22"/>
        </w:rPr>
      </w:pPr>
    </w:p>
    <w:p w14:paraId="091B658C" w14:textId="5678DDCF" w:rsidR="00033632" w:rsidRPr="00E3182C" w:rsidRDefault="00033632" w:rsidP="00091F12">
      <w:pPr>
        <w:pStyle w:val="ListParagraph"/>
        <w:numPr>
          <w:ilvl w:val="0"/>
          <w:numId w:val="11"/>
        </w:numPr>
        <w:spacing w:after="0"/>
        <w:rPr>
          <w:sz w:val="22"/>
          <w:szCs w:val="22"/>
          <w:u w:val="single"/>
        </w:rPr>
      </w:pPr>
      <w:r w:rsidRPr="00E3182C">
        <w:rPr>
          <w:sz w:val="22"/>
          <w:szCs w:val="22"/>
          <w:u w:val="single"/>
        </w:rPr>
        <w:t>School system improvement</w:t>
      </w:r>
      <w:r w:rsidR="00091F12" w:rsidRPr="00E3182C">
        <w:rPr>
          <w:sz w:val="22"/>
          <w:szCs w:val="22"/>
          <w:u w:val="single"/>
        </w:rPr>
        <w:t>, quality of teaching and student learning</w:t>
      </w:r>
    </w:p>
    <w:p w14:paraId="17AA774E" w14:textId="6FB9D22D" w:rsidR="000F66AF" w:rsidRDefault="00D00298" w:rsidP="00DD08B6">
      <w:pPr>
        <w:pStyle w:val="ListParagraph"/>
        <w:spacing w:after="0"/>
        <w:rPr>
          <w:sz w:val="22"/>
          <w:szCs w:val="22"/>
        </w:rPr>
      </w:pPr>
      <w:r>
        <w:rPr>
          <w:sz w:val="22"/>
          <w:szCs w:val="22"/>
        </w:rPr>
        <w:t>CESE</w:t>
      </w:r>
      <w:r w:rsidR="00242FA0">
        <w:rPr>
          <w:rStyle w:val="FootnoteReference"/>
          <w:sz w:val="22"/>
          <w:szCs w:val="22"/>
        </w:rPr>
        <w:footnoteReference w:id="13"/>
      </w:r>
      <w:r>
        <w:rPr>
          <w:sz w:val="22"/>
          <w:szCs w:val="22"/>
        </w:rPr>
        <w:t xml:space="preserve"> </w:t>
      </w:r>
      <w:r w:rsidR="0037709C">
        <w:rPr>
          <w:sz w:val="22"/>
          <w:szCs w:val="22"/>
        </w:rPr>
        <w:t>(</w:t>
      </w:r>
      <w:r>
        <w:rPr>
          <w:sz w:val="22"/>
          <w:szCs w:val="22"/>
        </w:rPr>
        <w:t>2014:</w:t>
      </w:r>
      <w:r w:rsidR="0037709C">
        <w:rPr>
          <w:sz w:val="22"/>
          <w:szCs w:val="22"/>
        </w:rPr>
        <w:t>3) citing Masters</w:t>
      </w:r>
      <w:r w:rsidR="00F54F74">
        <w:rPr>
          <w:sz w:val="22"/>
          <w:szCs w:val="22"/>
        </w:rPr>
        <w:t>,</w:t>
      </w:r>
      <w:r w:rsidR="0037709C">
        <w:rPr>
          <w:sz w:val="22"/>
          <w:szCs w:val="22"/>
        </w:rPr>
        <w:t xml:space="preserve"> observes that </w:t>
      </w:r>
      <w:r w:rsidR="00191294">
        <w:rPr>
          <w:sz w:val="22"/>
          <w:szCs w:val="22"/>
        </w:rPr>
        <w:t>‘</w:t>
      </w:r>
      <w:r w:rsidR="00191294" w:rsidRPr="00191294">
        <w:rPr>
          <w:i/>
          <w:iCs/>
          <w:sz w:val="22"/>
          <w:szCs w:val="22"/>
        </w:rPr>
        <w:t xml:space="preserve">systemic and continuous improvement is </w:t>
      </w:r>
      <w:r w:rsidR="00E162D8">
        <w:rPr>
          <w:i/>
          <w:iCs/>
          <w:sz w:val="22"/>
          <w:szCs w:val="22"/>
        </w:rPr>
        <w:t>…</w:t>
      </w:r>
      <w:r w:rsidR="00191294" w:rsidRPr="00191294">
        <w:rPr>
          <w:i/>
          <w:iCs/>
          <w:sz w:val="22"/>
          <w:szCs w:val="22"/>
        </w:rPr>
        <w:t xml:space="preserve"> acknowledged to be a complex process, requiring action over many domains. Many large initiatives for school improvement fail because they do not change day-to-day school practices, which are ‘recognised as remarkably impervious to, and self-protective against, fluctuating external policies and agendas</w:t>
      </w:r>
      <w:r w:rsidR="00C07F5E">
        <w:rPr>
          <w:i/>
          <w:iCs/>
          <w:sz w:val="22"/>
          <w:szCs w:val="22"/>
        </w:rPr>
        <w:t xml:space="preserve">’. </w:t>
      </w:r>
      <w:r>
        <w:rPr>
          <w:sz w:val="22"/>
          <w:szCs w:val="22"/>
        </w:rPr>
        <w:t xml:space="preserve"> </w:t>
      </w:r>
      <w:r w:rsidR="008E3C79">
        <w:rPr>
          <w:sz w:val="22"/>
          <w:szCs w:val="22"/>
        </w:rPr>
        <w:t>CESE</w:t>
      </w:r>
      <w:r w:rsidR="00781824">
        <w:rPr>
          <w:sz w:val="22"/>
          <w:szCs w:val="22"/>
        </w:rPr>
        <w:t xml:space="preserve"> (2014:5) also notes that </w:t>
      </w:r>
      <w:r w:rsidR="000F66AF">
        <w:rPr>
          <w:sz w:val="22"/>
          <w:szCs w:val="22"/>
        </w:rPr>
        <w:t>‘</w:t>
      </w:r>
      <w:r w:rsidR="000F66AF" w:rsidRPr="00485DB3">
        <w:rPr>
          <w:i/>
          <w:iCs/>
          <w:sz w:val="22"/>
          <w:szCs w:val="22"/>
        </w:rPr>
        <w:t>The international evidence indicates that school improvement is best measured with reference to both student outcomes and school practices or processes, rather than by focusing exclusively on one or the other. Raudenbush argues that no matter how sophisticated analysis of student outcome data is, there will always be limitations as to how much the data can tell us, claiming that “to be successful, accountability must be informed by other sources of information … in particular, information on organizational and instructional practice</w:t>
      </w:r>
      <w:r w:rsidR="000F66AF">
        <w:rPr>
          <w:sz w:val="22"/>
          <w:szCs w:val="22"/>
        </w:rPr>
        <w:t>”</w:t>
      </w:r>
      <w:r w:rsidR="00485DB3">
        <w:rPr>
          <w:sz w:val="22"/>
          <w:szCs w:val="22"/>
        </w:rPr>
        <w:t>.</w:t>
      </w:r>
      <w:r w:rsidR="000F66AF" w:rsidRPr="000F66AF">
        <w:rPr>
          <w:sz w:val="22"/>
          <w:szCs w:val="22"/>
        </w:rPr>
        <w:t>’</w:t>
      </w:r>
    </w:p>
    <w:p w14:paraId="366DEDC0" w14:textId="3115B5F1" w:rsidR="00183C45" w:rsidRDefault="00485DB3" w:rsidP="00123335">
      <w:pPr>
        <w:pStyle w:val="ListParagraph"/>
        <w:spacing w:after="0"/>
        <w:rPr>
          <w:color w:val="FF0000"/>
          <w:sz w:val="22"/>
          <w:szCs w:val="22"/>
        </w:rPr>
      </w:pPr>
      <w:r>
        <w:rPr>
          <w:sz w:val="22"/>
          <w:szCs w:val="22"/>
        </w:rPr>
        <w:t xml:space="preserve">A strong feature of the PIE design and the MERLA </w:t>
      </w:r>
      <w:r w:rsidR="00BE1A5F">
        <w:rPr>
          <w:sz w:val="22"/>
          <w:szCs w:val="22"/>
        </w:rPr>
        <w:t xml:space="preserve">strategy is the </w:t>
      </w:r>
      <w:r w:rsidR="00CB0A58">
        <w:rPr>
          <w:sz w:val="22"/>
          <w:szCs w:val="22"/>
        </w:rPr>
        <w:t xml:space="preserve">underlying theory of change and </w:t>
      </w:r>
      <w:r w:rsidR="00BE1A5F">
        <w:rPr>
          <w:sz w:val="22"/>
          <w:szCs w:val="22"/>
        </w:rPr>
        <w:t>comprehensive results framework</w:t>
      </w:r>
      <w:r w:rsidR="00CB0A58">
        <w:rPr>
          <w:sz w:val="22"/>
          <w:szCs w:val="22"/>
        </w:rPr>
        <w:t xml:space="preserve">. </w:t>
      </w:r>
      <w:r w:rsidR="00243529">
        <w:rPr>
          <w:sz w:val="22"/>
          <w:szCs w:val="22"/>
        </w:rPr>
        <w:t xml:space="preserve">Ideally, </w:t>
      </w:r>
      <w:r w:rsidR="00E11F65">
        <w:rPr>
          <w:sz w:val="22"/>
          <w:szCs w:val="22"/>
        </w:rPr>
        <w:t xml:space="preserve">MERLA data on </w:t>
      </w:r>
      <w:r w:rsidR="00665CDD">
        <w:rPr>
          <w:sz w:val="22"/>
          <w:szCs w:val="22"/>
        </w:rPr>
        <w:t xml:space="preserve">increasing </w:t>
      </w:r>
      <w:r w:rsidR="00E11F65">
        <w:rPr>
          <w:sz w:val="22"/>
          <w:szCs w:val="22"/>
        </w:rPr>
        <w:t>enrolment, student</w:t>
      </w:r>
      <w:r w:rsidR="00665CDD">
        <w:rPr>
          <w:sz w:val="22"/>
          <w:szCs w:val="22"/>
        </w:rPr>
        <w:t xml:space="preserve"> </w:t>
      </w:r>
      <w:r w:rsidR="00243529">
        <w:rPr>
          <w:sz w:val="22"/>
          <w:szCs w:val="22"/>
        </w:rPr>
        <w:t>retention</w:t>
      </w:r>
      <w:r w:rsidR="00696704">
        <w:rPr>
          <w:sz w:val="22"/>
          <w:szCs w:val="22"/>
        </w:rPr>
        <w:t xml:space="preserve">, </w:t>
      </w:r>
      <w:r w:rsidR="0042032B">
        <w:rPr>
          <w:sz w:val="22"/>
          <w:szCs w:val="22"/>
        </w:rPr>
        <w:t xml:space="preserve">teacher participation in training </w:t>
      </w:r>
      <w:r w:rsidR="00696704">
        <w:rPr>
          <w:sz w:val="22"/>
          <w:szCs w:val="22"/>
        </w:rPr>
        <w:t xml:space="preserve">and </w:t>
      </w:r>
      <w:r w:rsidR="00DF782D">
        <w:rPr>
          <w:sz w:val="22"/>
          <w:szCs w:val="22"/>
        </w:rPr>
        <w:t xml:space="preserve">observation data on teacher practices </w:t>
      </w:r>
      <w:r w:rsidR="0042032B">
        <w:rPr>
          <w:sz w:val="22"/>
          <w:szCs w:val="22"/>
        </w:rPr>
        <w:t xml:space="preserve">will </w:t>
      </w:r>
      <w:r w:rsidR="00D957B4">
        <w:rPr>
          <w:sz w:val="22"/>
          <w:szCs w:val="22"/>
        </w:rPr>
        <w:t xml:space="preserve">indicate </w:t>
      </w:r>
      <w:r w:rsidR="00CB0A58">
        <w:rPr>
          <w:sz w:val="22"/>
          <w:szCs w:val="22"/>
        </w:rPr>
        <w:t xml:space="preserve">that </w:t>
      </w:r>
      <w:r w:rsidR="0003627D">
        <w:rPr>
          <w:sz w:val="22"/>
          <w:szCs w:val="22"/>
        </w:rPr>
        <w:t>change is underway</w:t>
      </w:r>
      <w:r w:rsidR="00A81322">
        <w:rPr>
          <w:sz w:val="22"/>
          <w:szCs w:val="22"/>
        </w:rPr>
        <w:t>. H</w:t>
      </w:r>
      <w:r w:rsidR="0003627D">
        <w:rPr>
          <w:sz w:val="22"/>
          <w:szCs w:val="22"/>
        </w:rPr>
        <w:t xml:space="preserve">owever, the </w:t>
      </w:r>
      <w:r w:rsidR="00A81322">
        <w:rPr>
          <w:sz w:val="22"/>
          <w:szCs w:val="22"/>
        </w:rPr>
        <w:t>time</w:t>
      </w:r>
      <w:r w:rsidR="0003627D">
        <w:rPr>
          <w:sz w:val="22"/>
          <w:szCs w:val="22"/>
        </w:rPr>
        <w:t xml:space="preserve"> for significant shifts in student learning (beyond some </w:t>
      </w:r>
      <w:r w:rsidR="00DF782D">
        <w:rPr>
          <w:sz w:val="22"/>
          <w:szCs w:val="22"/>
        </w:rPr>
        <w:t>case</w:t>
      </w:r>
      <w:r w:rsidR="002438A1">
        <w:rPr>
          <w:sz w:val="22"/>
          <w:szCs w:val="22"/>
        </w:rPr>
        <w:t>s in individual schools)</w:t>
      </w:r>
      <w:r w:rsidR="00C12891">
        <w:rPr>
          <w:sz w:val="22"/>
          <w:szCs w:val="22"/>
        </w:rPr>
        <w:t xml:space="preserve"> will most likely extend beyond the program’s </w:t>
      </w:r>
      <w:r w:rsidR="007646CF">
        <w:rPr>
          <w:sz w:val="22"/>
          <w:szCs w:val="22"/>
        </w:rPr>
        <w:t>first phase of 5 years</w:t>
      </w:r>
      <w:r w:rsidR="00E754D2">
        <w:rPr>
          <w:sz w:val="22"/>
          <w:szCs w:val="22"/>
        </w:rPr>
        <w:t xml:space="preserve">. </w:t>
      </w:r>
      <w:r w:rsidR="00A81322">
        <w:rPr>
          <w:sz w:val="22"/>
          <w:szCs w:val="22"/>
        </w:rPr>
        <w:t>T</w:t>
      </w:r>
      <w:r w:rsidR="00881F19">
        <w:rPr>
          <w:sz w:val="22"/>
          <w:szCs w:val="22"/>
        </w:rPr>
        <w:t xml:space="preserve">o </w:t>
      </w:r>
      <w:r w:rsidR="00DF6140">
        <w:rPr>
          <w:sz w:val="22"/>
          <w:szCs w:val="22"/>
        </w:rPr>
        <w:t xml:space="preserve">be ready and confident to report on substantive shifts in teacher </w:t>
      </w:r>
      <w:r w:rsidR="0000397F">
        <w:rPr>
          <w:sz w:val="22"/>
          <w:szCs w:val="22"/>
        </w:rPr>
        <w:t>content and pedagogical knowledge</w:t>
      </w:r>
      <w:r w:rsidR="00917B47">
        <w:rPr>
          <w:sz w:val="22"/>
          <w:szCs w:val="22"/>
        </w:rPr>
        <w:t>,</w:t>
      </w:r>
      <w:r w:rsidR="0000397F">
        <w:rPr>
          <w:sz w:val="22"/>
          <w:szCs w:val="22"/>
        </w:rPr>
        <w:t xml:space="preserve"> </w:t>
      </w:r>
      <w:r w:rsidR="00180AF9">
        <w:rPr>
          <w:sz w:val="22"/>
          <w:szCs w:val="22"/>
        </w:rPr>
        <w:t xml:space="preserve">which </w:t>
      </w:r>
      <w:r w:rsidR="00D639E1">
        <w:rPr>
          <w:sz w:val="22"/>
          <w:szCs w:val="22"/>
        </w:rPr>
        <w:t xml:space="preserve">would typically </w:t>
      </w:r>
      <w:r w:rsidR="00180AF9">
        <w:rPr>
          <w:sz w:val="22"/>
          <w:szCs w:val="22"/>
        </w:rPr>
        <w:t xml:space="preserve">precede </w:t>
      </w:r>
      <w:r w:rsidR="00917B47">
        <w:rPr>
          <w:sz w:val="22"/>
          <w:szCs w:val="22"/>
        </w:rPr>
        <w:t xml:space="preserve">desired </w:t>
      </w:r>
      <w:r w:rsidR="00180AF9">
        <w:rPr>
          <w:sz w:val="22"/>
          <w:szCs w:val="22"/>
        </w:rPr>
        <w:t>shifts in student learning</w:t>
      </w:r>
      <w:r w:rsidR="00917B47">
        <w:rPr>
          <w:sz w:val="22"/>
          <w:szCs w:val="22"/>
        </w:rPr>
        <w:t>,</w:t>
      </w:r>
      <w:r w:rsidR="00180AF9">
        <w:rPr>
          <w:sz w:val="22"/>
          <w:szCs w:val="22"/>
        </w:rPr>
        <w:t xml:space="preserve"> </w:t>
      </w:r>
      <w:r w:rsidR="0000397F">
        <w:rPr>
          <w:sz w:val="22"/>
          <w:szCs w:val="22"/>
        </w:rPr>
        <w:t>t</w:t>
      </w:r>
      <w:r w:rsidR="00A81322">
        <w:rPr>
          <w:sz w:val="22"/>
          <w:szCs w:val="22"/>
        </w:rPr>
        <w:t>he</w:t>
      </w:r>
      <w:r w:rsidR="00E754D2">
        <w:rPr>
          <w:sz w:val="22"/>
          <w:szCs w:val="22"/>
        </w:rPr>
        <w:t xml:space="preserve"> program</w:t>
      </w:r>
      <w:r w:rsidR="00123335">
        <w:rPr>
          <w:sz w:val="22"/>
          <w:szCs w:val="22"/>
        </w:rPr>
        <w:t xml:space="preserve"> </w:t>
      </w:r>
      <w:r w:rsidR="004E3642">
        <w:rPr>
          <w:sz w:val="22"/>
          <w:szCs w:val="22"/>
        </w:rPr>
        <w:t>should</w:t>
      </w:r>
      <w:r w:rsidR="00E754D2">
        <w:rPr>
          <w:sz w:val="22"/>
          <w:szCs w:val="22"/>
        </w:rPr>
        <w:t xml:space="preserve"> </w:t>
      </w:r>
      <w:r w:rsidR="00371FB0">
        <w:rPr>
          <w:sz w:val="22"/>
          <w:szCs w:val="22"/>
        </w:rPr>
        <w:t xml:space="preserve">(develop and) sustain a strong focus on measures of </w:t>
      </w:r>
      <w:r w:rsidR="00931426">
        <w:rPr>
          <w:sz w:val="22"/>
          <w:szCs w:val="22"/>
        </w:rPr>
        <w:t>teaching quality</w:t>
      </w:r>
      <w:r w:rsidR="00427E60">
        <w:rPr>
          <w:sz w:val="22"/>
          <w:szCs w:val="22"/>
        </w:rPr>
        <w:t xml:space="preserve"> (possibly linked to </w:t>
      </w:r>
      <w:r w:rsidR="008864F6">
        <w:rPr>
          <w:sz w:val="22"/>
          <w:szCs w:val="22"/>
        </w:rPr>
        <w:t>the proposed teacher competency framework).</w:t>
      </w:r>
    </w:p>
    <w:p w14:paraId="70964B06" w14:textId="77777777" w:rsidR="00123335" w:rsidRPr="00123335" w:rsidRDefault="00123335" w:rsidP="00123335">
      <w:pPr>
        <w:ind w:left="360"/>
        <w:rPr>
          <w:color w:val="FF0000"/>
          <w:sz w:val="22"/>
          <w:szCs w:val="22"/>
        </w:rPr>
      </w:pPr>
    </w:p>
    <w:p w14:paraId="71B29930" w14:textId="46F28521" w:rsidR="00A43307" w:rsidRDefault="00A43307" w:rsidP="00A81322">
      <w:pPr>
        <w:pStyle w:val="Heading1"/>
        <w:keepNext/>
        <w:ind w:left="425" w:hanging="425"/>
      </w:pPr>
      <w:bookmarkStart w:id="19" w:name="_Toc180756326"/>
      <w:r>
        <w:t>Key re</w:t>
      </w:r>
      <w:r w:rsidR="009F60EC">
        <w:t>view</w:t>
      </w:r>
      <w:r>
        <w:t xml:space="preserve"> question</w:t>
      </w:r>
      <w:r w:rsidR="00D63C5C">
        <w:t>s</w:t>
      </w:r>
      <w:bookmarkEnd w:id="19"/>
    </w:p>
    <w:p w14:paraId="0ADA4A3C" w14:textId="77777777" w:rsidR="00FE727E" w:rsidRDefault="002D5C1B" w:rsidP="00863D5E">
      <w:pPr>
        <w:pStyle w:val="Heading2"/>
      </w:pPr>
      <w:bookmarkStart w:id="20" w:name="_Toc180756327"/>
      <w:r>
        <w:t xml:space="preserve">KRQ1 – </w:t>
      </w:r>
      <w:r w:rsidR="004462D7" w:rsidRPr="004462D7">
        <w:t>Relevance</w:t>
      </w:r>
      <w:bookmarkEnd w:id="20"/>
    </w:p>
    <w:tbl>
      <w:tblPr>
        <w:tblStyle w:val="TableGrid"/>
        <w:tblW w:w="0" w:type="auto"/>
        <w:tblLook w:val="04A0" w:firstRow="1" w:lastRow="0" w:firstColumn="1" w:lastColumn="0" w:noHBand="0" w:noVBand="1"/>
      </w:tblPr>
      <w:tblGrid>
        <w:gridCol w:w="9628"/>
      </w:tblGrid>
      <w:tr w:rsidR="00B72AA0" w:rsidRPr="00B72AA0" w14:paraId="2D807CDC" w14:textId="77777777" w:rsidTr="00B72AA0">
        <w:tc>
          <w:tcPr>
            <w:tcW w:w="9628" w:type="dxa"/>
          </w:tcPr>
          <w:p w14:paraId="74F8991C" w14:textId="77777777" w:rsidR="00B72AA0" w:rsidRDefault="00B72AA0" w:rsidP="00AD553A">
            <w:pPr>
              <w:spacing w:after="120"/>
              <w:rPr>
                <w:i/>
                <w:iCs/>
                <w:sz w:val="22"/>
                <w:szCs w:val="22"/>
              </w:rPr>
            </w:pPr>
            <w:r w:rsidRPr="00393016">
              <w:rPr>
                <w:i/>
                <w:iCs/>
                <w:sz w:val="22"/>
                <w:szCs w:val="22"/>
              </w:rPr>
              <w:t>To what extent does the PIE design (Theory of Change) and implementation approach still appear to be relevant at this point?</w:t>
            </w:r>
          </w:p>
          <w:p w14:paraId="69EFBF08" w14:textId="11B169AB" w:rsidR="005E2585" w:rsidRPr="005E2585" w:rsidRDefault="005E2585" w:rsidP="00AD553A">
            <w:pPr>
              <w:spacing w:after="120"/>
              <w:rPr>
                <w:sz w:val="22"/>
                <w:szCs w:val="22"/>
              </w:rPr>
            </w:pPr>
            <w:r w:rsidRPr="005E2585">
              <w:rPr>
                <w:sz w:val="22"/>
                <w:szCs w:val="22"/>
              </w:rPr>
              <w:t xml:space="preserve">The </w:t>
            </w:r>
            <w:r w:rsidR="004138A5">
              <w:rPr>
                <w:sz w:val="22"/>
                <w:szCs w:val="22"/>
              </w:rPr>
              <w:t xml:space="preserve">design and conduct of the </w:t>
            </w:r>
            <w:r w:rsidRPr="005E2585">
              <w:rPr>
                <w:sz w:val="22"/>
                <w:szCs w:val="22"/>
              </w:rPr>
              <w:t xml:space="preserve">PIE </w:t>
            </w:r>
            <w:r w:rsidR="00650D94">
              <w:rPr>
                <w:sz w:val="22"/>
                <w:szCs w:val="22"/>
              </w:rPr>
              <w:t xml:space="preserve">Program </w:t>
            </w:r>
            <w:r w:rsidR="006E4320">
              <w:rPr>
                <w:sz w:val="22"/>
                <w:szCs w:val="22"/>
              </w:rPr>
              <w:t xml:space="preserve">continue to be </w:t>
            </w:r>
            <w:r w:rsidR="00650D94">
              <w:rPr>
                <w:sz w:val="22"/>
                <w:szCs w:val="22"/>
              </w:rPr>
              <w:t xml:space="preserve">relevant in terms of </w:t>
            </w:r>
            <w:r w:rsidR="00F66BFA">
              <w:rPr>
                <w:sz w:val="22"/>
                <w:szCs w:val="22"/>
              </w:rPr>
              <w:t xml:space="preserve">alignment with </w:t>
            </w:r>
            <w:r w:rsidR="00476412">
              <w:rPr>
                <w:sz w:val="22"/>
                <w:szCs w:val="22"/>
              </w:rPr>
              <w:t>Australia’s new Development Partner</w:t>
            </w:r>
            <w:r w:rsidR="00841D74">
              <w:rPr>
                <w:sz w:val="22"/>
                <w:szCs w:val="22"/>
              </w:rPr>
              <w:t>s</w:t>
            </w:r>
            <w:r w:rsidR="00476412">
              <w:rPr>
                <w:sz w:val="22"/>
                <w:szCs w:val="22"/>
              </w:rPr>
              <w:t>hip Plan</w:t>
            </w:r>
            <w:r w:rsidR="00EC4ACC">
              <w:rPr>
                <w:sz w:val="22"/>
                <w:szCs w:val="22"/>
              </w:rPr>
              <w:t xml:space="preserve"> (DPP)</w:t>
            </w:r>
            <w:r w:rsidR="00476412">
              <w:rPr>
                <w:sz w:val="22"/>
                <w:szCs w:val="22"/>
              </w:rPr>
              <w:t xml:space="preserve"> 2024-2029</w:t>
            </w:r>
            <w:r w:rsidR="00476412">
              <w:rPr>
                <w:rStyle w:val="FootnoteReference"/>
                <w:sz w:val="22"/>
                <w:szCs w:val="22"/>
              </w:rPr>
              <w:footnoteReference w:id="14"/>
            </w:r>
            <w:r w:rsidR="00476412">
              <w:rPr>
                <w:sz w:val="22"/>
                <w:szCs w:val="22"/>
              </w:rPr>
              <w:t xml:space="preserve"> with PNG, </w:t>
            </w:r>
            <w:r w:rsidR="00F66BFA">
              <w:rPr>
                <w:sz w:val="22"/>
                <w:szCs w:val="22"/>
              </w:rPr>
              <w:t xml:space="preserve">GoPNG </w:t>
            </w:r>
            <w:r w:rsidR="00841D74">
              <w:rPr>
                <w:sz w:val="22"/>
                <w:szCs w:val="22"/>
              </w:rPr>
              <w:t xml:space="preserve">policies and </w:t>
            </w:r>
            <w:r w:rsidR="00F66BFA">
              <w:rPr>
                <w:sz w:val="22"/>
                <w:szCs w:val="22"/>
              </w:rPr>
              <w:t>priorities and with school system improvement research and practice.</w:t>
            </w:r>
          </w:p>
        </w:tc>
      </w:tr>
    </w:tbl>
    <w:p w14:paraId="444B2547" w14:textId="5CF3459C" w:rsidR="00E63B70" w:rsidRDefault="006E3B36" w:rsidP="0086690E">
      <w:pPr>
        <w:pStyle w:val="ListParagraph"/>
        <w:numPr>
          <w:ilvl w:val="0"/>
          <w:numId w:val="34"/>
        </w:numPr>
        <w:spacing w:before="120" w:after="120"/>
        <w:rPr>
          <w:i/>
          <w:iCs/>
          <w:color w:val="0070C0"/>
          <w:sz w:val="22"/>
          <w:szCs w:val="22"/>
        </w:rPr>
      </w:pPr>
      <w:r>
        <w:rPr>
          <w:i/>
          <w:iCs/>
          <w:color w:val="0070C0"/>
          <w:sz w:val="22"/>
          <w:szCs w:val="22"/>
        </w:rPr>
        <w:t xml:space="preserve">The Program’s relevance is </w:t>
      </w:r>
      <w:r w:rsidR="00637F9E">
        <w:rPr>
          <w:i/>
          <w:iCs/>
          <w:color w:val="0070C0"/>
          <w:sz w:val="22"/>
          <w:szCs w:val="22"/>
        </w:rPr>
        <w:t xml:space="preserve">evident in its alignment with the </w:t>
      </w:r>
      <w:r w:rsidR="00B35214">
        <w:rPr>
          <w:i/>
          <w:iCs/>
          <w:color w:val="0070C0"/>
          <w:sz w:val="22"/>
          <w:szCs w:val="22"/>
        </w:rPr>
        <w:t xml:space="preserve">new </w:t>
      </w:r>
      <w:r w:rsidR="001B43FF">
        <w:rPr>
          <w:i/>
          <w:iCs/>
          <w:color w:val="0070C0"/>
          <w:sz w:val="22"/>
          <w:szCs w:val="22"/>
        </w:rPr>
        <w:t xml:space="preserve">PNG </w:t>
      </w:r>
      <w:r>
        <w:rPr>
          <w:i/>
          <w:iCs/>
          <w:color w:val="0070C0"/>
          <w:sz w:val="22"/>
          <w:szCs w:val="22"/>
        </w:rPr>
        <w:t>Minister for Education</w:t>
      </w:r>
      <w:r w:rsidR="00637F9E">
        <w:rPr>
          <w:i/>
          <w:iCs/>
          <w:color w:val="0070C0"/>
          <w:sz w:val="22"/>
          <w:szCs w:val="22"/>
        </w:rPr>
        <w:t xml:space="preserve">’s </w:t>
      </w:r>
      <w:r>
        <w:rPr>
          <w:i/>
          <w:iCs/>
          <w:color w:val="0070C0"/>
          <w:sz w:val="22"/>
          <w:szCs w:val="22"/>
        </w:rPr>
        <w:t xml:space="preserve">priorities for </w:t>
      </w:r>
      <w:r w:rsidR="002F15E3">
        <w:rPr>
          <w:i/>
          <w:iCs/>
          <w:color w:val="0070C0"/>
          <w:sz w:val="22"/>
          <w:szCs w:val="22"/>
        </w:rPr>
        <w:t>education</w:t>
      </w:r>
      <w:r w:rsidR="00795430">
        <w:rPr>
          <w:i/>
          <w:iCs/>
          <w:color w:val="0070C0"/>
          <w:sz w:val="22"/>
          <w:szCs w:val="22"/>
        </w:rPr>
        <w:t xml:space="preserve"> and the </w:t>
      </w:r>
      <w:r w:rsidR="00090B0D">
        <w:rPr>
          <w:i/>
          <w:iCs/>
          <w:color w:val="0070C0"/>
          <w:sz w:val="22"/>
          <w:szCs w:val="22"/>
        </w:rPr>
        <w:t>N</w:t>
      </w:r>
      <w:r w:rsidR="002F15E3">
        <w:rPr>
          <w:i/>
          <w:iCs/>
          <w:color w:val="0070C0"/>
          <w:sz w:val="22"/>
          <w:szCs w:val="22"/>
        </w:rPr>
        <w:t>ational Education Plan</w:t>
      </w:r>
      <w:r w:rsidR="00090B0D">
        <w:rPr>
          <w:i/>
          <w:iCs/>
          <w:color w:val="0070C0"/>
          <w:sz w:val="22"/>
          <w:szCs w:val="22"/>
        </w:rPr>
        <w:t xml:space="preserve">. Its relevance is also evident in the new Australia – Papua New Guinea DPP </w:t>
      </w:r>
      <w:r w:rsidR="002F15E3">
        <w:rPr>
          <w:i/>
          <w:iCs/>
          <w:color w:val="0070C0"/>
          <w:sz w:val="22"/>
          <w:szCs w:val="22"/>
        </w:rPr>
        <w:t xml:space="preserve">and </w:t>
      </w:r>
      <w:r w:rsidR="00E63B70">
        <w:rPr>
          <w:i/>
          <w:iCs/>
          <w:color w:val="0070C0"/>
          <w:sz w:val="22"/>
          <w:szCs w:val="22"/>
        </w:rPr>
        <w:t>learning from research into improving school systems.</w:t>
      </w:r>
      <w:r w:rsidR="001B43FF">
        <w:rPr>
          <w:i/>
          <w:iCs/>
          <w:color w:val="0070C0"/>
          <w:sz w:val="22"/>
          <w:szCs w:val="22"/>
        </w:rPr>
        <w:t xml:space="preserve"> </w:t>
      </w:r>
    </w:p>
    <w:p w14:paraId="302449E1" w14:textId="7F0C9EB1" w:rsidR="003810F9" w:rsidRPr="0036595C" w:rsidRDefault="00E63B70" w:rsidP="0086690E">
      <w:pPr>
        <w:pStyle w:val="ListParagraph"/>
        <w:numPr>
          <w:ilvl w:val="0"/>
          <w:numId w:val="34"/>
        </w:numPr>
        <w:spacing w:before="120" w:after="120"/>
        <w:rPr>
          <w:i/>
          <w:iCs/>
          <w:color w:val="0070C0"/>
          <w:sz w:val="22"/>
          <w:szCs w:val="22"/>
        </w:rPr>
      </w:pPr>
      <w:r>
        <w:rPr>
          <w:i/>
          <w:iCs/>
          <w:color w:val="0070C0"/>
          <w:sz w:val="22"/>
          <w:szCs w:val="22"/>
        </w:rPr>
        <w:t xml:space="preserve">Based on this alignment the </w:t>
      </w:r>
      <w:r w:rsidR="001A6777" w:rsidRPr="0036595C">
        <w:rPr>
          <w:i/>
          <w:iCs/>
          <w:color w:val="0070C0"/>
          <w:sz w:val="22"/>
          <w:szCs w:val="22"/>
        </w:rPr>
        <w:t xml:space="preserve">program design continues to be relevant, however, </w:t>
      </w:r>
      <w:r w:rsidR="007B738A">
        <w:rPr>
          <w:i/>
          <w:iCs/>
          <w:color w:val="0070C0"/>
          <w:sz w:val="22"/>
          <w:szCs w:val="22"/>
        </w:rPr>
        <w:t xml:space="preserve">it is important that the focus continue to be </w:t>
      </w:r>
      <w:r w:rsidR="00457C61">
        <w:rPr>
          <w:i/>
          <w:iCs/>
          <w:color w:val="0070C0"/>
          <w:sz w:val="22"/>
          <w:szCs w:val="22"/>
        </w:rPr>
        <w:t>on ‘facilitating, testing</w:t>
      </w:r>
      <w:r w:rsidR="00A93EBB">
        <w:rPr>
          <w:i/>
          <w:iCs/>
          <w:color w:val="0070C0"/>
          <w:sz w:val="22"/>
          <w:szCs w:val="22"/>
        </w:rPr>
        <w:t>,</w:t>
      </w:r>
      <w:r w:rsidR="00457C61">
        <w:rPr>
          <w:i/>
          <w:iCs/>
          <w:color w:val="0070C0"/>
          <w:sz w:val="22"/>
          <w:szCs w:val="22"/>
        </w:rPr>
        <w:t xml:space="preserve"> and monitoring innovative ways’ and ‘</w:t>
      </w:r>
      <w:r w:rsidR="00C46C6B">
        <w:rPr>
          <w:i/>
          <w:iCs/>
          <w:color w:val="0070C0"/>
          <w:sz w:val="22"/>
          <w:szCs w:val="22"/>
        </w:rPr>
        <w:t>influencing policy and systems-based change</w:t>
      </w:r>
      <w:r w:rsidR="00A14C1C">
        <w:rPr>
          <w:i/>
          <w:iCs/>
          <w:color w:val="0070C0"/>
          <w:sz w:val="22"/>
          <w:szCs w:val="22"/>
        </w:rPr>
        <w:t xml:space="preserve">’, </w:t>
      </w:r>
      <w:r w:rsidR="00154BBC" w:rsidRPr="00154BBC">
        <w:rPr>
          <w:i/>
          <w:iCs/>
          <w:color w:val="0070C0"/>
          <w:sz w:val="22"/>
          <w:szCs w:val="22"/>
        </w:rPr>
        <w:t>rather than trying to achieve positive change for all, across every target province.</w:t>
      </w:r>
    </w:p>
    <w:p w14:paraId="5583B48A" w14:textId="77777777" w:rsidR="00F15AD9" w:rsidRPr="00F15AD9" w:rsidRDefault="00F15AD9" w:rsidP="00F15AD9">
      <w:pPr>
        <w:keepNext/>
        <w:spacing w:after="0"/>
        <w:rPr>
          <w:sz w:val="22"/>
          <w:szCs w:val="22"/>
          <w:u w:val="single"/>
        </w:rPr>
      </w:pPr>
      <w:r w:rsidRPr="00F15AD9">
        <w:rPr>
          <w:sz w:val="22"/>
          <w:szCs w:val="22"/>
          <w:u w:val="single"/>
        </w:rPr>
        <w:t>Alignment with PNG priorities and plans</w:t>
      </w:r>
    </w:p>
    <w:p w14:paraId="22F6C170" w14:textId="728D8370" w:rsidR="002D2A6C" w:rsidRPr="002D2A6C" w:rsidRDefault="002D2A6C" w:rsidP="002D2A6C">
      <w:pPr>
        <w:spacing w:after="0"/>
        <w:rPr>
          <w:sz w:val="22"/>
          <w:szCs w:val="22"/>
        </w:rPr>
      </w:pPr>
      <w:r>
        <w:rPr>
          <w:sz w:val="22"/>
          <w:szCs w:val="22"/>
        </w:rPr>
        <w:t>At the 14 August PIE-PASA Joint Coordinating Committee meeting Mr Kawage</w:t>
      </w:r>
      <w:r w:rsidR="00E0374D">
        <w:rPr>
          <w:sz w:val="22"/>
          <w:szCs w:val="22"/>
        </w:rPr>
        <w:t xml:space="preserve">, NDoE </w:t>
      </w:r>
      <w:r w:rsidR="00E0374D" w:rsidRPr="00E45E7D">
        <w:rPr>
          <w:rFonts w:asciiTheme="majorHAnsi" w:hAnsiTheme="majorHAnsi" w:cstheme="majorHAnsi"/>
          <w:sz w:val="22"/>
          <w:szCs w:val="22"/>
        </w:rPr>
        <w:t>Acting Deputy Secretary Policy and Corporate Services</w:t>
      </w:r>
      <w:r w:rsidR="00E0374D">
        <w:rPr>
          <w:rFonts w:asciiTheme="majorHAnsi" w:hAnsiTheme="majorHAnsi" w:cstheme="majorHAnsi"/>
          <w:sz w:val="22"/>
          <w:szCs w:val="22"/>
        </w:rPr>
        <w:t>,</w:t>
      </w:r>
      <w:r>
        <w:rPr>
          <w:sz w:val="22"/>
          <w:szCs w:val="22"/>
        </w:rPr>
        <w:t xml:space="preserve"> reported </w:t>
      </w:r>
      <w:r w:rsidR="00013ED2">
        <w:rPr>
          <w:sz w:val="22"/>
          <w:szCs w:val="22"/>
        </w:rPr>
        <w:t>on the Education Minister</w:t>
      </w:r>
      <w:r w:rsidR="00452356">
        <w:rPr>
          <w:sz w:val="22"/>
          <w:szCs w:val="22"/>
        </w:rPr>
        <w:t>’s 5 policy directives</w:t>
      </w:r>
      <w:r w:rsidR="006E79F5">
        <w:rPr>
          <w:sz w:val="22"/>
          <w:szCs w:val="22"/>
        </w:rPr>
        <w:t>, namely:</w:t>
      </w:r>
    </w:p>
    <w:p w14:paraId="6F679C4F" w14:textId="0EF89C8C" w:rsidR="002D2A6C" w:rsidRPr="006E79F5" w:rsidRDefault="002D2A6C" w:rsidP="006E79F5">
      <w:pPr>
        <w:pStyle w:val="ListParagraph"/>
        <w:numPr>
          <w:ilvl w:val="0"/>
          <w:numId w:val="9"/>
        </w:numPr>
        <w:spacing w:after="0"/>
        <w:rPr>
          <w:sz w:val="22"/>
          <w:szCs w:val="22"/>
        </w:rPr>
      </w:pPr>
      <w:r w:rsidRPr="006E79F5">
        <w:rPr>
          <w:sz w:val="22"/>
          <w:szCs w:val="22"/>
        </w:rPr>
        <w:t xml:space="preserve">Children, prepare for </w:t>
      </w:r>
      <w:r w:rsidR="00496EDC" w:rsidRPr="006E79F5">
        <w:rPr>
          <w:sz w:val="22"/>
          <w:szCs w:val="22"/>
        </w:rPr>
        <w:t>learning.</w:t>
      </w:r>
    </w:p>
    <w:p w14:paraId="74E46C7F" w14:textId="267BFD2E" w:rsidR="002D2A6C" w:rsidRPr="006E79F5" w:rsidRDefault="002D2A6C" w:rsidP="006E79F5">
      <w:pPr>
        <w:pStyle w:val="ListParagraph"/>
        <w:numPr>
          <w:ilvl w:val="0"/>
          <w:numId w:val="9"/>
        </w:numPr>
        <w:spacing w:after="0"/>
        <w:rPr>
          <w:sz w:val="22"/>
          <w:szCs w:val="22"/>
        </w:rPr>
      </w:pPr>
      <w:r w:rsidRPr="006E79F5">
        <w:rPr>
          <w:sz w:val="22"/>
          <w:szCs w:val="22"/>
        </w:rPr>
        <w:t xml:space="preserve">Prepare teachers to </w:t>
      </w:r>
      <w:r w:rsidR="00496EDC" w:rsidRPr="006E79F5">
        <w:rPr>
          <w:sz w:val="22"/>
          <w:szCs w:val="22"/>
        </w:rPr>
        <w:t>teach.</w:t>
      </w:r>
    </w:p>
    <w:p w14:paraId="7A233041" w14:textId="7D308D5E" w:rsidR="002D2A6C" w:rsidRPr="006E79F5" w:rsidRDefault="002D2A6C" w:rsidP="006E79F5">
      <w:pPr>
        <w:pStyle w:val="ListParagraph"/>
        <w:numPr>
          <w:ilvl w:val="0"/>
          <w:numId w:val="9"/>
        </w:numPr>
        <w:spacing w:after="0"/>
        <w:rPr>
          <w:sz w:val="22"/>
          <w:szCs w:val="22"/>
        </w:rPr>
      </w:pPr>
      <w:r w:rsidRPr="006E79F5">
        <w:rPr>
          <w:sz w:val="22"/>
          <w:szCs w:val="22"/>
        </w:rPr>
        <w:t xml:space="preserve">School environment should be conducive to </w:t>
      </w:r>
      <w:r w:rsidR="00496EDC" w:rsidRPr="006E79F5">
        <w:rPr>
          <w:sz w:val="22"/>
          <w:szCs w:val="22"/>
        </w:rPr>
        <w:t>learning.</w:t>
      </w:r>
    </w:p>
    <w:p w14:paraId="32FF3203" w14:textId="45245E2E" w:rsidR="002D2A6C" w:rsidRPr="006E79F5" w:rsidRDefault="002D2A6C" w:rsidP="006E79F5">
      <w:pPr>
        <w:pStyle w:val="ListParagraph"/>
        <w:numPr>
          <w:ilvl w:val="0"/>
          <w:numId w:val="9"/>
        </w:numPr>
        <w:spacing w:after="0"/>
        <w:rPr>
          <w:sz w:val="22"/>
          <w:szCs w:val="22"/>
        </w:rPr>
      </w:pPr>
      <w:r w:rsidRPr="006E79F5">
        <w:rPr>
          <w:sz w:val="22"/>
          <w:szCs w:val="22"/>
        </w:rPr>
        <w:t>Focus on secondary education (FODE, TVET, NSOE)</w:t>
      </w:r>
    </w:p>
    <w:p w14:paraId="032E756F" w14:textId="77777777" w:rsidR="002D2A6C" w:rsidRPr="006E79F5" w:rsidRDefault="002D2A6C" w:rsidP="006E79F5">
      <w:pPr>
        <w:pStyle w:val="ListParagraph"/>
        <w:numPr>
          <w:ilvl w:val="0"/>
          <w:numId w:val="9"/>
        </w:numPr>
        <w:spacing w:after="0"/>
        <w:rPr>
          <w:sz w:val="22"/>
          <w:szCs w:val="22"/>
        </w:rPr>
      </w:pPr>
      <w:r w:rsidRPr="006E79F5">
        <w:rPr>
          <w:sz w:val="22"/>
          <w:szCs w:val="22"/>
        </w:rPr>
        <w:t>School governance and leadership.</w:t>
      </w:r>
    </w:p>
    <w:p w14:paraId="121DF96F" w14:textId="7C9292BA" w:rsidR="002D2A6C" w:rsidRDefault="005C11D9" w:rsidP="006E79F5">
      <w:pPr>
        <w:rPr>
          <w:sz w:val="22"/>
          <w:szCs w:val="22"/>
        </w:rPr>
      </w:pPr>
      <w:r>
        <w:rPr>
          <w:sz w:val="22"/>
          <w:szCs w:val="22"/>
        </w:rPr>
        <w:t xml:space="preserve">Participants at interviews for this independent progress review also </w:t>
      </w:r>
      <w:r w:rsidR="007468BB">
        <w:rPr>
          <w:sz w:val="22"/>
          <w:szCs w:val="22"/>
        </w:rPr>
        <w:t xml:space="preserve">referred to PIE’s alignment with the Minister’s policy directives and </w:t>
      </w:r>
      <w:r w:rsidR="00401DFC">
        <w:rPr>
          <w:sz w:val="22"/>
          <w:szCs w:val="22"/>
        </w:rPr>
        <w:t xml:space="preserve">consistently </w:t>
      </w:r>
      <w:r>
        <w:rPr>
          <w:sz w:val="22"/>
          <w:szCs w:val="22"/>
        </w:rPr>
        <w:t>reported that the Program’s activities were aligned with the National Education Plan</w:t>
      </w:r>
      <w:r w:rsidR="003C06F3">
        <w:rPr>
          <w:sz w:val="22"/>
          <w:szCs w:val="22"/>
        </w:rPr>
        <w:t xml:space="preserve"> and therefore their day-to-day workplans</w:t>
      </w:r>
      <w:r w:rsidR="002F61EE">
        <w:rPr>
          <w:sz w:val="22"/>
          <w:szCs w:val="22"/>
        </w:rPr>
        <w:t>.</w:t>
      </w:r>
    </w:p>
    <w:p w14:paraId="1B93787C" w14:textId="6F2093C1" w:rsidR="00F65F9E" w:rsidRDefault="00F65F9E" w:rsidP="006E79F5">
      <w:pPr>
        <w:rPr>
          <w:sz w:val="22"/>
          <w:szCs w:val="22"/>
          <w:u w:val="single"/>
        </w:rPr>
      </w:pPr>
      <w:r>
        <w:rPr>
          <w:sz w:val="22"/>
          <w:szCs w:val="22"/>
          <w:u w:val="single"/>
        </w:rPr>
        <w:t>Alignment with G</w:t>
      </w:r>
      <w:r w:rsidR="00266EFF">
        <w:rPr>
          <w:sz w:val="22"/>
          <w:szCs w:val="22"/>
          <w:u w:val="single"/>
        </w:rPr>
        <w:t xml:space="preserve">overnment of Australia </w:t>
      </w:r>
      <w:r>
        <w:rPr>
          <w:sz w:val="22"/>
          <w:szCs w:val="22"/>
          <w:u w:val="single"/>
        </w:rPr>
        <w:t>policy settings</w:t>
      </w:r>
    </w:p>
    <w:p w14:paraId="145D88A3" w14:textId="27E15C8E" w:rsidR="00447203" w:rsidRDefault="00447203" w:rsidP="00447203">
      <w:pPr>
        <w:rPr>
          <w:sz w:val="22"/>
          <w:szCs w:val="22"/>
        </w:rPr>
      </w:pPr>
      <w:r w:rsidRPr="00C047F7">
        <w:rPr>
          <w:sz w:val="22"/>
          <w:szCs w:val="22"/>
        </w:rPr>
        <w:t xml:space="preserve">The </w:t>
      </w:r>
      <w:r w:rsidRPr="00C047F7">
        <w:rPr>
          <w:i/>
          <w:iCs/>
          <w:sz w:val="22"/>
          <w:szCs w:val="22"/>
        </w:rPr>
        <w:t xml:space="preserve">Australia – Papua New Guinea </w:t>
      </w:r>
      <w:r w:rsidR="00362AA5" w:rsidRPr="00C047F7">
        <w:rPr>
          <w:i/>
          <w:iCs/>
          <w:sz w:val="22"/>
          <w:szCs w:val="22"/>
        </w:rPr>
        <w:t xml:space="preserve">Development Partnership Plan </w:t>
      </w:r>
      <w:r w:rsidR="006E197D">
        <w:rPr>
          <w:i/>
          <w:iCs/>
          <w:sz w:val="22"/>
          <w:szCs w:val="22"/>
        </w:rPr>
        <w:t xml:space="preserve">(DPP) </w:t>
      </w:r>
      <w:r w:rsidR="00362AA5" w:rsidRPr="00C047F7">
        <w:rPr>
          <w:i/>
          <w:iCs/>
          <w:sz w:val="22"/>
          <w:szCs w:val="22"/>
        </w:rPr>
        <w:t>2024-2029</w:t>
      </w:r>
      <w:r w:rsidR="00362AA5">
        <w:rPr>
          <w:sz w:val="22"/>
          <w:szCs w:val="22"/>
        </w:rPr>
        <w:t xml:space="preserve"> </w:t>
      </w:r>
      <w:r w:rsidR="00A27A81">
        <w:rPr>
          <w:sz w:val="22"/>
          <w:szCs w:val="22"/>
        </w:rPr>
        <w:t>(p.13) note</w:t>
      </w:r>
      <w:r w:rsidR="00174D67">
        <w:rPr>
          <w:sz w:val="22"/>
          <w:szCs w:val="22"/>
        </w:rPr>
        <w:t xml:space="preserve">s the mutual recognition of </w:t>
      </w:r>
      <w:r w:rsidR="00322CD8">
        <w:rPr>
          <w:sz w:val="22"/>
          <w:szCs w:val="22"/>
        </w:rPr>
        <w:t>‘</w:t>
      </w:r>
      <w:r w:rsidR="00322CD8" w:rsidRPr="00322CD8">
        <w:rPr>
          <w:sz w:val="22"/>
          <w:szCs w:val="22"/>
        </w:rPr>
        <w:t>foundational education in PNG as a key pathway to employment through secondary, technical and tertiary education</w:t>
      </w:r>
      <w:r w:rsidR="00322CD8">
        <w:rPr>
          <w:sz w:val="22"/>
          <w:szCs w:val="22"/>
        </w:rPr>
        <w:t>’</w:t>
      </w:r>
      <w:r w:rsidR="00F93D0E">
        <w:rPr>
          <w:sz w:val="22"/>
          <w:szCs w:val="22"/>
        </w:rPr>
        <w:t xml:space="preserve"> and </w:t>
      </w:r>
      <w:r w:rsidR="006A70BC">
        <w:rPr>
          <w:sz w:val="22"/>
          <w:szCs w:val="22"/>
        </w:rPr>
        <w:t>describes a boost in Australia</w:t>
      </w:r>
      <w:r w:rsidR="008549A6">
        <w:rPr>
          <w:sz w:val="22"/>
          <w:szCs w:val="22"/>
        </w:rPr>
        <w:t xml:space="preserve">’s investment in education in PNG, increasing the focus on </w:t>
      </w:r>
      <w:r w:rsidR="00266EFF">
        <w:rPr>
          <w:sz w:val="22"/>
          <w:szCs w:val="22"/>
        </w:rPr>
        <w:t>‘</w:t>
      </w:r>
      <w:r w:rsidR="00266EFF" w:rsidRPr="00266EFF">
        <w:rPr>
          <w:sz w:val="22"/>
          <w:szCs w:val="22"/>
        </w:rPr>
        <w:t>access, student retention and learning outcomes</w:t>
      </w:r>
      <w:r w:rsidR="00266EFF">
        <w:rPr>
          <w:sz w:val="22"/>
          <w:szCs w:val="22"/>
        </w:rPr>
        <w:t xml:space="preserve">’. </w:t>
      </w:r>
    </w:p>
    <w:p w14:paraId="6988C4A1" w14:textId="5B0DD394" w:rsidR="00FA6056" w:rsidRPr="00C047F7" w:rsidRDefault="00FA6056" w:rsidP="00447203">
      <w:pPr>
        <w:rPr>
          <w:sz w:val="22"/>
          <w:szCs w:val="22"/>
        </w:rPr>
      </w:pPr>
      <w:r>
        <w:rPr>
          <w:sz w:val="22"/>
          <w:szCs w:val="22"/>
        </w:rPr>
        <w:t xml:space="preserve">PIE’s focus on </w:t>
      </w:r>
      <w:r w:rsidR="00550255">
        <w:rPr>
          <w:sz w:val="22"/>
          <w:szCs w:val="22"/>
        </w:rPr>
        <w:t xml:space="preserve">improving </w:t>
      </w:r>
      <w:r>
        <w:rPr>
          <w:sz w:val="22"/>
          <w:szCs w:val="22"/>
        </w:rPr>
        <w:t>foundatio</w:t>
      </w:r>
      <w:r w:rsidR="005B7A5C">
        <w:rPr>
          <w:sz w:val="22"/>
          <w:szCs w:val="22"/>
        </w:rPr>
        <w:t>nal learning in the early years of school</w:t>
      </w:r>
      <w:r w:rsidR="00310537">
        <w:rPr>
          <w:sz w:val="22"/>
          <w:szCs w:val="22"/>
        </w:rPr>
        <w:t>ing</w:t>
      </w:r>
      <w:r w:rsidR="005B7A5C">
        <w:rPr>
          <w:sz w:val="22"/>
          <w:szCs w:val="22"/>
        </w:rPr>
        <w:t xml:space="preserve"> </w:t>
      </w:r>
      <w:r w:rsidR="0060795D">
        <w:rPr>
          <w:sz w:val="22"/>
          <w:szCs w:val="22"/>
        </w:rPr>
        <w:t xml:space="preserve">through </w:t>
      </w:r>
      <w:r w:rsidR="005B7A5C">
        <w:rPr>
          <w:sz w:val="22"/>
          <w:szCs w:val="22"/>
        </w:rPr>
        <w:t xml:space="preserve">its </w:t>
      </w:r>
      <w:r w:rsidR="00CF03FB">
        <w:rPr>
          <w:sz w:val="22"/>
          <w:szCs w:val="22"/>
        </w:rPr>
        <w:t xml:space="preserve">attention to </w:t>
      </w:r>
      <w:r w:rsidR="00550255">
        <w:rPr>
          <w:sz w:val="22"/>
          <w:szCs w:val="22"/>
        </w:rPr>
        <w:t xml:space="preserve">access, retention and quality teaching </w:t>
      </w:r>
      <w:r w:rsidR="00F217C9">
        <w:rPr>
          <w:sz w:val="22"/>
          <w:szCs w:val="22"/>
        </w:rPr>
        <w:t>for all students (</w:t>
      </w:r>
      <w:r w:rsidR="00310537" w:rsidRPr="00310537">
        <w:rPr>
          <w:sz w:val="22"/>
          <w:szCs w:val="22"/>
        </w:rPr>
        <w:t>girls, boys and children with disabilities</w:t>
      </w:r>
      <w:r w:rsidR="00F217C9">
        <w:rPr>
          <w:sz w:val="22"/>
          <w:szCs w:val="22"/>
        </w:rPr>
        <w:t xml:space="preserve">) </w:t>
      </w:r>
      <w:r w:rsidR="006E197D">
        <w:rPr>
          <w:sz w:val="22"/>
          <w:szCs w:val="22"/>
        </w:rPr>
        <w:t>is aligned with the goals of the recent DPP</w:t>
      </w:r>
      <w:r w:rsidR="001B43FF">
        <w:rPr>
          <w:sz w:val="22"/>
          <w:szCs w:val="22"/>
        </w:rPr>
        <w:t xml:space="preserve">, reinforcing </w:t>
      </w:r>
      <w:r w:rsidR="008932AB">
        <w:rPr>
          <w:sz w:val="22"/>
          <w:szCs w:val="22"/>
        </w:rPr>
        <w:t xml:space="preserve">the Program’s </w:t>
      </w:r>
      <w:r w:rsidR="001B43FF">
        <w:rPr>
          <w:sz w:val="22"/>
          <w:szCs w:val="22"/>
        </w:rPr>
        <w:t>ongoing relevance.</w:t>
      </w:r>
    </w:p>
    <w:p w14:paraId="06A55B14" w14:textId="74D146BB" w:rsidR="00AD553A" w:rsidRPr="00AD553A" w:rsidRDefault="00AD553A" w:rsidP="0086690E">
      <w:pPr>
        <w:keepNext/>
        <w:rPr>
          <w:sz w:val="22"/>
          <w:szCs w:val="22"/>
          <w:u w:val="single"/>
        </w:rPr>
      </w:pPr>
      <w:r w:rsidRPr="00AD553A">
        <w:rPr>
          <w:sz w:val="22"/>
          <w:szCs w:val="22"/>
          <w:u w:val="single"/>
        </w:rPr>
        <w:t>Lessons from research</w:t>
      </w:r>
    </w:p>
    <w:p w14:paraId="0F9372D6" w14:textId="5CC82E4E" w:rsidR="004C2219" w:rsidRDefault="00586E93" w:rsidP="006E79F5">
      <w:pPr>
        <w:rPr>
          <w:sz w:val="22"/>
          <w:szCs w:val="22"/>
        </w:rPr>
      </w:pPr>
      <w:r>
        <w:rPr>
          <w:sz w:val="22"/>
          <w:szCs w:val="22"/>
        </w:rPr>
        <w:t xml:space="preserve">Mourshed </w:t>
      </w:r>
      <w:r w:rsidR="00B22791">
        <w:rPr>
          <w:sz w:val="22"/>
          <w:szCs w:val="22"/>
        </w:rPr>
        <w:t xml:space="preserve">et </w:t>
      </w:r>
      <w:r>
        <w:rPr>
          <w:sz w:val="22"/>
          <w:szCs w:val="22"/>
        </w:rPr>
        <w:t>al</w:t>
      </w:r>
      <w:r w:rsidR="0052761B">
        <w:rPr>
          <w:rStyle w:val="FootnoteReference"/>
          <w:sz w:val="22"/>
          <w:szCs w:val="22"/>
        </w:rPr>
        <w:footnoteReference w:id="15"/>
      </w:r>
      <w:r>
        <w:rPr>
          <w:sz w:val="22"/>
          <w:szCs w:val="22"/>
        </w:rPr>
        <w:t xml:space="preserve"> (</w:t>
      </w:r>
      <w:r w:rsidR="00C5533D">
        <w:rPr>
          <w:sz w:val="22"/>
          <w:szCs w:val="22"/>
        </w:rPr>
        <w:t>2010:18)</w:t>
      </w:r>
      <w:r w:rsidR="008063D4">
        <w:rPr>
          <w:sz w:val="22"/>
          <w:szCs w:val="22"/>
        </w:rPr>
        <w:t xml:space="preserve"> observed that</w:t>
      </w:r>
      <w:r w:rsidR="005A2385">
        <w:rPr>
          <w:sz w:val="22"/>
          <w:szCs w:val="22"/>
        </w:rPr>
        <w:t xml:space="preserve"> ‘</w:t>
      </w:r>
      <w:r w:rsidR="005A2385" w:rsidRPr="00920524">
        <w:rPr>
          <w:i/>
          <w:iCs/>
          <w:sz w:val="22"/>
          <w:szCs w:val="22"/>
        </w:rPr>
        <w:t>a school system can improve from any starting point</w:t>
      </w:r>
      <w:r w:rsidR="0028158C" w:rsidRPr="00920524">
        <w:rPr>
          <w:i/>
          <w:iCs/>
          <w:sz w:val="22"/>
          <w:szCs w:val="22"/>
        </w:rPr>
        <w:t>’</w:t>
      </w:r>
      <w:r w:rsidR="0028158C">
        <w:rPr>
          <w:sz w:val="22"/>
          <w:szCs w:val="22"/>
        </w:rPr>
        <w:t xml:space="preserve">, </w:t>
      </w:r>
      <w:r w:rsidR="00B22791">
        <w:rPr>
          <w:sz w:val="22"/>
          <w:szCs w:val="22"/>
        </w:rPr>
        <w:t>and h</w:t>
      </w:r>
      <w:r w:rsidR="0028158C">
        <w:rPr>
          <w:sz w:val="22"/>
          <w:szCs w:val="22"/>
        </w:rPr>
        <w:t>ighlight</w:t>
      </w:r>
      <w:r w:rsidR="00B22791">
        <w:rPr>
          <w:sz w:val="22"/>
          <w:szCs w:val="22"/>
        </w:rPr>
        <w:t>ed</w:t>
      </w:r>
      <w:r w:rsidR="0028158C">
        <w:rPr>
          <w:sz w:val="22"/>
          <w:szCs w:val="22"/>
        </w:rPr>
        <w:t xml:space="preserve"> the importance of the system</w:t>
      </w:r>
      <w:r w:rsidR="00146E12">
        <w:rPr>
          <w:sz w:val="22"/>
          <w:szCs w:val="22"/>
        </w:rPr>
        <w:t>, when developing and implementing an improvement journey</w:t>
      </w:r>
      <w:r w:rsidR="00357954">
        <w:rPr>
          <w:sz w:val="22"/>
          <w:szCs w:val="22"/>
        </w:rPr>
        <w:t>,</w:t>
      </w:r>
      <w:r w:rsidR="0026232B">
        <w:rPr>
          <w:sz w:val="22"/>
          <w:szCs w:val="22"/>
        </w:rPr>
        <w:t xml:space="preserve"> identifying and acknowledging the starting point in terms of student outcomes</w:t>
      </w:r>
      <w:r w:rsidR="00A8301F">
        <w:rPr>
          <w:sz w:val="22"/>
          <w:szCs w:val="22"/>
        </w:rPr>
        <w:t xml:space="preserve"> and adopting a set of interventions that reflect the prevailing context. </w:t>
      </w:r>
      <w:r w:rsidR="00FB32EB">
        <w:rPr>
          <w:sz w:val="22"/>
          <w:szCs w:val="22"/>
        </w:rPr>
        <w:t xml:space="preserve">The study identified three intervention clusters </w:t>
      </w:r>
      <w:r w:rsidR="004C2219">
        <w:rPr>
          <w:sz w:val="22"/>
          <w:szCs w:val="22"/>
        </w:rPr>
        <w:t>adopted by systems in the ‘poor to fair’ range:</w:t>
      </w:r>
    </w:p>
    <w:p w14:paraId="0595FCC2" w14:textId="79750133" w:rsidR="008D685D" w:rsidRDefault="004C2219" w:rsidP="004C2219">
      <w:pPr>
        <w:pStyle w:val="ListParagraph"/>
        <w:numPr>
          <w:ilvl w:val="0"/>
          <w:numId w:val="3"/>
        </w:numPr>
        <w:rPr>
          <w:sz w:val="22"/>
          <w:szCs w:val="22"/>
        </w:rPr>
      </w:pPr>
      <w:r>
        <w:rPr>
          <w:sz w:val="22"/>
          <w:szCs w:val="22"/>
        </w:rPr>
        <w:t>Providing motivation and scaffolding for low skill teachers</w:t>
      </w:r>
      <w:r w:rsidR="005B26B7">
        <w:rPr>
          <w:sz w:val="22"/>
          <w:szCs w:val="22"/>
        </w:rPr>
        <w:t xml:space="preserve"> (e.g., scripted teaching materials, coaching on curriculum</w:t>
      </w:r>
      <w:r w:rsidR="008D685D">
        <w:rPr>
          <w:sz w:val="22"/>
          <w:szCs w:val="22"/>
        </w:rPr>
        <w:t xml:space="preserve">, school visits by </w:t>
      </w:r>
      <w:r w:rsidR="004E3642">
        <w:rPr>
          <w:sz w:val="22"/>
          <w:szCs w:val="22"/>
        </w:rPr>
        <w:t>the centre e.g. school inspectors</w:t>
      </w:r>
      <w:r w:rsidR="008D685D">
        <w:rPr>
          <w:sz w:val="22"/>
          <w:szCs w:val="22"/>
        </w:rPr>
        <w:t>)</w:t>
      </w:r>
    </w:p>
    <w:p w14:paraId="1FCB74BB" w14:textId="3B4B1FBD" w:rsidR="00DF541F" w:rsidRDefault="008D685D" w:rsidP="004C2219">
      <w:pPr>
        <w:pStyle w:val="ListParagraph"/>
        <w:numPr>
          <w:ilvl w:val="0"/>
          <w:numId w:val="3"/>
        </w:numPr>
        <w:rPr>
          <w:sz w:val="22"/>
          <w:szCs w:val="22"/>
        </w:rPr>
      </w:pPr>
      <w:r>
        <w:rPr>
          <w:sz w:val="22"/>
          <w:szCs w:val="22"/>
        </w:rPr>
        <w:t>Getting all schools to a minimum quality level (e.g.</w:t>
      </w:r>
      <w:r w:rsidR="00DF541F">
        <w:rPr>
          <w:sz w:val="22"/>
          <w:szCs w:val="22"/>
        </w:rPr>
        <w:t>, provision of textbooks, school infrastructure improvements)</w:t>
      </w:r>
    </w:p>
    <w:p w14:paraId="20B3D098" w14:textId="77777777" w:rsidR="00D32538" w:rsidRDefault="00D32538" w:rsidP="004C2219">
      <w:pPr>
        <w:pStyle w:val="ListParagraph"/>
        <w:numPr>
          <w:ilvl w:val="0"/>
          <w:numId w:val="3"/>
        </w:numPr>
        <w:rPr>
          <w:sz w:val="22"/>
          <w:szCs w:val="22"/>
        </w:rPr>
      </w:pPr>
      <w:r>
        <w:rPr>
          <w:sz w:val="22"/>
          <w:szCs w:val="22"/>
        </w:rPr>
        <w:t>Getting students in seats (e.g., expand school seats, fulfill students’ basic needs to raise attendance).</w:t>
      </w:r>
    </w:p>
    <w:p w14:paraId="53F55ABA" w14:textId="77777777" w:rsidR="00011D54" w:rsidRDefault="00D32538" w:rsidP="005540AA">
      <w:pPr>
        <w:rPr>
          <w:sz w:val="22"/>
          <w:szCs w:val="22"/>
        </w:rPr>
      </w:pPr>
      <w:r>
        <w:rPr>
          <w:sz w:val="22"/>
          <w:szCs w:val="22"/>
        </w:rPr>
        <w:t xml:space="preserve">More recently </w:t>
      </w:r>
      <w:r w:rsidR="006C1BA3">
        <w:rPr>
          <w:sz w:val="22"/>
          <w:szCs w:val="22"/>
        </w:rPr>
        <w:t>the National Center on Education and the Economy</w:t>
      </w:r>
      <w:r w:rsidR="006C1BA3">
        <w:rPr>
          <w:rStyle w:val="FootnoteReference"/>
          <w:sz w:val="22"/>
          <w:szCs w:val="22"/>
        </w:rPr>
        <w:footnoteReference w:id="16"/>
      </w:r>
      <w:r w:rsidR="00230123">
        <w:rPr>
          <w:sz w:val="22"/>
          <w:szCs w:val="22"/>
        </w:rPr>
        <w:t xml:space="preserve"> dr</w:t>
      </w:r>
      <w:r w:rsidR="008A6581">
        <w:rPr>
          <w:sz w:val="22"/>
          <w:szCs w:val="22"/>
        </w:rPr>
        <w:t>aws o</w:t>
      </w:r>
      <w:r w:rsidR="00230123">
        <w:rPr>
          <w:sz w:val="22"/>
          <w:szCs w:val="22"/>
        </w:rPr>
        <w:t xml:space="preserve">n its study of high performing school systems to </w:t>
      </w:r>
      <w:r w:rsidR="008A6581">
        <w:rPr>
          <w:sz w:val="22"/>
          <w:szCs w:val="22"/>
        </w:rPr>
        <w:t xml:space="preserve">present </w:t>
      </w:r>
      <w:r w:rsidR="00A642BB">
        <w:rPr>
          <w:sz w:val="22"/>
          <w:szCs w:val="22"/>
        </w:rPr>
        <w:t xml:space="preserve">a blueprint for improvement that </w:t>
      </w:r>
      <w:r w:rsidR="005540AA">
        <w:rPr>
          <w:sz w:val="22"/>
          <w:szCs w:val="22"/>
        </w:rPr>
        <w:t>‘</w:t>
      </w:r>
      <w:r w:rsidR="005540AA" w:rsidRPr="00920524">
        <w:rPr>
          <w:i/>
          <w:iCs/>
          <w:sz w:val="22"/>
          <w:szCs w:val="22"/>
        </w:rPr>
        <w:t>can be accomplished across the schooling experience of individual students. Systems can and do make real progress in five to eight years. Such systems work in aligned and coherent ways toward their goals</w:t>
      </w:r>
      <w:r w:rsidR="005540AA">
        <w:rPr>
          <w:sz w:val="22"/>
          <w:szCs w:val="22"/>
        </w:rPr>
        <w:t xml:space="preserve">.’ (NCEE 2024:3). The four strategies </w:t>
      </w:r>
      <w:r w:rsidR="00011D54">
        <w:rPr>
          <w:sz w:val="22"/>
          <w:szCs w:val="22"/>
        </w:rPr>
        <w:t>set out in the ‘blueprint’ are:</w:t>
      </w:r>
    </w:p>
    <w:p w14:paraId="71C40CB8" w14:textId="6E6F4FFE" w:rsidR="00011D54" w:rsidRDefault="00011D54" w:rsidP="00011D54">
      <w:pPr>
        <w:pStyle w:val="ListParagraph"/>
        <w:numPr>
          <w:ilvl w:val="0"/>
          <w:numId w:val="3"/>
        </w:numPr>
        <w:rPr>
          <w:sz w:val="22"/>
          <w:szCs w:val="22"/>
        </w:rPr>
      </w:pPr>
      <w:r>
        <w:rPr>
          <w:sz w:val="22"/>
          <w:szCs w:val="22"/>
        </w:rPr>
        <w:t xml:space="preserve">Prepare young people for long life </w:t>
      </w:r>
      <w:r w:rsidR="00496EDC">
        <w:rPr>
          <w:sz w:val="22"/>
          <w:szCs w:val="22"/>
        </w:rPr>
        <w:t>learning.</w:t>
      </w:r>
    </w:p>
    <w:p w14:paraId="1781D752" w14:textId="6F7725C0" w:rsidR="00011D54" w:rsidRDefault="00011D54" w:rsidP="00011D54">
      <w:pPr>
        <w:pStyle w:val="ListParagraph"/>
        <w:numPr>
          <w:ilvl w:val="0"/>
          <w:numId w:val="3"/>
        </w:numPr>
        <w:rPr>
          <w:sz w:val="22"/>
          <w:szCs w:val="22"/>
        </w:rPr>
      </w:pPr>
      <w:r>
        <w:rPr>
          <w:sz w:val="22"/>
          <w:szCs w:val="22"/>
        </w:rPr>
        <w:t xml:space="preserve">Cultivate high capacity, forward thinking </w:t>
      </w:r>
      <w:r w:rsidR="00496EDC">
        <w:rPr>
          <w:sz w:val="22"/>
          <w:szCs w:val="22"/>
        </w:rPr>
        <w:t>educators.</w:t>
      </w:r>
    </w:p>
    <w:p w14:paraId="348FD450" w14:textId="728DB660" w:rsidR="00011D54" w:rsidRDefault="00011D54" w:rsidP="00011D54">
      <w:pPr>
        <w:pStyle w:val="ListParagraph"/>
        <w:numPr>
          <w:ilvl w:val="0"/>
          <w:numId w:val="3"/>
        </w:numPr>
        <w:rPr>
          <w:sz w:val="22"/>
          <w:szCs w:val="22"/>
        </w:rPr>
      </w:pPr>
      <w:r>
        <w:rPr>
          <w:sz w:val="22"/>
          <w:szCs w:val="22"/>
        </w:rPr>
        <w:t xml:space="preserve">Join forces to ensure learners </w:t>
      </w:r>
      <w:r w:rsidR="00496EDC">
        <w:rPr>
          <w:sz w:val="22"/>
          <w:szCs w:val="22"/>
        </w:rPr>
        <w:t>thrive.</w:t>
      </w:r>
    </w:p>
    <w:p w14:paraId="0BCD7CF6" w14:textId="77777777" w:rsidR="00300C1F" w:rsidRDefault="00011D54" w:rsidP="00011D54">
      <w:pPr>
        <w:pStyle w:val="ListParagraph"/>
        <w:numPr>
          <w:ilvl w:val="0"/>
          <w:numId w:val="3"/>
        </w:numPr>
        <w:rPr>
          <w:sz w:val="22"/>
          <w:szCs w:val="22"/>
        </w:rPr>
      </w:pPr>
      <w:r>
        <w:rPr>
          <w:sz w:val="22"/>
          <w:szCs w:val="22"/>
        </w:rPr>
        <w:t>Think differently about system leadership</w:t>
      </w:r>
      <w:r w:rsidR="00300C1F">
        <w:rPr>
          <w:sz w:val="22"/>
          <w:szCs w:val="22"/>
        </w:rPr>
        <w:t>.</w:t>
      </w:r>
    </w:p>
    <w:p w14:paraId="15B58CB9" w14:textId="01291F0F" w:rsidR="001958ED" w:rsidRDefault="00300C1F" w:rsidP="00300C1F">
      <w:pPr>
        <w:rPr>
          <w:sz w:val="22"/>
          <w:szCs w:val="22"/>
        </w:rPr>
      </w:pPr>
      <w:r>
        <w:rPr>
          <w:sz w:val="22"/>
          <w:szCs w:val="22"/>
        </w:rPr>
        <w:t xml:space="preserve">These two reports bookend the education </w:t>
      </w:r>
      <w:r w:rsidR="00450474">
        <w:rPr>
          <w:sz w:val="22"/>
          <w:szCs w:val="22"/>
        </w:rPr>
        <w:t xml:space="preserve">improvement </w:t>
      </w:r>
      <w:r>
        <w:rPr>
          <w:sz w:val="22"/>
          <w:szCs w:val="22"/>
        </w:rPr>
        <w:t>journey that the GoPNG is seeking for its students</w:t>
      </w:r>
      <w:r w:rsidR="00450474">
        <w:rPr>
          <w:sz w:val="22"/>
          <w:szCs w:val="22"/>
        </w:rPr>
        <w:t>, teachers and schools</w:t>
      </w:r>
      <w:r w:rsidR="00397583">
        <w:rPr>
          <w:sz w:val="22"/>
          <w:szCs w:val="22"/>
        </w:rPr>
        <w:t xml:space="preserve">. The first provides </w:t>
      </w:r>
      <w:r w:rsidR="00450474">
        <w:rPr>
          <w:sz w:val="22"/>
          <w:szCs w:val="22"/>
        </w:rPr>
        <w:t xml:space="preserve">reassurance </w:t>
      </w:r>
      <w:r w:rsidR="00981AA2">
        <w:rPr>
          <w:sz w:val="22"/>
          <w:szCs w:val="22"/>
        </w:rPr>
        <w:t xml:space="preserve">on </w:t>
      </w:r>
      <w:r w:rsidR="000524D6">
        <w:rPr>
          <w:sz w:val="22"/>
          <w:szCs w:val="22"/>
        </w:rPr>
        <w:t xml:space="preserve">the strategies that the Government and the PIE program </w:t>
      </w:r>
      <w:r w:rsidR="00981AA2">
        <w:rPr>
          <w:sz w:val="22"/>
          <w:szCs w:val="22"/>
        </w:rPr>
        <w:t xml:space="preserve">are </w:t>
      </w:r>
      <w:r w:rsidR="000524D6">
        <w:rPr>
          <w:sz w:val="22"/>
          <w:szCs w:val="22"/>
        </w:rPr>
        <w:t>adopting</w:t>
      </w:r>
      <w:r w:rsidR="00397583">
        <w:rPr>
          <w:sz w:val="22"/>
          <w:szCs w:val="22"/>
        </w:rPr>
        <w:t>. The second</w:t>
      </w:r>
      <w:r w:rsidR="001E5146">
        <w:rPr>
          <w:sz w:val="22"/>
          <w:szCs w:val="22"/>
        </w:rPr>
        <w:t xml:space="preserve"> also provides reassurance for the strategies being adopted </w:t>
      </w:r>
      <w:r w:rsidR="00981AA2">
        <w:rPr>
          <w:sz w:val="22"/>
          <w:szCs w:val="22"/>
        </w:rPr>
        <w:t xml:space="preserve">along with </w:t>
      </w:r>
      <w:r w:rsidR="00C215A2">
        <w:rPr>
          <w:sz w:val="22"/>
          <w:szCs w:val="22"/>
        </w:rPr>
        <w:t xml:space="preserve">encouragement and aspiration </w:t>
      </w:r>
      <w:r w:rsidR="001E5146">
        <w:rPr>
          <w:sz w:val="22"/>
          <w:szCs w:val="22"/>
        </w:rPr>
        <w:t xml:space="preserve">for medium </w:t>
      </w:r>
      <w:r w:rsidR="00936A50">
        <w:rPr>
          <w:sz w:val="22"/>
          <w:szCs w:val="22"/>
        </w:rPr>
        <w:t xml:space="preserve">to longer term goals </w:t>
      </w:r>
      <w:r w:rsidR="00981AA2">
        <w:rPr>
          <w:sz w:val="22"/>
          <w:szCs w:val="22"/>
        </w:rPr>
        <w:t xml:space="preserve">and planning </w:t>
      </w:r>
      <w:r w:rsidR="00DD7150">
        <w:rPr>
          <w:sz w:val="22"/>
          <w:szCs w:val="22"/>
        </w:rPr>
        <w:t xml:space="preserve">to </w:t>
      </w:r>
      <w:r w:rsidR="00936A50">
        <w:rPr>
          <w:sz w:val="22"/>
          <w:szCs w:val="22"/>
        </w:rPr>
        <w:t>g</w:t>
      </w:r>
      <w:r w:rsidR="001958ED">
        <w:rPr>
          <w:sz w:val="22"/>
          <w:szCs w:val="22"/>
        </w:rPr>
        <w:t xml:space="preserve">uide the system. </w:t>
      </w:r>
    </w:p>
    <w:p w14:paraId="3B9CBBDE" w14:textId="3C7AB8DF" w:rsidR="00195157" w:rsidRDefault="001958ED" w:rsidP="00300C1F">
      <w:pPr>
        <w:rPr>
          <w:sz w:val="22"/>
          <w:szCs w:val="22"/>
        </w:rPr>
      </w:pPr>
      <w:r>
        <w:rPr>
          <w:sz w:val="22"/>
          <w:szCs w:val="22"/>
        </w:rPr>
        <w:t>These two reports</w:t>
      </w:r>
      <w:r w:rsidR="0076459D">
        <w:rPr>
          <w:sz w:val="22"/>
          <w:szCs w:val="22"/>
        </w:rPr>
        <w:t xml:space="preserve">, along with numerous others, provide </w:t>
      </w:r>
      <w:r w:rsidR="004B45C8">
        <w:rPr>
          <w:sz w:val="22"/>
          <w:szCs w:val="22"/>
        </w:rPr>
        <w:t xml:space="preserve">encouragement </w:t>
      </w:r>
      <w:r w:rsidR="0076459D">
        <w:rPr>
          <w:sz w:val="22"/>
          <w:szCs w:val="22"/>
        </w:rPr>
        <w:t xml:space="preserve">and justification for the </w:t>
      </w:r>
      <w:r w:rsidR="00955813">
        <w:rPr>
          <w:sz w:val="22"/>
          <w:szCs w:val="22"/>
        </w:rPr>
        <w:t>interventions being applied by PIE, from provision of scripted lessons, to coaching and support for teachers and school leaders</w:t>
      </w:r>
      <w:r w:rsidR="00685F4B">
        <w:rPr>
          <w:sz w:val="22"/>
          <w:szCs w:val="22"/>
        </w:rPr>
        <w:t xml:space="preserve">, through to the system level support for the policy framework and data systems that will continue to guide </w:t>
      </w:r>
      <w:r w:rsidR="003815D0">
        <w:rPr>
          <w:sz w:val="22"/>
          <w:szCs w:val="22"/>
        </w:rPr>
        <w:t>system on its improvement journey.</w:t>
      </w:r>
    </w:p>
    <w:p w14:paraId="445FFF5A" w14:textId="77777777" w:rsidR="00E07A10" w:rsidRPr="00E07A10" w:rsidRDefault="00E07A10" w:rsidP="00300C1F">
      <w:pPr>
        <w:rPr>
          <w:sz w:val="22"/>
          <w:szCs w:val="22"/>
          <w:u w:val="single"/>
        </w:rPr>
      </w:pPr>
      <w:r w:rsidRPr="00E07A10">
        <w:rPr>
          <w:sz w:val="22"/>
          <w:szCs w:val="22"/>
          <w:u w:val="single"/>
        </w:rPr>
        <w:t>Continuous improvement – program and system</w:t>
      </w:r>
    </w:p>
    <w:p w14:paraId="1AF8BA8B" w14:textId="5EE2A366" w:rsidR="006E3B36" w:rsidRDefault="00195157" w:rsidP="00300C1F">
      <w:pPr>
        <w:rPr>
          <w:sz w:val="22"/>
          <w:szCs w:val="22"/>
        </w:rPr>
      </w:pPr>
      <w:r>
        <w:rPr>
          <w:sz w:val="22"/>
          <w:szCs w:val="22"/>
        </w:rPr>
        <w:t xml:space="preserve">The two reports also highlight the </w:t>
      </w:r>
      <w:r w:rsidR="00F01DE4">
        <w:rPr>
          <w:sz w:val="22"/>
          <w:szCs w:val="22"/>
        </w:rPr>
        <w:t xml:space="preserve">importance of schools and systems becoming learning organisations – learning from themselves and from others. </w:t>
      </w:r>
      <w:r w:rsidR="001429E0">
        <w:rPr>
          <w:sz w:val="22"/>
          <w:szCs w:val="22"/>
        </w:rPr>
        <w:t xml:space="preserve">They both </w:t>
      </w:r>
      <w:r w:rsidR="00C67F30">
        <w:rPr>
          <w:sz w:val="22"/>
          <w:szCs w:val="22"/>
        </w:rPr>
        <w:t xml:space="preserve">reinforce the value of learning from others but constructing </w:t>
      </w:r>
      <w:r w:rsidR="004D69B2">
        <w:rPr>
          <w:sz w:val="22"/>
          <w:szCs w:val="22"/>
        </w:rPr>
        <w:t xml:space="preserve">solutions that work for them. This feature is consistent with the </w:t>
      </w:r>
      <w:r w:rsidR="000E2D27">
        <w:rPr>
          <w:sz w:val="22"/>
          <w:szCs w:val="22"/>
        </w:rPr>
        <w:t xml:space="preserve">intention in the </w:t>
      </w:r>
      <w:r w:rsidR="00BB43E2">
        <w:rPr>
          <w:sz w:val="22"/>
          <w:szCs w:val="22"/>
        </w:rPr>
        <w:t>PIE Inception Plan (p.5) – ‘</w:t>
      </w:r>
      <w:r w:rsidR="00BB43E2" w:rsidRPr="00920524">
        <w:rPr>
          <w:i/>
          <w:iCs/>
          <w:sz w:val="22"/>
          <w:szCs w:val="22"/>
        </w:rPr>
        <w:t>Through facilitating, testing and monitoring innovative ways to address priority challenges related to access and retention, and the upgrading of skills of elementary teachers, the Program will seek to influence policy and systems-based change to improve learning outcomes for girls, boys and children with a disability in the early grades</w:t>
      </w:r>
      <w:r w:rsidR="006E3B36">
        <w:rPr>
          <w:sz w:val="22"/>
          <w:szCs w:val="22"/>
        </w:rPr>
        <w:t xml:space="preserve">.’ </w:t>
      </w:r>
      <w:r w:rsidR="00BB43E2">
        <w:rPr>
          <w:sz w:val="22"/>
          <w:szCs w:val="22"/>
        </w:rPr>
        <w:t xml:space="preserve">As the </w:t>
      </w:r>
      <w:r w:rsidR="006E3B36">
        <w:rPr>
          <w:sz w:val="22"/>
          <w:szCs w:val="22"/>
        </w:rPr>
        <w:t>Program continues it is important that it retains and promotes this approach to ‘system learning’</w:t>
      </w:r>
      <w:r w:rsidR="000635C0">
        <w:rPr>
          <w:sz w:val="22"/>
          <w:szCs w:val="22"/>
        </w:rPr>
        <w:t>, within and beyond the Program</w:t>
      </w:r>
      <w:r w:rsidR="006E3B36">
        <w:rPr>
          <w:sz w:val="22"/>
          <w:szCs w:val="22"/>
        </w:rPr>
        <w:t xml:space="preserve">. </w:t>
      </w:r>
    </w:p>
    <w:p w14:paraId="01F3FF2E" w14:textId="77777777" w:rsidR="00FE727E" w:rsidRDefault="00FE727E" w:rsidP="004F5860">
      <w:pPr>
        <w:pStyle w:val="Heading2"/>
        <w:keepNext/>
      </w:pPr>
      <w:bookmarkStart w:id="21" w:name="_Toc180756328"/>
      <w:r>
        <w:t xml:space="preserve">KRQ 2 – </w:t>
      </w:r>
      <w:r w:rsidR="00FE3C6D" w:rsidRPr="002C084D">
        <w:t>Effectiveness</w:t>
      </w:r>
      <w:bookmarkEnd w:id="21"/>
    </w:p>
    <w:tbl>
      <w:tblPr>
        <w:tblStyle w:val="TableGrid"/>
        <w:tblW w:w="0" w:type="auto"/>
        <w:tblLook w:val="04A0" w:firstRow="1" w:lastRow="0" w:firstColumn="1" w:lastColumn="0" w:noHBand="0" w:noVBand="1"/>
      </w:tblPr>
      <w:tblGrid>
        <w:gridCol w:w="9628"/>
      </w:tblGrid>
      <w:tr w:rsidR="00446567" w:rsidRPr="00446567" w14:paraId="4B4A2DB2" w14:textId="77777777" w:rsidTr="001D2F35">
        <w:tc>
          <w:tcPr>
            <w:tcW w:w="9628" w:type="dxa"/>
          </w:tcPr>
          <w:p w14:paraId="1AA6B855" w14:textId="77777777" w:rsidR="00446567" w:rsidRDefault="00446567" w:rsidP="00B72AA0">
            <w:pPr>
              <w:spacing w:after="120"/>
              <w:rPr>
                <w:i/>
                <w:iCs/>
                <w:sz w:val="22"/>
                <w:szCs w:val="22"/>
              </w:rPr>
            </w:pPr>
            <w:r w:rsidRPr="00F94D53">
              <w:rPr>
                <w:i/>
                <w:iCs/>
                <w:sz w:val="22"/>
                <w:szCs w:val="22"/>
              </w:rPr>
              <w:t>What progress has been observed in relation to the respective Intermediate and End of Program Outcomes? Which activities appear to be having a greater impact than others? Are there any activities which appear to have negligible to no impact to date, or not progressing as planned?</w:t>
            </w:r>
          </w:p>
          <w:p w14:paraId="0377B3EB" w14:textId="77777777" w:rsidR="00FF16E3" w:rsidRDefault="00FF16E3" w:rsidP="00FF16E3">
            <w:pPr>
              <w:spacing w:after="120"/>
              <w:rPr>
                <w:sz w:val="22"/>
                <w:szCs w:val="22"/>
              </w:rPr>
            </w:pPr>
            <w:r w:rsidRPr="00E020A1">
              <w:rPr>
                <w:sz w:val="22"/>
                <w:szCs w:val="22"/>
              </w:rPr>
              <w:t xml:space="preserve">At the 18-month implementation point </w:t>
            </w:r>
            <w:r w:rsidRPr="00D506B1">
              <w:rPr>
                <w:sz w:val="22"/>
                <w:szCs w:val="22"/>
              </w:rPr>
              <w:t xml:space="preserve">considerable progress has been made in terms of the Program’s core activities and </w:t>
            </w:r>
            <w:r>
              <w:rPr>
                <w:sz w:val="22"/>
                <w:szCs w:val="22"/>
              </w:rPr>
              <w:t xml:space="preserve">results designed to deliver the Program’s EOIOs. In a relatively short period of time the Program has made some notable achievements, including the Back-to-School campaigns in 2023 and 2024, the delivery of literacy training to teachers and support material for teachers and students, provision of home learning packs, and the necessary and welcome shift in policy development and approval. </w:t>
            </w:r>
          </w:p>
          <w:p w14:paraId="223DEC01" w14:textId="77777777" w:rsidR="00FF16E3" w:rsidRDefault="00FF16E3" w:rsidP="00FF16E3">
            <w:pPr>
              <w:spacing w:after="120"/>
              <w:rPr>
                <w:sz w:val="22"/>
                <w:szCs w:val="22"/>
              </w:rPr>
            </w:pPr>
            <w:r>
              <w:rPr>
                <w:sz w:val="22"/>
                <w:szCs w:val="22"/>
              </w:rPr>
              <w:t>Some activities have been delayed to varying degrees (against original timelines) e.g., school leadership and management training, disbursement of AQEFA grants. The planned parenting and health program is yet to commence due to challenges in outsourcing and the tighter budget situation.</w:t>
            </w:r>
          </w:p>
          <w:p w14:paraId="128D217B" w14:textId="52AB8807" w:rsidR="00531307" w:rsidRPr="00531307" w:rsidRDefault="00FF16E3" w:rsidP="00FF16E3">
            <w:pPr>
              <w:spacing w:after="120"/>
              <w:rPr>
                <w:sz w:val="22"/>
                <w:szCs w:val="22"/>
              </w:rPr>
            </w:pPr>
            <w:r>
              <w:rPr>
                <w:sz w:val="22"/>
                <w:szCs w:val="22"/>
              </w:rPr>
              <w:t xml:space="preserve"> While progress is evident, consistent with the Program’s theory of change, it is too early to expect </w:t>
            </w:r>
            <w:r w:rsidR="009F2146">
              <w:rPr>
                <w:sz w:val="22"/>
                <w:szCs w:val="22"/>
              </w:rPr>
              <w:t>improved learning outcomes to be evident</w:t>
            </w:r>
            <w:r>
              <w:rPr>
                <w:sz w:val="22"/>
                <w:szCs w:val="22"/>
              </w:rPr>
              <w:t xml:space="preserve">. </w:t>
            </w:r>
            <w:r w:rsidR="001F021D">
              <w:rPr>
                <w:sz w:val="22"/>
                <w:szCs w:val="22"/>
              </w:rPr>
              <w:t>Given the challenge that exists in delivering, at scale, improvements in student learning the</w:t>
            </w:r>
            <w:r>
              <w:rPr>
                <w:sz w:val="22"/>
                <w:szCs w:val="22"/>
              </w:rPr>
              <w:t xml:space="preserve"> Program should consider whether its capacity to measure and report improvements in teaching quality is sufficient</w:t>
            </w:r>
            <w:r w:rsidR="00FB230D">
              <w:rPr>
                <w:sz w:val="22"/>
                <w:szCs w:val="22"/>
              </w:rPr>
              <w:t>.</w:t>
            </w:r>
            <w:r>
              <w:rPr>
                <w:sz w:val="22"/>
                <w:szCs w:val="22"/>
              </w:rPr>
              <w:t xml:space="preserve"> </w:t>
            </w:r>
          </w:p>
        </w:tc>
      </w:tr>
    </w:tbl>
    <w:p w14:paraId="0648A8BF" w14:textId="5FAD9D25" w:rsidR="003B4C2A" w:rsidRDefault="001A1450" w:rsidP="0086690E">
      <w:pPr>
        <w:pStyle w:val="ListParagraph"/>
        <w:numPr>
          <w:ilvl w:val="0"/>
          <w:numId w:val="34"/>
        </w:numPr>
        <w:spacing w:before="120" w:after="120"/>
        <w:rPr>
          <w:i/>
          <w:iCs/>
          <w:color w:val="0070C0"/>
          <w:sz w:val="22"/>
          <w:szCs w:val="22"/>
        </w:rPr>
      </w:pPr>
      <w:r w:rsidRPr="0036595C">
        <w:rPr>
          <w:i/>
          <w:iCs/>
          <w:color w:val="0070C0"/>
          <w:sz w:val="22"/>
          <w:szCs w:val="22"/>
        </w:rPr>
        <w:t xml:space="preserve">Significant benefits would accrue from the program more </w:t>
      </w:r>
      <w:r w:rsidR="00370B96">
        <w:rPr>
          <w:i/>
          <w:iCs/>
          <w:color w:val="0070C0"/>
          <w:sz w:val="22"/>
          <w:szCs w:val="22"/>
        </w:rPr>
        <w:t xml:space="preserve">frequently and </w:t>
      </w:r>
      <w:r w:rsidRPr="0036595C">
        <w:rPr>
          <w:i/>
          <w:iCs/>
          <w:color w:val="0070C0"/>
          <w:sz w:val="22"/>
          <w:szCs w:val="22"/>
        </w:rPr>
        <w:t>s</w:t>
      </w:r>
      <w:r w:rsidR="00BC0AD9" w:rsidRPr="0036595C">
        <w:rPr>
          <w:i/>
          <w:iCs/>
          <w:color w:val="0070C0"/>
          <w:sz w:val="22"/>
          <w:szCs w:val="22"/>
        </w:rPr>
        <w:t>ystematically collecting and reporting data (quantitative and qualitative) t</w:t>
      </w:r>
      <w:r w:rsidR="00A93D08" w:rsidRPr="0036595C">
        <w:rPr>
          <w:i/>
          <w:iCs/>
          <w:color w:val="0070C0"/>
          <w:sz w:val="22"/>
          <w:szCs w:val="22"/>
        </w:rPr>
        <w:t xml:space="preserve">o </w:t>
      </w:r>
      <w:r w:rsidR="00BC0AD9" w:rsidRPr="0036595C">
        <w:rPr>
          <w:i/>
          <w:iCs/>
          <w:color w:val="0070C0"/>
          <w:sz w:val="22"/>
          <w:szCs w:val="22"/>
        </w:rPr>
        <w:t>illustrate progress</w:t>
      </w:r>
      <w:r w:rsidR="008A7E2A" w:rsidRPr="0036595C">
        <w:rPr>
          <w:i/>
          <w:iCs/>
          <w:color w:val="0070C0"/>
          <w:sz w:val="22"/>
          <w:szCs w:val="22"/>
        </w:rPr>
        <w:t xml:space="preserve"> (or not)</w:t>
      </w:r>
      <w:r w:rsidR="00BC0AD9" w:rsidRPr="0036595C">
        <w:rPr>
          <w:i/>
          <w:iCs/>
          <w:color w:val="0070C0"/>
          <w:sz w:val="22"/>
          <w:szCs w:val="22"/>
        </w:rPr>
        <w:t xml:space="preserve"> </w:t>
      </w:r>
      <w:r w:rsidR="00A93D08" w:rsidRPr="0036595C">
        <w:rPr>
          <w:i/>
          <w:iCs/>
          <w:color w:val="0070C0"/>
          <w:sz w:val="22"/>
          <w:szCs w:val="22"/>
        </w:rPr>
        <w:t>in relation to the theory of change</w:t>
      </w:r>
      <w:r w:rsidR="008A7E2A" w:rsidRPr="0036595C">
        <w:rPr>
          <w:i/>
          <w:iCs/>
          <w:color w:val="0070C0"/>
          <w:sz w:val="22"/>
          <w:szCs w:val="22"/>
        </w:rPr>
        <w:t xml:space="preserve"> and using this to report </w:t>
      </w:r>
      <w:r w:rsidR="007009E5">
        <w:rPr>
          <w:i/>
          <w:iCs/>
          <w:color w:val="0070C0"/>
          <w:sz w:val="22"/>
          <w:szCs w:val="22"/>
        </w:rPr>
        <w:t>progress</w:t>
      </w:r>
      <w:r w:rsidR="008A7E2A" w:rsidRPr="0036595C">
        <w:rPr>
          <w:i/>
          <w:iCs/>
          <w:color w:val="0070C0"/>
          <w:sz w:val="22"/>
          <w:szCs w:val="22"/>
        </w:rPr>
        <w:t xml:space="preserve"> and/or</w:t>
      </w:r>
      <w:r w:rsidR="005F4195">
        <w:rPr>
          <w:i/>
          <w:iCs/>
          <w:color w:val="0070C0"/>
          <w:sz w:val="22"/>
          <w:szCs w:val="22"/>
        </w:rPr>
        <w:t xml:space="preserve"> inform decision making on next steps</w:t>
      </w:r>
      <w:r w:rsidR="002005CC" w:rsidRPr="0036595C">
        <w:rPr>
          <w:i/>
          <w:iCs/>
          <w:color w:val="0070C0"/>
          <w:sz w:val="22"/>
          <w:szCs w:val="22"/>
        </w:rPr>
        <w:t>.</w:t>
      </w:r>
    </w:p>
    <w:p w14:paraId="6BEAFDAE" w14:textId="14A90FEA" w:rsidR="000B1A47" w:rsidRDefault="000B1A47" w:rsidP="0086690E">
      <w:pPr>
        <w:pStyle w:val="ListParagraph"/>
        <w:numPr>
          <w:ilvl w:val="0"/>
          <w:numId w:val="34"/>
        </w:numPr>
        <w:spacing w:before="120" w:after="120"/>
        <w:rPr>
          <w:i/>
          <w:iCs/>
          <w:color w:val="0070C0"/>
          <w:sz w:val="22"/>
          <w:szCs w:val="22"/>
        </w:rPr>
      </w:pPr>
      <w:r w:rsidRPr="000B1A47">
        <w:rPr>
          <w:i/>
          <w:iCs/>
          <w:color w:val="0070C0"/>
          <w:sz w:val="22"/>
          <w:szCs w:val="22"/>
        </w:rPr>
        <w:t>Given the timeline for the program and the inherent difficulty of moving the student learning dial, the program has a clear focus on the quality of teaching - a core driver for improved student learning. However, there is a need to sharpen the program's description and measure of the quality of teaching - because this is what needs to improve first, before learning outcomes shift.</w:t>
      </w:r>
    </w:p>
    <w:p w14:paraId="0125F45B" w14:textId="77777777" w:rsidR="00F15AD9" w:rsidRPr="00E07A10" w:rsidRDefault="000642BE" w:rsidP="00A32E05">
      <w:pPr>
        <w:rPr>
          <w:sz w:val="22"/>
          <w:szCs w:val="22"/>
          <w:u w:val="single"/>
        </w:rPr>
      </w:pPr>
      <w:r w:rsidRPr="00E07A10">
        <w:rPr>
          <w:sz w:val="22"/>
          <w:szCs w:val="22"/>
          <w:u w:val="single"/>
        </w:rPr>
        <w:t>P</w:t>
      </w:r>
      <w:r w:rsidR="00F15AD9" w:rsidRPr="00E07A10">
        <w:rPr>
          <w:sz w:val="22"/>
          <w:szCs w:val="22"/>
          <w:u w:val="single"/>
        </w:rPr>
        <w:t>rogress</w:t>
      </w:r>
    </w:p>
    <w:p w14:paraId="3B4B54A5" w14:textId="3249475B" w:rsidR="003F504F" w:rsidRDefault="00F51443" w:rsidP="00A32E05">
      <w:pPr>
        <w:rPr>
          <w:sz w:val="22"/>
          <w:szCs w:val="22"/>
        </w:rPr>
      </w:pPr>
      <w:r>
        <w:rPr>
          <w:sz w:val="22"/>
          <w:szCs w:val="22"/>
        </w:rPr>
        <w:fldChar w:fldCharType="begin"/>
      </w:r>
      <w:r>
        <w:rPr>
          <w:sz w:val="22"/>
          <w:szCs w:val="22"/>
        </w:rPr>
        <w:instrText xml:space="preserve"> REF _Ref175992555 \h </w:instrText>
      </w:r>
      <w:r>
        <w:rPr>
          <w:sz w:val="22"/>
          <w:szCs w:val="22"/>
        </w:rPr>
      </w:r>
      <w:r>
        <w:rPr>
          <w:sz w:val="22"/>
          <w:szCs w:val="22"/>
        </w:rPr>
        <w:fldChar w:fldCharType="separate"/>
      </w:r>
      <w:r w:rsidR="00EF5E31">
        <w:t xml:space="preserve">Table </w:t>
      </w:r>
      <w:r w:rsidR="00EF5E31">
        <w:rPr>
          <w:noProof/>
        </w:rPr>
        <w:t>2</w:t>
      </w:r>
      <w:r>
        <w:rPr>
          <w:sz w:val="22"/>
          <w:szCs w:val="22"/>
        </w:rPr>
        <w:fldChar w:fldCharType="end"/>
      </w:r>
      <w:r w:rsidR="00B34EFA">
        <w:rPr>
          <w:sz w:val="22"/>
          <w:szCs w:val="22"/>
        </w:rPr>
        <w:t xml:space="preserve"> presents a h</w:t>
      </w:r>
      <w:r w:rsidR="00B34EFA" w:rsidRPr="00B34EFA">
        <w:rPr>
          <w:sz w:val="22"/>
          <w:szCs w:val="22"/>
        </w:rPr>
        <w:t>igh-level summary of program activity to June 2024.</w:t>
      </w:r>
      <w:r w:rsidR="00B34EFA">
        <w:rPr>
          <w:sz w:val="22"/>
          <w:szCs w:val="22"/>
        </w:rPr>
        <w:t xml:space="preserve"> This summary</w:t>
      </w:r>
      <w:r w:rsidR="00F90D01">
        <w:rPr>
          <w:sz w:val="22"/>
          <w:szCs w:val="22"/>
        </w:rPr>
        <w:t xml:space="preserve"> </w:t>
      </w:r>
      <w:r w:rsidR="008C4AC6">
        <w:rPr>
          <w:sz w:val="22"/>
          <w:szCs w:val="22"/>
        </w:rPr>
        <w:t>of reporting to date</w:t>
      </w:r>
      <w:r w:rsidR="00B34EFA">
        <w:rPr>
          <w:sz w:val="22"/>
          <w:szCs w:val="22"/>
        </w:rPr>
        <w:t xml:space="preserve"> indicates that </w:t>
      </w:r>
      <w:r w:rsidR="00DF2E90">
        <w:rPr>
          <w:sz w:val="22"/>
          <w:szCs w:val="22"/>
        </w:rPr>
        <w:t>considerable progress</w:t>
      </w:r>
      <w:r w:rsidR="00246ED7">
        <w:rPr>
          <w:sz w:val="22"/>
          <w:szCs w:val="22"/>
        </w:rPr>
        <w:t xml:space="preserve"> has been made</w:t>
      </w:r>
      <w:r w:rsidR="00BB154F">
        <w:rPr>
          <w:sz w:val="22"/>
          <w:szCs w:val="22"/>
        </w:rPr>
        <w:t xml:space="preserve"> in </w:t>
      </w:r>
      <w:r w:rsidR="008639FB">
        <w:rPr>
          <w:sz w:val="22"/>
          <w:szCs w:val="22"/>
        </w:rPr>
        <w:t xml:space="preserve">terms of the </w:t>
      </w:r>
      <w:r w:rsidR="00BB154F">
        <w:rPr>
          <w:sz w:val="22"/>
          <w:szCs w:val="22"/>
        </w:rPr>
        <w:t>Program’s core activities and inputs and</w:t>
      </w:r>
      <w:r w:rsidR="008639FB">
        <w:rPr>
          <w:sz w:val="22"/>
          <w:szCs w:val="22"/>
        </w:rPr>
        <w:t xml:space="preserve"> project outputs</w:t>
      </w:r>
      <w:r w:rsidR="00030623">
        <w:rPr>
          <w:sz w:val="22"/>
          <w:szCs w:val="22"/>
        </w:rPr>
        <w:t xml:space="preserve">. </w:t>
      </w:r>
      <w:r w:rsidR="00383FA6">
        <w:rPr>
          <w:sz w:val="22"/>
          <w:szCs w:val="22"/>
        </w:rPr>
        <w:t>EOIOs a</w:t>
      </w:r>
      <w:r w:rsidR="00F96558">
        <w:rPr>
          <w:sz w:val="22"/>
          <w:szCs w:val="22"/>
        </w:rPr>
        <w:t xml:space="preserve">re a key organiser of activities and discussion across </w:t>
      </w:r>
      <w:r w:rsidR="002E4934">
        <w:rPr>
          <w:sz w:val="22"/>
          <w:szCs w:val="22"/>
        </w:rPr>
        <w:t>Program documents, with discussion of progress against IOs appearing in the 2024 SAR</w:t>
      </w:r>
      <w:r w:rsidR="00D52316">
        <w:rPr>
          <w:sz w:val="22"/>
          <w:szCs w:val="22"/>
        </w:rPr>
        <w:t xml:space="preserve">. </w:t>
      </w:r>
    </w:p>
    <w:p w14:paraId="4282754F" w14:textId="0ECE5FC5" w:rsidR="00EC35FB" w:rsidRDefault="003F504F" w:rsidP="00A32E05">
      <w:pPr>
        <w:rPr>
          <w:sz w:val="22"/>
          <w:szCs w:val="22"/>
        </w:rPr>
      </w:pPr>
      <w:r>
        <w:rPr>
          <w:sz w:val="22"/>
          <w:szCs w:val="22"/>
        </w:rPr>
        <w:t xml:space="preserve">Highlights from the </w:t>
      </w:r>
      <w:r w:rsidR="00A32EE5">
        <w:rPr>
          <w:sz w:val="22"/>
          <w:szCs w:val="22"/>
        </w:rPr>
        <w:t xml:space="preserve">18-month </w:t>
      </w:r>
      <w:r>
        <w:rPr>
          <w:sz w:val="22"/>
          <w:szCs w:val="22"/>
        </w:rPr>
        <w:t>summary include:</w:t>
      </w:r>
    </w:p>
    <w:p w14:paraId="18D8841F" w14:textId="77777777" w:rsidR="002F5DBD" w:rsidRDefault="001B4609" w:rsidP="003F504F">
      <w:pPr>
        <w:pStyle w:val="ListParagraph"/>
        <w:numPr>
          <w:ilvl w:val="0"/>
          <w:numId w:val="18"/>
        </w:numPr>
        <w:rPr>
          <w:sz w:val="22"/>
          <w:szCs w:val="22"/>
        </w:rPr>
      </w:pPr>
      <w:r>
        <w:rPr>
          <w:sz w:val="22"/>
          <w:szCs w:val="22"/>
        </w:rPr>
        <w:t>Back to school campaigns</w:t>
      </w:r>
    </w:p>
    <w:p w14:paraId="63D164D8" w14:textId="3597D416" w:rsidR="001B4609" w:rsidRDefault="002F5DBD" w:rsidP="003F504F">
      <w:pPr>
        <w:pStyle w:val="ListParagraph"/>
        <w:numPr>
          <w:ilvl w:val="0"/>
          <w:numId w:val="18"/>
        </w:numPr>
        <w:rPr>
          <w:sz w:val="22"/>
          <w:szCs w:val="22"/>
        </w:rPr>
      </w:pPr>
      <w:r>
        <w:rPr>
          <w:sz w:val="22"/>
          <w:szCs w:val="22"/>
        </w:rPr>
        <w:t xml:space="preserve">Leadership and management training to </w:t>
      </w:r>
      <w:r w:rsidR="00CE63C5" w:rsidRPr="00CE63C5">
        <w:rPr>
          <w:sz w:val="22"/>
          <w:szCs w:val="22"/>
        </w:rPr>
        <w:t xml:space="preserve">1,010 (F:304) teachers, school board members and government officers. </w:t>
      </w:r>
      <w:r w:rsidR="001B4609">
        <w:rPr>
          <w:sz w:val="22"/>
          <w:szCs w:val="22"/>
        </w:rPr>
        <w:t xml:space="preserve"> </w:t>
      </w:r>
    </w:p>
    <w:p w14:paraId="75504818" w14:textId="41F4B505" w:rsidR="003F504F" w:rsidRDefault="00B240C0" w:rsidP="003F504F">
      <w:pPr>
        <w:pStyle w:val="ListParagraph"/>
        <w:numPr>
          <w:ilvl w:val="0"/>
          <w:numId w:val="18"/>
        </w:numPr>
        <w:rPr>
          <w:sz w:val="22"/>
          <w:szCs w:val="22"/>
        </w:rPr>
      </w:pPr>
      <w:r>
        <w:rPr>
          <w:sz w:val="22"/>
          <w:szCs w:val="22"/>
        </w:rPr>
        <w:t>Development of key p</w:t>
      </w:r>
      <w:r w:rsidR="003F504F" w:rsidRPr="0065260C">
        <w:rPr>
          <w:sz w:val="22"/>
          <w:szCs w:val="22"/>
        </w:rPr>
        <w:t>olicies</w:t>
      </w:r>
      <w:r>
        <w:rPr>
          <w:sz w:val="22"/>
          <w:szCs w:val="22"/>
        </w:rPr>
        <w:t xml:space="preserve"> and implementation guidance, providing clarity and guidance</w:t>
      </w:r>
      <w:r w:rsidR="00FE2CE3">
        <w:rPr>
          <w:sz w:val="22"/>
          <w:szCs w:val="22"/>
        </w:rPr>
        <w:t xml:space="preserve"> for </w:t>
      </w:r>
      <w:r w:rsidR="0004777D">
        <w:rPr>
          <w:sz w:val="22"/>
          <w:szCs w:val="22"/>
        </w:rPr>
        <w:t>school and teacher activities</w:t>
      </w:r>
    </w:p>
    <w:p w14:paraId="0A4D671B" w14:textId="5F0FE4A6" w:rsidR="00A52DFC" w:rsidRPr="00A32EE5" w:rsidRDefault="00CC2AFF" w:rsidP="00A32EE5">
      <w:pPr>
        <w:pStyle w:val="ListParagraph"/>
        <w:numPr>
          <w:ilvl w:val="0"/>
          <w:numId w:val="18"/>
        </w:numPr>
        <w:rPr>
          <w:sz w:val="22"/>
          <w:szCs w:val="22"/>
        </w:rPr>
      </w:pPr>
      <w:r>
        <w:rPr>
          <w:sz w:val="22"/>
          <w:szCs w:val="22"/>
        </w:rPr>
        <w:t>Bilum</w:t>
      </w:r>
      <w:r w:rsidR="002F5DBD">
        <w:rPr>
          <w:sz w:val="22"/>
          <w:szCs w:val="22"/>
        </w:rPr>
        <w:t xml:space="preserve"> Books training for</w:t>
      </w:r>
      <w:r w:rsidR="00E82B63" w:rsidRPr="00A32EE5">
        <w:rPr>
          <w:sz w:val="22"/>
          <w:szCs w:val="22"/>
        </w:rPr>
        <w:t xml:space="preserve"> 4,215 teachers </w:t>
      </w:r>
      <w:r w:rsidR="00A32EE5" w:rsidRPr="00A32EE5">
        <w:rPr>
          <w:sz w:val="22"/>
          <w:szCs w:val="22"/>
        </w:rPr>
        <w:t>(</w:t>
      </w:r>
      <w:r w:rsidR="00E82B63" w:rsidRPr="00A32EE5">
        <w:rPr>
          <w:sz w:val="22"/>
          <w:szCs w:val="22"/>
        </w:rPr>
        <w:t>and TLCs</w:t>
      </w:r>
      <w:r w:rsidR="00A32EE5" w:rsidRPr="00A32EE5">
        <w:rPr>
          <w:sz w:val="22"/>
          <w:szCs w:val="22"/>
        </w:rPr>
        <w:t xml:space="preserve">), </w:t>
      </w:r>
      <w:r w:rsidR="00E82B63" w:rsidRPr="00A32EE5">
        <w:rPr>
          <w:sz w:val="22"/>
          <w:szCs w:val="22"/>
        </w:rPr>
        <w:t xml:space="preserve">compared with </w:t>
      </w:r>
      <w:r w:rsidR="00A52DFC" w:rsidRPr="00A32EE5">
        <w:rPr>
          <w:sz w:val="22"/>
          <w:szCs w:val="22"/>
        </w:rPr>
        <w:t>900/year</w:t>
      </w:r>
      <w:r w:rsidR="00A32EE5" w:rsidRPr="00A32EE5">
        <w:rPr>
          <w:sz w:val="22"/>
          <w:szCs w:val="22"/>
        </w:rPr>
        <w:t xml:space="preserve"> proposed in the ID</w:t>
      </w:r>
      <w:r w:rsidR="00CE63C5">
        <w:rPr>
          <w:sz w:val="22"/>
          <w:szCs w:val="22"/>
        </w:rPr>
        <w:t>D</w:t>
      </w:r>
    </w:p>
    <w:p w14:paraId="3F35DF43" w14:textId="2D46093C" w:rsidR="00E82B63" w:rsidRPr="0065260C" w:rsidRDefault="00A32EE5" w:rsidP="0065260C">
      <w:pPr>
        <w:pStyle w:val="ListParagraph"/>
        <w:numPr>
          <w:ilvl w:val="0"/>
          <w:numId w:val="18"/>
        </w:numPr>
        <w:rPr>
          <w:sz w:val="22"/>
          <w:szCs w:val="22"/>
        </w:rPr>
      </w:pPr>
      <w:r>
        <w:rPr>
          <w:sz w:val="22"/>
          <w:szCs w:val="22"/>
        </w:rPr>
        <w:t xml:space="preserve">Progress with the </w:t>
      </w:r>
      <w:r w:rsidR="00000C10">
        <w:rPr>
          <w:sz w:val="22"/>
          <w:szCs w:val="22"/>
        </w:rPr>
        <w:t xml:space="preserve">Diploma upgrading course, </w:t>
      </w:r>
      <w:r w:rsidR="00B240C0">
        <w:rPr>
          <w:sz w:val="22"/>
          <w:szCs w:val="22"/>
        </w:rPr>
        <w:t>teacher information management system</w:t>
      </w:r>
      <w:r w:rsidR="00560C0A">
        <w:rPr>
          <w:sz w:val="22"/>
          <w:szCs w:val="22"/>
        </w:rPr>
        <w:t>.</w:t>
      </w:r>
    </w:p>
    <w:p w14:paraId="1D7F5348" w14:textId="198E54C1" w:rsidR="00DB7867" w:rsidRDefault="00DB7867" w:rsidP="00A32E05">
      <w:pPr>
        <w:rPr>
          <w:sz w:val="22"/>
          <w:szCs w:val="22"/>
        </w:rPr>
      </w:pPr>
      <w:r>
        <w:rPr>
          <w:sz w:val="22"/>
          <w:szCs w:val="22"/>
        </w:rPr>
        <w:t>At this point in the program</w:t>
      </w:r>
      <w:r w:rsidR="0087341D">
        <w:rPr>
          <w:sz w:val="22"/>
          <w:szCs w:val="22"/>
        </w:rPr>
        <w:t>’s timeline,</w:t>
      </w:r>
      <w:r>
        <w:rPr>
          <w:sz w:val="22"/>
          <w:szCs w:val="22"/>
        </w:rPr>
        <w:t xml:space="preserve"> </w:t>
      </w:r>
      <w:r w:rsidR="009C43C9">
        <w:rPr>
          <w:sz w:val="22"/>
          <w:szCs w:val="22"/>
        </w:rPr>
        <w:t>the reporting is typically activity based</w:t>
      </w:r>
      <w:r w:rsidR="004A6F02">
        <w:rPr>
          <w:sz w:val="22"/>
          <w:szCs w:val="22"/>
        </w:rPr>
        <w:t xml:space="preserve">, </w:t>
      </w:r>
      <w:r w:rsidR="00E959F4">
        <w:rPr>
          <w:sz w:val="22"/>
          <w:szCs w:val="22"/>
        </w:rPr>
        <w:t>with</w:t>
      </w:r>
      <w:r w:rsidR="005E7D49">
        <w:rPr>
          <w:sz w:val="22"/>
          <w:szCs w:val="22"/>
        </w:rPr>
        <w:t xml:space="preserve"> attention on </w:t>
      </w:r>
      <w:r w:rsidR="00A736B5">
        <w:rPr>
          <w:sz w:val="22"/>
          <w:szCs w:val="22"/>
        </w:rPr>
        <w:t xml:space="preserve">outcomes related to </w:t>
      </w:r>
      <w:r w:rsidR="00A73980">
        <w:rPr>
          <w:sz w:val="22"/>
          <w:szCs w:val="22"/>
        </w:rPr>
        <w:t xml:space="preserve">improved </w:t>
      </w:r>
      <w:r w:rsidR="00AA6C60">
        <w:rPr>
          <w:sz w:val="22"/>
          <w:szCs w:val="22"/>
        </w:rPr>
        <w:t xml:space="preserve">retention, quality of teaching and improved learning </w:t>
      </w:r>
      <w:r w:rsidR="00795D12">
        <w:rPr>
          <w:sz w:val="22"/>
          <w:szCs w:val="22"/>
        </w:rPr>
        <w:t xml:space="preserve">(or </w:t>
      </w:r>
      <w:r w:rsidR="0087341D">
        <w:rPr>
          <w:sz w:val="22"/>
          <w:szCs w:val="22"/>
        </w:rPr>
        <w:t>indicators</w:t>
      </w:r>
      <w:r w:rsidR="00795D12">
        <w:rPr>
          <w:sz w:val="22"/>
          <w:szCs w:val="22"/>
        </w:rPr>
        <w:t xml:space="preserve"> of these) yet </w:t>
      </w:r>
      <w:r w:rsidR="00327B2D">
        <w:rPr>
          <w:sz w:val="22"/>
          <w:szCs w:val="22"/>
        </w:rPr>
        <w:t xml:space="preserve">to </w:t>
      </w:r>
      <w:r w:rsidR="00795D12">
        <w:rPr>
          <w:sz w:val="22"/>
          <w:szCs w:val="22"/>
        </w:rPr>
        <w:t>be seen</w:t>
      </w:r>
      <w:r w:rsidR="006C597D">
        <w:rPr>
          <w:sz w:val="22"/>
          <w:szCs w:val="22"/>
        </w:rPr>
        <w:t xml:space="preserve"> –</w:t>
      </w:r>
      <w:r w:rsidR="00DB682D">
        <w:rPr>
          <w:sz w:val="22"/>
          <w:szCs w:val="22"/>
        </w:rPr>
        <w:t xml:space="preserve"> </w:t>
      </w:r>
      <w:r w:rsidR="0087341D">
        <w:rPr>
          <w:sz w:val="22"/>
          <w:szCs w:val="22"/>
        </w:rPr>
        <w:t xml:space="preserve">it </w:t>
      </w:r>
      <w:r w:rsidR="006C597D">
        <w:rPr>
          <w:sz w:val="22"/>
          <w:szCs w:val="22"/>
        </w:rPr>
        <w:t xml:space="preserve">is </w:t>
      </w:r>
      <w:r w:rsidR="0087341D">
        <w:rPr>
          <w:sz w:val="22"/>
          <w:szCs w:val="22"/>
        </w:rPr>
        <w:t>too so</w:t>
      </w:r>
      <w:r w:rsidR="00DB10D2">
        <w:rPr>
          <w:sz w:val="22"/>
          <w:szCs w:val="22"/>
        </w:rPr>
        <w:t>on to judge which activities are</w:t>
      </w:r>
      <w:r w:rsidR="00DB682D">
        <w:rPr>
          <w:sz w:val="22"/>
          <w:szCs w:val="22"/>
        </w:rPr>
        <w:t xml:space="preserve"> likely to have</w:t>
      </w:r>
      <w:r w:rsidR="00DB10D2">
        <w:rPr>
          <w:sz w:val="22"/>
          <w:szCs w:val="22"/>
        </w:rPr>
        <w:t xml:space="preserve"> greater impact than others</w:t>
      </w:r>
      <w:r w:rsidR="00DB682D">
        <w:rPr>
          <w:sz w:val="22"/>
          <w:szCs w:val="22"/>
        </w:rPr>
        <w:t>. In relation to the</w:t>
      </w:r>
      <w:r w:rsidR="00FD546A">
        <w:rPr>
          <w:sz w:val="22"/>
          <w:szCs w:val="22"/>
        </w:rPr>
        <w:t xml:space="preserve"> </w:t>
      </w:r>
      <w:r w:rsidR="00B460D2">
        <w:rPr>
          <w:sz w:val="22"/>
          <w:szCs w:val="22"/>
        </w:rPr>
        <w:t xml:space="preserve">measure for </w:t>
      </w:r>
      <w:r w:rsidR="00CC6B6D">
        <w:rPr>
          <w:sz w:val="22"/>
          <w:szCs w:val="22"/>
        </w:rPr>
        <w:t>‘teaching quality’</w:t>
      </w:r>
      <w:r w:rsidR="00E62D8D">
        <w:rPr>
          <w:sz w:val="22"/>
          <w:szCs w:val="22"/>
        </w:rPr>
        <w:t xml:space="preserve">, the </w:t>
      </w:r>
      <w:r w:rsidR="00CC6B6D">
        <w:rPr>
          <w:sz w:val="22"/>
          <w:szCs w:val="22"/>
        </w:rPr>
        <w:t>MERLA framework</w:t>
      </w:r>
      <w:r w:rsidR="00E62D8D">
        <w:rPr>
          <w:sz w:val="22"/>
          <w:szCs w:val="22"/>
        </w:rPr>
        <w:t xml:space="preserve"> indicates </w:t>
      </w:r>
      <w:r w:rsidR="00CC6B6D" w:rsidRPr="00CC6B6D">
        <w:rPr>
          <w:sz w:val="22"/>
          <w:szCs w:val="22"/>
        </w:rPr>
        <w:t>“</w:t>
      </w:r>
      <w:r w:rsidR="00CC6B6D" w:rsidRPr="00CC6B6D">
        <w:rPr>
          <w:i/>
          <w:iCs/>
          <w:sz w:val="22"/>
          <w:szCs w:val="22"/>
        </w:rPr>
        <w:t># and % of P-G2 (early grade) teachers meeting minimum competency levels (National Teacher Competency Standards)</w:t>
      </w:r>
      <w:r w:rsidR="00CC6B6D">
        <w:rPr>
          <w:sz w:val="22"/>
          <w:szCs w:val="22"/>
        </w:rPr>
        <w:t>”. In the a</w:t>
      </w:r>
      <w:r w:rsidR="00365600">
        <w:rPr>
          <w:sz w:val="22"/>
          <w:szCs w:val="22"/>
        </w:rPr>
        <w:t xml:space="preserve">bsence of the competency standards the </w:t>
      </w:r>
      <w:r w:rsidR="00A52483">
        <w:rPr>
          <w:sz w:val="22"/>
          <w:szCs w:val="22"/>
        </w:rPr>
        <w:t>P</w:t>
      </w:r>
      <w:r w:rsidR="00365600">
        <w:rPr>
          <w:sz w:val="22"/>
          <w:szCs w:val="22"/>
        </w:rPr>
        <w:t xml:space="preserve">rogram </w:t>
      </w:r>
      <w:r w:rsidR="00537F77">
        <w:rPr>
          <w:sz w:val="22"/>
          <w:szCs w:val="22"/>
        </w:rPr>
        <w:t xml:space="preserve">is working on </w:t>
      </w:r>
      <w:r w:rsidR="006255E9">
        <w:rPr>
          <w:sz w:val="22"/>
          <w:szCs w:val="22"/>
        </w:rPr>
        <w:t xml:space="preserve">an alternate </w:t>
      </w:r>
      <w:r w:rsidR="00537F77">
        <w:rPr>
          <w:sz w:val="22"/>
          <w:szCs w:val="22"/>
        </w:rPr>
        <w:t xml:space="preserve">indicator </w:t>
      </w:r>
      <w:r w:rsidR="006255E9">
        <w:rPr>
          <w:sz w:val="22"/>
          <w:szCs w:val="22"/>
        </w:rPr>
        <w:t>of teaching quality, possibly based on the</w:t>
      </w:r>
      <w:r w:rsidR="00EE34B0">
        <w:rPr>
          <w:sz w:val="22"/>
          <w:szCs w:val="22"/>
        </w:rPr>
        <w:t xml:space="preserve"> PIE</w:t>
      </w:r>
      <w:r w:rsidR="006255E9">
        <w:rPr>
          <w:sz w:val="22"/>
          <w:szCs w:val="22"/>
        </w:rPr>
        <w:t xml:space="preserve"> Lesson Observation </w:t>
      </w:r>
      <w:r w:rsidR="005C7C98">
        <w:rPr>
          <w:sz w:val="22"/>
          <w:szCs w:val="22"/>
        </w:rPr>
        <w:t xml:space="preserve">schedule, which has been adapted from the </w:t>
      </w:r>
      <w:r w:rsidR="00541C0F">
        <w:rPr>
          <w:sz w:val="22"/>
          <w:szCs w:val="22"/>
        </w:rPr>
        <w:t>World Bank ‘</w:t>
      </w:r>
      <w:r w:rsidR="00541C0F" w:rsidRPr="008B7435">
        <w:rPr>
          <w:i/>
          <w:iCs/>
          <w:sz w:val="22"/>
          <w:szCs w:val="22"/>
        </w:rPr>
        <w:t>Teac</w:t>
      </w:r>
      <w:r w:rsidR="008B7435" w:rsidRPr="008B7435">
        <w:rPr>
          <w:i/>
          <w:iCs/>
          <w:sz w:val="22"/>
          <w:szCs w:val="22"/>
        </w:rPr>
        <w:t>h</w:t>
      </w:r>
      <w:r w:rsidR="008B7435">
        <w:rPr>
          <w:sz w:val="22"/>
          <w:szCs w:val="22"/>
        </w:rPr>
        <w:t>’ observation tool.</w:t>
      </w:r>
      <w:r w:rsidR="00E959F4">
        <w:rPr>
          <w:sz w:val="22"/>
          <w:szCs w:val="22"/>
        </w:rPr>
        <w:t xml:space="preserve"> </w:t>
      </w:r>
    </w:p>
    <w:p w14:paraId="69849DD3" w14:textId="72511DE2" w:rsidR="00636A22" w:rsidRDefault="003C508C" w:rsidP="00A32E05">
      <w:pPr>
        <w:rPr>
          <w:sz w:val="22"/>
          <w:szCs w:val="22"/>
        </w:rPr>
      </w:pPr>
      <w:r>
        <w:rPr>
          <w:sz w:val="22"/>
          <w:szCs w:val="22"/>
        </w:rPr>
        <w:t xml:space="preserve">This </w:t>
      </w:r>
      <w:r w:rsidR="00EA517C">
        <w:rPr>
          <w:sz w:val="22"/>
          <w:szCs w:val="22"/>
        </w:rPr>
        <w:t xml:space="preserve">measure will be important so that data can inform </w:t>
      </w:r>
      <w:r w:rsidR="006B0944">
        <w:rPr>
          <w:sz w:val="22"/>
          <w:szCs w:val="22"/>
        </w:rPr>
        <w:t xml:space="preserve">judgements about the effectiveness of </w:t>
      </w:r>
      <w:r w:rsidR="007830AA">
        <w:rPr>
          <w:sz w:val="22"/>
          <w:szCs w:val="22"/>
        </w:rPr>
        <w:t>teacher training activities and/or provision of teaching and learning resources</w:t>
      </w:r>
      <w:r w:rsidR="004A4AB2">
        <w:rPr>
          <w:sz w:val="22"/>
          <w:szCs w:val="22"/>
        </w:rPr>
        <w:t xml:space="preserve">. Such judgements </w:t>
      </w:r>
      <w:r w:rsidR="005A767C">
        <w:rPr>
          <w:sz w:val="22"/>
          <w:szCs w:val="22"/>
        </w:rPr>
        <w:t xml:space="preserve">should consider the degree to which </w:t>
      </w:r>
      <w:r w:rsidR="00AB7891">
        <w:rPr>
          <w:sz w:val="22"/>
          <w:szCs w:val="22"/>
        </w:rPr>
        <w:t xml:space="preserve">a round of teacher training </w:t>
      </w:r>
      <w:r w:rsidR="00D50894">
        <w:rPr>
          <w:sz w:val="22"/>
          <w:szCs w:val="22"/>
        </w:rPr>
        <w:t xml:space="preserve">followed by TLC activities </w:t>
      </w:r>
      <w:r w:rsidR="00AB7891">
        <w:rPr>
          <w:sz w:val="22"/>
          <w:szCs w:val="22"/>
        </w:rPr>
        <w:t xml:space="preserve">has been effective or not. </w:t>
      </w:r>
      <w:r w:rsidR="002670AC">
        <w:rPr>
          <w:sz w:val="22"/>
          <w:szCs w:val="22"/>
        </w:rPr>
        <w:t>Rather than just conducting simple before and after surveys</w:t>
      </w:r>
      <w:r w:rsidR="009B24A1">
        <w:rPr>
          <w:sz w:val="22"/>
          <w:szCs w:val="22"/>
        </w:rPr>
        <w:t>,</w:t>
      </w:r>
      <w:r w:rsidR="00541BD3">
        <w:rPr>
          <w:sz w:val="22"/>
          <w:szCs w:val="22"/>
        </w:rPr>
        <w:t xml:space="preserve"> </w:t>
      </w:r>
      <w:r w:rsidR="0000280E">
        <w:rPr>
          <w:sz w:val="22"/>
          <w:szCs w:val="22"/>
        </w:rPr>
        <w:t xml:space="preserve">assessment </w:t>
      </w:r>
      <w:r w:rsidR="00E3735A">
        <w:rPr>
          <w:sz w:val="22"/>
          <w:szCs w:val="22"/>
        </w:rPr>
        <w:t xml:space="preserve">of </w:t>
      </w:r>
      <w:r w:rsidR="0000280E">
        <w:rPr>
          <w:sz w:val="22"/>
          <w:szCs w:val="22"/>
        </w:rPr>
        <w:t xml:space="preserve">teacher subject and pedagogical knowledge should </w:t>
      </w:r>
      <w:r w:rsidR="004143C8">
        <w:rPr>
          <w:sz w:val="22"/>
          <w:szCs w:val="22"/>
        </w:rPr>
        <w:t>occur at wider intervals e.g. 3 to 6 months</w:t>
      </w:r>
      <w:r w:rsidR="00E3735A">
        <w:rPr>
          <w:sz w:val="22"/>
          <w:szCs w:val="22"/>
        </w:rPr>
        <w:t xml:space="preserve"> </w:t>
      </w:r>
      <w:r w:rsidR="001B6236">
        <w:rPr>
          <w:sz w:val="22"/>
          <w:szCs w:val="22"/>
        </w:rPr>
        <w:t xml:space="preserve">if the data is to </w:t>
      </w:r>
      <w:r w:rsidR="0000280E">
        <w:rPr>
          <w:sz w:val="22"/>
          <w:szCs w:val="22"/>
        </w:rPr>
        <w:t xml:space="preserve">be used to </w:t>
      </w:r>
      <w:r w:rsidR="009B24A1">
        <w:rPr>
          <w:sz w:val="22"/>
          <w:szCs w:val="22"/>
        </w:rPr>
        <w:t xml:space="preserve">judge </w:t>
      </w:r>
      <w:r w:rsidR="00D50894">
        <w:rPr>
          <w:sz w:val="22"/>
          <w:szCs w:val="22"/>
        </w:rPr>
        <w:t>effectiveness and</w:t>
      </w:r>
      <w:r w:rsidR="00ED6A73">
        <w:rPr>
          <w:sz w:val="22"/>
          <w:szCs w:val="22"/>
        </w:rPr>
        <w:t xml:space="preserve"> inform decisions about whether </w:t>
      </w:r>
      <w:r w:rsidR="00711D6D">
        <w:rPr>
          <w:sz w:val="22"/>
          <w:szCs w:val="22"/>
        </w:rPr>
        <w:t xml:space="preserve">refresher and consolidation </w:t>
      </w:r>
      <w:r w:rsidR="00D847FA">
        <w:rPr>
          <w:sz w:val="22"/>
          <w:szCs w:val="22"/>
        </w:rPr>
        <w:t xml:space="preserve">activities are required or </w:t>
      </w:r>
      <w:r w:rsidR="00F975B7">
        <w:rPr>
          <w:sz w:val="22"/>
          <w:szCs w:val="22"/>
        </w:rPr>
        <w:t xml:space="preserve">not. For example, after a round of Bilum Books training in 2023 the </w:t>
      </w:r>
      <w:r w:rsidR="00AE2950">
        <w:rPr>
          <w:sz w:val="22"/>
          <w:szCs w:val="22"/>
        </w:rPr>
        <w:t xml:space="preserve">Program </w:t>
      </w:r>
      <w:r w:rsidR="00AB136B">
        <w:rPr>
          <w:sz w:val="22"/>
          <w:szCs w:val="22"/>
        </w:rPr>
        <w:t xml:space="preserve">has planned </w:t>
      </w:r>
      <w:r w:rsidR="00C3752F">
        <w:rPr>
          <w:sz w:val="22"/>
          <w:szCs w:val="22"/>
        </w:rPr>
        <w:t xml:space="preserve">to shift to </w:t>
      </w:r>
      <w:r w:rsidR="00AB136B">
        <w:rPr>
          <w:sz w:val="22"/>
          <w:szCs w:val="22"/>
        </w:rPr>
        <w:t>mathematics training in 2024</w:t>
      </w:r>
      <w:r w:rsidR="00DD741B">
        <w:rPr>
          <w:sz w:val="22"/>
          <w:szCs w:val="22"/>
        </w:rPr>
        <w:t>, with</w:t>
      </w:r>
      <w:r w:rsidR="00600B54">
        <w:rPr>
          <w:sz w:val="22"/>
          <w:szCs w:val="22"/>
        </w:rPr>
        <w:t xml:space="preserve"> little or n</w:t>
      </w:r>
      <w:r w:rsidR="000F5367">
        <w:rPr>
          <w:sz w:val="22"/>
          <w:szCs w:val="22"/>
        </w:rPr>
        <w:t xml:space="preserve">o assessment of </w:t>
      </w:r>
      <w:r w:rsidR="00D44277">
        <w:rPr>
          <w:sz w:val="22"/>
          <w:szCs w:val="22"/>
        </w:rPr>
        <w:t xml:space="preserve">the degree to which teaching quality in reading </w:t>
      </w:r>
      <w:r w:rsidR="001835C8">
        <w:rPr>
          <w:sz w:val="22"/>
          <w:szCs w:val="22"/>
        </w:rPr>
        <w:t xml:space="preserve">has improved and whether </w:t>
      </w:r>
      <w:r w:rsidR="00C3752F">
        <w:rPr>
          <w:sz w:val="22"/>
          <w:szCs w:val="22"/>
        </w:rPr>
        <w:t xml:space="preserve">follow-up literacy instruction training is required. </w:t>
      </w:r>
    </w:p>
    <w:p w14:paraId="0D97D7EB" w14:textId="77777777" w:rsidR="004C3F8C" w:rsidRDefault="004C3F8C" w:rsidP="00A32E05">
      <w:pPr>
        <w:rPr>
          <w:sz w:val="22"/>
          <w:szCs w:val="22"/>
        </w:rPr>
      </w:pPr>
    </w:p>
    <w:p w14:paraId="48B416F3" w14:textId="77777777" w:rsidR="004C3F8C" w:rsidRDefault="004C3F8C" w:rsidP="00A32E05">
      <w:pPr>
        <w:rPr>
          <w:sz w:val="22"/>
          <w:szCs w:val="22"/>
        </w:rPr>
      </w:pPr>
    </w:p>
    <w:p w14:paraId="7A6C99E6" w14:textId="68B43CB7" w:rsidR="00B34EFA" w:rsidRPr="00B34EFA" w:rsidRDefault="00B34EFA" w:rsidP="00A32E05">
      <w:pPr>
        <w:rPr>
          <w:sz w:val="22"/>
          <w:szCs w:val="22"/>
          <w:u w:val="single"/>
        </w:rPr>
      </w:pPr>
      <w:r w:rsidRPr="00B34EFA">
        <w:rPr>
          <w:sz w:val="22"/>
          <w:szCs w:val="22"/>
          <w:u w:val="single"/>
        </w:rPr>
        <w:t xml:space="preserve">Program logic and causal </w:t>
      </w:r>
      <w:r w:rsidR="00496EDC" w:rsidRPr="00B34EFA">
        <w:rPr>
          <w:sz w:val="22"/>
          <w:szCs w:val="22"/>
          <w:u w:val="single"/>
        </w:rPr>
        <w:t>links.</w:t>
      </w:r>
    </w:p>
    <w:p w14:paraId="6E6E28E3" w14:textId="40939FF7" w:rsidR="00D430FF" w:rsidRDefault="00533A61" w:rsidP="00A32E05">
      <w:pPr>
        <w:rPr>
          <w:sz w:val="22"/>
          <w:szCs w:val="22"/>
        </w:rPr>
      </w:pPr>
      <w:r>
        <w:rPr>
          <w:sz w:val="22"/>
          <w:szCs w:val="22"/>
        </w:rPr>
        <w:t>The PIE Program Logic</w:t>
      </w:r>
      <w:r w:rsidR="00D430FF">
        <w:rPr>
          <w:sz w:val="22"/>
          <w:szCs w:val="22"/>
        </w:rPr>
        <w:t xml:space="preserve"> is that systemic change that improves the delivery of early grades education (EOIO 3) will enable</w:t>
      </w:r>
      <w:r w:rsidR="00FB2F83">
        <w:rPr>
          <w:sz w:val="22"/>
          <w:szCs w:val="22"/>
        </w:rPr>
        <w:t xml:space="preserve"> and be informed by </w:t>
      </w:r>
      <w:r w:rsidR="001A5E77">
        <w:rPr>
          <w:sz w:val="22"/>
          <w:szCs w:val="22"/>
        </w:rPr>
        <w:t xml:space="preserve">interventions designed to </w:t>
      </w:r>
      <w:r w:rsidR="00D430FF">
        <w:rPr>
          <w:sz w:val="22"/>
          <w:szCs w:val="22"/>
        </w:rPr>
        <w:t>improve</w:t>
      </w:r>
      <w:r w:rsidR="001A5E77">
        <w:rPr>
          <w:sz w:val="22"/>
          <w:szCs w:val="22"/>
        </w:rPr>
        <w:t xml:space="preserve"> student </w:t>
      </w:r>
      <w:r w:rsidR="00D430FF">
        <w:rPr>
          <w:sz w:val="22"/>
          <w:szCs w:val="22"/>
        </w:rPr>
        <w:t>enrolment and retention (EOIO 1) and</w:t>
      </w:r>
      <w:r w:rsidR="00D157AE">
        <w:rPr>
          <w:sz w:val="22"/>
          <w:szCs w:val="22"/>
        </w:rPr>
        <w:t xml:space="preserve"> interventions designed to improve the </w:t>
      </w:r>
      <w:r w:rsidR="00D430FF">
        <w:rPr>
          <w:sz w:val="22"/>
          <w:szCs w:val="22"/>
        </w:rPr>
        <w:t>quality of teaching and learning (EOIO 2).</w:t>
      </w:r>
    </w:p>
    <w:p w14:paraId="4E35025C" w14:textId="77777777" w:rsidR="00F1520A" w:rsidRDefault="00A32E05" w:rsidP="00A32E05">
      <w:pPr>
        <w:rPr>
          <w:sz w:val="22"/>
          <w:szCs w:val="22"/>
        </w:rPr>
      </w:pPr>
      <w:r>
        <w:rPr>
          <w:sz w:val="22"/>
          <w:szCs w:val="22"/>
        </w:rPr>
        <w:t xml:space="preserve">The </w:t>
      </w:r>
      <w:r w:rsidR="009C728A">
        <w:rPr>
          <w:sz w:val="22"/>
          <w:szCs w:val="22"/>
        </w:rPr>
        <w:t>Program</w:t>
      </w:r>
      <w:r w:rsidR="000635C0">
        <w:rPr>
          <w:sz w:val="22"/>
          <w:szCs w:val="22"/>
        </w:rPr>
        <w:t>’</w:t>
      </w:r>
      <w:r w:rsidR="009C728A">
        <w:rPr>
          <w:sz w:val="22"/>
          <w:szCs w:val="22"/>
        </w:rPr>
        <w:t>s Inception Plan (p.</w:t>
      </w:r>
      <w:r w:rsidR="00920524">
        <w:rPr>
          <w:sz w:val="22"/>
          <w:szCs w:val="22"/>
        </w:rPr>
        <w:t>5</w:t>
      </w:r>
      <w:r w:rsidR="009C728A">
        <w:rPr>
          <w:sz w:val="22"/>
          <w:szCs w:val="22"/>
        </w:rPr>
        <w:t>)</w:t>
      </w:r>
      <w:r w:rsidR="0064175D">
        <w:rPr>
          <w:sz w:val="22"/>
          <w:szCs w:val="22"/>
        </w:rPr>
        <w:t xml:space="preserve"> </w:t>
      </w:r>
      <w:r w:rsidR="002B4DD3">
        <w:rPr>
          <w:sz w:val="22"/>
          <w:szCs w:val="22"/>
        </w:rPr>
        <w:t xml:space="preserve">articulates the logic as </w:t>
      </w:r>
      <w:r w:rsidR="00440807">
        <w:rPr>
          <w:sz w:val="22"/>
          <w:szCs w:val="22"/>
        </w:rPr>
        <w:t>‘</w:t>
      </w:r>
      <w:r w:rsidR="005E05CE" w:rsidRPr="00920524">
        <w:rPr>
          <w:i/>
          <w:iCs/>
          <w:sz w:val="22"/>
          <w:szCs w:val="22"/>
        </w:rPr>
        <w:t>Through facilitating, testing and monitoring innovative ways to address priority challenges related to access and retention, and the upgrading of skills of elementary teachers, the Program will seek to influence policy and systems-based change to improve learning outcomes for girls, boys and children with a disability in the early grades.</w:t>
      </w:r>
      <w:r w:rsidR="00440807">
        <w:rPr>
          <w:sz w:val="22"/>
          <w:szCs w:val="22"/>
        </w:rPr>
        <w:t>’</w:t>
      </w:r>
      <w:r w:rsidR="00F86AE6">
        <w:rPr>
          <w:sz w:val="22"/>
          <w:szCs w:val="22"/>
        </w:rPr>
        <w:t xml:space="preserve"> </w:t>
      </w:r>
    </w:p>
    <w:p w14:paraId="1AC8D4B3" w14:textId="77777777" w:rsidR="003E488C" w:rsidRDefault="00C10CB4" w:rsidP="00A32E05">
      <w:pPr>
        <w:rPr>
          <w:i/>
          <w:iCs/>
          <w:sz w:val="22"/>
          <w:szCs w:val="22"/>
        </w:rPr>
      </w:pPr>
      <w:r>
        <w:rPr>
          <w:sz w:val="22"/>
          <w:szCs w:val="22"/>
        </w:rPr>
        <w:t>The 2024 MERLA Plan</w:t>
      </w:r>
      <w:r w:rsidR="007939B6">
        <w:rPr>
          <w:sz w:val="22"/>
          <w:szCs w:val="22"/>
        </w:rPr>
        <w:t xml:space="preserve">, </w:t>
      </w:r>
      <w:r w:rsidR="007C22DE">
        <w:rPr>
          <w:sz w:val="22"/>
          <w:szCs w:val="22"/>
        </w:rPr>
        <w:t xml:space="preserve">adopts an </w:t>
      </w:r>
      <w:r w:rsidR="00980EE1">
        <w:rPr>
          <w:sz w:val="22"/>
          <w:szCs w:val="22"/>
        </w:rPr>
        <w:t>‘</w:t>
      </w:r>
      <w:r w:rsidR="00080861">
        <w:rPr>
          <w:sz w:val="22"/>
          <w:szCs w:val="22"/>
        </w:rPr>
        <w:t>eco</w:t>
      </w:r>
      <w:r w:rsidR="00980EE1">
        <w:rPr>
          <w:sz w:val="22"/>
          <w:szCs w:val="22"/>
        </w:rPr>
        <w:t>logical perspective’</w:t>
      </w:r>
      <w:r w:rsidR="004A62A5">
        <w:rPr>
          <w:sz w:val="22"/>
          <w:szCs w:val="22"/>
        </w:rPr>
        <w:t>, noting</w:t>
      </w:r>
      <w:r w:rsidR="00F8561E">
        <w:rPr>
          <w:sz w:val="22"/>
          <w:szCs w:val="22"/>
        </w:rPr>
        <w:t xml:space="preserve"> (p.11) that ‘</w:t>
      </w:r>
      <w:r w:rsidR="00F8561E" w:rsidRPr="00F8561E">
        <w:rPr>
          <w:i/>
          <w:iCs/>
          <w:sz w:val="22"/>
          <w:szCs w:val="22"/>
        </w:rPr>
        <w:t>Children’s learning outcomes are dependent on the support, capability and functionality of the people (family and teachers), institutions (schools, IERCs, TTIs etc) and systems (government departments, policies) identified in these rings. PIE program interventions aim to strengthen each layer of the ecological model to improve learning outcomes for early grade students</w:t>
      </w:r>
      <w:r w:rsidR="001A5211">
        <w:rPr>
          <w:i/>
          <w:iCs/>
          <w:sz w:val="22"/>
          <w:szCs w:val="22"/>
        </w:rPr>
        <w:t>.’</w:t>
      </w:r>
      <w:r w:rsidR="00F8561E">
        <w:rPr>
          <w:i/>
          <w:iCs/>
          <w:sz w:val="22"/>
          <w:szCs w:val="22"/>
        </w:rPr>
        <w:t xml:space="preserve"> </w:t>
      </w:r>
    </w:p>
    <w:p w14:paraId="03CE55CF" w14:textId="0C3E605E" w:rsidR="00160E20" w:rsidRDefault="00001F7C" w:rsidP="00A32E05">
      <w:pPr>
        <w:rPr>
          <w:sz w:val="22"/>
          <w:szCs w:val="22"/>
        </w:rPr>
      </w:pPr>
      <w:r>
        <w:rPr>
          <w:sz w:val="22"/>
          <w:szCs w:val="22"/>
        </w:rPr>
        <w:t>T</w:t>
      </w:r>
      <w:r w:rsidR="00F8561E" w:rsidRPr="00F8561E">
        <w:rPr>
          <w:sz w:val="22"/>
          <w:szCs w:val="22"/>
        </w:rPr>
        <w:t>he MERLA Plan</w:t>
      </w:r>
      <w:r w:rsidR="00F8561E">
        <w:rPr>
          <w:sz w:val="22"/>
          <w:szCs w:val="22"/>
        </w:rPr>
        <w:t xml:space="preserve"> represents t</w:t>
      </w:r>
      <w:r w:rsidR="00160E20">
        <w:rPr>
          <w:sz w:val="22"/>
          <w:szCs w:val="22"/>
        </w:rPr>
        <w:t>his by EOIO:</w:t>
      </w:r>
    </w:p>
    <w:p w14:paraId="4FC40A81" w14:textId="363B1C2A" w:rsidR="001B05C6" w:rsidRPr="001A5211" w:rsidRDefault="001A5211" w:rsidP="001A5211">
      <w:pPr>
        <w:pStyle w:val="ListParagraph"/>
        <w:numPr>
          <w:ilvl w:val="0"/>
          <w:numId w:val="14"/>
        </w:numPr>
        <w:rPr>
          <w:sz w:val="22"/>
          <w:szCs w:val="22"/>
        </w:rPr>
      </w:pPr>
      <w:r w:rsidRPr="001A5211">
        <w:rPr>
          <w:sz w:val="22"/>
          <w:szCs w:val="22"/>
        </w:rPr>
        <w:t>EOIO</w:t>
      </w:r>
      <w:r w:rsidR="001B05C6" w:rsidRPr="001A5211">
        <w:rPr>
          <w:sz w:val="22"/>
          <w:szCs w:val="22"/>
        </w:rPr>
        <w:t xml:space="preserve"> 1 interventions will improve children’s ability to learn by: supporting their health and nutrition; supporting children with disability, addressing gender inequalities; increase families’ support for early grade education; improve school leadership and management; and strengthen relationships between the school and the community and other relevant stakeholders to support delivery of quality education and learning environments. </w:t>
      </w:r>
    </w:p>
    <w:p w14:paraId="2ED3E1B6" w14:textId="107A0A28" w:rsidR="001B05C6" w:rsidRPr="001A5211" w:rsidRDefault="001B05C6" w:rsidP="001A5211">
      <w:pPr>
        <w:pStyle w:val="ListParagraph"/>
        <w:numPr>
          <w:ilvl w:val="0"/>
          <w:numId w:val="14"/>
        </w:numPr>
        <w:rPr>
          <w:sz w:val="22"/>
          <w:szCs w:val="22"/>
        </w:rPr>
      </w:pPr>
      <w:r w:rsidRPr="001A5211">
        <w:rPr>
          <w:sz w:val="22"/>
          <w:szCs w:val="22"/>
        </w:rPr>
        <w:t>EOIO 2 interventions will improve the quality of the early grade teacher workforce, the teacher training institutions, and provincial government structures and systems that coordinate, monitor and support delivery of education.</w:t>
      </w:r>
    </w:p>
    <w:p w14:paraId="573CBC71" w14:textId="77777777" w:rsidR="001A5211" w:rsidRPr="001A5211" w:rsidRDefault="001B05C6" w:rsidP="001A5211">
      <w:pPr>
        <w:pStyle w:val="ListParagraph"/>
        <w:numPr>
          <w:ilvl w:val="0"/>
          <w:numId w:val="14"/>
        </w:numPr>
        <w:rPr>
          <w:sz w:val="22"/>
          <w:szCs w:val="22"/>
        </w:rPr>
      </w:pPr>
      <w:r w:rsidRPr="001A5211">
        <w:rPr>
          <w:sz w:val="22"/>
          <w:szCs w:val="22"/>
        </w:rPr>
        <w:t>EOIO 3 interventions will strengthen government systems and the policy environment</w:t>
      </w:r>
      <w:r w:rsidR="001A5211" w:rsidRPr="001A5211">
        <w:rPr>
          <w:sz w:val="22"/>
          <w:szCs w:val="22"/>
        </w:rPr>
        <w:t>.</w:t>
      </w:r>
    </w:p>
    <w:p w14:paraId="0141BA78" w14:textId="5C60E215" w:rsidR="004E1633" w:rsidRDefault="00001F7C" w:rsidP="001B05C6">
      <w:pPr>
        <w:rPr>
          <w:sz w:val="22"/>
          <w:szCs w:val="22"/>
        </w:rPr>
      </w:pPr>
      <w:r w:rsidRPr="003E488C">
        <w:rPr>
          <w:sz w:val="22"/>
          <w:szCs w:val="22"/>
        </w:rPr>
        <w:t>F</w:t>
      </w:r>
      <w:r w:rsidRPr="00F8561E">
        <w:rPr>
          <w:sz w:val="22"/>
          <w:szCs w:val="22"/>
        </w:rPr>
        <w:t xml:space="preserve">urther, </w:t>
      </w:r>
      <w:r w:rsidR="00D164DF">
        <w:rPr>
          <w:sz w:val="22"/>
          <w:szCs w:val="22"/>
        </w:rPr>
        <w:t xml:space="preserve">the </w:t>
      </w:r>
      <w:r w:rsidR="00C7231A">
        <w:rPr>
          <w:sz w:val="22"/>
          <w:szCs w:val="22"/>
        </w:rPr>
        <w:t xml:space="preserve">2024 </w:t>
      </w:r>
      <w:r w:rsidR="00D164DF">
        <w:rPr>
          <w:sz w:val="22"/>
          <w:szCs w:val="22"/>
        </w:rPr>
        <w:t xml:space="preserve">MERLA Plan provides discussion on the theory of change </w:t>
      </w:r>
      <w:r w:rsidR="008E74F4">
        <w:rPr>
          <w:sz w:val="22"/>
          <w:szCs w:val="22"/>
        </w:rPr>
        <w:t xml:space="preserve">for each EOIO, from inputs to </w:t>
      </w:r>
      <w:r w:rsidR="00E83860">
        <w:rPr>
          <w:sz w:val="22"/>
          <w:szCs w:val="22"/>
        </w:rPr>
        <w:t>outputs to IOs and EOIOs</w:t>
      </w:r>
      <w:r w:rsidR="001B4C45">
        <w:rPr>
          <w:sz w:val="22"/>
          <w:szCs w:val="22"/>
        </w:rPr>
        <w:t xml:space="preserve"> and sets the</w:t>
      </w:r>
      <w:r w:rsidR="008E1370">
        <w:rPr>
          <w:sz w:val="22"/>
          <w:szCs w:val="22"/>
        </w:rPr>
        <w:t xml:space="preserve">se in an ‘ecological framework’ </w:t>
      </w:r>
      <w:r w:rsidR="00C7231A">
        <w:rPr>
          <w:sz w:val="22"/>
          <w:szCs w:val="22"/>
        </w:rPr>
        <w:t>(p.11)</w:t>
      </w:r>
      <w:r w:rsidR="00CB61F4">
        <w:rPr>
          <w:sz w:val="22"/>
          <w:szCs w:val="22"/>
        </w:rPr>
        <w:t xml:space="preserve">. </w:t>
      </w:r>
      <w:r w:rsidR="00A51260">
        <w:rPr>
          <w:sz w:val="22"/>
          <w:szCs w:val="22"/>
        </w:rPr>
        <w:t xml:space="preserve">This is consistent with </w:t>
      </w:r>
      <w:r w:rsidR="00342831">
        <w:rPr>
          <w:sz w:val="22"/>
          <w:szCs w:val="22"/>
        </w:rPr>
        <w:t xml:space="preserve">international </w:t>
      </w:r>
      <w:r w:rsidR="00A51260">
        <w:rPr>
          <w:sz w:val="22"/>
          <w:szCs w:val="22"/>
        </w:rPr>
        <w:t>discussion on</w:t>
      </w:r>
      <w:r w:rsidR="00342831">
        <w:rPr>
          <w:sz w:val="22"/>
          <w:szCs w:val="22"/>
        </w:rPr>
        <w:t xml:space="preserve"> ecosystemic perspectives</w:t>
      </w:r>
      <w:r w:rsidR="00705135">
        <w:rPr>
          <w:sz w:val="22"/>
          <w:szCs w:val="22"/>
        </w:rPr>
        <w:t xml:space="preserve"> on</w:t>
      </w:r>
      <w:r w:rsidR="00A51260">
        <w:rPr>
          <w:sz w:val="22"/>
          <w:szCs w:val="22"/>
        </w:rPr>
        <w:t xml:space="preserve"> improving </w:t>
      </w:r>
      <w:r w:rsidR="00342831">
        <w:rPr>
          <w:sz w:val="22"/>
          <w:szCs w:val="22"/>
        </w:rPr>
        <w:t>school systems occurring</w:t>
      </w:r>
      <w:r w:rsidR="00705135">
        <w:rPr>
          <w:sz w:val="22"/>
          <w:szCs w:val="22"/>
        </w:rPr>
        <w:t xml:space="preserve">. </w:t>
      </w:r>
      <w:r w:rsidR="00831F72">
        <w:rPr>
          <w:sz w:val="22"/>
          <w:szCs w:val="22"/>
        </w:rPr>
        <w:t xml:space="preserve">The Program’s ability to monitor the range of activities and factor the degree </w:t>
      </w:r>
      <w:r w:rsidR="00932861">
        <w:rPr>
          <w:sz w:val="22"/>
          <w:szCs w:val="22"/>
        </w:rPr>
        <w:t>to which they contribute improvements in attendance, engage</w:t>
      </w:r>
      <w:r w:rsidR="005D7742">
        <w:rPr>
          <w:sz w:val="22"/>
          <w:szCs w:val="22"/>
        </w:rPr>
        <w:t>ment, teaching quality and</w:t>
      </w:r>
      <w:r w:rsidR="009511FA">
        <w:rPr>
          <w:sz w:val="22"/>
          <w:szCs w:val="22"/>
        </w:rPr>
        <w:t>,</w:t>
      </w:r>
      <w:r w:rsidR="005D7742">
        <w:rPr>
          <w:sz w:val="22"/>
          <w:szCs w:val="22"/>
        </w:rPr>
        <w:t xml:space="preserve"> ultimately</w:t>
      </w:r>
      <w:r w:rsidR="009511FA">
        <w:rPr>
          <w:sz w:val="22"/>
          <w:szCs w:val="22"/>
        </w:rPr>
        <w:t>,</w:t>
      </w:r>
      <w:r w:rsidR="005D7742">
        <w:rPr>
          <w:sz w:val="22"/>
          <w:szCs w:val="22"/>
        </w:rPr>
        <w:t xml:space="preserve"> student learning will be important to this </w:t>
      </w:r>
      <w:r w:rsidR="001D2E16">
        <w:rPr>
          <w:sz w:val="22"/>
          <w:szCs w:val="22"/>
        </w:rPr>
        <w:t xml:space="preserve">Program and the contribution it can make to informing future investments </w:t>
      </w:r>
      <w:r w:rsidR="004E1633">
        <w:rPr>
          <w:sz w:val="22"/>
          <w:szCs w:val="22"/>
        </w:rPr>
        <w:t>– nationally and by international partners.</w:t>
      </w:r>
    </w:p>
    <w:p w14:paraId="63309FA8" w14:textId="77777777" w:rsidR="009858B6" w:rsidRDefault="00114088" w:rsidP="00DF6C58">
      <w:pPr>
        <w:pStyle w:val="Heading2"/>
        <w:keepNext/>
      </w:pPr>
      <w:bookmarkStart w:id="22" w:name="_Toc180756329"/>
      <w:r>
        <w:t>KR</w:t>
      </w:r>
      <w:r w:rsidR="009858B6">
        <w:t xml:space="preserve">Q 3 – </w:t>
      </w:r>
      <w:r w:rsidR="002C084D" w:rsidRPr="002C084D">
        <w:t>E</w:t>
      </w:r>
      <w:r w:rsidR="009371BC" w:rsidRPr="002C084D">
        <w:t>fficiency</w:t>
      </w:r>
      <w:bookmarkEnd w:id="22"/>
    </w:p>
    <w:tbl>
      <w:tblPr>
        <w:tblStyle w:val="TableGrid"/>
        <w:tblW w:w="0" w:type="auto"/>
        <w:tblLook w:val="04A0" w:firstRow="1" w:lastRow="0" w:firstColumn="1" w:lastColumn="0" w:noHBand="0" w:noVBand="1"/>
      </w:tblPr>
      <w:tblGrid>
        <w:gridCol w:w="9628"/>
      </w:tblGrid>
      <w:tr w:rsidR="001410A4" w:rsidRPr="001410A4" w14:paraId="5443921B" w14:textId="77777777" w:rsidTr="001410A4">
        <w:tc>
          <w:tcPr>
            <w:tcW w:w="9628" w:type="dxa"/>
          </w:tcPr>
          <w:p w14:paraId="76D9CB09" w14:textId="77777777" w:rsidR="001410A4" w:rsidRDefault="001410A4" w:rsidP="00B72AA0">
            <w:pPr>
              <w:spacing w:after="120"/>
              <w:rPr>
                <w:i/>
                <w:iCs/>
                <w:sz w:val="22"/>
                <w:szCs w:val="22"/>
              </w:rPr>
            </w:pPr>
            <w:r w:rsidRPr="003262F1">
              <w:rPr>
                <w:i/>
                <w:iCs/>
                <w:sz w:val="22"/>
                <w:szCs w:val="22"/>
              </w:rPr>
              <w:t>To what extent is PIE implementation demonstrating value for money and providing an understanding of the cost of doing business in elementary/primary education in PNG in selected provinces?</w:t>
            </w:r>
          </w:p>
          <w:p w14:paraId="6C4C0191" w14:textId="1B18EC6E" w:rsidR="006B1365" w:rsidRDefault="006B5CC8" w:rsidP="00B72AA0">
            <w:pPr>
              <w:spacing w:after="120"/>
              <w:rPr>
                <w:sz w:val="22"/>
                <w:szCs w:val="22"/>
              </w:rPr>
            </w:pPr>
            <w:r>
              <w:rPr>
                <w:sz w:val="22"/>
                <w:szCs w:val="22"/>
              </w:rPr>
              <w:t xml:space="preserve">As the program has moved from design to inception and to implementation there has been significant learning about the cost of doing business in PNG and the four </w:t>
            </w:r>
            <w:r w:rsidR="00475559">
              <w:rPr>
                <w:sz w:val="22"/>
                <w:szCs w:val="22"/>
              </w:rPr>
              <w:t>locations</w:t>
            </w:r>
            <w:r>
              <w:rPr>
                <w:sz w:val="22"/>
                <w:szCs w:val="22"/>
              </w:rPr>
              <w:t xml:space="preserve">. </w:t>
            </w:r>
          </w:p>
          <w:p w14:paraId="5046E96C" w14:textId="677C86D5" w:rsidR="00A17C03" w:rsidRDefault="00A17C03" w:rsidP="00A17C03">
            <w:pPr>
              <w:spacing w:after="120"/>
              <w:rPr>
                <w:sz w:val="22"/>
                <w:szCs w:val="22"/>
              </w:rPr>
            </w:pPr>
            <w:r>
              <w:rPr>
                <w:sz w:val="22"/>
                <w:szCs w:val="22"/>
              </w:rPr>
              <w:t xml:space="preserve">A CBA analysis, based on modelling results from similar programs, budgeted costs and target gains, concludes that PIE is a sound value for money investment. The Program has consistently sought to keep costs down, using resources as efficiently as possible. PIE has also benefited from the Shared Services arrangement with the Managing Contractor. </w:t>
            </w:r>
          </w:p>
          <w:p w14:paraId="5C4EC0B4" w14:textId="72790BCB" w:rsidR="00A17C03" w:rsidRPr="0065260C" w:rsidRDefault="00A17C03" w:rsidP="00B72AA0">
            <w:pPr>
              <w:spacing w:after="120"/>
              <w:rPr>
                <w:sz w:val="22"/>
                <w:szCs w:val="22"/>
              </w:rPr>
            </w:pPr>
            <w:r>
              <w:rPr>
                <w:sz w:val="22"/>
                <w:szCs w:val="22"/>
              </w:rPr>
              <w:t xml:space="preserve">Data collection and reflection is a positive feature of the PIE program operation, however, based on experience and learning to date there appear to be some opportunities to refine data collection and reflection processes to enhance program learning. </w:t>
            </w:r>
          </w:p>
        </w:tc>
      </w:tr>
    </w:tbl>
    <w:p w14:paraId="4DFB755B" w14:textId="018270B3" w:rsidR="00A053AD" w:rsidRPr="0086690E" w:rsidRDefault="00A053AD" w:rsidP="0086690E">
      <w:pPr>
        <w:pStyle w:val="ListParagraph"/>
        <w:numPr>
          <w:ilvl w:val="0"/>
          <w:numId w:val="34"/>
        </w:numPr>
        <w:spacing w:before="120" w:after="120"/>
        <w:rPr>
          <w:i/>
          <w:iCs/>
          <w:color w:val="0070C0"/>
          <w:sz w:val="22"/>
          <w:szCs w:val="22"/>
        </w:rPr>
      </w:pPr>
      <w:r w:rsidRPr="0086690E">
        <w:rPr>
          <w:i/>
          <w:iCs/>
          <w:color w:val="0070C0"/>
          <w:sz w:val="22"/>
          <w:szCs w:val="22"/>
        </w:rPr>
        <w:t xml:space="preserve">The </w:t>
      </w:r>
      <w:r w:rsidR="00C30081" w:rsidRPr="0086690E">
        <w:rPr>
          <w:i/>
          <w:iCs/>
          <w:color w:val="0070C0"/>
          <w:sz w:val="22"/>
          <w:szCs w:val="22"/>
        </w:rPr>
        <w:t>P</w:t>
      </w:r>
      <w:r w:rsidRPr="0086690E">
        <w:rPr>
          <w:i/>
          <w:iCs/>
          <w:color w:val="0070C0"/>
          <w:sz w:val="22"/>
          <w:szCs w:val="22"/>
        </w:rPr>
        <w:t xml:space="preserve">rogram clearly seeks to build on </w:t>
      </w:r>
      <w:r w:rsidR="00C30081" w:rsidRPr="0086690E">
        <w:rPr>
          <w:i/>
          <w:iCs/>
          <w:color w:val="0070C0"/>
          <w:sz w:val="22"/>
          <w:szCs w:val="22"/>
        </w:rPr>
        <w:t xml:space="preserve">its own </w:t>
      </w:r>
      <w:r w:rsidRPr="0086690E">
        <w:rPr>
          <w:i/>
          <w:iCs/>
          <w:color w:val="0070C0"/>
          <w:sz w:val="22"/>
          <w:szCs w:val="22"/>
        </w:rPr>
        <w:t xml:space="preserve">research and learning (and </w:t>
      </w:r>
      <w:r w:rsidR="00C30081" w:rsidRPr="0086690E">
        <w:rPr>
          <w:i/>
          <w:iCs/>
          <w:color w:val="0070C0"/>
          <w:sz w:val="22"/>
          <w:szCs w:val="22"/>
        </w:rPr>
        <w:t xml:space="preserve">from </w:t>
      </w:r>
      <w:r w:rsidRPr="0086690E">
        <w:rPr>
          <w:i/>
          <w:iCs/>
          <w:color w:val="0070C0"/>
          <w:sz w:val="22"/>
          <w:szCs w:val="22"/>
        </w:rPr>
        <w:t>other programs</w:t>
      </w:r>
      <w:r w:rsidR="00496EDC" w:rsidRPr="0086690E">
        <w:rPr>
          <w:i/>
          <w:iCs/>
          <w:color w:val="0070C0"/>
          <w:sz w:val="22"/>
          <w:szCs w:val="22"/>
        </w:rPr>
        <w:t>);</w:t>
      </w:r>
      <w:r w:rsidRPr="0086690E">
        <w:rPr>
          <w:i/>
          <w:iCs/>
          <w:color w:val="0070C0"/>
          <w:sz w:val="22"/>
          <w:szCs w:val="22"/>
        </w:rPr>
        <w:t xml:space="preserve"> however, more strategic use of piloting </w:t>
      </w:r>
      <w:r w:rsidR="00923CB7" w:rsidRPr="0086690E">
        <w:rPr>
          <w:i/>
          <w:iCs/>
          <w:color w:val="0070C0"/>
          <w:sz w:val="22"/>
          <w:szCs w:val="22"/>
        </w:rPr>
        <w:t xml:space="preserve">and </w:t>
      </w:r>
      <w:r w:rsidRPr="0086690E">
        <w:rPr>
          <w:i/>
          <w:iCs/>
          <w:color w:val="0070C0"/>
          <w:sz w:val="22"/>
          <w:szCs w:val="22"/>
        </w:rPr>
        <w:t>phasing of activities could enhance program learning and strengthen demonstration of value for money.</w:t>
      </w:r>
    </w:p>
    <w:p w14:paraId="3B8306AE" w14:textId="3031DAC9" w:rsidR="0034287D" w:rsidRPr="0086690E" w:rsidRDefault="00A053AD" w:rsidP="0086690E">
      <w:pPr>
        <w:pStyle w:val="ListParagraph"/>
        <w:numPr>
          <w:ilvl w:val="0"/>
          <w:numId w:val="34"/>
        </w:numPr>
        <w:spacing w:before="120" w:after="120"/>
        <w:rPr>
          <w:i/>
          <w:iCs/>
          <w:color w:val="0070C0"/>
          <w:sz w:val="22"/>
          <w:szCs w:val="22"/>
        </w:rPr>
      </w:pPr>
      <w:r w:rsidRPr="0086690E">
        <w:rPr>
          <w:i/>
          <w:iCs/>
          <w:color w:val="0070C0"/>
          <w:sz w:val="22"/>
          <w:szCs w:val="22"/>
        </w:rPr>
        <w:t xml:space="preserve">The strategic focus and oversight of the program would be improved via a regular external strategic monitoring and advisory function (as initially proposed) and more systematic engagement of DFAT / AHC personnel in key review / reflection activities. </w:t>
      </w:r>
      <w:r w:rsidR="00134A46">
        <w:rPr>
          <w:i/>
          <w:iCs/>
          <w:color w:val="0070C0"/>
          <w:sz w:val="22"/>
          <w:szCs w:val="22"/>
        </w:rPr>
        <w:t>Increased DFAT/AHC involvement in strategic discussions could also strengthen their ability to engage in policy dialogue on key issues at high levels.</w:t>
      </w:r>
    </w:p>
    <w:p w14:paraId="35F1957D" w14:textId="7BA31C56" w:rsidR="003751E6" w:rsidRPr="003751E6" w:rsidRDefault="003751E6" w:rsidP="0065260C">
      <w:pPr>
        <w:keepNext/>
        <w:rPr>
          <w:sz w:val="22"/>
          <w:szCs w:val="22"/>
          <w:u w:val="single"/>
        </w:rPr>
      </w:pPr>
      <w:r w:rsidRPr="003751E6">
        <w:rPr>
          <w:sz w:val="22"/>
          <w:szCs w:val="22"/>
          <w:u w:val="single"/>
        </w:rPr>
        <w:t>Value for money (cost benefit)</w:t>
      </w:r>
    </w:p>
    <w:p w14:paraId="49FF6D97" w14:textId="14DE79C1" w:rsidR="00101BE4" w:rsidRDefault="00101BE4" w:rsidP="00101BE4">
      <w:pPr>
        <w:rPr>
          <w:sz w:val="22"/>
          <w:szCs w:val="22"/>
        </w:rPr>
      </w:pPr>
      <w:r w:rsidRPr="00DF1D4B">
        <w:rPr>
          <w:sz w:val="22"/>
          <w:szCs w:val="22"/>
        </w:rPr>
        <w:t xml:space="preserve">The CBA report considered </w:t>
      </w:r>
      <w:r>
        <w:rPr>
          <w:sz w:val="22"/>
          <w:szCs w:val="22"/>
        </w:rPr>
        <w:t xml:space="preserve">six of </w:t>
      </w:r>
      <w:r w:rsidRPr="00DF1D4B">
        <w:rPr>
          <w:sz w:val="22"/>
          <w:szCs w:val="22"/>
        </w:rPr>
        <w:t xml:space="preserve">PIE's interventions - Bilum Books (resources and teacher training), community engagement, back to school campaign, teacher upgrading fund, school leadership and management, and AQEFA fund. </w:t>
      </w:r>
      <w:r w:rsidRPr="007D27AD">
        <w:rPr>
          <w:sz w:val="22"/>
          <w:szCs w:val="22"/>
        </w:rPr>
        <w:t>Th</w:t>
      </w:r>
      <w:r>
        <w:rPr>
          <w:sz w:val="22"/>
          <w:szCs w:val="22"/>
        </w:rPr>
        <w:t xml:space="preserve">e </w:t>
      </w:r>
      <w:r w:rsidRPr="007D27AD">
        <w:rPr>
          <w:sz w:val="22"/>
          <w:szCs w:val="22"/>
        </w:rPr>
        <w:t xml:space="preserve">study </w:t>
      </w:r>
      <w:r>
        <w:rPr>
          <w:sz w:val="22"/>
          <w:szCs w:val="22"/>
        </w:rPr>
        <w:t xml:space="preserve">used the budgeted costs of these activities to </w:t>
      </w:r>
      <w:r w:rsidRPr="007D27AD">
        <w:rPr>
          <w:sz w:val="22"/>
          <w:szCs w:val="22"/>
        </w:rPr>
        <w:t>estimate the value of the benefits under two scenarios:</w:t>
      </w:r>
    </w:p>
    <w:p w14:paraId="671C1843" w14:textId="77777777" w:rsidR="00101BE4" w:rsidRDefault="00101BE4" w:rsidP="00101BE4">
      <w:pPr>
        <w:pStyle w:val="ListParagraph"/>
        <w:numPr>
          <w:ilvl w:val="0"/>
          <w:numId w:val="12"/>
        </w:numPr>
        <w:rPr>
          <w:sz w:val="22"/>
          <w:szCs w:val="22"/>
        </w:rPr>
      </w:pPr>
      <w:r w:rsidRPr="007F1755">
        <w:rPr>
          <w:sz w:val="22"/>
          <w:szCs w:val="22"/>
        </w:rPr>
        <w:t>the targets set in PIE’s Monitoring, Evaluation, Research, Learning, and Adapting Framework (MERLAF)</w:t>
      </w:r>
    </w:p>
    <w:p w14:paraId="3BDBBD73" w14:textId="77777777" w:rsidR="00101BE4" w:rsidRPr="007F1755" w:rsidRDefault="00101BE4" w:rsidP="00101BE4">
      <w:pPr>
        <w:pStyle w:val="ListParagraph"/>
        <w:numPr>
          <w:ilvl w:val="0"/>
          <w:numId w:val="12"/>
        </w:numPr>
        <w:rPr>
          <w:sz w:val="22"/>
          <w:szCs w:val="22"/>
        </w:rPr>
      </w:pPr>
      <w:r w:rsidRPr="007F1755">
        <w:rPr>
          <w:sz w:val="22"/>
          <w:szCs w:val="22"/>
        </w:rPr>
        <w:t>the potential benefits based on evidence from secondary literature</w:t>
      </w:r>
      <w:r>
        <w:rPr>
          <w:sz w:val="22"/>
          <w:szCs w:val="22"/>
        </w:rPr>
        <w:t>, which were more optimistic than the Program targets.</w:t>
      </w:r>
    </w:p>
    <w:p w14:paraId="77FFA8F6" w14:textId="7D6AACC1" w:rsidR="00101BE4" w:rsidRDefault="00101BE4" w:rsidP="00101BE4">
      <w:pPr>
        <w:rPr>
          <w:sz w:val="22"/>
          <w:szCs w:val="22"/>
        </w:rPr>
      </w:pPr>
      <w:r w:rsidRPr="00DF1D4B">
        <w:rPr>
          <w:sz w:val="22"/>
          <w:szCs w:val="22"/>
        </w:rPr>
        <w:t>The CBA</w:t>
      </w:r>
      <w:r>
        <w:rPr>
          <w:sz w:val="22"/>
          <w:szCs w:val="22"/>
        </w:rPr>
        <w:t xml:space="preserve"> observed that the PIE interventions would deliver a </w:t>
      </w:r>
      <w:r w:rsidRPr="00DE5E0B">
        <w:rPr>
          <w:sz w:val="22"/>
          <w:szCs w:val="22"/>
        </w:rPr>
        <w:t xml:space="preserve">Benefit-Cost Ratio (BCR) of </w:t>
      </w:r>
      <w:r w:rsidR="00BC334C">
        <w:rPr>
          <w:sz w:val="22"/>
          <w:szCs w:val="22"/>
        </w:rPr>
        <w:t>ten</w:t>
      </w:r>
      <w:r>
        <w:rPr>
          <w:sz w:val="22"/>
          <w:szCs w:val="22"/>
        </w:rPr>
        <w:t xml:space="preserve">, meaning that every dollar spent would generate ten dollars in benefits. Overall, the study concluded that PIE is </w:t>
      </w:r>
      <w:r w:rsidR="00DF2E90">
        <w:rPr>
          <w:sz w:val="22"/>
          <w:szCs w:val="22"/>
        </w:rPr>
        <w:t>a sound investment</w:t>
      </w:r>
      <w:r>
        <w:rPr>
          <w:sz w:val="22"/>
          <w:szCs w:val="22"/>
        </w:rPr>
        <w:t>, providing a ‘</w:t>
      </w:r>
      <w:r w:rsidRPr="00DF1D4B">
        <w:rPr>
          <w:sz w:val="22"/>
          <w:szCs w:val="22"/>
        </w:rPr>
        <w:t>positive assessment of the interventions, with benefits exceeding costs under both optimistic and conservative scenarios'</w:t>
      </w:r>
      <w:r>
        <w:rPr>
          <w:sz w:val="22"/>
          <w:szCs w:val="22"/>
        </w:rPr>
        <w:t xml:space="preserve"> (p.6)</w:t>
      </w:r>
      <w:r w:rsidRPr="00DF1D4B">
        <w:rPr>
          <w:sz w:val="22"/>
          <w:szCs w:val="22"/>
        </w:rPr>
        <w:t>.</w:t>
      </w:r>
    </w:p>
    <w:p w14:paraId="2601CA73" w14:textId="5E8D32F8" w:rsidR="00101BE4" w:rsidRDefault="00101BE4" w:rsidP="00101BE4">
      <w:pPr>
        <w:rPr>
          <w:sz w:val="22"/>
          <w:szCs w:val="22"/>
        </w:rPr>
      </w:pPr>
      <w:r>
        <w:rPr>
          <w:sz w:val="22"/>
          <w:szCs w:val="22"/>
        </w:rPr>
        <w:t xml:space="preserve">While this conclusion is encouraging the CBA report noted some limitations, including one related to the longevity of training benefits and another related to intensity (or dosage) of the interventions. </w:t>
      </w:r>
      <w:r w:rsidR="00F14A3A">
        <w:rPr>
          <w:sz w:val="22"/>
          <w:szCs w:val="22"/>
        </w:rPr>
        <w:t>L</w:t>
      </w:r>
      <w:r>
        <w:rPr>
          <w:sz w:val="22"/>
          <w:szCs w:val="22"/>
        </w:rPr>
        <w:t xml:space="preserve">imitations were </w:t>
      </w:r>
      <w:r w:rsidR="00F14A3A">
        <w:rPr>
          <w:sz w:val="22"/>
          <w:szCs w:val="22"/>
        </w:rPr>
        <w:t xml:space="preserve">also </w:t>
      </w:r>
      <w:r>
        <w:rPr>
          <w:sz w:val="22"/>
          <w:szCs w:val="22"/>
        </w:rPr>
        <w:t xml:space="preserve">noted by </w:t>
      </w:r>
      <w:r w:rsidR="00F14A3A">
        <w:rPr>
          <w:sz w:val="22"/>
          <w:szCs w:val="22"/>
        </w:rPr>
        <w:t>personnel reading the report</w:t>
      </w:r>
      <w:r w:rsidR="004B559A">
        <w:rPr>
          <w:sz w:val="22"/>
          <w:szCs w:val="22"/>
        </w:rPr>
        <w:t>. These include t</w:t>
      </w:r>
      <w:r>
        <w:rPr>
          <w:sz w:val="22"/>
          <w:szCs w:val="22"/>
        </w:rPr>
        <w:t>hat the financial data used in the analysis was DFAT budget estimates rather than actual Program costs (or costs that would be incurred by the GoPNG</w:t>
      </w:r>
      <w:r w:rsidR="00E42E7D">
        <w:rPr>
          <w:sz w:val="22"/>
          <w:szCs w:val="22"/>
        </w:rPr>
        <w:t>), and</w:t>
      </w:r>
      <w:r>
        <w:rPr>
          <w:sz w:val="22"/>
          <w:szCs w:val="22"/>
        </w:rPr>
        <w:t xml:space="preserve"> that outcomes were estimated for separate components and added together (which might be an overestimation</w:t>
      </w:r>
      <w:r w:rsidR="004B559A">
        <w:rPr>
          <w:sz w:val="22"/>
          <w:szCs w:val="22"/>
        </w:rPr>
        <w:t xml:space="preserve"> of</w:t>
      </w:r>
      <w:r w:rsidR="00452140">
        <w:rPr>
          <w:sz w:val="22"/>
          <w:szCs w:val="22"/>
        </w:rPr>
        <w:t xml:space="preserve"> overall</w:t>
      </w:r>
      <w:r w:rsidR="004B559A">
        <w:rPr>
          <w:sz w:val="22"/>
          <w:szCs w:val="22"/>
        </w:rPr>
        <w:t xml:space="preserve"> impact</w:t>
      </w:r>
      <w:r>
        <w:rPr>
          <w:sz w:val="22"/>
          <w:szCs w:val="22"/>
        </w:rPr>
        <w:t>).</w:t>
      </w:r>
      <w:r w:rsidR="00B86523">
        <w:rPr>
          <w:sz w:val="22"/>
          <w:szCs w:val="22"/>
        </w:rPr>
        <w:t xml:space="preserve"> Some of the evidence from secondary literature was not necessarily a like for like comparison in terms of key features, dosage, inputs.</w:t>
      </w:r>
    </w:p>
    <w:p w14:paraId="5D3B45F0" w14:textId="77777777" w:rsidR="00E42E7D" w:rsidRPr="00E42E7D" w:rsidRDefault="00E42E7D" w:rsidP="005E7D49">
      <w:pPr>
        <w:keepNext/>
        <w:rPr>
          <w:sz w:val="22"/>
          <w:szCs w:val="22"/>
          <w:u w:val="single"/>
        </w:rPr>
      </w:pPr>
      <w:r w:rsidRPr="00E42E7D">
        <w:rPr>
          <w:sz w:val="22"/>
          <w:szCs w:val="22"/>
          <w:u w:val="single"/>
        </w:rPr>
        <w:t>Cost of doing business</w:t>
      </w:r>
    </w:p>
    <w:p w14:paraId="4C022F4B" w14:textId="392E6AC5" w:rsidR="00E42E7D" w:rsidRDefault="00324945" w:rsidP="002B1016">
      <w:pPr>
        <w:rPr>
          <w:sz w:val="22"/>
          <w:szCs w:val="22"/>
        </w:rPr>
      </w:pPr>
      <w:r>
        <w:rPr>
          <w:sz w:val="22"/>
          <w:szCs w:val="22"/>
        </w:rPr>
        <w:t>As the program</w:t>
      </w:r>
      <w:r w:rsidR="0049533C">
        <w:rPr>
          <w:sz w:val="22"/>
          <w:szCs w:val="22"/>
        </w:rPr>
        <w:t xml:space="preserve"> has moved from design to inception </w:t>
      </w:r>
      <w:r w:rsidR="00E42E7D">
        <w:rPr>
          <w:sz w:val="22"/>
          <w:szCs w:val="22"/>
        </w:rPr>
        <w:t xml:space="preserve">and </w:t>
      </w:r>
      <w:r w:rsidR="0049533C">
        <w:rPr>
          <w:sz w:val="22"/>
          <w:szCs w:val="22"/>
        </w:rPr>
        <w:t xml:space="preserve">to implementation there has been significant learning about the cost of doing business in PNG and the four </w:t>
      </w:r>
      <w:r w:rsidR="00475559">
        <w:rPr>
          <w:sz w:val="22"/>
          <w:szCs w:val="22"/>
        </w:rPr>
        <w:t>locations</w:t>
      </w:r>
      <w:r w:rsidR="002379C8">
        <w:rPr>
          <w:sz w:val="22"/>
          <w:szCs w:val="22"/>
        </w:rPr>
        <w:t>.</w:t>
      </w:r>
      <w:r w:rsidR="00343F64">
        <w:rPr>
          <w:sz w:val="22"/>
          <w:szCs w:val="22"/>
        </w:rPr>
        <w:t xml:space="preserve"> </w:t>
      </w:r>
      <w:r w:rsidR="00CC588C">
        <w:rPr>
          <w:sz w:val="22"/>
          <w:szCs w:val="22"/>
        </w:rPr>
        <w:t>Data collection and reflection is a positive feature of the PIE program operation.</w:t>
      </w:r>
      <w:r w:rsidR="002379C8">
        <w:rPr>
          <w:sz w:val="22"/>
          <w:szCs w:val="22"/>
        </w:rPr>
        <w:t xml:space="preserve"> </w:t>
      </w:r>
    </w:p>
    <w:p w14:paraId="08C332DD" w14:textId="77777777" w:rsidR="00D804DA" w:rsidRDefault="00E725DE" w:rsidP="002B1016">
      <w:pPr>
        <w:rPr>
          <w:sz w:val="22"/>
          <w:szCs w:val="22"/>
        </w:rPr>
      </w:pPr>
      <w:r>
        <w:rPr>
          <w:sz w:val="22"/>
          <w:szCs w:val="22"/>
        </w:rPr>
        <w:t>E</w:t>
      </w:r>
      <w:r w:rsidR="002379C8">
        <w:rPr>
          <w:sz w:val="22"/>
          <w:szCs w:val="22"/>
        </w:rPr>
        <w:t xml:space="preserve">arlier discussion (Section 4) provided examples of </w:t>
      </w:r>
      <w:r w:rsidR="00AF2748">
        <w:rPr>
          <w:sz w:val="22"/>
          <w:szCs w:val="22"/>
        </w:rPr>
        <w:t xml:space="preserve">actual cost increases and </w:t>
      </w:r>
      <w:r w:rsidR="00E6164C">
        <w:rPr>
          <w:sz w:val="22"/>
          <w:szCs w:val="22"/>
        </w:rPr>
        <w:t xml:space="preserve">instances of </w:t>
      </w:r>
      <w:r w:rsidR="0047536C">
        <w:rPr>
          <w:sz w:val="22"/>
          <w:szCs w:val="22"/>
        </w:rPr>
        <w:t xml:space="preserve">additional, unplanned costs arising from the need to </w:t>
      </w:r>
      <w:r w:rsidR="00E6164C">
        <w:rPr>
          <w:sz w:val="22"/>
          <w:szCs w:val="22"/>
        </w:rPr>
        <w:t xml:space="preserve">redo training </w:t>
      </w:r>
      <w:r w:rsidR="00F80843">
        <w:rPr>
          <w:sz w:val="22"/>
          <w:szCs w:val="22"/>
        </w:rPr>
        <w:t>to better build on current levels of participant</w:t>
      </w:r>
      <w:r w:rsidR="00EC16BF">
        <w:rPr>
          <w:sz w:val="22"/>
          <w:szCs w:val="22"/>
        </w:rPr>
        <w:t xml:space="preserve"> knowledge and skill.</w:t>
      </w:r>
      <w:r w:rsidR="001D2AF9">
        <w:rPr>
          <w:sz w:val="22"/>
          <w:szCs w:val="22"/>
        </w:rPr>
        <w:t xml:space="preserve"> </w:t>
      </w:r>
    </w:p>
    <w:p w14:paraId="46E5B434" w14:textId="22A344A7" w:rsidR="00752DBB" w:rsidRDefault="00D804DA" w:rsidP="002B1016">
      <w:pPr>
        <w:rPr>
          <w:sz w:val="22"/>
          <w:szCs w:val="22"/>
        </w:rPr>
      </w:pPr>
      <w:r>
        <w:rPr>
          <w:sz w:val="22"/>
          <w:szCs w:val="22"/>
        </w:rPr>
        <w:t>Discussion on ‘</w:t>
      </w:r>
      <w:r w:rsidR="00BC334C">
        <w:rPr>
          <w:sz w:val="22"/>
          <w:szCs w:val="22"/>
        </w:rPr>
        <w:t>effectiveness</w:t>
      </w:r>
      <w:r>
        <w:rPr>
          <w:sz w:val="22"/>
          <w:szCs w:val="22"/>
        </w:rPr>
        <w:t xml:space="preserve"> in the preceding section </w:t>
      </w:r>
      <w:r w:rsidR="00B22129">
        <w:rPr>
          <w:sz w:val="22"/>
          <w:szCs w:val="22"/>
        </w:rPr>
        <w:t xml:space="preserve">proposed the need for </w:t>
      </w:r>
      <w:r w:rsidR="001766AB">
        <w:rPr>
          <w:sz w:val="22"/>
          <w:szCs w:val="22"/>
        </w:rPr>
        <w:t xml:space="preserve">greater attention being </w:t>
      </w:r>
      <w:r w:rsidR="00684D56">
        <w:rPr>
          <w:sz w:val="22"/>
          <w:szCs w:val="22"/>
        </w:rPr>
        <w:t xml:space="preserve">paid to the </w:t>
      </w:r>
      <w:r w:rsidR="00FC0371">
        <w:rPr>
          <w:sz w:val="22"/>
          <w:szCs w:val="22"/>
        </w:rPr>
        <w:t>sequencing and timing of interventions</w:t>
      </w:r>
      <w:r w:rsidR="001E794D">
        <w:rPr>
          <w:sz w:val="22"/>
          <w:szCs w:val="22"/>
        </w:rPr>
        <w:t xml:space="preserve"> or adaptations</w:t>
      </w:r>
      <w:r w:rsidR="001766AB">
        <w:rPr>
          <w:sz w:val="22"/>
          <w:szCs w:val="22"/>
        </w:rPr>
        <w:t>,</w:t>
      </w:r>
      <w:r w:rsidR="00FC0371">
        <w:rPr>
          <w:sz w:val="22"/>
          <w:szCs w:val="22"/>
        </w:rPr>
        <w:t xml:space="preserve"> to ensure the program logic is </w:t>
      </w:r>
      <w:r w:rsidR="00752DBB">
        <w:rPr>
          <w:sz w:val="22"/>
          <w:szCs w:val="22"/>
        </w:rPr>
        <w:t>applied as efficiently (and effectively) as possible.</w:t>
      </w:r>
      <w:r w:rsidR="0047665E">
        <w:rPr>
          <w:sz w:val="22"/>
          <w:szCs w:val="22"/>
        </w:rPr>
        <w:t xml:space="preserve"> This might include a process of option or scenario testing </w:t>
      </w:r>
      <w:r w:rsidR="00DB60D4">
        <w:rPr>
          <w:sz w:val="22"/>
          <w:szCs w:val="22"/>
        </w:rPr>
        <w:t>to</w:t>
      </w:r>
      <w:r w:rsidR="001E794D">
        <w:rPr>
          <w:sz w:val="22"/>
          <w:szCs w:val="22"/>
        </w:rPr>
        <w:t xml:space="preserve"> ensure </w:t>
      </w:r>
      <w:r w:rsidR="00CB32D6">
        <w:rPr>
          <w:sz w:val="22"/>
          <w:szCs w:val="22"/>
        </w:rPr>
        <w:t>the ‘best’ response is adopted</w:t>
      </w:r>
      <w:r w:rsidR="000A4FB3">
        <w:rPr>
          <w:sz w:val="22"/>
          <w:szCs w:val="22"/>
        </w:rPr>
        <w:t>, with a focus on effectiveness, efficiency and sustainability</w:t>
      </w:r>
      <w:r w:rsidR="00CB32D6">
        <w:rPr>
          <w:sz w:val="22"/>
          <w:szCs w:val="22"/>
        </w:rPr>
        <w:t>.</w:t>
      </w:r>
      <w:r w:rsidR="00DB60D4">
        <w:rPr>
          <w:sz w:val="22"/>
          <w:szCs w:val="22"/>
        </w:rPr>
        <w:t xml:space="preserve"> </w:t>
      </w:r>
      <w:r w:rsidR="00B86523">
        <w:rPr>
          <w:sz w:val="22"/>
          <w:szCs w:val="22"/>
        </w:rPr>
        <w:t>It should not be assumed by DFAT or GoPNG, that PIE has the funding to roll out all interventions equally across target provinces</w:t>
      </w:r>
      <w:r w:rsidR="007C3578">
        <w:rPr>
          <w:sz w:val="22"/>
          <w:szCs w:val="22"/>
        </w:rPr>
        <w:t xml:space="preserve">. Rather </w:t>
      </w:r>
      <w:r w:rsidR="000D6E5C">
        <w:rPr>
          <w:sz w:val="22"/>
          <w:szCs w:val="22"/>
        </w:rPr>
        <w:t xml:space="preserve">its focus should be on </w:t>
      </w:r>
      <w:r w:rsidR="00B86523">
        <w:rPr>
          <w:sz w:val="22"/>
          <w:szCs w:val="22"/>
        </w:rPr>
        <w:t>investing in evidence</w:t>
      </w:r>
      <w:r w:rsidR="000D6E5C">
        <w:rPr>
          <w:sz w:val="22"/>
          <w:szCs w:val="22"/>
        </w:rPr>
        <w:t>-</w:t>
      </w:r>
      <w:r w:rsidR="00B86523">
        <w:rPr>
          <w:sz w:val="22"/>
          <w:szCs w:val="22"/>
        </w:rPr>
        <w:t xml:space="preserve">based demonstration models that </w:t>
      </w:r>
      <w:r w:rsidR="00204799">
        <w:rPr>
          <w:sz w:val="22"/>
          <w:szCs w:val="22"/>
        </w:rPr>
        <w:t>GoPNG, potentially with the support of other development partners, can take to scale.</w:t>
      </w:r>
    </w:p>
    <w:p w14:paraId="01A75A32" w14:textId="7511DECE" w:rsidR="00177C37" w:rsidRPr="00CB0429" w:rsidRDefault="001766AB" w:rsidP="0047665E">
      <w:pPr>
        <w:rPr>
          <w:color w:val="FF0000"/>
          <w:sz w:val="22"/>
          <w:szCs w:val="22"/>
        </w:rPr>
      </w:pPr>
      <w:r>
        <w:rPr>
          <w:sz w:val="22"/>
          <w:szCs w:val="22"/>
        </w:rPr>
        <w:t xml:space="preserve">Such </w:t>
      </w:r>
      <w:r w:rsidR="00F03243">
        <w:rPr>
          <w:sz w:val="22"/>
          <w:szCs w:val="22"/>
        </w:rPr>
        <w:t>learning will continue</w:t>
      </w:r>
      <w:r w:rsidR="005F6C2F">
        <w:rPr>
          <w:sz w:val="22"/>
          <w:szCs w:val="22"/>
        </w:rPr>
        <w:t xml:space="preserve">. </w:t>
      </w:r>
      <w:r w:rsidR="001D2AF9">
        <w:rPr>
          <w:sz w:val="22"/>
          <w:szCs w:val="22"/>
        </w:rPr>
        <w:t xml:space="preserve">With greater understanding </w:t>
      </w:r>
      <w:r w:rsidR="00E42E7D">
        <w:rPr>
          <w:sz w:val="22"/>
          <w:szCs w:val="22"/>
        </w:rPr>
        <w:t xml:space="preserve">of the </w:t>
      </w:r>
      <w:r w:rsidR="001E346C">
        <w:rPr>
          <w:sz w:val="22"/>
          <w:szCs w:val="22"/>
        </w:rPr>
        <w:t>national and provincial contexts</w:t>
      </w:r>
      <w:r w:rsidR="00114085">
        <w:rPr>
          <w:sz w:val="22"/>
          <w:szCs w:val="22"/>
        </w:rPr>
        <w:t>,</w:t>
      </w:r>
      <w:r w:rsidR="001E346C">
        <w:rPr>
          <w:sz w:val="22"/>
          <w:szCs w:val="22"/>
        </w:rPr>
        <w:t xml:space="preserve"> </w:t>
      </w:r>
      <w:r w:rsidR="00752DBB">
        <w:rPr>
          <w:sz w:val="22"/>
          <w:szCs w:val="22"/>
        </w:rPr>
        <w:t xml:space="preserve">including </w:t>
      </w:r>
      <w:r w:rsidR="002C5DE5">
        <w:rPr>
          <w:sz w:val="22"/>
          <w:szCs w:val="22"/>
        </w:rPr>
        <w:t xml:space="preserve">strengths and </w:t>
      </w:r>
      <w:r w:rsidR="00695D4C">
        <w:rPr>
          <w:sz w:val="22"/>
          <w:szCs w:val="22"/>
        </w:rPr>
        <w:t xml:space="preserve">specific development needs, combined with </w:t>
      </w:r>
      <w:r w:rsidR="008A5738">
        <w:rPr>
          <w:sz w:val="22"/>
          <w:szCs w:val="22"/>
        </w:rPr>
        <w:t>data collected through this program</w:t>
      </w:r>
      <w:r w:rsidR="00D30582">
        <w:rPr>
          <w:sz w:val="22"/>
          <w:szCs w:val="22"/>
        </w:rPr>
        <w:t>,</w:t>
      </w:r>
      <w:r w:rsidR="008A5738">
        <w:rPr>
          <w:sz w:val="22"/>
          <w:szCs w:val="22"/>
        </w:rPr>
        <w:t xml:space="preserve"> </w:t>
      </w:r>
      <w:r w:rsidR="005F6C2F">
        <w:rPr>
          <w:sz w:val="22"/>
          <w:szCs w:val="22"/>
        </w:rPr>
        <w:t>the efficiency of medium- and longer-term</w:t>
      </w:r>
      <w:r w:rsidR="005F7469">
        <w:rPr>
          <w:sz w:val="22"/>
          <w:szCs w:val="22"/>
        </w:rPr>
        <w:t xml:space="preserve"> </w:t>
      </w:r>
      <w:r w:rsidR="007D3810">
        <w:rPr>
          <w:sz w:val="22"/>
          <w:szCs w:val="22"/>
        </w:rPr>
        <w:t xml:space="preserve">planning and implementation </w:t>
      </w:r>
      <w:r w:rsidR="009826EE">
        <w:rPr>
          <w:sz w:val="22"/>
          <w:szCs w:val="22"/>
        </w:rPr>
        <w:t xml:space="preserve">processes </w:t>
      </w:r>
      <w:r w:rsidR="00F03243">
        <w:rPr>
          <w:sz w:val="22"/>
          <w:szCs w:val="22"/>
        </w:rPr>
        <w:t xml:space="preserve">should </w:t>
      </w:r>
      <w:r w:rsidR="005F6C2F">
        <w:rPr>
          <w:sz w:val="22"/>
          <w:szCs w:val="22"/>
        </w:rPr>
        <w:t xml:space="preserve">improve. </w:t>
      </w:r>
      <w:r w:rsidR="00403AA7">
        <w:rPr>
          <w:sz w:val="22"/>
          <w:szCs w:val="22"/>
        </w:rPr>
        <w:t xml:space="preserve">This will be enhanced through the </w:t>
      </w:r>
      <w:r w:rsidR="00D30582">
        <w:rPr>
          <w:sz w:val="22"/>
          <w:szCs w:val="22"/>
        </w:rPr>
        <w:t xml:space="preserve">incorporation of </w:t>
      </w:r>
      <w:r w:rsidR="00451F0F">
        <w:rPr>
          <w:sz w:val="22"/>
          <w:szCs w:val="22"/>
        </w:rPr>
        <w:t>additional</w:t>
      </w:r>
      <w:r w:rsidR="000C5C05">
        <w:rPr>
          <w:sz w:val="22"/>
          <w:szCs w:val="22"/>
        </w:rPr>
        <w:t xml:space="preserve"> </w:t>
      </w:r>
      <w:r w:rsidR="00451F0F">
        <w:rPr>
          <w:sz w:val="22"/>
          <w:szCs w:val="22"/>
        </w:rPr>
        <w:t xml:space="preserve">‘independent’ </w:t>
      </w:r>
      <w:r w:rsidR="0047665E">
        <w:rPr>
          <w:sz w:val="22"/>
          <w:szCs w:val="22"/>
        </w:rPr>
        <w:t xml:space="preserve">oversight and guidance </w:t>
      </w:r>
      <w:r w:rsidR="00FB25AC">
        <w:rPr>
          <w:sz w:val="22"/>
          <w:szCs w:val="22"/>
        </w:rPr>
        <w:t>–</w:t>
      </w:r>
      <w:r w:rsidR="000C5C05">
        <w:rPr>
          <w:sz w:val="22"/>
          <w:szCs w:val="22"/>
        </w:rPr>
        <w:t xml:space="preserve"> </w:t>
      </w:r>
      <w:r w:rsidR="00FB25AC">
        <w:rPr>
          <w:sz w:val="22"/>
          <w:szCs w:val="22"/>
        </w:rPr>
        <w:t xml:space="preserve">such as the strategic </w:t>
      </w:r>
      <w:r w:rsidR="00E756A7">
        <w:rPr>
          <w:sz w:val="22"/>
          <w:szCs w:val="22"/>
        </w:rPr>
        <w:t>monitoring</w:t>
      </w:r>
      <w:r w:rsidR="00451F0F">
        <w:rPr>
          <w:sz w:val="22"/>
          <w:szCs w:val="22"/>
        </w:rPr>
        <w:t xml:space="preserve"> and advisory function set out in </w:t>
      </w:r>
      <w:r w:rsidR="00E756A7">
        <w:rPr>
          <w:sz w:val="22"/>
          <w:szCs w:val="22"/>
        </w:rPr>
        <w:t xml:space="preserve">earlier program plans and through </w:t>
      </w:r>
      <w:r w:rsidR="00DA562A">
        <w:rPr>
          <w:sz w:val="22"/>
          <w:szCs w:val="22"/>
        </w:rPr>
        <w:t xml:space="preserve">more systematic engagement of AHC personnel. </w:t>
      </w:r>
    </w:p>
    <w:p w14:paraId="068E1416" w14:textId="77777777" w:rsidR="009405CC" w:rsidRDefault="009405CC" w:rsidP="00C42422">
      <w:pPr>
        <w:pStyle w:val="Heading2"/>
        <w:keepNext/>
      </w:pPr>
      <w:bookmarkStart w:id="23" w:name="_Toc180756330"/>
      <w:r>
        <w:t xml:space="preserve">KRQ 4 – </w:t>
      </w:r>
      <w:r w:rsidR="00717B68" w:rsidRPr="002C084D">
        <w:t>Sustainability</w:t>
      </w:r>
      <w:bookmarkEnd w:id="23"/>
    </w:p>
    <w:tbl>
      <w:tblPr>
        <w:tblStyle w:val="TableGrid"/>
        <w:tblW w:w="0" w:type="auto"/>
        <w:tblLook w:val="04A0" w:firstRow="1" w:lastRow="0" w:firstColumn="1" w:lastColumn="0" w:noHBand="0" w:noVBand="1"/>
      </w:tblPr>
      <w:tblGrid>
        <w:gridCol w:w="9628"/>
      </w:tblGrid>
      <w:tr w:rsidR="007D31F3" w:rsidRPr="001410A4" w14:paraId="5807E5C7" w14:textId="77777777" w:rsidTr="007156BE">
        <w:tc>
          <w:tcPr>
            <w:tcW w:w="9628" w:type="dxa"/>
          </w:tcPr>
          <w:p w14:paraId="1F317AF1" w14:textId="7FF4C7BC" w:rsidR="00692443" w:rsidRDefault="007D31F3" w:rsidP="00B72AA0">
            <w:pPr>
              <w:spacing w:after="120"/>
              <w:rPr>
                <w:i/>
                <w:iCs/>
                <w:sz w:val="22"/>
                <w:szCs w:val="22"/>
              </w:rPr>
            </w:pPr>
            <w:r w:rsidRPr="004812A1">
              <w:rPr>
                <w:i/>
                <w:iCs/>
                <w:sz w:val="22"/>
                <w:szCs w:val="22"/>
              </w:rPr>
              <w:t>At this point in the program are there any interventions that appear more likely than others</w:t>
            </w:r>
            <w:r w:rsidR="00B72AA0" w:rsidRPr="004812A1">
              <w:rPr>
                <w:i/>
                <w:iCs/>
                <w:sz w:val="22"/>
                <w:szCs w:val="22"/>
              </w:rPr>
              <w:t xml:space="preserve"> </w:t>
            </w:r>
            <w:r w:rsidRPr="004812A1">
              <w:rPr>
                <w:i/>
                <w:iCs/>
                <w:sz w:val="22"/>
                <w:szCs w:val="22"/>
              </w:rPr>
              <w:t>of being sustained beyond the PIE project cycle? Why might this be so and are there any thoughts on what would be required to increase sustainability and replicability? Which interventions appear to be greatest value for money at this point in the program?</w:t>
            </w:r>
          </w:p>
          <w:p w14:paraId="511DCB14" w14:textId="77777777" w:rsidR="00EC4ACC" w:rsidRDefault="00EC4ACC" w:rsidP="00EC4ACC">
            <w:pPr>
              <w:spacing w:after="120"/>
              <w:rPr>
                <w:sz w:val="22"/>
                <w:szCs w:val="22"/>
              </w:rPr>
            </w:pPr>
            <w:r>
              <w:rPr>
                <w:sz w:val="22"/>
                <w:szCs w:val="22"/>
              </w:rPr>
              <w:t xml:space="preserve">The conduct of the Bilum Books workshops and follow-up teacher learning circles appear to have created desire amongst teachers for further teacher in-service training, resources and support which provides opportunity for professional engagement within and beyond schools. Further structured and regular in-service training events as well as the PIE TUF activity can be expected to build the momentum. </w:t>
            </w:r>
          </w:p>
          <w:p w14:paraId="34D43ADB" w14:textId="77777777" w:rsidR="009E6BFB" w:rsidRDefault="00EC4ACC" w:rsidP="00EC4ACC">
            <w:pPr>
              <w:spacing w:after="120"/>
              <w:rPr>
                <w:sz w:val="22"/>
                <w:szCs w:val="22"/>
              </w:rPr>
            </w:pPr>
            <w:r>
              <w:rPr>
                <w:sz w:val="22"/>
                <w:szCs w:val="22"/>
              </w:rPr>
              <w:t xml:space="preserve">The Program has also made a significant contribution to the development of key policy documents that provide clarity about expectations in areas such as Teacher Development, GESI, Inclusive Education and School learning and improvement plans. Clarity about such areas provide a platform for further planning and implementation provincially and nationally. </w:t>
            </w:r>
          </w:p>
          <w:p w14:paraId="7F04A151" w14:textId="737969BB" w:rsidR="00EC4ACC" w:rsidRDefault="009E6BFB" w:rsidP="00EC4ACC">
            <w:pPr>
              <w:spacing w:after="120"/>
              <w:rPr>
                <w:sz w:val="22"/>
                <w:szCs w:val="22"/>
              </w:rPr>
            </w:pPr>
            <w:r>
              <w:rPr>
                <w:sz w:val="22"/>
                <w:szCs w:val="22"/>
              </w:rPr>
              <w:t xml:space="preserve">Further support for development and implementation of such enabling activities, and a sharp focus across all Program activities will be important for momentum to be sustained and to maximise chances of success. </w:t>
            </w:r>
          </w:p>
          <w:p w14:paraId="61C830E0" w14:textId="24009675" w:rsidR="00675425" w:rsidRPr="001F1190" w:rsidRDefault="00EC4ACC" w:rsidP="00B72AA0">
            <w:pPr>
              <w:spacing w:after="120"/>
              <w:rPr>
                <w:sz w:val="22"/>
                <w:szCs w:val="22"/>
              </w:rPr>
            </w:pPr>
            <w:r w:rsidRPr="007E628C">
              <w:rPr>
                <w:sz w:val="22"/>
                <w:szCs w:val="22"/>
              </w:rPr>
              <w:t xml:space="preserve">Continuing to support successful models of in-service </w:t>
            </w:r>
            <w:r>
              <w:rPr>
                <w:sz w:val="22"/>
                <w:szCs w:val="22"/>
              </w:rPr>
              <w:t xml:space="preserve">training, including through budget planning and allocation, </w:t>
            </w:r>
            <w:r w:rsidRPr="007E628C">
              <w:rPr>
                <w:sz w:val="22"/>
                <w:szCs w:val="22"/>
              </w:rPr>
              <w:t>has the potential to encourage provincial and national department</w:t>
            </w:r>
            <w:r>
              <w:rPr>
                <w:sz w:val="22"/>
                <w:szCs w:val="22"/>
              </w:rPr>
              <w:t>s</w:t>
            </w:r>
            <w:r w:rsidRPr="007E628C">
              <w:rPr>
                <w:sz w:val="22"/>
                <w:szCs w:val="22"/>
              </w:rPr>
              <w:t xml:space="preserve"> to take steps to</w:t>
            </w:r>
            <w:r>
              <w:rPr>
                <w:sz w:val="22"/>
                <w:szCs w:val="22"/>
              </w:rPr>
              <w:t xml:space="preserve"> (re)introduce (quality) NIST and PIST programs.</w:t>
            </w:r>
            <w:r w:rsidR="009E6BFB">
              <w:rPr>
                <w:sz w:val="22"/>
                <w:szCs w:val="22"/>
              </w:rPr>
              <w:t xml:space="preserve"> </w:t>
            </w:r>
          </w:p>
        </w:tc>
      </w:tr>
    </w:tbl>
    <w:p w14:paraId="62CBDEFA" w14:textId="7B57EEAB" w:rsidR="005D6BB8" w:rsidRPr="005D6BB8" w:rsidRDefault="005D6BB8" w:rsidP="005E7D49">
      <w:pPr>
        <w:keepNext/>
        <w:spacing w:before="120"/>
        <w:rPr>
          <w:sz w:val="22"/>
          <w:szCs w:val="22"/>
          <w:u w:val="single"/>
        </w:rPr>
      </w:pPr>
      <w:r w:rsidRPr="005D6BB8">
        <w:rPr>
          <w:sz w:val="22"/>
          <w:szCs w:val="22"/>
          <w:u w:val="single"/>
        </w:rPr>
        <w:t xml:space="preserve">A </w:t>
      </w:r>
      <w:r w:rsidR="009A694B">
        <w:rPr>
          <w:sz w:val="22"/>
          <w:szCs w:val="22"/>
          <w:u w:val="single"/>
        </w:rPr>
        <w:t xml:space="preserve">(greater) </w:t>
      </w:r>
      <w:r w:rsidRPr="005D6BB8">
        <w:rPr>
          <w:sz w:val="22"/>
          <w:szCs w:val="22"/>
          <w:u w:val="single"/>
        </w:rPr>
        <w:t>focus on sustainability</w:t>
      </w:r>
    </w:p>
    <w:p w14:paraId="6E8A4D2D" w14:textId="721A9796" w:rsidR="00620776" w:rsidRPr="00DC35B9" w:rsidRDefault="00620776" w:rsidP="00620776">
      <w:pPr>
        <w:rPr>
          <w:sz w:val="22"/>
          <w:szCs w:val="22"/>
        </w:rPr>
      </w:pPr>
      <w:r w:rsidRPr="00DC35B9">
        <w:rPr>
          <w:sz w:val="22"/>
          <w:szCs w:val="22"/>
        </w:rPr>
        <w:t xml:space="preserve">The program has made significant commitments to sustainability, planning to adopt an approach that “PIE will take towards sustaining key changes, results and approaches/models beyond the life of the program”. Sustainability </w:t>
      </w:r>
      <w:r w:rsidR="00F335A7">
        <w:rPr>
          <w:sz w:val="22"/>
          <w:szCs w:val="22"/>
        </w:rPr>
        <w:t xml:space="preserve">is intended to </w:t>
      </w:r>
      <w:r w:rsidRPr="00DC35B9">
        <w:rPr>
          <w:sz w:val="22"/>
          <w:szCs w:val="22"/>
        </w:rPr>
        <w:t>be integrated into “regular planning, implementation and review cycles to support the PIE team to embed sustainability throughout the program”</w:t>
      </w:r>
      <w:r>
        <w:rPr>
          <w:sz w:val="22"/>
          <w:szCs w:val="22"/>
        </w:rPr>
        <w:t xml:space="preserve"> (Sustainability </w:t>
      </w:r>
      <w:r w:rsidR="00726915" w:rsidRPr="005F5BAA">
        <w:rPr>
          <w:sz w:val="22"/>
          <w:szCs w:val="22"/>
        </w:rPr>
        <w:t>Strategy</w:t>
      </w:r>
      <w:r w:rsidRPr="005F5BAA">
        <w:rPr>
          <w:sz w:val="22"/>
          <w:szCs w:val="22"/>
        </w:rPr>
        <w:t>, p.</w:t>
      </w:r>
      <w:r w:rsidR="005F5BAA" w:rsidRPr="0065260C">
        <w:rPr>
          <w:sz w:val="22"/>
          <w:szCs w:val="22"/>
        </w:rPr>
        <w:t>1</w:t>
      </w:r>
      <w:r w:rsidRPr="005F5BAA">
        <w:rPr>
          <w:sz w:val="22"/>
          <w:szCs w:val="22"/>
        </w:rPr>
        <w:t>).</w:t>
      </w:r>
      <w:r w:rsidRPr="00DC35B9">
        <w:rPr>
          <w:sz w:val="22"/>
          <w:szCs w:val="22"/>
        </w:rPr>
        <w:t xml:space="preserve"> </w:t>
      </w:r>
    </w:p>
    <w:p w14:paraId="146E7081" w14:textId="1C07C201" w:rsidR="00397377" w:rsidRDefault="00620776" w:rsidP="008F6FD1">
      <w:pPr>
        <w:rPr>
          <w:sz w:val="22"/>
          <w:szCs w:val="22"/>
        </w:rPr>
      </w:pPr>
      <w:r w:rsidRPr="00620776">
        <w:rPr>
          <w:sz w:val="22"/>
          <w:szCs w:val="22"/>
        </w:rPr>
        <w:t>Further, the sustainability plan (p.3) promotes regular review with three key criterion – performance to date; strategic importance to PIE; strategic importance to GoPNG</w:t>
      </w:r>
      <w:r w:rsidR="007E52C7">
        <w:rPr>
          <w:sz w:val="22"/>
          <w:szCs w:val="22"/>
        </w:rPr>
        <w:t xml:space="preserve">. </w:t>
      </w:r>
      <w:r w:rsidR="00B71C39">
        <w:rPr>
          <w:sz w:val="22"/>
          <w:szCs w:val="22"/>
        </w:rPr>
        <w:t xml:space="preserve">While these intentions are clear, the focus on sustainability </w:t>
      </w:r>
      <w:r w:rsidR="00DE1307">
        <w:rPr>
          <w:sz w:val="22"/>
          <w:szCs w:val="22"/>
        </w:rPr>
        <w:t xml:space="preserve">is not </w:t>
      </w:r>
      <w:r w:rsidR="00E466F6">
        <w:rPr>
          <w:sz w:val="22"/>
          <w:szCs w:val="22"/>
        </w:rPr>
        <w:t xml:space="preserve">evident in </w:t>
      </w:r>
      <w:r w:rsidR="008A4B4A">
        <w:rPr>
          <w:sz w:val="22"/>
          <w:szCs w:val="22"/>
        </w:rPr>
        <w:t xml:space="preserve">routine monitoring and reflection </w:t>
      </w:r>
      <w:r w:rsidR="009A694B">
        <w:rPr>
          <w:sz w:val="22"/>
          <w:szCs w:val="22"/>
        </w:rPr>
        <w:t>processes to date</w:t>
      </w:r>
      <w:r w:rsidR="00712040">
        <w:rPr>
          <w:sz w:val="22"/>
          <w:szCs w:val="22"/>
        </w:rPr>
        <w:t xml:space="preserve"> – which is quite understandable given</w:t>
      </w:r>
      <w:r w:rsidR="0070541E">
        <w:rPr>
          <w:sz w:val="22"/>
          <w:szCs w:val="22"/>
        </w:rPr>
        <w:t xml:space="preserve"> the attention and effort focused on building </w:t>
      </w:r>
      <w:r w:rsidR="000A6748">
        <w:rPr>
          <w:sz w:val="22"/>
          <w:szCs w:val="22"/>
        </w:rPr>
        <w:t>foundations and momentum nationally and provincially. However, t</w:t>
      </w:r>
      <w:r w:rsidR="009B238B">
        <w:rPr>
          <w:sz w:val="22"/>
          <w:szCs w:val="22"/>
        </w:rPr>
        <w:t xml:space="preserve">his strategic dimension of regular reflection activities </w:t>
      </w:r>
      <w:r w:rsidR="006F10B0">
        <w:rPr>
          <w:sz w:val="22"/>
          <w:szCs w:val="22"/>
        </w:rPr>
        <w:t xml:space="preserve">could </w:t>
      </w:r>
      <w:r w:rsidR="00BC334C">
        <w:rPr>
          <w:sz w:val="22"/>
          <w:szCs w:val="22"/>
        </w:rPr>
        <w:t xml:space="preserve">be </w:t>
      </w:r>
      <w:r w:rsidR="006F10B0">
        <w:rPr>
          <w:sz w:val="22"/>
          <w:szCs w:val="22"/>
        </w:rPr>
        <w:t xml:space="preserve">added to </w:t>
      </w:r>
      <w:r w:rsidR="00397377">
        <w:rPr>
          <w:sz w:val="22"/>
          <w:szCs w:val="22"/>
        </w:rPr>
        <w:t>an enhanced strategic oversight and guidance function as discussed in the preceding section of efficiency.</w:t>
      </w:r>
    </w:p>
    <w:p w14:paraId="3C11C0B2" w14:textId="77777777" w:rsidR="00F428F8" w:rsidRDefault="00F428F8" w:rsidP="008F6FD1">
      <w:pPr>
        <w:rPr>
          <w:sz w:val="22"/>
          <w:szCs w:val="22"/>
        </w:rPr>
      </w:pPr>
    </w:p>
    <w:p w14:paraId="33DAD7C7" w14:textId="0AED71BD" w:rsidR="0005257B" w:rsidRPr="0005257B" w:rsidRDefault="005F63A8" w:rsidP="008F6FD1">
      <w:pPr>
        <w:rPr>
          <w:sz w:val="22"/>
          <w:szCs w:val="22"/>
          <w:u w:val="single"/>
        </w:rPr>
      </w:pPr>
      <w:r>
        <w:rPr>
          <w:sz w:val="22"/>
          <w:szCs w:val="22"/>
          <w:u w:val="single"/>
        </w:rPr>
        <w:t>Building relevance and ow</w:t>
      </w:r>
      <w:r w:rsidR="00091DF6">
        <w:rPr>
          <w:sz w:val="22"/>
          <w:szCs w:val="22"/>
          <w:u w:val="single"/>
        </w:rPr>
        <w:t>nership</w:t>
      </w:r>
    </w:p>
    <w:p w14:paraId="46CAC9A3" w14:textId="16F04E45" w:rsidR="00DC35B9" w:rsidRDefault="00D60F62" w:rsidP="008F6FD1">
      <w:pPr>
        <w:rPr>
          <w:sz w:val="22"/>
          <w:szCs w:val="22"/>
        </w:rPr>
      </w:pPr>
      <w:r>
        <w:rPr>
          <w:sz w:val="22"/>
          <w:szCs w:val="22"/>
        </w:rPr>
        <w:t xml:space="preserve">As noted in the </w:t>
      </w:r>
      <w:r w:rsidR="002A03D3">
        <w:rPr>
          <w:sz w:val="22"/>
          <w:szCs w:val="22"/>
        </w:rPr>
        <w:t>Political Economy Analysis (p.7) and reflected in EOIOs 1 and 2</w:t>
      </w:r>
      <w:r w:rsidR="00B26504">
        <w:rPr>
          <w:sz w:val="22"/>
          <w:szCs w:val="22"/>
        </w:rPr>
        <w:t xml:space="preserve">, the core </w:t>
      </w:r>
      <w:r w:rsidR="000A6748">
        <w:rPr>
          <w:sz w:val="22"/>
          <w:szCs w:val="22"/>
        </w:rPr>
        <w:t xml:space="preserve">PIE </w:t>
      </w:r>
      <w:r w:rsidR="00B26504">
        <w:rPr>
          <w:sz w:val="22"/>
          <w:szCs w:val="22"/>
        </w:rPr>
        <w:t>strateg</w:t>
      </w:r>
      <w:r w:rsidR="000A6748">
        <w:rPr>
          <w:sz w:val="22"/>
          <w:szCs w:val="22"/>
        </w:rPr>
        <w:t xml:space="preserve">ies </w:t>
      </w:r>
      <w:r w:rsidR="00F70187">
        <w:rPr>
          <w:sz w:val="22"/>
          <w:szCs w:val="22"/>
        </w:rPr>
        <w:t>centre on technical activities</w:t>
      </w:r>
      <w:r w:rsidR="00DE1307">
        <w:rPr>
          <w:sz w:val="22"/>
          <w:szCs w:val="22"/>
        </w:rPr>
        <w:t xml:space="preserve"> designed to respond to </w:t>
      </w:r>
      <w:r w:rsidR="00A371AC">
        <w:rPr>
          <w:sz w:val="22"/>
          <w:szCs w:val="22"/>
        </w:rPr>
        <w:t>address ‘deficits in the school system’</w:t>
      </w:r>
      <w:r w:rsidR="00C22748">
        <w:rPr>
          <w:sz w:val="22"/>
          <w:szCs w:val="22"/>
        </w:rPr>
        <w:t xml:space="preserve">. However, the PEA </w:t>
      </w:r>
      <w:r w:rsidR="00B62D75">
        <w:rPr>
          <w:sz w:val="22"/>
          <w:szCs w:val="22"/>
        </w:rPr>
        <w:t xml:space="preserve">(p.8) </w:t>
      </w:r>
      <w:r w:rsidR="00CC53E2">
        <w:rPr>
          <w:sz w:val="22"/>
          <w:szCs w:val="22"/>
        </w:rPr>
        <w:t xml:space="preserve">encourages consideration </w:t>
      </w:r>
      <w:r w:rsidR="00BC5C7C">
        <w:rPr>
          <w:sz w:val="22"/>
          <w:szCs w:val="22"/>
        </w:rPr>
        <w:t xml:space="preserve">of </w:t>
      </w:r>
      <w:r w:rsidR="00162450">
        <w:rPr>
          <w:sz w:val="22"/>
          <w:szCs w:val="22"/>
        </w:rPr>
        <w:t>what is politically possible</w:t>
      </w:r>
      <w:r w:rsidR="00274E8E">
        <w:rPr>
          <w:sz w:val="22"/>
          <w:szCs w:val="22"/>
        </w:rPr>
        <w:t xml:space="preserve"> and how stakeholders see the aims of the education system. </w:t>
      </w:r>
      <w:r w:rsidR="00656655">
        <w:rPr>
          <w:sz w:val="22"/>
          <w:szCs w:val="22"/>
        </w:rPr>
        <w:t xml:space="preserve"> </w:t>
      </w:r>
    </w:p>
    <w:p w14:paraId="5AFB0932" w14:textId="38712CFC" w:rsidR="00752EF8" w:rsidRDefault="00735E38" w:rsidP="008F6FD1">
      <w:pPr>
        <w:rPr>
          <w:sz w:val="22"/>
          <w:szCs w:val="22"/>
        </w:rPr>
      </w:pPr>
      <w:r>
        <w:rPr>
          <w:sz w:val="22"/>
          <w:szCs w:val="22"/>
        </w:rPr>
        <w:t>In addition, t</w:t>
      </w:r>
      <w:r w:rsidR="00743828">
        <w:rPr>
          <w:sz w:val="22"/>
          <w:szCs w:val="22"/>
        </w:rPr>
        <w:t xml:space="preserve">he PEA observes (p.29) that </w:t>
      </w:r>
      <w:r w:rsidR="00933AB9">
        <w:rPr>
          <w:sz w:val="22"/>
          <w:szCs w:val="22"/>
        </w:rPr>
        <w:t xml:space="preserve">the embedded staff (NDoE and PDoE) play a key role </w:t>
      </w:r>
      <w:r w:rsidR="00091DF6">
        <w:rPr>
          <w:sz w:val="22"/>
          <w:szCs w:val="22"/>
        </w:rPr>
        <w:t xml:space="preserve">in national and provincial personnel </w:t>
      </w:r>
      <w:r w:rsidR="009066E9">
        <w:rPr>
          <w:sz w:val="22"/>
          <w:szCs w:val="22"/>
        </w:rPr>
        <w:t>‘</w:t>
      </w:r>
      <w:r w:rsidR="00091DF6">
        <w:rPr>
          <w:sz w:val="22"/>
          <w:szCs w:val="22"/>
        </w:rPr>
        <w:t>taking</w:t>
      </w:r>
      <w:r w:rsidR="009066E9">
        <w:rPr>
          <w:sz w:val="22"/>
          <w:szCs w:val="22"/>
        </w:rPr>
        <w:t xml:space="preserve"> ownership’</w:t>
      </w:r>
      <w:r w:rsidR="00091DF6">
        <w:rPr>
          <w:sz w:val="22"/>
          <w:szCs w:val="22"/>
        </w:rPr>
        <w:t xml:space="preserve"> </w:t>
      </w:r>
      <w:r w:rsidR="00150F79">
        <w:rPr>
          <w:sz w:val="22"/>
          <w:szCs w:val="22"/>
        </w:rPr>
        <w:t>of the activities and interventions</w:t>
      </w:r>
      <w:r w:rsidR="00752EF8">
        <w:rPr>
          <w:sz w:val="22"/>
          <w:szCs w:val="22"/>
        </w:rPr>
        <w:t xml:space="preserve">. It </w:t>
      </w:r>
      <w:r w:rsidR="005F63A8">
        <w:rPr>
          <w:sz w:val="22"/>
          <w:szCs w:val="22"/>
        </w:rPr>
        <w:t xml:space="preserve">encourages consideration of </w:t>
      </w:r>
      <w:r w:rsidR="00616E3A">
        <w:rPr>
          <w:sz w:val="22"/>
          <w:szCs w:val="22"/>
        </w:rPr>
        <w:t xml:space="preserve">how </w:t>
      </w:r>
      <w:r w:rsidR="00C717CA">
        <w:rPr>
          <w:sz w:val="22"/>
          <w:szCs w:val="22"/>
        </w:rPr>
        <w:t xml:space="preserve">the </w:t>
      </w:r>
      <w:r w:rsidR="00752EF8">
        <w:rPr>
          <w:sz w:val="22"/>
          <w:szCs w:val="22"/>
        </w:rPr>
        <w:t>P</w:t>
      </w:r>
      <w:r w:rsidR="00C717CA">
        <w:rPr>
          <w:sz w:val="22"/>
          <w:szCs w:val="22"/>
        </w:rPr>
        <w:t xml:space="preserve">rogram can gain more from </w:t>
      </w:r>
      <w:r w:rsidR="00616E3A">
        <w:rPr>
          <w:sz w:val="22"/>
          <w:szCs w:val="22"/>
        </w:rPr>
        <w:t xml:space="preserve">embedded staff </w:t>
      </w:r>
      <w:r w:rsidR="00C717CA">
        <w:rPr>
          <w:sz w:val="22"/>
          <w:szCs w:val="22"/>
        </w:rPr>
        <w:t>and how they can be better supported</w:t>
      </w:r>
      <w:r w:rsidR="00EC55EF">
        <w:rPr>
          <w:sz w:val="22"/>
          <w:szCs w:val="22"/>
        </w:rPr>
        <w:t xml:space="preserve"> (see Reco</w:t>
      </w:r>
      <w:r w:rsidR="001B62EC">
        <w:rPr>
          <w:sz w:val="22"/>
          <w:szCs w:val="22"/>
        </w:rPr>
        <w:t xml:space="preserve"> 4, p</w:t>
      </w:r>
      <w:r w:rsidR="00752EF8">
        <w:rPr>
          <w:sz w:val="22"/>
          <w:szCs w:val="22"/>
        </w:rPr>
        <w:t>.</w:t>
      </w:r>
      <w:r w:rsidR="001B62EC">
        <w:rPr>
          <w:sz w:val="22"/>
          <w:szCs w:val="22"/>
        </w:rPr>
        <w:t>33)</w:t>
      </w:r>
      <w:r w:rsidR="00204799">
        <w:rPr>
          <w:sz w:val="22"/>
          <w:szCs w:val="22"/>
        </w:rPr>
        <w:t>. The focus on NDoE and PDoE ownership should be increasingly reflected in conversations regarding expanding to additional provinces, including co-contributions related to key personnel and funding.</w:t>
      </w:r>
      <w:r w:rsidR="00EC4ACC">
        <w:rPr>
          <w:sz w:val="22"/>
          <w:szCs w:val="22"/>
        </w:rPr>
        <w:t xml:space="preserve"> AHC/DFAT policy dialogue with high level officials should also reflect this messaging.</w:t>
      </w:r>
    </w:p>
    <w:p w14:paraId="172BE132" w14:textId="3BFF1ECD" w:rsidR="007F5D0E" w:rsidRDefault="00160434" w:rsidP="008F6FD1">
      <w:pPr>
        <w:rPr>
          <w:sz w:val="22"/>
          <w:szCs w:val="22"/>
        </w:rPr>
      </w:pPr>
      <w:r>
        <w:rPr>
          <w:sz w:val="22"/>
          <w:szCs w:val="22"/>
        </w:rPr>
        <w:t>Examples of improved relevance</w:t>
      </w:r>
      <w:r w:rsidR="0036151F">
        <w:rPr>
          <w:sz w:val="22"/>
          <w:szCs w:val="22"/>
        </w:rPr>
        <w:t xml:space="preserve">, </w:t>
      </w:r>
      <w:r>
        <w:rPr>
          <w:sz w:val="22"/>
          <w:szCs w:val="22"/>
        </w:rPr>
        <w:t xml:space="preserve">understanding </w:t>
      </w:r>
      <w:r w:rsidR="0036151F">
        <w:rPr>
          <w:sz w:val="22"/>
          <w:szCs w:val="22"/>
        </w:rPr>
        <w:t xml:space="preserve">and ownership </w:t>
      </w:r>
      <w:r>
        <w:rPr>
          <w:sz w:val="22"/>
          <w:szCs w:val="22"/>
        </w:rPr>
        <w:t xml:space="preserve">can be found in monitoring visit </w:t>
      </w:r>
      <w:r w:rsidR="005462AB">
        <w:rPr>
          <w:sz w:val="22"/>
          <w:szCs w:val="22"/>
        </w:rPr>
        <w:t xml:space="preserve">data collections and reports. An interview with a school board chair and the </w:t>
      </w:r>
      <w:r w:rsidR="00673671">
        <w:rPr>
          <w:sz w:val="22"/>
          <w:szCs w:val="22"/>
        </w:rPr>
        <w:t xml:space="preserve">school </w:t>
      </w:r>
      <w:r w:rsidR="005462AB">
        <w:rPr>
          <w:sz w:val="22"/>
          <w:szCs w:val="22"/>
        </w:rPr>
        <w:t xml:space="preserve">principal </w:t>
      </w:r>
      <w:r w:rsidR="005E3153">
        <w:rPr>
          <w:sz w:val="22"/>
          <w:szCs w:val="22"/>
        </w:rPr>
        <w:t>(20 August) highlighted</w:t>
      </w:r>
      <w:r w:rsidR="00BC7430">
        <w:rPr>
          <w:sz w:val="22"/>
          <w:szCs w:val="22"/>
        </w:rPr>
        <w:t xml:space="preserve"> the benefit of </w:t>
      </w:r>
      <w:r w:rsidR="003B26A7">
        <w:rPr>
          <w:sz w:val="22"/>
          <w:szCs w:val="22"/>
        </w:rPr>
        <w:t xml:space="preserve">SLIP </w:t>
      </w:r>
      <w:r w:rsidR="00BC7430">
        <w:rPr>
          <w:sz w:val="22"/>
          <w:szCs w:val="22"/>
        </w:rPr>
        <w:t xml:space="preserve">training provided </w:t>
      </w:r>
      <w:r w:rsidR="003B26A7">
        <w:rPr>
          <w:sz w:val="22"/>
          <w:szCs w:val="22"/>
        </w:rPr>
        <w:t xml:space="preserve">by PIE. </w:t>
      </w:r>
      <w:r w:rsidR="00673671">
        <w:rPr>
          <w:sz w:val="22"/>
          <w:szCs w:val="22"/>
        </w:rPr>
        <w:t>Both demonstra</w:t>
      </w:r>
      <w:r w:rsidR="00E94960">
        <w:rPr>
          <w:sz w:val="22"/>
          <w:szCs w:val="22"/>
        </w:rPr>
        <w:t>ted a sound and practical understanding of the SLIP, including their respective roles and responsibilities</w:t>
      </w:r>
      <w:r w:rsidR="00321D9F">
        <w:rPr>
          <w:sz w:val="22"/>
          <w:szCs w:val="22"/>
        </w:rPr>
        <w:t xml:space="preserve"> and it was apparent that </w:t>
      </w:r>
      <w:r w:rsidR="001253B9">
        <w:rPr>
          <w:sz w:val="22"/>
          <w:szCs w:val="22"/>
        </w:rPr>
        <w:t xml:space="preserve">benefits </w:t>
      </w:r>
      <w:r w:rsidR="00F81471">
        <w:rPr>
          <w:sz w:val="22"/>
          <w:szCs w:val="22"/>
        </w:rPr>
        <w:t xml:space="preserve">were likely to accrue for </w:t>
      </w:r>
      <w:r w:rsidR="00321D9F">
        <w:rPr>
          <w:sz w:val="22"/>
          <w:szCs w:val="22"/>
        </w:rPr>
        <w:t>the school and the students</w:t>
      </w:r>
      <w:r w:rsidR="00C57B2D">
        <w:rPr>
          <w:sz w:val="22"/>
          <w:szCs w:val="22"/>
        </w:rPr>
        <w:t xml:space="preserve">. </w:t>
      </w:r>
      <w:r w:rsidR="00DB3BC1">
        <w:rPr>
          <w:sz w:val="22"/>
          <w:szCs w:val="22"/>
        </w:rPr>
        <w:t xml:space="preserve">(While just one case) it is </w:t>
      </w:r>
      <w:r w:rsidR="00E8247D">
        <w:rPr>
          <w:sz w:val="22"/>
          <w:szCs w:val="22"/>
        </w:rPr>
        <w:t>a positive</w:t>
      </w:r>
      <w:r w:rsidR="006B4B37">
        <w:rPr>
          <w:sz w:val="22"/>
          <w:szCs w:val="22"/>
        </w:rPr>
        <w:t xml:space="preserve"> example of a </w:t>
      </w:r>
      <w:r w:rsidR="002D41A7">
        <w:rPr>
          <w:sz w:val="22"/>
          <w:szCs w:val="22"/>
        </w:rPr>
        <w:t xml:space="preserve">technical intervention </w:t>
      </w:r>
      <w:r w:rsidR="006B4B37">
        <w:rPr>
          <w:sz w:val="22"/>
          <w:szCs w:val="22"/>
        </w:rPr>
        <w:t xml:space="preserve">improving the </w:t>
      </w:r>
      <w:r w:rsidR="0092544B">
        <w:rPr>
          <w:sz w:val="22"/>
          <w:szCs w:val="22"/>
        </w:rPr>
        <w:t xml:space="preserve">foundations of a school’s operation that </w:t>
      </w:r>
      <w:r w:rsidR="00802B09">
        <w:rPr>
          <w:sz w:val="22"/>
          <w:szCs w:val="22"/>
        </w:rPr>
        <w:t>can be expected to contribute to sustainability.</w:t>
      </w:r>
    </w:p>
    <w:p w14:paraId="2E3A2B17" w14:textId="77203770" w:rsidR="0054536B" w:rsidRPr="00B57328" w:rsidRDefault="00E56162" w:rsidP="00B57328">
      <w:pPr>
        <w:rPr>
          <w:sz w:val="22"/>
          <w:szCs w:val="22"/>
        </w:rPr>
      </w:pPr>
      <w:r w:rsidRPr="00B57328">
        <w:rPr>
          <w:sz w:val="22"/>
          <w:szCs w:val="22"/>
        </w:rPr>
        <w:t>The 2024 SAR (p.</w:t>
      </w:r>
      <w:r w:rsidR="00B36839" w:rsidRPr="00B57328">
        <w:rPr>
          <w:sz w:val="22"/>
          <w:szCs w:val="22"/>
        </w:rPr>
        <w:t xml:space="preserve">19) cites evidence of </w:t>
      </w:r>
      <w:r w:rsidR="00320C30" w:rsidRPr="00B57328">
        <w:rPr>
          <w:sz w:val="22"/>
          <w:szCs w:val="22"/>
        </w:rPr>
        <w:t xml:space="preserve">increasing desire for </w:t>
      </w:r>
      <w:r w:rsidR="00971BBB" w:rsidRPr="00B57328">
        <w:rPr>
          <w:sz w:val="22"/>
          <w:szCs w:val="22"/>
        </w:rPr>
        <w:t xml:space="preserve">replication, noting that </w:t>
      </w:r>
      <w:r w:rsidR="00D4571A" w:rsidRPr="00B57328">
        <w:rPr>
          <w:sz w:val="22"/>
          <w:szCs w:val="22"/>
        </w:rPr>
        <w:t>‘</w:t>
      </w:r>
      <w:r w:rsidR="00D4571A" w:rsidRPr="0065260C">
        <w:rPr>
          <w:i/>
          <w:iCs/>
          <w:sz w:val="22"/>
          <w:szCs w:val="22"/>
        </w:rPr>
        <w:t>Enga and Sandaun Province Provincial Education Advisers have expressed interest in rolling-out the school leadership and management training to all school levels after seeing the quality of the training package developed by ChildFund for PIE’</w:t>
      </w:r>
      <w:r w:rsidR="00D4571A" w:rsidRPr="00B57328">
        <w:rPr>
          <w:sz w:val="22"/>
          <w:szCs w:val="22"/>
        </w:rPr>
        <w:t xml:space="preserve">. Further </w:t>
      </w:r>
      <w:r w:rsidR="00002A0D" w:rsidRPr="00B57328">
        <w:rPr>
          <w:sz w:val="22"/>
          <w:szCs w:val="22"/>
        </w:rPr>
        <w:t xml:space="preserve">Mr </w:t>
      </w:r>
      <w:r w:rsidR="00002A0D" w:rsidRPr="0065260C">
        <w:rPr>
          <w:sz w:val="22"/>
          <w:szCs w:val="22"/>
        </w:rPr>
        <w:t>Kawage, Acting Deputy Secretary Policy and Corporate Services, in an interview for this review on 19 August</w:t>
      </w:r>
      <w:r w:rsidR="001C70AB" w:rsidRPr="0065260C">
        <w:rPr>
          <w:sz w:val="22"/>
          <w:szCs w:val="22"/>
        </w:rPr>
        <w:t xml:space="preserve">, said that he was </w:t>
      </w:r>
      <w:r w:rsidR="0054536B" w:rsidRPr="0065260C">
        <w:rPr>
          <w:sz w:val="22"/>
          <w:szCs w:val="22"/>
        </w:rPr>
        <w:t>‘</w:t>
      </w:r>
      <w:r w:rsidR="001C70AB" w:rsidRPr="0065260C">
        <w:rPr>
          <w:sz w:val="22"/>
          <w:szCs w:val="22"/>
        </w:rPr>
        <w:t xml:space="preserve">keen </w:t>
      </w:r>
      <w:r w:rsidR="00755AB2" w:rsidRPr="0065260C">
        <w:rPr>
          <w:sz w:val="22"/>
          <w:szCs w:val="22"/>
        </w:rPr>
        <w:t>to apply PIE to roll out to othe</w:t>
      </w:r>
      <w:r w:rsidR="0054536B" w:rsidRPr="0065260C">
        <w:rPr>
          <w:sz w:val="22"/>
          <w:szCs w:val="22"/>
        </w:rPr>
        <w:t>r</w:t>
      </w:r>
      <w:r w:rsidR="00755AB2" w:rsidRPr="0065260C">
        <w:rPr>
          <w:sz w:val="22"/>
          <w:szCs w:val="22"/>
        </w:rPr>
        <w:t xml:space="preserve"> provinces</w:t>
      </w:r>
      <w:r w:rsidR="0054536B" w:rsidRPr="0065260C">
        <w:rPr>
          <w:sz w:val="22"/>
          <w:szCs w:val="22"/>
        </w:rPr>
        <w:t>’</w:t>
      </w:r>
      <w:r w:rsidR="00755AB2" w:rsidRPr="0065260C">
        <w:rPr>
          <w:sz w:val="22"/>
          <w:szCs w:val="22"/>
        </w:rPr>
        <w:t xml:space="preserve">. </w:t>
      </w:r>
      <w:r w:rsidR="0054536B" w:rsidRPr="0065260C">
        <w:rPr>
          <w:sz w:val="22"/>
          <w:szCs w:val="22"/>
        </w:rPr>
        <w:t>Similarly</w:t>
      </w:r>
      <w:r w:rsidR="00755AB2" w:rsidRPr="0065260C">
        <w:rPr>
          <w:sz w:val="22"/>
          <w:szCs w:val="22"/>
        </w:rPr>
        <w:t xml:space="preserve">, </w:t>
      </w:r>
      <w:r w:rsidR="00DC1338" w:rsidRPr="00B57328">
        <w:rPr>
          <w:sz w:val="22"/>
          <w:szCs w:val="22"/>
        </w:rPr>
        <w:t>Mr A</w:t>
      </w:r>
      <w:r w:rsidR="00755AB2" w:rsidRPr="00B57328">
        <w:rPr>
          <w:sz w:val="22"/>
          <w:szCs w:val="22"/>
        </w:rPr>
        <w:t>i</w:t>
      </w:r>
      <w:r w:rsidR="00DC1338" w:rsidRPr="00B57328">
        <w:rPr>
          <w:sz w:val="22"/>
          <w:szCs w:val="22"/>
        </w:rPr>
        <w:t>nui</w:t>
      </w:r>
      <w:r w:rsidR="00E51B39" w:rsidRPr="00B57328">
        <w:rPr>
          <w:sz w:val="22"/>
          <w:szCs w:val="22"/>
        </w:rPr>
        <w:t>,</w:t>
      </w:r>
      <w:r w:rsidR="004C7CCE" w:rsidRPr="00B57328">
        <w:rPr>
          <w:sz w:val="22"/>
          <w:szCs w:val="22"/>
        </w:rPr>
        <w:t xml:space="preserve"> </w:t>
      </w:r>
      <w:r w:rsidR="004C7CCE" w:rsidRPr="0065260C">
        <w:rPr>
          <w:sz w:val="22"/>
          <w:szCs w:val="22"/>
        </w:rPr>
        <w:t xml:space="preserve">Acting Deputy Secretary, Standards </w:t>
      </w:r>
      <w:r w:rsidR="008B014B" w:rsidRPr="0065260C">
        <w:rPr>
          <w:sz w:val="22"/>
          <w:szCs w:val="22"/>
        </w:rPr>
        <w:t xml:space="preserve">and </w:t>
      </w:r>
      <w:r w:rsidR="004C7CCE" w:rsidRPr="0065260C">
        <w:rPr>
          <w:sz w:val="22"/>
          <w:szCs w:val="22"/>
        </w:rPr>
        <w:t>Curriculum</w:t>
      </w:r>
      <w:r w:rsidR="00980A5B" w:rsidRPr="0065260C">
        <w:rPr>
          <w:sz w:val="22"/>
          <w:szCs w:val="22"/>
        </w:rPr>
        <w:t xml:space="preserve">, on </w:t>
      </w:r>
      <w:r w:rsidR="001F68EC" w:rsidRPr="0065260C">
        <w:rPr>
          <w:sz w:val="22"/>
          <w:szCs w:val="22"/>
        </w:rPr>
        <w:t>22</w:t>
      </w:r>
      <w:r w:rsidR="002F6B3E" w:rsidRPr="0065260C">
        <w:rPr>
          <w:sz w:val="22"/>
          <w:szCs w:val="22"/>
        </w:rPr>
        <w:t xml:space="preserve"> August, expressed his </w:t>
      </w:r>
      <w:r w:rsidR="004855CB" w:rsidRPr="0065260C">
        <w:rPr>
          <w:sz w:val="22"/>
          <w:szCs w:val="22"/>
        </w:rPr>
        <w:t>‘</w:t>
      </w:r>
      <w:r w:rsidR="002F6B3E" w:rsidRPr="0065260C">
        <w:rPr>
          <w:sz w:val="22"/>
          <w:szCs w:val="22"/>
        </w:rPr>
        <w:t>strong commitment to learn from PIE</w:t>
      </w:r>
      <w:r w:rsidR="004855CB" w:rsidRPr="0065260C">
        <w:rPr>
          <w:sz w:val="22"/>
          <w:szCs w:val="22"/>
        </w:rPr>
        <w:t xml:space="preserve"> and to take ownership to run with the rest of the provinces’.</w:t>
      </w:r>
    </w:p>
    <w:p w14:paraId="20EDF77C" w14:textId="4D540651" w:rsidR="0054536B" w:rsidRPr="0065260C" w:rsidRDefault="0065307E" w:rsidP="0065260C">
      <w:pPr>
        <w:rPr>
          <w:sz w:val="22"/>
          <w:szCs w:val="22"/>
        </w:rPr>
      </w:pPr>
      <w:r>
        <w:rPr>
          <w:sz w:val="22"/>
          <w:szCs w:val="22"/>
        </w:rPr>
        <w:t xml:space="preserve">As the Program continues its work </w:t>
      </w:r>
      <w:r w:rsidR="007628C1">
        <w:rPr>
          <w:sz w:val="22"/>
          <w:szCs w:val="22"/>
        </w:rPr>
        <w:t>to investigate and prove successful interventions</w:t>
      </w:r>
      <w:r w:rsidR="00B57328">
        <w:rPr>
          <w:sz w:val="22"/>
          <w:szCs w:val="22"/>
        </w:rPr>
        <w:t xml:space="preserve"> that are sustainable and replicable it might need to differentiate what is replicable, possibly with the aid of other partners and what </w:t>
      </w:r>
      <w:r w:rsidR="004C5BD2">
        <w:rPr>
          <w:sz w:val="22"/>
          <w:szCs w:val="22"/>
        </w:rPr>
        <w:t xml:space="preserve">can be owned and </w:t>
      </w:r>
      <w:r w:rsidR="00B57328">
        <w:rPr>
          <w:sz w:val="22"/>
          <w:szCs w:val="22"/>
        </w:rPr>
        <w:t>sustainable</w:t>
      </w:r>
      <w:r w:rsidR="004C5BD2">
        <w:rPr>
          <w:sz w:val="22"/>
          <w:szCs w:val="22"/>
        </w:rPr>
        <w:t>, in the context of current resourcing,</w:t>
      </w:r>
      <w:r w:rsidR="00B57328">
        <w:rPr>
          <w:sz w:val="22"/>
          <w:szCs w:val="22"/>
        </w:rPr>
        <w:t xml:space="preserve"> by the national and provincial governments</w:t>
      </w:r>
      <w:r w:rsidR="004C5BD2">
        <w:rPr>
          <w:sz w:val="22"/>
          <w:szCs w:val="22"/>
        </w:rPr>
        <w:t xml:space="preserve">. </w:t>
      </w:r>
      <w:r w:rsidR="00222CC0">
        <w:rPr>
          <w:sz w:val="22"/>
          <w:szCs w:val="22"/>
        </w:rPr>
        <w:t xml:space="preserve">A key element in sustaining </w:t>
      </w:r>
      <w:r w:rsidR="008E291B">
        <w:rPr>
          <w:sz w:val="22"/>
          <w:szCs w:val="22"/>
        </w:rPr>
        <w:t xml:space="preserve">gains </w:t>
      </w:r>
      <w:r w:rsidR="00DA5EEF">
        <w:rPr>
          <w:sz w:val="22"/>
          <w:szCs w:val="22"/>
        </w:rPr>
        <w:t xml:space="preserve">realised through PIE </w:t>
      </w:r>
      <w:r w:rsidR="00952731">
        <w:rPr>
          <w:sz w:val="22"/>
          <w:szCs w:val="22"/>
        </w:rPr>
        <w:t>in the medium- and longer</w:t>
      </w:r>
      <w:r w:rsidR="00DA5EEF">
        <w:rPr>
          <w:sz w:val="22"/>
          <w:szCs w:val="22"/>
        </w:rPr>
        <w:t>-</w:t>
      </w:r>
      <w:r w:rsidR="00952731">
        <w:rPr>
          <w:sz w:val="22"/>
          <w:szCs w:val="22"/>
        </w:rPr>
        <w:t>term</w:t>
      </w:r>
      <w:r w:rsidR="00DA5EEF">
        <w:rPr>
          <w:sz w:val="22"/>
          <w:szCs w:val="22"/>
        </w:rPr>
        <w:t xml:space="preserve"> </w:t>
      </w:r>
      <w:r w:rsidR="008E291B">
        <w:rPr>
          <w:sz w:val="22"/>
          <w:szCs w:val="22"/>
        </w:rPr>
        <w:t xml:space="preserve">is likely to be the </w:t>
      </w:r>
      <w:r w:rsidR="005729E3">
        <w:rPr>
          <w:sz w:val="22"/>
          <w:szCs w:val="22"/>
        </w:rPr>
        <w:t xml:space="preserve">reinvigoration and strengthening of </w:t>
      </w:r>
      <w:r w:rsidR="00222CC0" w:rsidRPr="00222CC0">
        <w:rPr>
          <w:sz w:val="22"/>
          <w:szCs w:val="22"/>
        </w:rPr>
        <w:t xml:space="preserve">in-service systems, </w:t>
      </w:r>
      <w:r w:rsidR="00874012">
        <w:rPr>
          <w:sz w:val="22"/>
          <w:szCs w:val="22"/>
        </w:rPr>
        <w:t>nationally and provincially</w:t>
      </w:r>
      <w:r w:rsidR="00DC765B">
        <w:rPr>
          <w:sz w:val="22"/>
          <w:szCs w:val="22"/>
        </w:rPr>
        <w:t xml:space="preserve">, that set expectations for and </w:t>
      </w:r>
      <w:r w:rsidR="00222CC0" w:rsidRPr="00222CC0">
        <w:rPr>
          <w:sz w:val="22"/>
          <w:szCs w:val="22"/>
        </w:rPr>
        <w:t>support continuous professional development</w:t>
      </w:r>
      <w:r w:rsidR="00DC765B">
        <w:rPr>
          <w:sz w:val="22"/>
          <w:szCs w:val="22"/>
        </w:rPr>
        <w:t xml:space="preserve">. The PIE </w:t>
      </w:r>
      <w:r w:rsidR="00952731">
        <w:rPr>
          <w:sz w:val="22"/>
          <w:szCs w:val="22"/>
        </w:rPr>
        <w:t>TUF</w:t>
      </w:r>
      <w:r w:rsidR="00DA5EEF">
        <w:rPr>
          <w:sz w:val="22"/>
          <w:szCs w:val="22"/>
        </w:rPr>
        <w:t xml:space="preserve"> will </w:t>
      </w:r>
      <w:r w:rsidR="00BA75EA">
        <w:rPr>
          <w:sz w:val="22"/>
          <w:szCs w:val="22"/>
        </w:rPr>
        <w:t xml:space="preserve">contribute to the reinstatement of </w:t>
      </w:r>
      <w:r w:rsidR="00AC3971">
        <w:rPr>
          <w:sz w:val="22"/>
          <w:szCs w:val="22"/>
        </w:rPr>
        <w:t>‘in</w:t>
      </w:r>
      <w:r w:rsidR="00013FD0">
        <w:rPr>
          <w:sz w:val="22"/>
          <w:szCs w:val="22"/>
        </w:rPr>
        <w:t>-</w:t>
      </w:r>
      <w:r w:rsidR="00AC3971">
        <w:rPr>
          <w:sz w:val="22"/>
          <w:szCs w:val="22"/>
        </w:rPr>
        <w:t xml:space="preserve">service </w:t>
      </w:r>
      <w:r w:rsidR="00013FD0">
        <w:rPr>
          <w:sz w:val="22"/>
          <w:szCs w:val="22"/>
        </w:rPr>
        <w:t xml:space="preserve">training (IST) </w:t>
      </w:r>
      <w:r w:rsidR="00AC3971">
        <w:rPr>
          <w:sz w:val="22"/>
          <w:szCs w:val="22"/>
        </w:rPr>
        <w:t xml:space="preserve">practice’ (National, and Provincial </w:t>
      </w:r>
      <w:r w:rsidR="004A764D">
        <w:rPr>
          <w:sz w:val="22"/>
          <w:szCs w:val="22"/>
        </w:rPr>
        <w:t xml:space="preserve">In-Service Training) </w:t>
      </w:r>
      <w:r w:rsidR="00BA75EA">
        <w:rPr>
          <w:sz w:val="22"/>
          <w:szCs w:val="22"/>
        </w:rPr>
        <w:t xml:space="preserve">that was </w:t>
      </w:r>
      <w:r w:rsidR="00CD41F2">
        <w:rPr>
          <w:sz w:val="22"/>
          <w:szCs w:val="22"/>
        </w:rPr>
        <w:t xml:space="preserve">referred to in interviews with PNG </w:t>
      </w:r>
      <w:r w:rsidR="004A764D">
        <w:rPr>
          <w:sz w:val="22"/>
          <w:szCs w:val="22"/>
        </w:rPr>
        <w:t xml:space="preserve">teachers and </w:t>
      </w:r>
      <w:r w:rsidR="00CD41F2">
        <w:rPr>
          <w:sz w:val="22"/>
          <w:szCs w:val="22"/>
        </w:rPr>
        <w:t xml:space="preserve">personnel for this review. </w:t>
      </w:r>
    </w:p>
    <w:p w14:paraId="3FB84CAC" w14:textId="066F7F6B" w:rsidR="00F81471" w:rsidRPr="00F92D5D" w:rsidRDefault="00F92D5D" w:rsidP="008F6FD1">
      <w:pPr>
        <w:rPr>
          <w:sz w:val="22"/>
          <w:szCs w:val="22"/>
          <w:u w:val="single"/>
        </w:rPr>
      </w:pPr>
      <w:r w:rsidRPr="00F92D5D">
        <w:rPr>
          <w:sz w:val="22"/>
          <w:szCs w:val="22"/>
          <w:u w:val="single"/>
        </w:rPr>
        <w:t>Medium- and long-term perspectives</w:t>
      </w:r>
    </w:p>
    <w:p w14:paraId="60CD816D" w14:textId="77777777" w:rsidR="0086690E" w:rsidRDefault="0086690E" w:rsidP="0086690E">
      <w:pPr>
        <w:pStyle w:val="ListParagraph"/>
        <w:numPr>
          <w:ilvl w:val="0"/>
          <w:numId w:val="34"/>
        </w:numPr>
        <w:spacing w:before="120" w:after="120"/>
        <w:rPr>
          <w:i/>
          <w:iCs/>
          <w:color w:val="0070C0"/>
          <w:sz w:val="22"/>
          <w:szCs w:val="22"/>
        </w:rPr>
      </w:pPr>
      <w:r w:rsidRPr="00E40F56">
        <w:rPr>
          <w:i/>
          <w:iCs/>
          <w:color w:val="0070C0"/>
          <w:sz w:val="22"/>
          <w:szCs w:val="22"/>
        </w:rPr>
        <w:t>Use of a longer-term vision (plan) for early years learning improvement in PNG (i.e. beyond the life of the current program) would contribute</w:t>
      </w:r>
      <w:r>
        <w:rPr>
          <w:i/>
          <w:iCs/>
          <w:color w:val="0070C0"/>
          <w:sz w:val="22"/>
          <w:szCs w:val="22"/>
        </w:rPr>
        <w:t xml:space="preserve"> to a sharpened focus on sustainability through</w:t>
      </w:r>
      <w:r w:rsidRPr="00E40F56">
        <w:rPr>
          <w:i/>
          <w:iCs/>
          <w:color w:val="0070C0"/>
          <w:sz w:val="22"/>
          <w:szCs w:val="22"/>
        </w:rPr>
        <w:t xml:space="preserve"> reflection on and influencing of program planning and activities, and engagement with partners. </w:t>
      </w:r>
    </w:p>
    <w:p w14:paraId="47D081E9" w14:textId="77777777" w:rsidR="00F0239C" w:rsidRDefault="00022B2D" w:rsidP="008F6FD1">
      <w:pPr>
        <w:rPr>
          <w:sz w:val="22"/>
          <w:szCs w:val="22"/>
        </w:rPr>
      </w:pPr>
      <w:r>
        <w:rPr>
          <w:sz w:val="22"/>
          <w:szCs w:val="22"/>
        </w:rPr>
        <w:t xml:space="preserve">While the PIE program was originally envisaged as an </w:t>
      </w:r>
      <w:r w:rsidR="002A3FEC">
        <w:rPr>
          <w:sz w:val="22"/>
          <w:szCs w:val="22"/>
        </w:rPr>
        <w:t>eight-year</w:t>
      </w:r>
      <w:r>
        <w:rPr>
          <w:sz w:val="22"/>
          <w:szCs w:val="22"/>
        </w:rPr>
        <w:t xml:space="preserve"> </w:t>
      </w:r>
      <w:r w:rsidR="0002157B">
        <w:rPr>
          <w:sz w:val="22"/>
          <w:szCs w:val="22"/>
        </w:rPr>
        <w:t>initiative, a focus on sustainability</w:t>
      </w:r>
      <w:r w:rsidR="00EA0B8C">
        <w:rPr>
          <w:sz w:val="22"/>
          <w:szCs w:val="22"/>
        </w:rPr>
        <w:t xml:space="preserve"> can be strengthe</w:t>
      </w:r>
      <w:r w:rsidR="0026567F">
        <w:rPr>
          <w:sz w:val="22"/>
          <w:szCs w:val="22"/>
        </w:rPr>
        <w:t xml:space="preserve">ned through </w:t>
      </w:r>
      <w:r w:rsidR="002A3FEC">
        <w:rPr>
          <w:sz w:val="22"/>
          <w:szCs w:val="22"/>
        </w:rPr>
        <w:t>attention to what has come before</w:t>
      </w:r>
      <w:r w:rsidR="00C416B2">
        <w:rPr>
          <w:sz w:val="22"/>
          <w:szCs w:val="22"/>
        </w:rPr>
        <w:t>,</w:t>
      </w:r>
      <w:r w:rsidR="002A3FEC">
        <w:rPr>
          <w:sz w:val="22"/>
          <w:szCs w:val="22"/>
        </w:rPr>
        <w:t xml:space="preserve"> and what will follow. For example, PIE reporting on </w:t>
      </w:r>
      <w:r w:rsidR="00496EDC">
        <w:rPr>
          <w:sz w:val="22"/>
          <w:szCs w:val="22"/>
        </w:rPr>
        <w:t>ARoB,</w:t>
      </w:r>
      <w:r w:rsidR="002A3FEC">
        <w:rPr>
          <w:sz w:val="22"/>
          <w:szCs w:val="22"/>
        </w:rPr>
        <w:t xml:space="preserve"> and Central </w:t>
      </w:r>
      <w:r w:rsidR="009F1A8F">
        <w:rPr>
          <w:sz w:val="22"/>
          <w:szCs w:val="22"/>
        </w:rPr>
        <w:t xml:space="preserve">acknowledges that some teachers in those provinces have already benefited from </w:t>
      </w:r>
      <w:r w:rsidR="00AC5C76">
        <w:rPr>
          <w:sz w:val="22"/>
          <w:szCs w:val="22"/>
        </w:rPr>
        <w:t xml:space="preserve">literacy training </w:t>
      </w:r>
      <w:r w:rsidR="00B073B2">
        <w:rPr>
          <w:sz w:val="22"/>
          <w:szCs w:val="22"/>
        </w:rPr>
        <w:t xml:space="preserve">– </w:t>
      </w:r>
      <w:r w:rsidR="000C6814">
        <w:rPr>
          <w:sz w:val="22"/>
          <w:szCs w:val="22"/>
        </w:rPr>
        <w:t>so the 2023 Bilum Books training will likely have built on and reinforced prior learning in those provinces</w:t>
      </w:r>
      <w:r w:rsidR="00C416B2">
        <w:rPr>
          <w:sz w:val="22"/>
          <w:szCs w:val="22"/>
        </w:rPr>
        <w:t xml:space="preserve">, whereas </w:t>
      </w:r>
      <w:r w:rsidR="001B725E">
        <w:rPr>
          <w:sz w:val="22"/>
          <w:szCs w:val="22"/>
        </w:rPr>
        <w:t>such training in Sandaun may actually be a first</w:t>
      </w:r>
      <w:r w:rsidR="00204799">
        <w:rPr>
          <w:sz w:val="22"/>
          <w:szCs w:val="22"/>
        </w:rPr>
        <w:t xml:space="preserve"> for most teachers</w:t>
      </w:r>
      <w:r w:rsidR="0026567F">
        <w:rPr>
          <w:sz w:val="22"/>
          <w:szCs w:val="22"/>
        </w:rPr>
        <w:t xml:space="preserve">. </w:t>
      </w:r>
      <w:r w:rsidR="007D6E28">
        <w:rPr>
          <w:sz w:val="22"/>
          <w:szCs w:val="22"/>
        </w:rPr>
        <w:t>Adopting</w:t>
      </w:r>
      <w:r w:rsidR="00543544" w:rsidRPr="00543544">
        <w:rPr>
          <w:sz w:val="22"/>
          <w:szCs w:val="22"/>
        </w:rPr>
        <w:t xml:space="preserve"> (and model</w:t>
      </w:r>
      <w:r w:rsidR="007D6E28">
        <w:rPr>
          <w:sz w:val="22"/>
          <w:szCs w:val="22"/>
        </w:rPr>
        <w:t>ling</w:t>
      </w:r>
      <w:r w:rsidR="00543544" w:rsidRPr="00543544">
        <w:rPr>
          <w:sz w:val="22"/>
          <w:szCs w:val="22"/>
        </w:rPr>
        <w:t xml:space="preserve">) a strength-based approach </w:t>
      </w:r>
      <w:r w:rsidR="002154E1">
        <w:rPr>
          <w:sz w:val="22"/>
          <w:szCs w:val="22"/>
        </w:rPr>
        <w:t>and building on</w:t>
      </w:r>
      <w:r w:rsidR="00543544" w:rsidRPr="00543544">
        <w:rPr>
          <w:sz w:val="22"/>
          <w:szCs w:val="22"/>
        </w:rPr>
        <w:t xml:space="preserve"> current levels of capability and resources</w:t>
      </w:r>
      <w:r w:rsidR="002154E1">
        <w:rPr>
          <w:sz w:val="22"/>
          <w:szCs w:val="22"/>
        </w:rPr>
        <w:t xml:space="preserve"> </w:t>
      </w:r>
      <w:r w:rsidR="00BF5767">
        <w:rPr>
          <w:sz w:val="22"/>
          <w:szCs w:val="22"/>
        </w:rPr>
        <w:t>will contribute to the likelihood of sustainability.</w:t>
      </w:r>
      <w:r w:rsidR="00C07E70">
        <w:rPr>
          <w:sz w:val="22"/>
          <w:szCs w:val="22"/>
        </w:rPr>
        <w:t xml:space="preserve"> </w:t>
      </w:r>
    </w:p>
    <w:p w14:paraId="20AF3275" w14:textId="4B131043" w:rsidR="00656655" w:rsidRPr="008F6FD1" w:rsidRDefault="00911E47" w:rsidP="008F6FD1">
      <w:pPr>
        <w:rPr>
          <w:sz w:val="22"/>
          <w:szCs w:val="22"/>
        </w:rPr>
      </w:pPr>
      <w:r>
        <w:rPr>
          <w:sz w:val="22"/>
          <w:szCs w:val="22"/>
        </w:rPr>
        <w:t xml:space="preserve">In this context the </w:t>
      </w:r>
      <w:r w:rsidR="006A211B">
        <w:rPr>
          <w:sz w:val="22"/>
          <w:szCs w:val="22"/>
        </w:rPr>
        <w:t>Program</w:t>
      </w:r>
      <w:r>
        <w:rPr>
          <w:sz w:val="22"/>
          <w:szCs w:val="22"/>
        </w:rPr>
        <w:t xml:space="preserve"> should continue</w:t>
      </w:r>
      <w:r w:rsidR="00087F7F">
        <w:rPr>
          <w:sz w:val="22"/>
          <w:szCs w:val="22"/>
        </w:rPr>
        <w:t xml:space="preserve"> to advise the NDoE and PDoEs </w:t>
      </w:r>
      <w:r w:rsidR="005D5B55">
        <w:rPr>
          <w:sz w:val="22"/>
          <w:szCs w:val="22"/>
        </w:rPr>
        <w:t xml:space="preserve">to develop and implement </w:t>
      </w:r>
      <w:r w:rsidR="00114F4C">
        <w:rPr>
          <w:sz w:val="22"/>
          <w:szCs w:val="22"/>
        </w:rPr>
        <w:t>activities</w:t>
      </w:r>
      <w:r w:rsidR="005D5B55">
        <w:rPr>
          <w:sz w:val="22"/>
          <w:szCs w:val="22"/>
        </w:rPr>
        <w:t xml:space="preserve"> in the short term</w:t>
      </w:r>
      <w:r w:rsidR="00952622">
        <w:rPr>
          <w:sz w:val="22"/>
          <w:szCs w:val="22"/>
        </w:rPr>
        <w:t>,</w:t>
      </w:r>
      <w:r w:rsidR="005D5B55">
        <w:rPr>
          <w:sz w:val="22"/>
          <w:szCs w:val="22"/>
        </w:rPr>
        <w:t xml:space="preserve"> </w:t>
      </w:r>
      <w:r w:rsidR="00834E1A">
        <w:rPr>
          <w:sz w:val="22"/>
          <w:szCs w:val="22"/>
        </w:rPr>
        <w:t xml:space="preserve">with a view to </w:t>
      </w:r>
      <w:r w:rsidR="005D5B55">
        <w:rPr>
          <w:sz w:val="22"/>
          <w:szCs w:val="22"/>
        </w:rPr>
        <w:t xml:space="preserve">longer term </w:t>
      </w:r>
      <w:r w:rsidR="0047083B">
        <w:rPr>
          <w:sz w:val="22"/>
          <w:szCs w:val="22"/>
        </w:rPr>
        <w:t xml:space="preserve">impact and requirements, </w:t>
      </w:r>
      <w:r w:rsidR="00834E1A">
        <w:rPr>
          <w:sz w:val="22"/>
          <w:szCs w:val="22"/>
        </w:rPr>
        <w:t>including the</w:t>
      </w:r>
      <w:r w:rsidR="00962796">
        <w:rPr>
          <w:sz w:val="22"/>
          <w:szCs w:val="22"/>
        </w:rPr>
        <w:t>ir responsibility and accountability</w:t>
      </w:r>
      <w:r w:rsidR="00C40E05">
        <w:rPr>
          <w:sz w:val="22"/>
          <w:szCs w:val="22"/>
        </w:rPr>
        <w:t xml:space="preserve"> to sustain and build on </w:t>
      </w:r>
      <w:r w:rsidR="00952622">
        <w:rPr>
          <w:sz w:val="22"/>
          <w:szCs w:val="22"/>
        </w:rPr>
        <w:t xml:space="preserve">these activities. </w:t>
      </w:r>
      <w:r w:rsidR="00022B2D">
        <w:rPr>
          <w:sz w:val="22"/>
          <w:szCs w:val="22"/>
        </w:rPr>
        <w:t xml:space="preserve"> </w:t>
      </w:r>
      <w:r w:rsidR="002D41A7">
        <w:rPr>
          <w:sz w:val="22"/>
          <w:szCs w:val="22"/>
        </w:rPr>
        <w:t xml:space="preserve"> </w:t>
      </w:r>
      <w:r w:rsidR="00616E3A">
        <w:rPr>
          <w:sz w:val="22"/>
          <w:szCs w:val="22"/>
        </w:rPr>
        <w:t xml:space="preserve"> </w:t>
      </w:r>
      <w:r w:rsidR="00150F79">
        <w:rPr>
          <w:sz w:val="22"/>
          <w:szCs w:val="22"/>
        </w:rPr>
        <w:t xml:space="preserve"> </w:t>
      </w:r>
    </w:p>
    <w:p w14:paraId="0BE3195E" w14:textId="77777777" w:rsidR="009405CC" w:rsidRDefault="009405CC" w:rsidP="00863D5E">
      <w:pPr>
        <w:pStyle w:val="Heading2"/>
      </w:pPr>
      <w:bookmarkStart w:id="24" w:name="_Toc180756331"/>
      <w:r>
        <w:t xml:space="preserve">KRQ 5 – </w:t>
      </w:r>
      <w:r w:rsidR="002C084D" w:rsidRPr="002C084D">
        <w:t>Monitoring and Evaluation</w:t>
      </w:r>
      <w:bookmarkEnd w:id="24"/>
    </w:p>
    <w:tbl>
      <w:tblPr>
        <w:tblStyle w:val="TableGrid"/>
        <w:tblW w:w="0" w:type="auto"/>
        <w:tblLook w:val="04A0" w:firstRow="1" w:lastRow="0" w:firstColumn="1" w:lastColumn="0" w:noHBand="0" w:noVBand="1"/>
      </w:tblPr>
      <w:tblGrid>
        <w:gridCol w:w="9628"/>
      </w:tblGrid>
      <w:tr w:rsidR="007D31F3" w:rsidRPr="007D31F3" w14:paraId="4C402253" w14:textId="77777777" w:rsidTr="00835A7C">
        <w:tc>
          <w:tcPr>
            <w:tcW w:w="9628" w:type="dxa"/>
          </w:tcPr>
          <w:p w14:paraId="59B8BD55" w14:textId="77777777" w:rsidR="007D31F3" w:rsidRDefault="007D31F3" w:rsidP="00B72AA0">
            <w:pPr>
              <w:spacing w:after="120"/>
              <w:rPr>
                <w:i/>
                <w:iCs/>
                <w:sz w:val="22"/>
                <w:szCs w:val="22"/>
              </w:rPr>
            </w:pPr>
            <w:r w:rsidRPr="00C42422">
              <w:rPr>
                <w:i/>
                <w:iCs/>
                <w:sz w:val="22"/>
                <w:szCs w:val="22"/>
              </w:rPr>
              <w:t>To what extent is the M&amp;E system providing useful information in relation to the program IOs and EOPOs</w:t>
            </w:r>
            <w:r w:rsidR="00446567" w:rsidRPr="00C42422">
              <w:rPr>
                <w:i/>
                <w:iCs/>
                <w:sz w:val="22"/>
                <w:szCs w:val="22"/>
              </w:rPr>
              <w:t xml:space="preserve"> </w:t>
            </w:r>
            <w:r w:rsidRPr="00C42422">
              <w:rPr>
                <w:i/>
                <w:iCs/>
                <w:sz w:val="22"/>
                <w:szCs w:val="22"/>
              </w:rPr>
              <w:t>and for this progress review? To what extent does the M&amp;E system appear to be appropriate for informing DFAT considerations for future investments / PIE phases?</w:t>
            </w:r>
          </w:p>
          <w:p w14:paraId="396B52D7" w14:textId="7DAD58C8" w:rsidR="00BC2362" w:rsidRDefault="00A06437" w:rsidP="00A06437">
            <w:pPr>
              <w:spacing w:after="120"/>
              <w:rPr>
                <w:sz w:val="22"/>
                <w:szCs w:val="22"/>
              </w:rPr>
            </w:pPr>
            <w:r>
              <w:rPr>
                <w:sz w:val="22"/>
                <w:szCs w:val="22"/>
              </w:rPr>
              <w:t>The M&amp;E s</w:t>
            </w:r>
            <w:r w:rsidRPr="00A06437">
              <w:rPr>
                <w:sz w:val="22"/>
                <w:szCs w:val="22"/>
              </w:rPr>
              <w:t>ystem is judged to be appropriate for reporting against the PIE IOs and EOIOs</w:t>
            </w:r>
            <w:r>
              <w:rPr>
                <w:sz w:val="22"/>
                <w:szCs w:val="22"/>
              </w:rPr>
              <w:t xml:space="preserve"> and has provided </w:t>
            </w:r>
            <w:r w:rsidR="0031099E">
              <w:rPr>
                <w:sz w:val="22"/>
                <w:szCs w:val="22"/>
              </w:rPr>
              <w:t>useful information for this review</w:t>
            </w:r>
            <w:r w:rsidR="005A4284">
              <w:rPr>
                <w:sz w:val="22"/>
                <w:szCs w:val="22"/>
              </w:rPr>
              <w:t>. T</w:t>
            </w:r>
            <w:r w:rsidR="00254579">
              <w:rPr>
                <w:sz w:val="22"/>
                <w:szCs w:val="22"/>
              </w:rPr>
              <w:t>he c</w:t>
            </w:r>
            <w:r w:rsidR="0031099E" w:rsidRPr="00A06437">
              <w:rPr>
                <w:sz w:val="22"/>
                <w:szCs w:val="22"/>
              </w:rPr>
              <w:t>urrent M</w:t>
            </w:r>
            <w:r w:rsidR="0031099E">
              <w:rPr>
                <w:sz w:val="22"/>
                <w:szCs w:val="22"/>
              </w:rPr>
              <w:t xml:space="preserve">&amp;E system </w:t>
            </w:r>
            <w:r w:rsidR="00254579">
              <w:rPr>
                <w:sz w:val="22"/>
                <w:szCs w:val="22"/>
              </w:rPr>
              <w:t xml:space="preserve">would </w:t>
            </w:r>
            <w:r w:rsidR="00076688">
              <w:rPr>
                <w:sz w:val="22"/>
                <w:szCs w:val="22"/>
              </w:rPr>
              <w:t>usefully</w:t>
            </w:r>
            <w:r w:rsidR="0031099E" w:rsidRPr="00A06437">
              <w:rPr>
                <w:sz w:val="22"/>
                <w:szCs w:val="22"/>
              </w:rPr>
              <w:t xml:space="preserve"> inform DFAT </w:t>
            </w:r>
            <w:r w:rsidR="00790C1E">
              <w:rPr>
                <w:sz w:val="22"/>
                <w:szCs w:val="22"/>
              </w:rPr>
              <w:t>on</w:t>
            </w:r>
            <w:r w:rsidR="00BC2362">
              <w:rPr>
                <w:sz w:val="22"/>
                <w:szCs w:val="22"/>
              </w:rPr>
              <w:t xml:space="preserve"> the effective</w:t>
            </w:r>
            <w:r w:rsidR="00790C1E">
              <w:rPr>
                <w:sz w:val="22"/>
                <w:szCs w:val="22"/>
              </w:rPr>
              <w:t>ness</w:t>
            </w:r>
            <w:r w:rsidR="00BC2362">
              <w:rPr>
                <w:sz w:val="22"/>
                <w:szCs w:val="22"/>
              </w:rPr>
              <w:t xml:space="preserve"> of the program and discussion about future phases.</w:t>
            </w:r>
          </w:p>
          <w:p w14:paraId="5C97F288" w14:textId="5F03107F" w:rsidR="00A06437" w:rsidRPr="0065260C" w:rsidRDefault="00BC2362" w:rsidP="00A06437">
            <w:pPr>
              <w:spacing w:after="120"/>
              <w:rPr>
                <w:sz w:val="22"/>
                <w:szCs w:val="22"/>
              </w:rPr>
            </w:pPr>
            <w:r>
              <w:rPr>
                <w:sz w:val="22"/>
                <w:szCs w:val="22"/>
              </w:rPr>
              <w:t xml:space="preserve">However, there is value </w:t>
            </w:r>
            <w:r w:rsidR="00AE60B2">
              <w:rPr>
                <w:sz w:val="22"/>
                <w:szCs w:val="22"/>
              </w:rPr>
              <w:t xml:space="preserve">in streamlining the </w:t>
            </w:r>
            <w:r w:rsidR="002D75BB">
              <w:rPr>
                <w:sz w:val="22"/>
                <w:szCs w:val="22"/>
              </w:rPr>
              <w:t xml:space="preserve">system and improving </w:t>
            </w:r>
            <w:r w:rsidR="00F70651">
              <w:rPr>
                <w:sz w:val="22"/>
                <w:szCs w:val="22"/>
              </w:rPr>
              <w:t>some elements, particularly the capacity to measure and report in teaching qual</w:t>
            </w:r>
            <w:r w:rsidR="00C5114A">
              <w:rPr>
                <w:sz w:val="22"/>
                <w:szCs w:val="22"/>
              </w:rPr>
              <w:t>ity.</w:t>
            </w:r>
          </w:p>
        </w:tc>
      </w:tr>
    </w:tbl>
    <w:p w14:paraId="1AFBC120" w14:textId="7C32F276" w:rsidR="00CD3D4D" w:rsidRPr="00040964" w:rsidRDefault="00971F16" w:rsidP="0086690E">
      <w:pPr>
        <w:pStyle w:val="ListParagraph"/>
        <w:numPr>
          <w:ilvl w:val="0"/>
          <w:numId w:val="34"/>
        </w:numPr>
        <w:spacing w:before="120" w:after="120"/>
        <w:rPr>
          <w:i/>
          <w:iCs/>
          <w:color w:val="0070C0"/>
          <w:sz w:val="22"/>
          <w:szCs w:val="22"/>
        </w:rPr>
      </w:pPr>
      <w:bookmarkStart w:id="25" w:name="_Hlk175205623"/>
      <w:r>
        <w:rPr>
          <w:i/>
          <w:iCs/>
          <w:color w:val="0070C0"/>
          <w:sz w:val="22"/>
          <w:szCs w:val="22"/>
        </w:rPr>
        <w:t>Strengthened</w:t>
      </w:r>
      <w:r w:rsidR="004A4628">
        <w:rPr>
          <w:i/>
          <w:iCs/>
          <w:color w:val="0070C0"/>
          <w:sz w:val="22"/>
          <w:szCs w:val="22"/>
        </w:rPr>
        <w:t xml:space="preserve"> </w:t>
      </w:r>
      <w:r w:rsidR="00093B85" w:rsidRPr="00093B85">
        <w:rPr>
          <w:i/>
          <w:iCs/>
          <w:color w:val="0070C0"/>
          <w:sz w:val="22"/>
          <w:szCs w:val="22"/>
        </w:rPr>
        <w:t xml:space="preserve">L and A elements </w:t>
      </w:r>
      <w:r w:rsidR="009F2486">
        <w:rPr>
          <w:i/>
          <w:iCs/>
          <w:color w:val="0070C0"/>
          <w:sz w:val="22"/>
          <w:szCs w:val="22"/>
        </w:rPr>
        <w:t xml:space="preserve">of the MERLA strategy could </w:t>
      </w:r>
      <w:r w:rsidR="004A4628">
        <w:rPr>
          <w:i/>
          <w:iCs/>
          <w:color w:val="0070C0"/>
          <w:sz w:val="22"/>
          <w:szCs w:val="22"/>
        </w:rPr>
        <w:t>be combi</w:t>
      </w:r>
      <w:r w:rsidR="00BA6165">
        <w:rPr>
          <w:i/>
          <w:iCs/>
          <w:color w:val="0070C0"/>
          <w:sz w:val="22"/>
          <w:szCs w:val="22"/>
        </w:rPr>
        <w:t xml:space="preserve">ned with </w:t>
      </w:r>
      <w:r w:rsidR="00CD3D4D">
        <w:rPr>
          <w:i/>
          <w:iCs/>
          <w:color w:val="0070C0"/>
          <w:sz w:val="22"/>
          <w:szCs w:val="22"/>
        </w:rPr>
        <w:t>e</w:t>
      </w:r>
      <w:r w:rsidR="00CD3D4D" w:rsidRPr="002C3637">
        <w:rPr>
          <w:i/>
          <w:iCs/>
          <w:color w:val="0070C0"/>
          <w:sz w:val="22"/>
          <w:szCs w:val="22"/>
        </w:rPr>
        <w:t>nhanced capacity and quality of communication activities and products</w:t>
      </w:r>
      <w:r w:rsidR="00264A21">
        <w:rPr>
          <w:i/>
          <w:iCs/>
          <w:color w:val="0070C0"/>
          <w:sz w:val="22"/>
          <w:szCs w:val="22"/>
        </w:rPr>
        <w:t xml:space="preserve">, to </w:t>
      </w:r>
      <w:r w:rsidR="00CD3D4D" w:rsidRPr="002C3637">
        <w:rPr>
          <w:i/>
          <w:iCs/>
          <w:color w:val="0070C0"/>
          <w:sz w:val="22"/>
          <w:szCs w:val="22"/>
        </w:rPr>
        <w:t>showcas</w:t>
      </w:r>
      <w:r w:rsidR="00264A21">
        <w:rPr>
          <w:i/>
          <w:iCs/>
          <w:color w:val="0070C0"/>
          <w:sz w:val="22"/>
          <w:szCs w:val="22"/>
        </w:rPr>
        <w:t xml:space="preserve">e </w:t>
      </w:r>
      <w:r w:rsidR="00CD3D4D" w:rsidRPr="002C3637">
        <w:rPr>
          <w:i/>
          <w:iCs/>
          <w:color w:val="0070C0"/>
          <w:sz w:val="22"/>
          <w:szCs w:val="22"/>
        </w:rPr>
        <w:t xml:space="preserve">best practice and </w:t>
      </w:r>
      <w:r w:rsidR="00264A21">
        <w:rPr>
          <w:i/>
          <w:iCs/>
          <w:color w:val="0070C0"/>
          <w:sz w:val="22"/>
          <w:szCs w:val="22"/>
        </w:rPr>
        <w:t>infl</w:t>
      </w:r>
      <w:r w:rsidR="00BF2624">
        <w:rPr>
          <w:i/>
          <w:iCs/>
          <w:color w:val="0070C0"/>
          <w:sz w:val="22"/>
          <w:szCs w:val="22"/>
        </w:rPr>
        <w:t>uence PNG education policy and practice</w:t>
      </w:r>
      <w:r w:rsidR="00CD3D4D" w:rsidRPr="002C3637">
        <w:rPr>
          <w:i/>
          <w:iCs/>
          <w:color w:val="0070C0"/>
          <w:sz w:val="22"/>
          <w:szCs w:val="22"/>
        </w:rPr>
        <w:t>.</w:t>
      </w:r>
    </w:p>
    <w:p w14:paraId="4FE0195B" w14:textId="04A061B8" w:rsidR="00093B85" w:rsidRDefault="00093B85" w:rsidP="0086690E">
      <w:pPr>
        <w:pStyle w:val="ListParagraph"/>
        <w:numPr>
          <w:ilvl w:val="0"/>
          <w:numId w:val="34"/>
        </w:numPr>
        <w:spacing w:before="120" w:after="120"/>
        <w:rPr>
          <w:i/>
          <w:iCs/>
          <w:color w:val="0070C0"/>
          <w:sz w:val="22"/>
          <w:szCs w:val="22"/>
        </w:rPr>
      </w:pPr>
      <w:r w:rsidRPr="00093B85">
        <w:rPr>
          <w:i/>
          <w:iCs/>
          <w:color w:val="0070C0"/>
          <w:sz w:val="22"/>
          <w:szCs w:val="22"/>
        </w:rPr>
        <w:t>There is merit in the program strengthening in-progress assessment of effectiveness, in relation to teacher quality and improved student learning, to contribute to continuous program monitoring and to inform the need for and nature of any program adaptations.</w:t>
      </w:r>
    </w:p>
    <w:bookmarkEnd w:id="25"/>
    <w:p w14:paraId="54E7F7F5" w14:textId="77777777" w:rsidR="00A32740" w:rsidRPr="00A32740" w:rsidRDefault="00A32740" w:rsidP="00FF7362">
      <w:pPr>
        <w:keepNext/>
        <w:rPr>
          <w:sz w:val="22"/>
          <w:szCs w:val="22"/>
          <w:u w:val="single"/>
        </w:rPr>
      </w:pPr>
      <w:r w:rsidRPr="00A32740">
        <w:rPr>
          <w:sz w:val="22"/>
          <w:szCs w:val="22"/>
          <w:u w:val="single"/>
        </w:rPr>
        <w:t>Review of PIE MES</w:t>
      </w:r>
    </w:p>
    <w:p w14:paraId="2DF14C71" w14:textId="2464C392" w:rsidR="004B7433" w:rsidRPr="00C42422" w:rsidRDefault="00F8670C" w:rsidP="004B7433">
      <w:pPr>
        <w:rPr>
          <w:sz w:val="22"/>
          <w:szCs w:val="22"/>
        </w:rPr>
      </w:pPr>
      <w:r w:rsidRPr="00C42422">
        <w:rPr>
          <w:sz w:val="22"/>
          <w:szCs w:val="22"/>
        </w:rPr>
        <w:t xml:space="preserve">A separate review was conducted </w:t>
      </w:r>
      <w:r w:rsidR="002E5BA6" w:rsidRPr="00C42422">
        <w:rPr>
          <w:sz w:val="22"/>
          <w:szCs w:val="22"/>
        </w:rPr>
        <w:t xml:space="preserve">for PIE’s </w:t>
      </w:r>
      <w:r w:rsidRPr="00C42422">
        <w:rPr>
          <w:sz w:val="22"/>
          <w:szCs w:val="22"/>
        </w:rPr>
        <w:t>Monitoring and Evaluation System (PIE MES)</w:t>
      </w:r>
      <w:r w:rsidR="002E5BA6" w:rsidRPr="00C42422">
        <w:rPr>
          <w:sz w:val="22"/>
          <w:szCs w:val="22"/>
        </w:rPr>
        <w:t xml:space="preserve">. </w:t>
      </w:r>
    </w:p>
    <w:p w14:paraId="4B6E8A22" w14:textId="4A365D7A" w:rsidR="002E5BA6" w:rsidRPr="00C42422" w:rsidRDefault="002E5BA6" w:rsidP="004B7433">
      <w:pPr>
        <w:rPr>
          <w:sz w:val="22"/>
          <w:szCs w:val="22"/>
        </w:rPr>
      </w:pPr>
      <w:r w:rsidRPr="00C42422">
        <w:rPr>
          <w:sz w:val="22"/>
          <w:szCs w:val="22"/>
        </w:rPr>
        <w:t xml:space="preserve">Key observations and findings </w:t>
      </w:r>
      <w:r w:rsidR="004421C8" w:rsidRPr="00C42422">
        <w:rPr>
          <w:sz w:val="22"/>
          <w:szCs w:val="22"/>
        </w:rPr>
        <w:t xml:space="preserve">from the </w:t>
      </w:r>
      <w:r w:rsidR="00FE77C4">
        <w:rPr>
          <w:sz w:val="22"/>
          <w:szCs w:val="22"/>
        </w:rPr>
        <w:t xml:space="preserve">Draft </w:t>
      </w:r>
      <w:r w:rsidR="004421C8" w:rsidRPr="00C42422">
        <w:rPr>
          <w:sz w:val="22"/>
          <w:szCs w:val="22"/>
        </w:rPr>
        <w:t>PIE MES Review are:</w:t>
      </w:r>
    </w:p>
    <w:p w14:paraId="69FDC738" w14:textId="38BDEAA0" w:rsidR="00045497" w:rsidRPr="00C42422" w:rsidRDefault="004B7433" w:rsidP="004421C8">
      <w:pPr>
        <w:pStyle w:val="ListParagraph"/>
        <w:numPr>
          <w:ilvl w:val="0"/>
          <w:numId w:val="3"/>
        </w:numPr>
        <w:rPr>
          <w:rFonts w:cs="Calibri"/>
          <w:sz w:val="22"/>
          <w:szCs w:val="22"/>
        </w:rPr>
      </w:pPr>
      <w:r w:rsidRPr="00C42422">
        <w:rPr>
          <w:rFonts w:cs="Calibri"/>
          <w:sz w:val="22"/>
          <w:szCs w:val="22"/>
        </w:rPr>
        <w:t>In the context of foundational learning and education program MEL systems in general</w:t>
      </w:r>
      <w:r w:rsidRPr="00C42422">
        <w:rPr>
          <w:rFonts w:cs="Calibri"/>
          <w:b/>
          <w:bCs/>
          <w:sz w:val="22"/>
          <w:szCs w:val="22"/>
        </w:rPr>
        <w:t xml:space="preserve">, </w:t>
      </w:r>
      <w:r w:rsidRPr="00C42422">
        <w:rPr>
          <w:rFonts w:cs="Calibri"/>
          <w:sz w:val="22"/>
          <w:szCs w:val="22"/>
        </w:rPr>
        <w:t>PIE’s ME</w:t>
      </w:r>
      <w:r w:rsidR="00DE0A1D" w:rsidRPr="00C42422">
        <w:rPr>
          <w:rFonts w:cs="Calibri"/>
          <w:sz w:val="22"/>
          <w:szCs w:val="22"/>
        </w:rPr>
        <w:t>S</w:t>
      </w:r>
      <w:r w:rsidRPr="00C42422">
        <w:rPr>
          <w:rFonts w:cs="Calibri"/>
          <w:sz w:val="22"/>
          <w:szCs w:val="22"/>
        </w:rPr>
        <w:t xml:space="preserve"> system design and implementation reflects a program team that is committed to measuring effectiveness, learning from implementation experiences, and willing to be held accountable for outcomes. </w:t>
      </w:r>
    </w:p>
    <w:p w14:paraId="0A2E14F4" w14:textId="683C52DE" w:rsidR="00390746" w:rsidRPr="00C42422" w:rsidRDefault="004B7433" w:rsidP="004B7433">
      <w:pPr>
        <w:pStyle w:val="ListParagraph"/>
        <w:numPr>
          <w:ilvl w:val="0"/>
          <w:numId w:val="3"/>
        </w:numPr>
        <w:rPr>
          <w:rFonts w:cs="Calibri"/>
          <w:sz w:val="22"/>
          <w:szCs w:val="22"/>
        </w:rPr>
      </w:pPr>
      <w:r w:rsidRPr="00C42422">
        <w:rPr>
          <w:rFonts w:cs="Calibri"/>
          <w:sz w:val="22"/>
          <w:szCs w:val="22"/>
        </w:rPr>
        <w:t xml:space="preserve">Of the </w:t>
      </w:r>
      <w:r w:rsidR="0071431D" w:rsidRPr="00C42422">
        <w:rPr>
          <w:rFonts w:cs="Calibri"/>
          <w:sz w:val="22"/>
          <w:szCs w:val="22"/>
        </w:rPr>
        <w:t>nine</w:t>
      </w:r>
      <w:r w:rsidRPr="00C42422">
        <w:rPr>
          <w:rFonts w:cs="Calibri"/>
          <w:sz w:val="22"/>
          <w:szCs w:val="22"/>
        </w:rPr>
        <w:t xml:space="preserve"> elements </w:t>
      </w:r>
      <w:r w:rsidR="003E6C99" w:rsidRPr="00C42422">
        <w:rPr>
          <w:rFonts w:cs="Calibri"/>
          <w:sz w:val="22"/>
          <w:szCs w:val="22"/>
        </w:rPr>
        <w:t xml:space="preserve">assessed </w:t>
      </w:r>
      <w:r w:rsidRPr="00C42422">
        <w:rPr>
          <w:rFonts w:cs="Calibri"/>
          <w:sz w:val="22"/>
          <w:szCs w:val="22"/>
        </w:rPr>
        <w:t xml:space="preserve">for the appraisal, 4 elements were met, 2 were mostly met, 3 were partially met, and 0 were not net. </w:t>
      </w:r>
      <w:r w:rsidR="003E6C99" w:rsidRPr="00C42422">
        <w:rPr>
          <w:rFonts w:cs="Calibri"/>
          <w:sz w:val="22"/>
          <w:szCs w:val="22"/>
        </w:rPr>
        <w:t xml:space="preserve">Detailed discussion on </w:t>
      </w:r>
      <w:r w:rsidR="00EE336D" w:rsidRPr="00C42422">
        <w:rPr>
          <w:rFonts w:cs="Calibri"/>
          <w:sz w:val="22"/>
          <w:szCs w:val="22"/>
        </w:rPr>
        <w:t>these elements and what can be done to strength then MEL system is include</w:t>
      </w:r>
      <w:r w:rsidR="00F91F53">
        <w:rPr>
          <w:rFonts w:cs="Calibri"/>
          <w:sz w:val="22"/>
          <w:szCs w:val="22"/>
        </w:rPr>
        <w:t>d</w:t>
      </w:r>
      <w:r w:rsidR="00EE336D" w:rsidRPr="00C42422">
        <w:rPr>
          <w:rFonts w:cs="Calibri"/>
          <w:sz w:val="22"/>
          <w:szCs w:val="22"/>
        </w:rPr>
        <w:t xml:space="preserve"> in the </w:t>
      </w:r>
      <w:r w:rsidR="00390746" w:rsidRPr="00C42422">
        <w:rPr>
          <w:rFonts w:cs="Calibri"/>
          <w:sz w:val="22"/>
          <w:szCs w:val="22"/>
        </w:rPr>
        <w:t>review report.</w:t>
      </w:r>
    </w:p>
    <w:p w14:paraId="17D4AB7F" w14:textId="2AEA3FEC" w:rsidR="00AB573D" w:rsidRPr="00C42422" w:rsidRDefault="004B7433" w:rsidP="004B7433">
      <w:pPr>
        <w:pStyle w:val="ListParagraph"/>
        <w:numPr>
          <w:ilvl w:val="0"/>
          <w:numId w:val="3"/>
        </w:numPr>
        <w:rPr>
          <w:rFonts w:cs="Calibri"/>
          <w:sz w:val="22"/>
          <w:szCs w:val="22"/>
        </w:rPr>
      </w:pPr>
      <w:r w:rsidRPr="00C42422">
        <w:rPr>
          <w:rFonts w:cs="Calibri"/>
          <w:sz w:val="22"/>
          <w:szCs w:val="22"/>
        </w:rPr>
        <w:t xml:space="preserve">In general, the scope of the MEL system is </w:t>
      </w:r>
      <w:r w:rsidR="00390746" w:rsidRPr="00C42422">
        <w:rPr>
          <w:rFonts w:cs="Calibri"/>
          <w:sz w:val="22"/>
          <w:szCs w:val="22"/>
        </w:rPr>
        <w:t xml:space="preserve">judged to be </w:t>
      </w:r>
      <w:r w:rsidRPr="00C42422">
        <w:rPr>
          <w:rFonts w:cs="Calibri"/>
          <w:sz w:val="22"/>
          <w:szCs w:val="22"/>
        </w:rPr>
        <w:t>appropriate for reporting against the PIE IOs and EOIOs</w:t>
      </w:r>
      <w:r w:rsidR="00390746" w:rsidRPr="00C42422">
        <w:rPr>
          <w:rFonts w:cs="Calibri"/>
          <w:sz w:val="22"/>
          <w:szCs w:val="22"/>
        </w:rPr>
        <w:t>. The</w:t>
      </w:r>
      <w:r w:rsidR="00AC4920" w:rsidRPr="00C42422">
        <w:rPr>
          <w:rFonts w:cs="Calibri"/>
          <w:sz w:val="22"/>
          <w:szCs w:val="22"/>
        </w:rPr>
        <w:t xml:space="preserve"> review also provided advice on how the b</w:t>
      </w:r>
      <w:r w:rsidRPr="00C42422">
        <w:rPr>
          <w:rFonts w:cs="Calibri"/>
          <w:sz w:val="22"/>
          <w:szCs w:val="22"/>
        </w:rPr>
        <w:t xml:space="preserve">aseline literacy and numeracy assessments and surveys </w:t>
      </w:r>
      <w:r w:rsidR="00AC4920" w:rsidRPr="00C42422">
        <w:rPr>
          <w:rFonts w:cs="Calibri"/>
          <w:sz w:val="22"/>
          <w:szCs w:val="22"/>
        </w:rPr>
        <w:t xml:space="preserve">might be improved </w:t>
      </w:r>
      <w:r w:rsidR="00A54156" w:rsidRPr="00C42422">
        <w:rPr>
          <w:rFonts w:cs="Calibri"/>
          <w:sz w:val="22"/>
          <w:szCs w:val="22"/>
        </w:rPr>
        <w:t xml:space="preserve">and observed a need to </w:t>
      </w:r>
      <w:r w:rsidRPr="00C42422">
        <w:rPr>
          <w:rFonts w:cs="Calibri"/>
          <w:sz w:val="22"/>
          <w:szCs w:val="22"/>
        </w:rPr>
        <w:t xml:space="preserve">enhance the indicators associated with EOIO 3. </w:t>
      </w:r>
      <w:r w:rsidR="00AB573D" w:rsidRPr="00C42422">
        <w:rPr>
          <w:rFonts w:cs="Calibri"/>
          <w:sz w:val="22"/>
          <w:szCs w:val="22"/>
        </w:rPr>
        <w:t xml:space="preserve">The review also commented that </w:t>
      </w:r>
      <w:r w:rsidRPr="00C42422">
        <w:rPr>
          <w:rFonts w:cs="Calibri"/>
          <w:sz w:val="22"/>
          <w:szCs w:val="22"/>
        </w:rPr>
        <w:t>the current MEL system is complex and has many components</w:t>
      </w:r>
      <w:r w:rsidR="00AB573D" w:rsidRPr="00C42422">
        <w:rPr>
          <w:rFonts w:cs="Calibri"/>
          <w:sz w:val="22"/>
          <w:szCs w:val="22"/>
        </w:rPr>
        <w:t xml:space="preserve"> and that the system </w:t>
      </w:r>
      <w:r w:rsidRPr="00C42422">
        <w:rPr>
          <w:rFonts w:cs="Calibri"/>
          <w:sz w:val="22"/>
          <w:szCs w:val="22"/>
        </w:rPr>
        <w:t>should be reviewed to identify rationali</w:t>
      </w:r>
      <w:r w:rsidR="004F6073">
        <w:rPr>
          <w:rFonts w:cs="Calibri"/>
          <w:sz w:val="22"/>
          <w:szCs w:val="22"/>
        </w:rPr>
        <w:t>s</w:t>
      </w:r>
      <w:r w:rsidRPr="00C42422">
        <w:rPr>
          <w:rFonts w:cs="Calibri"/>
          <w:sz w:val="22"/>
          <w:szCs w:val="22"/>
        </w:rPr>
        <w:t>ation</w:t>
      </w:r>
      <w:r w:rsidR="004F6073">
        <w:rPr>
          <w:rFonts w:cs="Calibri"/>
          <w:sz w:val="22"/>
          <w:szCs w:val="22"/>
        </w:rPr>
        <w:t xml:space="preserve"> </w:t>
      </w:r>
      <w:r w:rsidRPr="00C42422">
        <w:rPr>
          <w:rFonts w:cs="Calibri"/>
          <w:sz w:val="22"/>
          <w:szCs w:val="22"/>
        </w:rPr>
        <w:t>/</w:t>
      </w:r>
      <w:r w:rsidR="004F6073">
        <w:rPr>
          <w:rFonts w:cs="Calibri"/>
          <w:sz w:val="22"/>
          <w:szCs w:val="22"/>
        </w:rPr>
        <w:t xml:space="preserve"> </w:t>
      </w:r>
      <w:r w:rsidRPr="00C42422">
        <w:rPr>
          <w:rFonts w:cs="Calibri"/>
          <w:sz w:val="22"/>
          <w:szCs w:val="22"/>
        </w:rPr>
        <w:t xml:space="preserve">streamlining opportunities. </w:t>
      </w:r>
    </w:p>
    <w:p w14:paraId="51DD3986" w14:textId="09C534DE" w:rsidR="00D234F6" w:rsidRPr="00C42422" w:rsidRDefault="007B296E" w:rsidP="004B7433">
      <w:pPr>
        <w:pStyle w:val="ListParagraph"/>
        <w:numPr>
          <w:ilvl w:val="0"/>
          <w:numId w:val="3"/>
        </w:numPr>
        <w:rPr>
          <w:rFonts w:cs="Calibri"/>
          <w:sz w:val="22"/>
          <w:szCs w:val="22"/>
        </w:rPr>
      </w:pPr>
      <w:r w:rsidRPr="00C42422">
        <w:rPr>
          <w:rFonts w:cs="Calibri"/>
          <w:sz w:val="22"/>
          <w:szCs w:val="22"/>
        </w:rPr>
        <w:t xml:space="preserve">The review </w:t>
      </w:r>
      <w:r w:rsidR="00616847" w:rsidRPr="00C42422">
        <w:rPr>
          <w:rFonts w:cs="Calibri"/>
          <w:sz w:val="22"/>
          <w:szCs w:val="22"/>
        </w:rPr>
        <w:t>judged that some a</w:t>
      </w:r>
      <w:r w:rsidR="004B7433" w:rsidRPr="00C42422">
        <w:rPr>
          <w:rFonts w:cs="Calibri"/>
          <w:sz w:val="22"/>
          <w:szCs w:val="22"/>
        </w:rPr>
        <w:t>djustments</w:t>
      </w:r>
      <w:r w:rsidR="00616847" w:rsidRPr="00C42422">
        <w:rPr>
          <w:rFonts w:cs="Calibri"/>
          <w:sz w:val="22"/>
          <w:szCs w:val="22"/>
        </w:rPr>
        <w:t xml:space="preserve"> </w:t>
      </w:r>
      <w:r w:rsidR="004B7433" w:rsidRPr="00C42422">
        <w:rPr>
          <w:rFonts w:cs="Calibri"/>
          <w:sz w:val="22"/>
          <w:szCs w:val="22"/>
        </w:rPr>
        <w:t>should be made to the overall design and specific instruments</w:t>
      </w:r>
      <w:r w:rsidR="00616847" w:rsidRPr="00C42422">
        <w:rPr>
          <w:rFonts w:cs="Calibri"/>
          <w:sz w:val="22"/>
          <w:szCs w:val="22"/>
        </w:rPr>
        <w:t>, with de</w:t>
      </w:r>
      <w:r w:rsidR="004B7433" w:rsidRPr="00C42422">
        <w:rPr>
          <w:rFonts w:eastAsiaTheme="majorEastAsia" w:cs="Calibri"/>
          <w:sz w:val="22"/>
          <w:szCs w:val="22"/>
        </w:rPr>
        <w:t>tailed comments provided in th</w:t>
      </w:r>
      <w:r w:rsidR="00616847" w:rsidRPr="00C42422">
        <w:rPr>
          <w:rFonts w:eastAsiaTheme="majorEastAsia" w:cs="Calibri"/>
          <w:sz w:val="22"/>
          <w:szCs w:val="22"/>
        </w:rPr>
        <w:t xml:space="preserve">e </w:t>
      </w:r>
      <w:r w:rsidR="004B7433" w:rsidRPr="00C42422">
        <w:rPr>
          <w:rFonts w:eastAsiaTheme="majorEastAsia" w:cs="Calibri"/>
          <w:sz w:val="22"/>
          <w:szCs w:val="22"/>
        </w:rPr>
        <w:t>report</w:t>
      </w:r>
      <w:r w:rsidR="00191418" w:rsidRPr="00C42422">
        <w:rPr>
          <w:rFonts w:eastAsiaTheme="majorEastAsia" w:cs="Calibri"/>
          <w:sz w:val="22"/>
          <w:szCs w:val="22"/>
        </w:rPr>
        <w:t>, for consideration by the project team</w:t>
      </w:r>
      <w:r w:rsidR="00D234F6" w:rsidRPr="00C42422">
        <w:rPr>
          <w:rFonts w:eastAsiaTheme="majorEastAsia" w:cs="Calibri"/>
          <w:sz w:val="22"/>
          <w:szCs w:val="22"/>
        </w:rPr>
        <w:t>.</w:t>
      </w:r>
    </w:p>
    <w:p w14:paraId="705CA513" w14:textId="2EF4AB2A" w:rsidR="004B7433" w:rsidRPr="00C42422" w:rsidRDefault="00D234F6" w:rsidP="004B7433">
      <w:pPr>
        <w:pStyle w:val="ListParagraph"/>
        <w:numPr>
          <w:ilvl w:val="0"/>
          <w:numId w:val="3"/>
        </w:numPr>
        <w:rPr>
          <w:rFonts w:cs="Calibri"/>
          <w:sz w:val="22"/>
          <w:szCs w:val="22"/>
        </w:rPr>
      </w:pPr>
      <w:r w:rsidRPr="00C42422">
        <w:rPr>
          <w:rFonts w:eastAsiaTheme="majorEastAsia" w:cs="Calibri"/>
          <w:sz w:val="22"/>
          <w:szCs w:val="22"/>
        </w:rPr>
        <w:t>T</w:t>
      </w:r>
      <w:r w:rsidR="004B7433" w:rsidRPr="00C42422">
        <w:rPr>
          <w:rFonts w:cs="Calibri"/>
          <w:sz w:val="22"/>
          <w:szCs w:val="22"/>
        </w:rPr>
        <w:t>he current MEL system can adequately inform DFAT as to whether their program has been effective (if improvements in measurement are put into place), which is critical for DFAT’s consideration of future phases. That said, the current MEL system does not include a strong lens on sustainability or systems integration, which is especially important for future DFAT investment strategies.</w:t>
      </w:r>
    </w:p>
    <w:p w14:paraId="40A6FDC8" w14:textId="7914D1AF" w:rsidR="00BD071B" w:rsidRDefault="00A1139A" w:rsidP="004B7433">
      <w:pPr>
        <w:rPr>
          <w:sz w:val="22"/>
          <w:szCs w:val="22"/>
        </w:rPr>
      </w:pPr>
      <w:r>
        <w:rPr>
          <w:sz w:val="22"/>
          <w:szCs w:val="22"/>
        </w:rPr>
        <w:t xml:space="preserve">The </w:t>
      </w:r>
      <w:r w:rsidR="0014022C">
        <w:rPr>
          <w:sz w:val="22"/>
          <w:szCs w:val="22"/>
        </w:rPr>
        <w:t>re</w:t>
      </w:r>
      <w:r w:rsidR="009E786D">
        <w:rPr>
          <w:sz w:val="22"/>
          <w:szCs w:val="22"/>
        </w:rPr>
        <w:t xml:space="preserve">port and recommendations of the PIE MES </w:t>
      </w:r>
      <w:r w:rsidR="00935855">
        <w:rPr>
          <w:sz w:val="22"/>
          <w:szCs w:val="22"/>
        </w:rPr>
        <w:t xml:space="preserve">Review should be read in </w:t>
      </w:r>
      <w:r w:rsidR="001724C3">
        <w:rPr>
          <w:sz w:val="22"/>
          <w:szCs w:val="22"/>
        </w:rPr>
        <w:t xml:space="preserve">conjunction with the </w:t>
      </w:r>
      <w:r w:rsidR="00CD5C4D">
        <w:rPr>
          <w:sz w:val="22"/>
          <w:szCs w:val="22"/>
        </w:rPr>
        <w:t>PIE response</w:t>
      </w:r>
      <w:r w:rsidR="000C119D">
        <w:rPr>
          <w:sz w:val="22"/>
          <w:szCs w:val="22"/>
        </w:rPr>
        <w:t>. The response, amongst others matters</w:t>
      </w:r>
      <w:r w:rsidR="00486270">
        <w:rPr>
          <w:sz w:val="22"/>
          <w:szCs w:val="22"/>
        </w:rPr>
        <w:t>:</w:t>
      </w:r>
    </w:p>
    <w:p w14:paraId="24FA17BD" w14:textId="009E0674" w:rsidR="00705BA2" w:rsidRDefault="00486270" w:rsidP="00BD071B">
      <w:pPr>
        <w:pStyle w:val="ListParagraph"/>
        <w:numPr>
          <w:ilvl w:val="0"/>
          <w:numId w:val="35"/>
        </w:numPr>
        <w:rPr>
          <w:sz w:val="22"/>
          <w:szCs w:val="22"/>
        </w:rPr>
      </w:pPr>
      <w:r>
        <w:rPr>
          <w:sz w:val="22"/>
          <w:szCs w:val="22"/>
        </w:rPr>
        <w:t xml:space="preserve">Provides </w:t>
      </w:r>
      <w:r w:rsidR="000C119D" w:rsidRPr="00B14AF6">
        <w:rPr>
          <w:sz w:val="22"/>
          <w:szCs w:val="22"/>
        </w:rPr>
        <w:t xml:space="preserve">explanations for </w:t>
      </w:r>
      <w:r w:rsidR="006D732D" w:rsidRPr="00B14AF6">
        <w:rPr>
          <w:sz w:val="22"/>
          <w:szCs w:val="22"/>
        </w:rPr>
        <w:t>decisions taken in the design</w:t>
      </w:r>
      <w:r w:rsidR="005D7777">
        <w:rPr>
          <w:sz w:val="22"/>
          <w:szCs w:val="22"/>
        </w:rPr>
        <w:t xml:space="preserve">, </w:t>
      </w:r>
      <w:r w:rsidR="006D732D" w:rsidRPr="00B14AF6">
        <w:rPr>
          <w:sz w:val="22"/>
          <w:szCs w:val="22"/>
        </w:rPr>
        <w:t xml:space="preserve">conduct </w:t>
      </w:r>
      <w:r w:rsidR="005D7777">
        <w:rPr>
          <w:sz w:val="22"/>
          <w:szCs w:val="22"/>
        </w:rPr>
        <w:t xml:space="preserve">and reporting </w:t>
      </w:r>
      <w:r w:rsidR="006D732D" w:rsidRPr="00B14AF6">
        <w:rPr>
          <w:sz w:val="22"/>
          <w:szCs w:val="22"/>
        </w:rPr>
        <w:t>of the baseline assessment</w:t>
      </w:r>
      <w:r w:rsidR="000D0186" w:rsidRPr="00B14AF6">
        <w:rPr>
          <w:sz w:val="22"/>
          <w:szCs w:val="22"/>
        </w:rPr>
        <w:t xml:space="preserve"> for which </w:t>
      </w:r>
      <w:r w:rsidR="00BD071B">
        <w:rPr>
          <w:sz w:val="22"/>
          <w:szCs w:val="22"/>
        </w:rPr>
        <w:t>the PIE MES reviewers</w:t>
      </w:r>
      <w:r>
        <w:rPr>
          <w:sz w:val="22"/>
          <w:szCs w:val="22"/>
        </w:rPr>
        <w:t xml:space="preserve"> raised concerns or posed questions</w:t>
      </w:r>
      <w:r w:rsidR="00705BA2">
        <w:rPr>
          <w:sz w:val="22"/>
          <w:szCs w:val="22"/>
        </w:rPr>
        <w:t>.</w:t>
      </w:r>
    </w:p>
    <w:p w14:paraId="404521D2" w14:textId="767B0866" w:rsidR="009E786D" w:rsidRPr="00B14AF6" w:rsidRDefault="00721C22" w:rsidP="00B14AF6">
      <w:pPr>
        <w:pStyle w:val="ListParagraph"/>
        <w:numPr>
          <w:ilvl w:val="0"/>
          <w:numId w:val="35"/>
        </w:numPr>
        <w:rPr>
          <w:sz w:val="22"/>
          <w:szCs w:val="22"/>
        </w:rPr>
      </w:pPr>
      <w:r>
        <w:rPr>
          <w:sz w:val="22"/>
          <w:szCs w:val="22"/>
        </w:rPr>
        <w:t>Observe</w:t>
      </w:r>
      <w:r w:rsidR="0052431C">
        <w:rPr>
          <w:sz w:val="22"/>
          <w:szCs w:val="22"/>
        </w:rPr>
        <w:t>s</w:t>
      </w:r>
      <w:r>
        <w:rPr>
          <w:sz w:val="22"/>
          <w:szCs w:val="22"/>
        </w:rPr>
        <w:t xml:space="preserve"> that the </w:t>
      </w:r>
      <w:r w:rsidR="00C90C22">
        <w:rPr>
          <w:sz w:val="22"/>
          <w:szCs w:val="22"/>
        </w:rPr>
        <w:t xml:space="preserve">PIE MES </w:t>
      </w:r>
      <w:r>
        <w:rPr>
          <w:sz w:val="22"/>
          <w:szCs w:val="22"/>
        </w:rPr>
        <w:t>review was conducted remotely</w:t>
      </w:r>
      <w:r w:rsidR="000D4B08">
        <w:rPr>
          <w:sz w:val="22"/>
          <w:szCs w:val="22"/>
        </w:rPr>
        <w:t xml:space="preserve">, </w:t>
      </w:r>
      <w:r w:rsidR="0052431C">
        <w:rPr>
          <w:sz w:val="22"/>
          <w:szCs w:val="22"/>
        </w:rPr>
        <w:t>with little or no engagement with PIE personnel</w:t>
      </w:r>
      <w:r w:rsidR="000D4B08">
        <w:rPr>
          <w:sz w:val="22"/>
          <w:szCs w:val="22"/>
        </w:rPr>
        <w:t xml:space="preserve"> and </w:t>
      </w:r>
      <w:r w:rsidR="003F109C">
        <w:rPr>
          <w:sz w:val="22"/>
          <w:szCs w:val="22"/>
        </w:rPr>
        <w:t>with some apparent lack of recognition of the PNG context</w:t>
      </w:r>
      <w:r w:rsidR="003B1652">
        <w:rPr>
          <w:sz w:val="22"/>
          <w:szCs w:val="22"/>
        </w:rPr>
        <w:t>,</w:t>
      </w:r>
      <w:r w:rsidR="00B21CF4">
        <w:rPr>
          <w:sz w:val="22"/>
          <w:szCs w:val="22"/>
        </w:rPr>
        <w:t xml:space="preserve"> limiting the veracity of some observations</w:t>
      </w:r>
      <w:r w:rsidR="00FE1C84">
        <w:rPr>
          <w:sz w:val="22"/>
          <w:szCs w:val="22"/>
        </w:rPr>
        <w:t xml:space="preserve"> and recommendations.</w:t>
      </w:r>
      <w:r w:rsidR="006D732D" w:rsidRPr="00B14AF6">
        <w:rPr>
          <w:sz w:val="22"/>
          <w:szCs w:val="22"/>
        </w:rPr>
        <w:t xml:space="preserve"> </w:t>
      </w:r>
    </w:p>
    <w:p w14:paraId="346ADADD" w14:textId="7D1F5634" w:rsidR="00A30382" w:rsidRDefault="00AF6200" w:rsidP="004B7433">
      <w:pPr>
        <w:rPr>
          <w:sz w:val="22"/>
          <w:szCs w:val="22"/>
        </w:rPr>
      </w:pPr>
      <w:r>
        <w:rPr>
          <w:sz w:val="22"/>
          <w:szCs w:val="22"/>
        </w:rPr>
        <w:t xml:space="preserve">While some </w:t>
      </w:r>
      <w:r w:rsidR="005C6A7B">
        <w:rPr>
          <w:sz w:val="22"/>
          <w:szCs w:val="22"/>
        </w:rPr>
        <w:t xml:space="preserve">observations and recommendations made in </w:t>
      </w:r>
      <w:r w:rsidR="00A9555F">
        <w:rPr>
          <w:sz w:val="22"/>
          <w:szCs w:val="22"/>
        </w:rPr>
        <w:t xml:space="preserve">in the PIE MES Review might be discounted, overall, </w:t>
      </w:r>
      <w:r w:rsidR="00A30382">
        <w:rPr>
          <w:sz w:val="22"/>
          <w:szCs w:val="22"/>
        </w:rPr>
        <w:t xml:space="preserve">the </w:t>
      </w:r>
      <w:r w:rsidR="004B712D">
        <w:rPr>
          <w:sz w:val="22"/>
          <w:szCs w:val="22"/>
        </w:rPr>
        <w:t>detailed</w:t>
      </w:r>
      <w:r w:rsidR="00CF6ECF" w:rsidRPr="00C42422">
        <w:rPr>
          <w:sz w:val="22"/>
          <w:szCs w:val="22"/>
        </w:rPr>
        <w:t xml:space="preserve"> </w:t>
      </w:r>
      <w:r w:rsidR="00A30382">
        <w:rPr>
          <w:sz w:val="22"/>
          <w:szCs w:val="22"/>
        </w:rPr>
        <w:t>discussion provide</w:t>
      </w:r>
      <w:r w:rsidR="00BC4984">
        <w:rPr>
          <w:sz w:val="22"/>
          <w:szCs w:val="22"/>
        </w:rPr>
        <w:t>s</w:t>
      </w:r>
      <w:r w:rsidR="00A30382">
        <w:rPr>
          <w:sz w:val="22"/>
          <w:szCs w:val="22"/>
        </w:rPr>
        <w:t xml:space="preserve"> a </w:t>
      </w:r>
      <w:r w:rsidR="00BC4984">
        <w:rPr>
          <w:sz w:val="22"/>
          <w:szCs w:val="22"/>
        </w:rPr>
        <w:t xml:space="preserve">useful </w:t>
      </w:r>
      <w:r w:rsidR="00C63624">
        <w:rPr>
          <w:sz w:val="22"/>
          <w:szCs w:val="22"/>
        </w:rPr>
        <w:t xml:space="preserve">reference point for reflection </w:t>
      </w:r>
      <w:r w:rsidR="00621194">
        <w:rPr>
          <w:sz w:val="22"/>
          <w:szCs w:val="22"/>
        </w:rPr>
        <w:t xml:space="preserve">on the </w:t>
      </w:r>
      <w:r w:rsidR="00B535C9" w:rsidRPr="00C42422">
        <w:rPr>
          <w:sz w:val="22"/>
          <w:szCs w:val="22"/>
        </w:rPr>
        <w:t>PIE</w:t>
      </w:r>
      <w:r w:rsidR="00E44927" w:rsidRPr="00C42422">
        <w:rPr>
          <w:sz w:val="22"/>
          <w:szCs w:val="22"/>
        </w:rPr>
        <w:t xml:space="preserve"> MERLA Framework</w:t>
      </w:r>
      <w:r w:rsidR="00B535C9" w:rsidRPr="00C42422">
        <w:rPr>
          <w:sz w:val="22"/>
          <w:szCs w:val="22"/>
        </w:rPr>
        <w:t xml:space="preserve">. </w:t>
      </w:r>
      <w:r w:rsidR="0067788A">
        <w:rPr>
          <w:sz w:val="22"/>
          <w:szCs w:val="22"/>
        </w:rPr>
        <w:t xml:space="preserve">The </w:t>
      </w:r>
      <w:r w:rsidR="00901507">
        <w:rPr>
          <w:sz w:val="22"/>
          <w:szCs w:val="22"/>
        </w:rPr>
        <w:t xml:space="preserve">PIE response to the review report </w:t>
      </w:r>
      <w:r w:rsidR="00424115">
        <w:rPr>
          <w:sz w:val="22"/>
          <w:szCs w:val="22"/>
        </w:rPr>
        <w:t>includes such reflection</w:t>
      </w:r>
      <w:r w:rsidR="00BC4984">
        <w:rPr>
          <w:sz w:val="22"/>
          <w:szCs w:val="22"/>
        </w:rPr>
        <w:t>,</w:t>
      </w:r>
      <w:r w:rsidR="00424115">
        <w:rPr>
          <w:sz w:val="22"/>
          <w:szCs w:val="22"/>
        </w:rPr>
        <w:t xml:space="preserve"> a</w:t>
      </w:r>
      <w:r w:rsidR="006C6D4E">
        <w:rPr>
          <w:sz w:val="22"/>
          <w:szCs w:val="22"/>
        </w:rPr>
        <w:t>long with a</w:t>
      </w:r>
      <w:r w:rsidR="00424115">
        <w:rPr>
          <w:sz w:val="22"/>
          <w:szCs w:val="22"/>
        </w:rPr>
        <w:t>cceptance of advice</w:t>
      </w:r>
      <w:r w:rsidR="00F400DB">
        <w:rPr>
          <w:sz w:val="22"/>
          <w:szCs w:val="22"/>
        </w:rPr>
        <w:t>,</w:t>
      </w:r>
      <w:r w:rsidR="00BC4984">
        <w:rPr>
          <w:sz w:val="22"/>
          <w:szCs w:val="22"/>
        </w:rPr>
        <w:t xml:space="preserve"> </w:t>
      </w:r>
      <w:r w:rsidR="000B73D3">
        <w:rPr>
          <w:sz w:val="22"/>
          <w:szCs w:val="22"/>
        </w:rPr>
        <w:t xml:space="preserve">and </w:t>
      </w:r>
      <w:r w:rsidR="00533652">
        <w:rPr>
          <w:sz w:val="22"/>
          <w:szCs w:val="22"/>
        </w:rPr>
        <w:t xml:space="preserve">responses to </w:t>
      </w:r>
      <w:r w:rsidR="0021733D">
        <w:rPr>
          <w:sz w:val="22"/>
          <w:szCs w:val="22"/>
        </w:rPr>
        <w:t>observations and recommendations that were not accepted</w:t>
      </w:r>
      <w:r w:rsidR="006C6D4E">
        <w:rPr>
          <w:sz w:val="22"/>
          <w:szCs w:val="22"/>
        </w:rPr>
        <w:t>.</w:t>
      </w:r>
    </w:p>
    <w:p w14:paraId="656C1391" w14:textId="1D5A8346" w:rsidR="00186DF3" w:rsidRPr="00C42422" w:rsidRDefault="00B535C9" w:rsidP="004B7433">
      <w:pPr>
        <w:rPr>
          <w:sz w:val="22"/>
          <w:szCs w:val="22"/>
        </w:rPr>
      </w:pPr>
      <w:r w:rsidRPr="00C42422">
        <w:rPr>
          <w:sz w:val="22"/>
          <w:szCs w:val="22"/>
        </w:rPr>
        <w:t xml:space="preserve">Based on </w:t>
      </w:r>
      <w:r w:rsidR="00FF3F45" w:rsidRPr="00C42422">
        <w:rPr>
          <w:sz w:val="22"/>
          <w:szCs w:val="22"/>
        </w:rPr>
        <w:t>feedback and observations made during the Ind</w:t>
      </w:r>
      <w:r w:rsidR="00186DF3" w:rsidRPr="00C42422">
        <w:rPr>
          <w:sz w:val="22"/>
          <w:szCs w:val="22"/>
        </w:rPr>
        <w:t>ependent Progress Review consideration might be given to:</w:t>
      </w:r>
    </w:p>
    <w:p w14:paraId="7CEA8D69" w14:textId="099D8518" w:rsidR="00E66E09" w:rsidRPr="00C42422" w:rsidRDefault="00186DF3" w:rsidP="004147CF">
      <w:pPr>
        <w:pStyle w:val="ListParagraph"/>
        <w:numPr>
          <w:ilvl w:val="0"/>
          <w:numId w:val="2"/>
        </w:numPr>
        <w:rPr>
          <w:sz w:val="22"/>
          <w:szCs w:val="22"/>
        </w:rPr>
      </w:pPr>
      <w:r w:rsidRPr="00C42422">
        <w:rPr>
          <w:sz w:val="22"/>
          <w:szCs w:val="22"/>
        </w:rPr>
        <w:t xml:space="preserve">Confirming the </w:t>
      </w:r>
      <w:r w:rsidR="004F385A" w:rsidRPr="00C42422">
        <w:rPr>
          <w:sz w:val="22"/>
          <w:szCs w:val="22"/>
        </w:rPr>
        <w:t xml:space="preserve">actual current resources dedicated to MERLA activities noting, for example, that the </w:t>
      </w:r>
      <w:r w:rsidR="00061B20" w:rsidRPr="00C42422">
        <w:rPr>
          <w:sz w:val="22"/>
          <w:szCs w:val="22"/>
        </w:rPr>
        <w:t xml:space="preserve">provincial MERLA </w:t>
      </w:r>
      <w:r w:rsidR="0086679A" w:rsidRPr="00C42422">
        <w:rPr>
          <w:sz w:val="22"/>
          <w:szCs w:val="22"/>
        </w:rPr>
        <w:t xml:space="preserve">positions </w:t>
      </w:r>
      <w:r w:rsidR="001A53CC" w:rsidRPr="00C42422">
        <w:rPr>
          <w:sz w:val="22"/>
          <w:szCs w:val="22"/>
        </w:rPr>
        <w:t xml:space="preserve">have other roles and responsibilities beyond </w:t>
      </w:r>
      <w:r w:rsidR="00692867" w:rsidRPr="00C42422">
        <w:rPr>
          <w:sz w:val="22"/>
          <w:szCs w:val="22"/>
        </w:rPr>
        <w:t>MERLA</w:t>
      </w:r>
      <w:r w:rsidR="001A0687">
        <w:rPr>
          <w:sz w:val="22"/>
          <w:szCs w:val="22"/>
        </w:rPr>
        <w:t xml:space="preserve"> and judging whether the dedicated MERLA resource is </w:t>
      </w:r>
      <w:r w:rsidR="00E66E09">
        <w:rPr>
          <w:sz w:val="22"/>
          <w:szCs w:val="22"/>
        </w:rPr>
        <w:t>adequate for the task</w:t>
      </w:r>
      <w:r w:rsidR="00692867" w:rsidRPr="00C42422">
        <w:rPr>
          <w:sz w:val="22"/>
          <w:szCs w:val="22"/>
        </w:rPr>
        <w:t>.</w:t>
      </w:r>
    </w:p>
    <w:p w14:paraId="2220A0AC" w14:textId="721331E8" w:rsidR="00344ADC" w:rsidRPr="00B14AF6" w:rsidRDefault="00107BA3" w:rsidP="00B14AF6">
      <w:pPr>
        <w:pStyle w:val="ListParagraph"/>
        <w:numPr>
          <w:ilvl w:val="0"/>
          <w:numId w:val="2"/>
        </w:numPr>
        <w:rPr>
          <w:sz w:val="22"/>
          <w:szCs w:val="22"/>
        </w:rPr>
      </w:pPr>
      <w:bookmarkStart w:id="26" w:name="_Hlk175838728"/>
      <w:r w:rsidRPr="00B14AF6">
        <w:rPr>
          <w:sz w:val="22"/>
          <w:szCs w:val="22"/>
        </w:rPr>
        <w:t>S</w:t>
      </w:r>
      <w:r w:rsidR="003D63FB" w:rsidRPr="00B14AF6">
        <w:rPr>
          <w:sz w:val="22"/>
          <w:szCs w:val="22"/>
        </w:rPr>
        <w:t>trengthen</w:t>
      </w:r>
      <w:r w:rsidRPr="00B14AF6">
        <w:rPr>
          <w:sz w:val="22"/>
          <w:szCs w:val="22"/>
        </w:rPr>
        <w:t>ing</w:t>
      </w:r>
      <w:r w:rsidR="003D63FB" w:rsidRPr="00B14AF6">
        <w:rPr>
          <w:sz w:val="22"/>
          <w:szCs w:val="22"/>
        </w:rPr>
        <w:t xml:space="preserve"> and streamlin</w:t>
      </w:r>
      <w:r w:rsidRPr="00B14AF6">
        <w:rPr>
          <w:sz w:val="22"/>
          <w:szCs w:val="22"/>
        </w:rPr>
        <w:t>ing</w:t>
      </w:r>
      <w:r w:rsidR="003D63FB" w:rsidRPr="00B14AF6">
        <w:rPr>
          <w:sz w:val="22"/>
          <w:szCs w:val="22"/>
        </w:rPr>
        <w:t xml:space="preserve"> </w:t>
      </w:r>
      <w:r w:rsidR="00344ADC" w:rsidRPr="00B14AF6">
        <w:rPr>
          <w:sz w:val="22"/>
          <w:szCs w:val="22"/>
        </w:rPr>
        <w:t>MERLA</w:t>
      </w:r>
      <w:r w:rsidR="00241246" w:rsidRPr="00B14AF6">
        <w:rPr>
          <w:sz w:val="22"/>
          <w:szCs w:val="22"/>
        </w:rPr>
        <w:t xml:space="preserve"> </w:t>
      </w:r>
      <w:r w:rsidR="00344ADC" w:rsidRPr="00B14AF6">
        <w:rPr>
          <w:sz w:val="22"/>
          <w:szCs w:val="22"/>
        </w:rPr>
        <w:t>contribut</w:t>
      </w:r>
      <w:r w:rsidR="00650DE9" w:rsidRPr="00B14AF6">
        <w:rPr>
          <w:sz w:val="22"/>
          <w:szCs w:val="22"/>
        </w:rPr>
        <w:t xml:space="preserve">ions </w:t>
      </w:r>
      <w:r w:rsidR="00344ADC" w:rsidRPr="00B14AF6">
        <w:rPr>
          <w:sz w:val="22"/>
          <w:szCs w:val="22"/>
        </w:rPr>
        <w:t>to regular annual or more frequent review and reflection</w:t>
      </w:r>
      <w:r w:rsidR="00DE2B33">
        <w:rPr>
          <w:sz w:val="22"/>
          <w:szCs w:val="22"/>
        </w:rPr>
        <w:t xml:space="preserve"> activities</w:t>
      </w:r>
      <w:r w:rsidR="00344ADC" w:rsidRPr="00B14AF6">
        <w:rPr>
          <w:sz w:val="22"/>
          <w:szCs w:val="22"/>
        </w:rPr>
        <w:t xml:space="preserve"> (see sustainability plan, partnerships plan etc), provincially and nationally. </w:t>
      </w:r>
    </w:p>
    <w:p w14:paraId="30486447" w14:textId="3B126B46" w:rsidR="00650DE9" w:rsidRPr="00C42422" w:rsidRDefault="00344ADC" w:rsidP="00344ADC">
      <w:pPr>
        <w:pStyle w:val="ListParagraph"/>
        <w:numPr>
          <w:ilvl w:val="0"/>
          <w:numId w:val="2"/>
        </w:numPr>
        <w:rPr>
          <w:sz w:val="22"/>
          <w:szCs w:val="22"/>
        </w:rPr>
      </w:pPr>
      <w:r w:rsidRPr="00C42422">
        <w:rPr>
          <w:sz w:val="22"/>
          <w:szCs w:val="22"/>
        </w:rPr>
        <w:t xml:space="preserve">Better use of </w:t>
      </w:r>
      <w:r w:rsidR="00650DE9" w:rsidRPr="00C42422">
        <w:rPr>
          <w:sz w:val="22"/>
          <w:szCs w:val="22"/>
        </w:rPr>
        <w:t xml:space="preserve">qualitative </w:t>
      </w:r>
      <w:r w:rsidRPr="00C42422">
        <w:rPr>
          <w:sz w:val="22"/>
          <w:szCs w:val="22"/>
        </w:rPr>
        <w:t>data to inform discussion about progress</w:t>
      </w:r>
      <w:r w:rsidR="0064474D" w:rsidRPr="00C42422">
        <w:rPr>
          <w:sz w:val="22"/>
          <w:szCs w:val="22"/>
        </w:rPr>
        <w:t xml:space="preserve"> or barriers</w:t>
      </w:r>
      <w:r w:rsidRPr="00C42422">
        <w:rPr>
          <w:sz w:val="22"/>
          <w:szCs w:val="22"/>
        </w:rPr>
        <w:t xml:space="preserve"> e.g. ‘green shoots’ and ‘orange flags’</w:t>
      </w:r>
      <w:r w:rsidR="00F62D04">
        <w:rPr>
          <w:sz w:val="22"/>
          <w:szCs w:val="22"/>
        </w:rPr>
        <w:t>.</w:t>
      </w:r>
    </w:p>
    <w:p w14:paraId="066BD03A" w14:textId="27CF888A" w:rsidR="00CD2C22" w:rsidRDefault="003F01D1" w:rsidP="00CD2C22">
      <w:pPr>
        <w:pStyle w:val="ListParagraph"/>
        <w:numPr>
          <w:ilvl w:val="0"/>
          <w:numId w:val="2"/>
        </w:numPr>
        <w:rPr>
          <w:sz w:val="22"/>
          <w:szCs w:val="22"/>
        </w:rPr>
      </w:pPr>
      <w:r w:rsidRPr="00C42422">
        <w:rPr>
          <w:sz w:val="22"/>
          <w:szCs w:val="22"/>
        </w:rPr>
        <w:t>Strengthen</w:t>
      </w:r>
      <w:r w:rsidR="00107BA3">
        <w:rPr>
          <w:sz w:val="22"/>
          <w:szCs w:val="22"/>
        </w:rPr>
        <w:t>ing the</w:t>
      </w:r>
      <w:r w:rsidR="0064474D" w:rsidRPr="00C42422">
        <w:rPr>
          <w:sz w:val="22"/>
          <w:szCs w:val="22"/>
        </w:rPr>
        <w:t xml:space="preserve"> </w:t>
      </w:r>
      <w:r w:rsidRPr="00C42422">
        <w:rPr>
          <w:sz w:val="22"/>
          <w:szCs w:val="22"/>
        </w:rPr>
        <w:t>L</w:t>
      </w:r>
      <w:r w:rsidR="0083191F">
        <w:rPr>
          <w:sz w:val="22"/>
          <w:szCs w:val="22"/>
        </w:rPr>
        <w:t>earning</w:t>
      </w:r>
      <w:r w:rsidRPr="00C42422">
        <w:rPr>
          <w:sz w:val="22"/>
          <w:szCs w:val="22"/>
        </w:rPr>
        <w:t xml:space="preserve"> and A</w:t>
      </w:r>
      <w:r w:rsidR="0083191F">
        <w:rPr>
          <w:sz w:val="22"/>
          <w:szCs w:val="22"/>
        </w:rPr>
        <w:t>daptatio</w:t>
      </w:r>
      <w:r w:rsidR="002D00E5">
        <w:rPr>
          <w:sz w:val="22"/>
          <w:szCs w:val="22"/>
        </w:rPr>
        <w:t>n</w:t>
      </w:r>
      <w:r w:rsidR="00107BA3">
        <w:rPr>
          <w:sz w:val="22"/>
          <w:szCs w:val="22"/>
        </w:rPr>
        <w:t xml:space="preserve"> components of the MERLA Strategy</w:t>
      </w:r>
      <w:r w:rsidR="00B66216" w:rsidRPr="00C42422">
        <w:rPr>
          <w:sz w:val="22"/>
          <w:szCs w:val="22"/>
        </w:rPr>
        <w:t xml:space="preserve">, </w:t>
      </w:r>
      <w:r w:rsidR="0064474D" w:rsidRPr="00C42422">
        <w:rPr>
          <w:sz w:val="22"/>
          <w:szCs w:val="22"/>
        </w:rPr>
        <w:t xml:space="preserve">building on </w:t>
      </w:r>
      <w:r w:rsidR="00222696" w:rsidRPr="00C42422">
        <w:rPr>
          <w:sz w:val="22"/>
          <w:szCs w:val="22"/>
        </w:rPr>
        <w:t xml:space="preserve">products such as the ‘stories of change’ in the 2024 SAR </w:t>
      </w:r>
      <w:r w:rsidR="008B1860" w:rsidRPr="00C42422">
        <w:rPr>
          <w:sz w:val="22"/>
          <w:szCs w:val="22"/>
        </w:rPr>
        <w:t xml:space="preserve">(Annex F), </w:t>
      </w:r>
      <w:r w:rsidR="00CD2C22">
        <w:rPr>
          <w:sz w:val="22"/>
          <w:szCs w:val="22"/>
        </w:rPr>
        <w:t>to increase the Program</w:t>
      </w:r>
      <w:r w:rsidR="0083191F">
        <w:rPr>
          <w:sz w:val="22"/>
          <w:szCs w:val="22"/>
        </w:rPr>
        <w:t xml:space="preserve">’s collateral and capacity for </w:t>
      </w:r>
      <w:r w:rsidR="00CD2C22" w:rsidRPr="00CD2C22">
        <w:rPr>
          <w:sz w:val="22"/>
          <w:szCs w:val="22"/>
        </w:rPr>
        <w:t xml:space="preserve">public diplomacy </w:t>
      </w:r>
      <w:r w:rsidR="0083191F">
        <w:rPr>
          <w:sz w:val="22"/>
          <w:szCs w:val="22"/>
        </w:rPr>
        <w:t>and polic</w:t>
      </w:r>
      <w:r w:rsidR="00CD2C22" w:rsidRPr="00CD2C22">
        <w:rPr>
          <w:sz w:val="22"/>
          <w:szCs w:val="22"/>
        </w:rPr>
        <w:t xml:space="preserve">y influence. </w:t>
      </w:r>
      <w:r w:rsidR="00E45901">
        <w:rPr>
          <w:sz w:val="22"/>
          <w:szCs w:val="22"/>
        </w:rPr>
        <w:t xml:space="preserve">A greater focus on public diplomacy and policy influence will </w:t>
      </w:r>
      <w:r w:rsidR="001C57B7">
        <w:rPr>
          <w:sz w:val="22"/>
          <w:szCs w:val="22"/>
        </w:rPr>
        <w:t xml:space="preserve">contribute to the parent and community engagement element of the program as well as </w:t>
      </w:r>
      <w:r w:rsidR="00DF7A85">
        <w:rPr>
          <w:sz w:val="22"/>
          <w:szCs w:val="22"/>
        </w:rPr>
        <w:t xml:space="preserve">the policy influence element through </w:t>
      </w:r>
      <w:r w:rsidR="001C57B7">
        <w:rPr>
          <w:sz w:val="22"/>
          <w:szCs w:val="22"/>
        </w:rPr>
        <w:t>sh</w:t>
      </w:r>
      <w:r w:rsidR="00CD2C22" w:rsidRPr="00CD2C22">
        <w:rPr>
          <w:sz w:val="22"/>
          <w:szCs w:val="22"/>
        </w:rPr>
        <w:t xml:space="preserve">owcasing good news stories to </w:t>
      </w:r>
      <w:r w:rsidR="001C57B7">
        <w:rPr>
          <w:sz w:val="22"/>
          <w:szCs w:val="22"/>
        </w:rPr>
        <w:t xml:space="preserve">senior officials and </w:t>
      </w:r>
      <w:r w:rsidR="00CD2C22" w:rsidRPr="00CD2C22">
        <w:rPr>
          <w:sz w:val="22"/>
          <w:szCs w:val="22"/>
        </w:rPr>
        <w:t>Ministers</w:t>
      </w:r>
      <w:r w:rsidR="00107BA3">
        <w:rPr>
          <w:sz w:val="22"/>
          <w:szCs w:val="22"/>
        </w:rPr>
        <w:t>.</w:t>
      </w:r>
    </w:p>
    <w:p w14:paraId="174864C6" w14:textId="77777777" w:rsidR="00107BA3" w:rsidRPr="00CD2C22" w:rsidRDefault="00107BA3" w:rsidP="0065260C">
      <w:pPr>
        <w:pStyle w:val="ListParagraph"/>
        <w:rPr>
          <w:sz w:val="22"/>
          <w:szCs w:val="22"/>
        </w:rPr>
      </w:pPr>
    </w:p>
    <w:p w14:paraId="362DDE90" w14:textId="552AC0B7" w:rsidR="00166C9F" w:rsidRPr="00243C12" w:rsidRDefault="00C5114A" w:rsidP="0065260C">
      <w:pPr>
        <w:pStyle w:val="Heading1"/>
        <w:keepNext/>
        <w:ind w:left="425" w:hanging="425"/>
      </w:pPr>
      <w:bookmarkStart w:id="27" w:name="_Toc176011441"/>
      <w:bookmarkStart w:id="28" w:name="_Toc180756332"/>
      <w:bookmarkEnd w:id="26"/>
      <w:bookmarkEnd w:id="27"/>
      <w:r>
        <w:t>Discussion</w:t>
      </w:r>
      <w:r w:rsidR="00EC4ACC">
        <w:t xml:space="preserve"> on next steps</w:t>
      </w:r>
      <w:bookmarkEnd w:id="28"/>
    </w:p>
    <w:p w14:paraId="0896B4B4" w14:textId="617B5C96" w:rsidR="004201DC" w:rsidRDefault="00F53143" w:rsidP="00166C9F">
      <w:pPr>
        <w:rPr>
          <w:sz w:val="22"/>
          <w:szCs w:val="22"/>
        </w:rPr>
      </w:pPr>
      <w:r w:rsidRPr="0065260C">
        <w:rPr>
          <w:sz w:val="22"/>
          <w:szCs w:val="22"/>
        </w:rPr>
        <w:t xml:space="preserve">Drawing on </w:t>
      </w:r>
      <w:r w:rsidR="00344024">
        <w:rPr>
          <w:sz w:val="22"/>
          <w:szCs w:val="22"/>
        </w:rPr>
        <w:t xml:space="preserve">preceding </w:t>
      </w:r>
      <w:r w:rsidR="008459D6">
        <w:rPr>
          <w:sz w:val="22"/>
          <w:szCs w:val="22"/>
        </w:rPr>
        <w:t xml:space="preserve">sections on </w:t>
      </w:r>
      <w:r>
        <w:rPr>
          <w:sz w:val="22"/>
          <w:szCs w:val="22"/>
        </w:rPr>
        <w:t xml:space="preserve">Program context and the </w:t>
      </w:r>
      <w:r w:rsidR="00594191">
        <w:rPr>
          <w:sz w:val="22"/>
          <w:szCs w:val="22"/>
        </w:rPr>
        <w:t>5 Key Review Questions</w:t>
      </w:r>
      <w:r w:rsidR="008459D6">
        <w:rPr>
          <w:sz w:val="22"/>
          <w:szCs w:val="22"/>
        </w:rPr>
        <w:t>,</w:t>
      </w:r>
      <w:r w:rsidR="00594191">
        <w:rPr>
          <w:sz w:val="22"/>
          <w:szCs w:val="22"/>
        </w:rPr>
        <w:t xml:space="preserve"> the discussion in this section considers ‘what </w:t>
      </w:r>
      <w:r w:rsidR="008459D6">
        <w:rPr>
          <w:sz w:val="22"/>
          <w:szCs w:val="22"/>
        </w:rPr>
        <w:t xml:space="preserve">(might be) </w:t>
      </w:r>
      <w:r w:rsidR="00594191">
        <w:rPr>
          <w:sz w:val="22"/>
          <w:szCs w:val="22"/>
        </w:rPr>
        <w:t>next?’</w:t>
      </w:r>
      <w:r w:rsidR="00757D8A">
        <w:rPr>
          <w:sz w:val="22"/>
          <w:szCs w:val="22"/>
        </w:rPr>
        <w:t xml:space="preserve">, with the intention of informing </w:t>
      </w:r>
      <w:r w:rsidR="00344024">
        <w:rPr>
          <w:sz w:val="22"/>
          <w:szCs w:val="22"/>
        </w:rPr>
        <w:t xml:space="preserve">DFAT discussion and decisions about </w:t>
      </w:r>
      <w:r w:rsidR="00FD38A4">
        <w:rPr>
          <w:sz w:val="22"/>
          <w:szCs w:val="22"/>
        </w:rPr>
        <w:t>changes to the elements and operation of the program.</w:t>
      </w:r>
      <w:r w:rsidR="00537D96">
        <w:rPr>
          <w:sz w:val="22"/>
          <w:szCs w:val="22"/>
        </w:rPr>
        <w:t xml:space="preserve"> To ensure the context and operational challenges unique to PNG are adequately considered</w:t>
      </w:r>
      <w:r w:rsidR="00A316E3">
        <w:rPr>
          <w:sz w:val="22"/>
          <w:szCs w:val="22"/>
        </w:rPr>
        <w:t>, including in relation to budget allocation</w:t>
      </w:r>
      <w:r w:rsidR="00537D96">
        <w:rPr>
          <w:sz w:val="22"/>
          <w:szCs w:val="22"/>
        </w:rPr>
        <w:t>, these topics should be discussed further with the PIE team, before next steps are confirmed.</w:t>
      </w:r>
      <w:r w:rsidR="0092133D">
        <w:rPr>
          <w:sz w:val="22"/>
          <w:szCs w:val="22"/>
        </w:rPr>
        <w:t xml:space="preserve"> </w:t>
      </w:r>
    </w:p>
    <w:p w14:paraId="0576095B" w14:textId="43732C85" w:rsidR="00E405C9" w:rsidRDefault="004201DC" w:rsidP="00EB5803">
      <w:pPr>
        <w:keepNext/>
        <w:rPr>
          <w:sz w:val="22"/>
          <w:szCs w:val="22"/>
        </w:rPr>
      </w:pPr>
      <w:r>
        <w:rPr>
          <w:sz w:val="22"/>
          <w:szCs w:val="22"/>
        </w:rPr>
        <w:t xml:space="preserve">The discussion is grouped under </w:t>
      </w:r>
      <w:r w:rsidR="00163D90">
        <w:rPr>
          <w:sz w:val="22"/>
          <w:szCs w:val="22"/>
        </w:rPr>
        <w:t>eight</w:t>
      </w:r>
      <w:r w:rsidR="00E405C9">
        <w:rPr>
          <w:sz w:val="22"/>
          <w:szCs w:val="22"/>
        </w:rPr>
        <w:t xml:space="preserve"> topics:</w:t>
      </w:r>
    </w:p>
    <w:p w14:paraId="080D8450" w14:textId="36C63117" w:rsidR="00F53143" w:rsidRDefault="009A7961" w:rsidP="009A7961">
      <w:pPr>
        <w:pStyle w:val="ListParagraph"/>
        <w:numPr>
          <w:ilvl w:val="0"/>
          <w:numId w:val="25"/>
        </w:numPr>
        <w:rPr>
          <w:sz w:val="22"/>
          <w:szCs w:val="22"/>
        </w:rPr>
      </w:pPr>
      <w:r>
        <w:rPr>
          <w:sz w:val="22"/>
          <w:szCs w:val="22"/>
        </w:rPr>
        <w:t>Prog</w:t>
      </w:r>
      <w:r w:rsidR="00797930">
        <w:rPr>
          <w:sz w:val="22"/>
          <w:szCs w:val="22"/>
        </w:rPr>
        <w:t>ram resourcing</w:t>
      </w:r>
    </w:p>
    <w:p w14:paraId="771C94CD" w14:textId="42A43CCA" w:rsidR="00107BA3" w:rsidRDefault="00107BA3" w:rsidP="009A7961">
      <w:pPr>
        <w:pStyle w:val="ListParagraph"/>
        <w:numPr>
          <w:ilvl w:val="0"/>
          <w:numId w:val="25"/>
        </w:numPr>
        <w:rPr>
          <w:sz w:val="22"/>
          <w:szCs w:val="22"/>
        </w:rPr>
      </w:pPr>
      <w:r>
        <w:rPr>
          <w:sz w:val="22"/>
          <w:szCs w:val="22"/>
        </w:rPr>
        <w:t>Guiding principles / ways of working</w:t>
      </w:r>
    </w:p>
    <w:p w14:paraId="01229140" w14:textId="3EC8B88B" w:rsidR="002F68D8" w:rsidRDefault="002F68D8" w:rsidP="009A7961">
      <w:pPr>
        <w:pStyle w:val="ListParagraph"/>
        <w:numPr>
          <w:ilvl w:val="0"/>
          <w:numId w:val="25"/>
        </w:numPr>
        <w:rPr>
          <w:sz w:val="22"/>
          <w:szCs w:val="22"/>
        </w:rPr>
      </w:pPr>
      <w:r>
        <w:rPr>
          <w:sz w:val="22"/>
          <w:szCs w:val="22"/>
        </w:rPr>
        <w:t xml:space="preserve">Strategic </w:t>
      </w:r>
      <w:r w:rsidR="009763FB">
        <w:rPr>
          <w:sz w:val="22"/>
          <w:szCs w:val="22"/>
        </w:rPr>
        <w:t>oversight and guidance</w:t>
      </w:r>
    </w:p>
    <w:p w14:paraId="2ABA78AC" w14:textId="3EF2E96B" w:rsidR="009763FB" w:rsidRDefault="009763FB" w:rsidP="009A7961">
      <w:pPr>
        <w:pStyle w:val="ListParagraph"/>
        <w:numPr>
          <w:ilvl w:val="0"/>
          <w:numId w:val="25"/>
        </w:numPr>
        <w:rPr>
          <w:sz w:val="22"/>
          <w:szCs w:val="22"/>
        </w:rPr>
      </w:pPr>
      <w:r w:rsidRPr="009763FB">
        <w:rPr>
          <w:sz w:val="22"/>
          <w:szCs w:val="22"/>
        </w:rPr>
        <w:t>Program activity stock-take (and adjustment)</w:t>
      </w:r>
    </w:p>
    <w:p w14:paraId="5D4E8B04" w14:textId="05E2C931" w:rsidR="009763FB" w:rsidRPr="00C23D78" w:rsidRDefault="009763FB" w:rsidP="009A7961">
      <w:pPr>
        <w:pStyle w:val="ListParagraph"/>
        <w:numPr>
          <w:ilvl w:val="0"/>
          <w:numId w:val="25"/>
        </w:numPr>
        <w:rPr>
          <w:sz w:val="22"/>
          <w:szCs w:val="22"/>
        </w:rPr>
      </w:pPr>
      <w:r w:rsidRPr="009763FB">
        <w:rPr>
          <w:sz w:val="22"/>
          <w:szCs w:val="22"/>
        </w:rPr>
        <w:t xml:space="preserve">Refine the MERLA </w:t>
      </w:r>
      <w:r w:rsidRPr="00C23D78">
        <w:rPr>
          <w:sz w:val="22"/>
          <w:szCs w:val="22"/>
        </w:rPr>
        <w:t>framework</w:t>
      </w:r>
      <w:r w:rsidR="002E1E26" w:rsidRPr="00C23D78">
        <w:rPr>
          <w:sz w:val="22"/>
          <w:szCs w:val="22"/>
        </w:rPr>
        <w:t xml:space="preserve"> </w:t>
      </w:r>
      <w:r w:rsidR="002E1E26" w:rsidRPr="00B14AF6">
        <w:rPr>
          <w:sz w:val="22"/>
          <w:szCs w:val="22"/>
        </w:rPr>
        <w:t>and strengthen strategic communication</w:t>
      </w:r>
    </w:p>
    <w:p w14:paraId="44C177BC" w14:textId="60B29ACB" w:rsidR="009763FB" w:rsidRDefault="009763FB" w:rsidP="009A7961">
      <w:pPr>
        <w:pStyle w:val="ListParagraph"/>
        <w:numPr>
          <w:ilvl w:val="0"/>
          <w:numId w:val="25"/>
        </w:numPr>
        <w:rPr>
          <w:sz w:val="22"/>
          <w:szCs w:val="22"/>
        </w:rPr>
      </w:pPr>
      <w:r w:rsidRPr="009763FB">
        <w:rPr>
          <w:sz w:val="22"/>
          <w:szCs w:val="22"/>
        </w:rPr>
        <w:t>Adjust provincial engagement</w:t>
      </w:r>
    </w:p>
    <w:p w14:paraId="605CF8FA" w14:textId="339702F3" w:rsidR="00163D90" w:rsidRPr="0065260C" w:rsidRDefault="00163D90" w:rsidP="0065260C">
      <w:pPr>
        <w:pStyle w:val="ListParagraph"/>
        <w:numPr>
          <w:ilvl w:val="0"/>
          <w:numId w:val="25"/>
        </w:numPr>
        <w:rPr>
          <w:sz w:val="22"/>
          <w:szCs w:val="22"/>
        </w:rPr>
      </w:pPr>
      <w:r>
        <w:rPr>
          <w:sz w:val="22"/>
          <w:szCs w:val="22"/>
        </w:rPr>
        <w:t>Geographic expansion</w:t>
      </w:r>
    </w:p>
    <w:p w14:paraId="2086E28B" w14:textId="4E0D5BF4" w:rsidR="00E405C9" w:rsidRDefault="00E405C9" w:rsidP="0065260C">
      <w:pPr>
        <w:keepNext/>
        <w:rPr>
          <w:sz w:val="22"/>
          <w:szCs w:val="22"/>
          <w:u w:val="single"/>
        </w:rPr>
      </w:pPr>
      <w:r>
        <w:rPr>
          <w:sz w:val="22"/>
          <w:szCs w:val="22"/>
          <w:u w:val="single"/>
        </w:rPr>
        <w:t>Program resourcing</w:t>
      </w:r>
      <w:r w:rsidR="007A1045">
        <w:rPr>
          <w:sz w:val="22"/>
          <w:szCs w:val="22"/>
          <w:u w:val="single"/>
        </w:rPr>
        <w:t>.</w:t>
      </w:r>
    </w:p>
    <w:p w14:paraId="19BEF725" w14:textId="77777777" w:rsidR="00CD2C22" w:rsidRDefault="00797930" w:rsidP="00166C9F">
      <w:pPr>
        <w:rPr>
          <w:sz w:val="22"/>
          <w:szCs w:val="22"/>
        </w:rPr>
      </w:pPr>
      <w:r>
        <w:rPr>
          <w:sz w:val="22"/>
          <w:szCs w:val="22"/>
        </w:rPr>
        <w:t xml:space="preserve">Given the context within which the Program is operating and the </w:t>
      </w:r>
      <w:r w:rsidR="00B11A82">
        <w:rPr>
          <w:sz w:val="22"/>
          <w:szCs w:val="22"/>
        </w:rPr>
        <w:t xml:space="preserve">actual data on the </w:t>
      </w:r>
      <w:r w:rsidR="00E405C9" w:rsidRPr="0065260C">
        <w:rPr>
          <w:sz w:val="22"/>
          <w:szCs w:val="22"/>
        </w:rPr>
        <w:t xml:space="preserve">cost of doing business </w:t>
      </w:r>
      <w:r w:rsidR="00B11A82" w:rsidRPr="00163D90">
        <w:rPr>
          <w:sz w:val="22"/>
          <w:szCs w:val="22"/>
        </w:rPr>
        <w:t>discussed in section 5, there</w:t>
      </w:r>
      <w:r w:rsidR="00B11A82">
        <w:rPr>
          <w:sz w:val="22"/>
          <w:szCs w:val="22"/>
        </w:rPr>
        <w:t xml:space="preserve"> </w:t>
      </w:r>
      <w:r w:rsidR="00E405C9" w:rsidRPr="0065260C">
        <w:rPr>
          <w:sz w:val="22"/>
          <w:szCs w:val="22"/>
        </w:rPr>
        <w:t xml:space="preserve">is a strong rationale </w:t>
      </w:r>
      <w:r w:rsidR="00B11A82">
        <w:rPr>
          <w:sz w:val="22"/>
          <w:szCs w:val="22"/>
        </w:rPr>
        <w:t xml:space="preserve">for </w:t>
      </w:r>
      <w:r w:rsidR="00E405C9" w:rsidRPr="0065260C">
        <w:rPr>
          <w:sz w:val="22"/>
          <w:szCs w:val="22"/>
        </w:rPr>
        <w:t xml:space="preserve">bringing forward the </w:t>
      </w:r>
      <w:r w:rsidR="002261FA">
        <w:rPr>
          <w:sz w:val="22"/>
          <w:szCs w:val="22"/>
        </w:rPr>
        <w:t xml:space="preserve">Phase 2 budget allocation to the current phase, </w:t>
      </w:r>
      <w:r w:rsidR="00211B57">
        <w:rPr>
          <w:sz w:val="22"/>
          <w:szCs w:val="22"/>
        </w:rPr>
        <w:t>so that AUD</w:t>
      </w:r>
      <w:r w:rsidR="00E405C9" w:rsidRPr="0065260C">
        <w:rPr>
          <w:sz w:val="22"/>
          <w:szCs w:val="22"/>
        </w:rPr>
        <w:t>75</w:t>
      </w:r>
      <w:r w:rsidR="00211B57">
        <w:rPr>
          <w:sz w:val="22"/>
          <w:szCs w:val="22"/>
        </w:rPr>
        <w:t>m is available for Phase 1</w:t>
      </w:r>
      <w:r w:rsidR="00346EAF">
        <w:rPr>
          <w:sz w:val="22"/>
          <w:szCs w:val="22"/>
        </w:rPr>
        <w:t xml:space="preserve">. </w:t>
      </w:r>
      <w:r w:rsidR="00E405C9" w:rsidRPr="0065260C">
        <w:rPr>
          <w:sz w:val="22"/>
          <w:szCs w:val="22"/>
        </w:rPr>
        <w:t xml:space="preserve">This will avoid having to scale down </w:t>
      </w:r>
      <w:r w:rsidR="00346EAF">
        <w:rPr>
          <w:sz w:val="22"/>
          <w:szCs w:val="22"/>
        </w:rPr>
        <w:t xml:space="preserve">Phase 1 </w:t>
      </w:r>
      <w:r w:rsidR="00E405C9" w:rsidRPr="0065260C">
        <w:rPr>
          <w:sz w:val="22"/>
          <w:szCs w:val="22"/>
        </w:rPr>
        <w:t>implementation in years 4 and 5</w:t>
      </w:r>
      <w:r w:rsidR="00346EAF">
        <w:rPr>
          <w:sz w:val="22"/>
          <w:szCs w:val="22"/>
        </w:rPr>
        <w:t xml:space="preserve">. It will </w:t>
      </w:r>
      <w:r w:rsidR="00E405C9" w:rsidRPr="0065260C">
        <w:rPr>
          <w:sz w:val="22"/>
          <w:szCs w:val="22"/>
        </w:rPr>
        <w:t>also support the consolidation of investments to date</w:t>
      </w:r>
      <w:r w:rsidR="00814D3B">
        <w:rPr>
          <w:sz w:val="22"/>
          <w:szCs w:val="22"/>
        </w:rPr>
        <w:t xml:space="preserve">, </w:t>
      </w:r>
      <w:r w:rsidR="00E405C9" w:rsidRPr="0065260C">
        <w:rPr>
          <w:sz w:val="22"/>
          <w:szCs w:val="22"/>
        </w:rPr>
        <w:t xml:space="preserve">particularly those related to literacy </w:t>
      </w:r>
      <w:r w:rsidR="00814D3B">
        <w:rPr>
          <w:sz w:val="22"/>
          <w:szCs w:val="22"/>
        </w:rPr>
        <w:t xml:space="preserve">training, </w:t>
      </w:r>
      <w:r w:rsidR="00E405C9" w:rsidRPr="0065260C">
        <w:rPr>
          <w:sz w:val="22"/>
          <w:szCs w:val="22"/>
        </w:rPr>
        <w:t xml:space="preserve">which require ongoing investment to ensure </w:t>
      </w:r>
      <w:r w:rsidR="00814D3B">
        <w:rPr>
          <w:sz w:val="22"/>
          <w:szCs w:val="22"/>
        </w:rPr>
        <w:t xml:space="preserve">that </w:t>
      </w:r>
      <w:r w:rsidR="00E405C9" w:rsidRPr="0065260C">
        <w:rPr>
          <w:sz w:val="22"/>
          <w:szCs w:val="22"/>
        </w:rPr>
        <w:t xml:space="preserve">teaching practices change in the short term and </w:t>
      </w:r>
      <w:r w:rsidR="00CD2C22">
        <w:rPr>
          <w:sz w:val="22"/>
          <w:szCs w:val="22"/>
        </w:rPr>
        <w:t xml:space="preserve">maximise the chance that student learning will improve in the medium and longer term. </w:t>
      </w:r>
    </w:p>
    <w:p w14:paraId="1027DAD5" w14:textId="2D81224B" w:rsidR="004C190C" w:rsidRPr="004C190C" w:rsidRDefault="004C190C" w:rsidP="00166C9F">
      <w:pPr>
        <w:rPr>
          <w:sz w:val="22"/>
          <w:szCs w:val="22"/>
          <w:u w:val="single"/>
        </w:rPr>
      </w:pPr>
      <w:r w:rsidRPr="004C190C">
        <w:rPr>
          <w:sz w:val="22"/>
          <w:szCs w:val="22"/>
          <w:u w:val="single"/>
        </w:rPr>
        <w:t>Guiding principles</w:t>
      </w:r>
      <w:r w:rsidR="00A52E0F">
        <w:rPr>
          <w:sz w:val="22"/>
          <w:szCs w:val="22"/>
          <w:u w:val="single"/>
        </w:rPr>
        <w:t xml:space="preserve"> / ways of working</w:t>
      </w:r>
      <w:r w:rsidR="007A1045">
        <w:rPr>
          <w:sz w:val="22"/>
          <w:szCs w:val="22"/>
          <w:u w:val="single"/>
        </w:rPr>
        <w:t>.</w:t>
      </w:r>
    </w:p>
    <w:p w14:paraId="18C016A0" w14:textId="48F0C443" w:rsidR="00166C9F" w:rsidRDefault="00A52E0F" w:rsidP="00166C9F">
      <w:pPr>
        <w:rPr>
          <w:sz w:val="22"/>
          <w:szCs w:val="22"/>
        </w:rPr>
      </w:pPr>
      <w:r>
        <w:rPr>
          <w:sz w:val="22"/>
          <w:szCs w:val="22"/>
        </w:rPr>
        <w:t xml:space="preserve">The </w:t>
      </w:r>
      <w:r w:rsidRPr="00A52E0F">
        <w:rPr>
          <w:sz w:val="22"/>
          <w:szCs w:val="22"/>
        </w:rPr>
        <w:t>PEA</w:t>
      </w:r>
      <w:r w:rsidR="00043B23">
        <w:rPr>
          <w:sz w:val="22"/>
          <w:szCs w:val="22"/>
        </w:rPr>
        <w:t xml:space="preserve"> (p.31)</w:t>
      </w:r>
      <w:r w:rsidRPr="00A52E0F">
        <w:rPr>
          <w:sz w:val="22"/>
          <w:szCs w:val="22"/>
        </w:rPr>
        <w:t xml:space="preserve"> propos</w:t>
      </w:r>
      <w:r>
        <w:rPr>
          <w:sz w:val="22"/>
          <w:szCs w:val="22"/>
        </w:rPr>
        <w:t xml:space="preserve">es </w:t>
      </w:r>
      <w:r w:rsidR="00043B23">
        <w:rPr>
          <w:sz w:val="22"/>
          <w:szCs w:val="22"/>
        </w:rPr>
        <w:t xml:space="preserve">a </w:t>
      </w:r>
      <w:r w:rsidRPr="00A52E0F">
        <w:rPr>
          <w:sz w:val="22"/>
          <w:szCs w:val="22"/>
        </w:rPr>
        <w:t>set of ‘principles of practice’</w:t>
      </w:r>
      <w:r w:rsidR="00FD73E6">
        <w:rPr>
          <w:sz w:val="22"/>
          <w:szCs w:val="22"/>
        </w:rPr>
        <w:t xml:space="preserve">. </w:t>
      </w:r>
      <w:r w:rsidR="00556F96">
        <w:rPr>
          <w:sz w:val="22"/>
          <w:szCs w:val="22"/>
        </w:rPr>
        <w:t xml:space="preserve">As it has worked through a range of issues related to security and safety in relation </w:t>
      </w:r>
      <w:r w:rsidR="009724B2">
        <w:rPr>
          <w:sz w:val="22"/>
          <w:szCs w:val="22"/>
        </w:rPr>
        <w:t xml:space="preserve">to </w:t>
      </w:r>
      <w:r w:rsidR="00556F96">
        <w:rPr>
          <w:sz w:val="22"/>
          <w:szCs w:val="22"/>
        </w:rPr>
        <w:t>Enga</w:t>
      </w:r>
      <w:r w:rsidR="00DA73CD">
        <w:rPr>
          <w:sz w:val="22"/>
          <w:szCs w:val="22"/>
        </w:rPr>
        <w:t>, seeking to test and prove what works</w:t>
      </w:r>
      <w:r w:rsidR="000D7CE6">
        <w:rPr>
          <w:sz w:val="22"/>
          <w:szCs w:val="22"/>
        </w:rPr>
        <w:t xml:space="preserve">, desire for equitable opportunity, </w:t>
      </w:r>
      <w:r w:rsidR="00246DC9">
        <w:rPr>
          <w:sz w:val="22"/>
          <w:szCs w:val="22"/>
        </w:rPr>
        <w:t>building capacity and promoting sustainability</w:t>
      </w:r>
      <w:r w:rsidR="00790C1E">
        <w:rPr>
          <w:sz w:val="22"/>
          <w:szCs w:val="22"/>
        </w:rPr>
        <w:t>,</w:t>
      </w:r>
      <w:r w:rsidR="00246DC9">
        <w:rPr>
          <w:sz w:val="22"/>
          <w:szCs w:val="22"/>
        </w:rPr>
        <w:t xml:space="preserve"> </w:t>
      </w:r>
      <w:r w:rsidR="00C82A94">
        <w:rPr>
          <w:sz w:val="22"/>
          <w:szCs w:val="22"/>
        </w:rPr>
        <w:t xml:space="preserve">the Program has made decisions about adapting to </w:t>
      </w:r>
      <w:r w:rsidR="001C5D63">
        <w:rPr>
          <w:sz w:val="22"/>
          <w:szCs w:val="22"/>
        </w:rPr>
        <w:t xml:space="preserve">changing circumstances. </w:t>
      </w:r>
      <w:r w:rsidR="00604285">
        <w:rPr>
          <w:sz w:val="22"/>
          <w:szCs w:val="22"/>
        </w:rPr>
        <w:t>There</w:t>
      </w:r>
      <w:r w:rsidR="001C5D63">
        <w:rPr>
          <w:sz w:val="22"/>
          <w:szCs w:val="22"/>
        </w:rPr>
        <w:t xml:space="preserve"> may be value in the Program reflecting </w:t>
      </w:r>
      <w:r w:rsidR="009F1AAE">
        <w:rPr>
          <w:sz w:val="22"/>
          <w:szCs w:val="22"/>
        </w:rPr>
        <w:t xml:space="preserve">on </w:t>
      </w:r>
      <w:r w:rsidR="004C7127">
        <w:rPr>
          <w:sz w:val="22"/>
          <w:szCs w:val="22"/>
        </w:rPr>
        <w:t>the ‘best way</w:t>
      </w:r>
      <w:r w:rsidR="006E3E77">
        <w:rPr>
          <w:sz w:val="22"/>
          <w:szCs w:val="22"/>
        </w:rPr>
        <w:t>s</w:t>
      </w:r>
      <w:r w:rsidR="004C7127">
        <w:rPr>
          <w:sz w:val="22"/>
          <w:szCs w:val="22"/>
        </w:rPr>
        <w:t xml:space="preserve"> of working’</w:t>
      </w:r>
      <w:r w:rsidR="009F1AAE">
        <w:rPr>
          <w:sz w:val="22"/>
          <w:szCs w:val="22"/>
        </w:rPr>
        <w:t xml:space="preserve"> </w:t>
      </w:r>
      <w:r w:rsidR="007C029B">
        <w:rPr>
          <w:sz w:val="22"/>
          <w:szCs w:val="22"/>
        </w:rPr>
        <w:t xml:space="preserve">to </w:t>
      </w:r>
      <w:r w:rsidR="009F1AAE">
        <w:rPr>
          <w:sz w:val="22"/>
          <w:szCs w:val="22"/>
        </w:rPr>
        <w:t xml:space="preserve">build on </w:t>
      </w:r>
      <w:r w:rsidR="006E3E77">
        <w:rPr>
          <w:sz w:val="22"/>
          <w:szCs w:val="22"/>
        </w:rPr>
        <w:t>progress</w:t>
      </w:r>
      <w:r w:rsidR="007C029B">
        <w:rPr>
          <w:sz w:val="22"/>
          <w:szCs w:val="22"/>
        </w:rPr>
        <w:t xml:space="preserve"> to date</w:t>
      </w:r>
      <w:r w:rsidR="00E429C6">
        <w:rPr>
          <w:sz w:val="22"/>
          <w:szCs w:val="22"/>
        </w:rPr>
        <w:t xml:space="preserve"> and guide future planning and investments</w:t>
      </w:r>
      <w:r w:rsidR="00604285">
        <w:rPr>
          <w:sz w:val="22"/>
          <w:szCs w:val="22"/>
        </w:rPr>
        <w:t>. For example:</w:t>
      </w:r>
    </w:p>
    <w:p w14:paraId="1C30C993" w14:textId="0717DBE5" w:rsidR="00166C9F" w:rsidRDefault="00166C9F" w:rsidP="002333AF">
      <w:pPr>
        <w:pStyle w:val="ListParagraph"/>
        <w:numPr>
          <w:ilvl w:val="0"/>
          <w:numId w:val="3"/>
        </w:numPr>
        <w:rPr>
          <w:sz w:val="22"/>
          <w:szCs w:val="22"/>
        </w:rPr>
      </w:pPr>
      <w:r>
        <w:rPr>
          <w:sz w:val="22"/>
          <w:szCs w:val="22"/>
        </w:rPr>
        <w:t xml:space="preserve">Focus on proving what works rather than ensuring equal opportunity for </w:t>
      </w:r>
      <w:r w:rsidR="00692867">
        <w:rPr>
          <w:sz w:val="22"/>
          <w:szCs w:val="22"/>
        </w:rPr>
        <w:t>all.</w:t>
      </w:r>
    </w:p>
    <w:p w14:paraId="022E7822" w14:textId="06F00967" w:rsidR="0003175D" w:rsidRDefault="00A5385E" w:rsidP="002333AF">
      <w:pPr>
        <w:pStyle w:val="ListParagraph"/>
        <w:numPr>
          <w:ilvl w:val="0"/>
          <w:numId w:val="3"/>
        </w:numPr>
        <w:rPr>
          <w:sz w:val="22"/>
          <w:szCs w:val="22"/>
        </w:rPr>
      </w:pPr>
      <w:r>
        <w:rPr>
          <w:sz w:val="22"/>
          <w:szCs w:val="22"/>
        </w:rPr>
        <w:t xml:space="preserve">Work to build understanding and </w:t>
      </w:r>
      <w:r w:rsidR="008200B6">
        <w:rPr>
          <w:sz w:val="22"/>
          <w:szCs w:val="22"/>
        </w:rPr>
        <w:t xml:space="preserve">ownership by </w:t>
      </w:r>
      <w:r w:rsidR="00692867">
        <w:rPr>
          <w:sz w:val="22"/>
          <w:szCs w:val="22"/>
        </w:rPr>
        <w:t>PNG.</w:t>
      </w:r>
    </w:p>
    <w:p w14:paraId="16B1D0E4" w14:textId="4358F713" w:rsidR="00166C9F" w:rsidRDefault="00166C9F" w:rsidP="002333AF">
      <w:pPr>
        <w:pStyle w:val="ListParagraph"/>
        <w:numPr>
          <w:ilvl w:val="0"/>
          <w:numId w:val="3"/>
        </w:numPr>
        <w:rPr>
          <w:sz w:val="22"/>
          <w:szCs w:val="22"/>
        </w:rPr>
      </w:pPr>
      <w:r>
        <w:rPr>
          <w:sz w:val="22"/>
          <w:szCs w:val="22"/>
        </w:rPr>
        <w:t>Minimise risk</w:t>
      </w:r>
      <w:r w:rsidR="00EB5803">
        <w:rPr>
          <w:sz w:val="22"/>
          <w:szCs w:val="22"/>
        </w:rPr>
        <w:t xml:space="preserve"> – </w:t>
      </w:r>
      <w:r>
        <w:rPr>
          <w:sz w:val="22"/>
          <w:szCs w:val="22"/>
        </w:rPr>
        <w:t xml:space="preserve">for personnel </w:t>
      </w:r>
      <w:r w:rsidR="00EB5803">
        <w:rPr>
          <w:sz w:val="22"/>
          <w:szCs w:val="22"/>
        </w:rPr>
        <w:t>safety</w:t>
      </w:r>
      <w:r w:rsidR="003D2C3F">
        <w:rPr>
          <w:sz w:val="22"/>
          <w:szCs w:val="22"/>
        </w:rPr>
        <w:t>;</w:t>
      </w:r>
      <w:r w:rsidR="00EB5803">
        <w:rPr>
          <w:sz w:val="22"/>
          <w:szCs w:val="22"/>
        </w:rPr>
        <w:t xml:space="preserve"> </w:t>
      </w:r>
      <w:r>
        <w:rPr>
          <w:sz w:val="22"/>
          <w:szCs w:val="22"/>
        </w:rPr>
        <w:t xml:space="preserve">and </w:t>
      </w:r>
      <w:r w:rsidR="003D2C3F">
        <w:rPr>
          <w:sz w:val="22"/>
          <w:szCs w:val="22"/>
        </w:rPr>
        <w:t xml:space="preserve">to the achievement of </w:t>
      </w:r>
      <w:r>
        <w:rPr>
          <w:sz w:val="22"/>
          <w:szCs w:val="22"/>
        </w:rPr>
        <w:t xml:space="preserve">program </w:t>
      </w:r>
      <w:r w:rsidR="00692867">
        <w:rPr>
          <w:sz w:val="22"/>
          <w:szCs w:val="22"/>
        </w:rPr>
        <w:t>goals.</w:t>
      </w:r>
    </w:p>
    <w:p w14:paraId="0C0BDF9F" w14:textId="3CF8F46D" w:rsidR="00383E57" w:rsidRPr="00383E57" w:rsidRDefault="00383E57" w:rsidP="00383E57">
      <w:pPr>
        <w:pStyle w:val="ListParagraph"/>
        <w:numPr>
          <w:ilvl w:val="0"/>
          <w:numId w:val="3"/>
        </w:numPr>
        <w:rPr>
          <w:sz w:val="22"/>
          <w:szCs w:val="22"/>
        </w:rPr>
      </w:pPr>
      <w:r w:rsidRPr="00383E57">
        <w:rPr>
          <w:sz w:val="22"/>
          <w:szCs w:val="22"/>
        </w:rPr>
        <w:t xml:space="preserve">Continuous learning … reflect, </w:t>
      </w:r>
      <w:r w:rsidR="00A103F0" w:rsidRPr="00383E57">
        <w:rPr>
          <w:sz w:val="22"/>
          <w:szCs w:val="22"/>
        </w:rPr>
        <w:t>consolidate,</w:t>
      </w:r>
      <w:r w:rsidRPr="00383E57">
        <w:rPr>
          <w:sz w:val="22"/>
          <w:szCs w:val="22"/>
        </w:rPr>
        <w:t xml:space="preserve"> and learn some </w:t>
      </w:r>
      <w:r w:rsidR="00692867" w:rsidRPr="00383E57">
        <w:rPr>
          <w:sz w:val="22"/>
          <w:szCs w:val="22"/>
        </w:rPr>
        <w:t>more.</w:t>
      </w:r>
    </w:p>
    <w:p w14:paraId="4FF0CC5D" w14:textId="0A10B926" w:rsidR="004C00C5" w:rsidRDefault="00383E57" w:rsidP="002333AF">
      <w:pPr>
        <w:pStyle w:val="ListParagraph"/>
        <w:numPr>
          <w:ilvl w:val="0"/>
          <w:numId w:val="3"/>
        </w:numPr>
        <w:rPr>
          <w:sz w:val="22"/>
          <w:szCs w:val="22"/>
        </w:rPr>
      </w:pPr>
      <w:r>
        <w:rPr>
          <w:sz w:val="22"/>
          <w:szCs w:val="22"/>
        </w:rPr>
        <w:t xml:space="preserve">Apply a </w:t>
      </w:r>
      <w:r w:rsidR="00731D1B">
        <w:rPr>
          <w:sz w:val="22"/>
          <w:szCs w:val="22"/>
        </w:rPr>
        <w:t>strengths-based approach to</w:t>
      </w:r>
      <w:r w:rsidR="001C6279">
        <w:rPr>
          <w:sz w:val="22"/>
          <w:szCs w:val="22"/>
        </w:rPr>
        <w:t xml:space="preserve"> </w:t>
      </w:r>
      <w:r>
        <w:rPr>
          <w:sz w:val="22"/>
          <w:szCs w:val="22"/>
        </w:rPr>
        <w:t xml:space="preserve">all activities and </w:t>
      </w:r>
      <w:r w:rsidR="004C00C5">
        <w:rPr>
          <w:sz w:val="22"/>
          <w:szCs w:val="22"/>
        </w:rPr>
        <w:t xml:space="preserve">when interpreting data and </w:t>
      </w:r>
      <w:r w:rsidR="00692867">
        <w:rPr>
          <w:sz w:val="22"/>
          <w:szCs w:val="22"/>
        </w:rPr>
        <w:t>reports.</w:t>
      </w:r>
    </w:p>
    <w:p w14:paraId="323F73AE" w14:textId="32FCF649" w:rsidR="00605C16" w:rsidRDefault="00605C16" w:rsidP="00A32740">
      <w:pPr>
        <w:keepNext/>
        <w:rPr>
          <w:sz w:val="22"/>
          <w:szCs w:val="22"/>
          <w:u w:val="single"/>
        </w:rPr>
      </w:pPr>
      <w:r>
        <w:rPr>
          <w:sz w:val="22"/>
          <w:szCs w:val="22"/>
          <w:u w:val="single"/>
        </w:rPr>
        <w:t>Strategic oversight and guidance</w:t>
      </w:r>
      <w:r w:rsidR="007A1045">
        <w:rPr>
          <w:sz w:val="22"/>
          <w:szCs w:val="22"/>
          <w:u w:val="single"/>
        </w:rPr>
        <w:t>.</w:t>
      </w:r>
    </w:p>
    <w:p w14:paraId="4745A475" w14:textId="4E8FA7E4" w:rsidR="00605C16" w:rsidRDefault="00605C16" w:rsidP="00605C16">
      <w:pPr>
        <w:rPr>
          <w:sz w:val="22"/>
          <w:szCs w:val="22"/>
        </w:rPr>
      </w:pPr>
      <w:r>
        <w:rPr>
          <w:sz w:val="22"/>
          <w:szCs w:val="22"/>
        </w:rPr>
        <w:t>Introduce a</w:t>
      </w:r>
      <w:r w:rsidRPr="00306DC8">
        <w:rPr>
          <w:sz w:val="22"/>
          <w:szCs w:val="22"/>
        </w:rPr>
        <w:t xml:space="preserve"> regular external strategic monitoring and advisory function (as initially proposed</w:t>
      </w:r>
      <w:r w:rsidR="004129C3">
        <w:rPr>
          <w:sz w:val="22"/>
          <w:szCs w:val="22"/>
        </w:rPr>
        <w:t xml:space="preserve"> in the IDD</w:t>
      </w:r>
      <w:r w:rsidRPr="00306DC8">
        <w:rPr>
          <w:sz w:val="22"/>
          <w:szCs w:val="22"/>
        </w:rPr>
        <w:t>)</w:t>
      </w:r>
      <w:r>
        <w:rPr>
          <w:sz w:val="22"/>
          <w:szCs w:val="22"/>
        </w:rPr>
        <w:t xml:space="preserve">, along with </w:t>
      </w:r>
      <w:r w:rsidRPr="00306DC8">
        <w:rPr>
          <w:sz w:val="22"/>
          <w:szCs w:val="22"/>
        </w:rPr>
        <w:t xml:space="preserve">more systematic engagement of DFAT / AHC personnel in key review / reflection </w:t>
      </w:r>
      <w:r w:rsidR="00692867" w:rsidRPr="00306DC8">
        <w:rPr>
          <w:sz w:val="22"/>
          <w:szCs w:val="22"/>
        </w:rPr>
        <w:t>activities.</w:t>
      </w:r>
      <w:r w:rsidR="0083132C">
        <w:rPr>
          <w:sz w:val="22"/>
          <w:szCs w:val="22"/>
        </w:rPr>
        <w:t xml:space="preserve"> </w:t>
      </w:r>
      <w:r w:rsidR="000A594C">
        <w:rPr>
          <w:sz w:val="22"/>
          <w:szCs w:val="22"/>
        </w:rPr>
        <w:t>Such a function might</w:t>
      </w:r>
      <w:r w:rsidR="004D6459">
        <w:rPr>
          <w:sz w:val="22"/>
          <w:szCs w:val="22"/>
        </w:rPr>
        <w:t xml:space="preserve"> have been used to reflect on the </w:t>
      </w:r>
      <w:r w:rsidR="00C94181">
        <w:rPr>
          <w:sz w:val="22"/>
          <w:szCs w:val="22"/>
        </w:rPr>
        <w:t xml:space="preserve">plan to </w:t>
      </w:r>
      <w:r w:rsidR="00677EA7">
        <w:rPr>
          <w:sz w:val="22"/>
          <w:szCs w:val="22"/>
        </w:rPr>
        <w:t>switch</w:t>
      </w:r>
      <w:r w:rsidR="00A84613">
        <w:rPr>
          <w:sz w:val="22"/>
          <w:szCs w:val="22"/>
        </w:rPr>
        <w:t>,</w:t>
      </w:r>
      <w:r w:rsidR="00677EA7">
        <w:rPr>
          <w:sz w:val="22"/>
          <w:szCs w:val="22"/>
        </w:rPr>
        <w:t xml:space="preserve"> in Year 2</w:t>
      </w:r>
      <w:r w:rsidR="00A84613">
        <w:rPr>
          <w:sz w:val="22"/>
          <w:szCs w:val="22"/>
        </w:rPr>
        <w:t>,</w:t>
      </w:r>
      <w:r w:rsidR="00677EA7">
        <w:rPr>
          <w:sz w:val="22"/>
          <w:szCs w:val="22"/>
        </w:rPr>
        <w:t xml:space="preserve"> to mathematics training</w:t>
      </w:r>
      <w:r w:rsidR="00934BB5">
        <w:rPr>
          <w:sz w:val="22"/>
          <w:szCs w:val="22"/>
        </w:rPr>
        <w:t xml:space="preserve"> </w:t>
      </w:r>
      <w:r w:rsidR="00EC3F9E">
        <w:rPr>
          <w:sz w:val="22"/>
          <w:szCs w:val="22"/>
        </w:rPr>
        <w:t>in each province rather than consolidating or extending literacy training</w:t>
      </w:r>
      <w:r w:rsidR="00DE69F8">
        <w:rPr>
          <w:sz w:val="22"/>
          <w:szCs w:val="22"/>
        </w:rPr>
        <w:t xml:space="preserve"> in some (or all) provinces</w:t>
      </w:r>
      <w:r w:rsidR="000A5BAD">
        <w:rPr>
          <w:sz w:val="22"/>
          <w:szCs w:val="22"/>
        </w:rPr>
        <w:t xml:space="preserve">. </w:t>
      </w:r>
      <w:r w:rsidR="004D6459">
        <w:rPr>
          <w:sz w:val="22"/>
          <w:szCs w:val="22"/>
        </w:rPr>
        <w:t xml:space="preserve"> </w:t>
      </w:r>
    </w:p>
    <w:p w14:paraId="38A5EA5A" w14:textId="700718A9" w:rsidR="008E02B5" w:rsidRPr="00306DC8" w:rsidRDefault="008E02B5" w:rsidP="00605C16">
      <w:pPr>
        <w:rPr>
          <w:sz w:val="22"/>
          <w:szCs w:val="22"/>
        </w:rPr>
      </w:pPr>
      <w:r>
        <w:rPr>
          <w:sz w:val="22"/>
          <w:szCs w:val="22"/>
        </w:rPr>
        <w:t>Develop a high-level long</w:t>
      </w:r>
      <w:r w:rsidR="000131C6">
        <w:rPr>
          <w:sz w:val="22"/>
          <w:szCs w:val="22"/>
        </w:rPr>
        <w:t>er-term</w:t>
      </w:r>
      <w:r w:rsidR="00691908">
        <w:rPr>
          <w:sz w:val="22"/>
          <w:szCs w:val="22"/>
        </w:rPr>
        <w:t xml:space="preserve"> </w:t>
      </w:r>
      <w:r w:rsidR="00691908" w:rsidRPr="00691908">
        <w:rPr>
          <w:sz w:val="22"/>
          <w:szCs w:val="22"/>
        </w:rPr>
        <w:t xml:space="preserve">vision </w:t>
      </w:r>
      <w:r w:rsidR="00691908">
        <w:rPr>
          <w:sz w:val="22"/>
          <w:szCs w:val="22"/>
        </w:rPr>
        <w:t>for</w:t>
      </w:r>
      <w:r w:rsidR="00691908" w:rsidRPr="00691908">
        <w:rPr>
          <w:sz w:val="22"/>
          <w:szCs w:val="22"/>
        </w:rPr>
        <w:t xml:space="preserve"> learning improvement in PNG</w:t>
      </w:r>
      <w:r w:rsidR="00691908">
        <w:rPr>
          <w:sz w:val="22"/>
          <w:szCs w:val="22"/>
        </w:rPr>
        <w:t xml:space="preserve"> to guide </w:t>
      </w:r>
      <w:r w:rsidR="00691908" w:rsidRPr="00691908">
        <w:rPr>
          <w:sz w:val="22"/>
          <w:szCs w:val="22"/>
        </w:rPr>
        <w:t>reflection on program planning and activities, engagement with partners</w:t>
      </w:r>
      <w:r w:rsidR="004F69B1">
        <w:rPr>
          <w:sz w:val="22"/>
          <w:szCs w:val="22"/>
        </w:rPr>
        <w:t xml:space="preserve"> and future </w:t>
      </w:r>
      <w:r w:rsidR="00692867">
        <w:rPr>
          <w:sz w:val="22"/>
          <w:szCs w:val="22"/>
        </w:rPr>
        <w:t>planning.</w:t>
      </w:r>
    </w:p>
    <w:p w14:paraId="704D60A0" w14:textId="0021FD3E" w:rsidR="00605C16" w:rsidRPr="001D5F7A" w:rsidRDefault="00F6306B" w:rsidP="00EA7D1A">
      <w:pPr>
        <w:keepNext/>
        <w:rPr>
          <w:sz w:val="22"/>
          <w:szCs w:val="22"/>
          <w:u w:val="single"/>
        </w:rPr>
      </w:pPr>
      <w:r w:rsidRPr="001D5F7A">
        <w:rPr>
          <w:sz w:val="22"/>
          <w:szCs w:val="22"/>
          <w:u w:val="single"/>
        </w:rPr>
        <w:t>Program</w:t>
      </w:r>
      <w:r w:rsidR="00F23156">
        <w:rPr>
          <w:sz w:val="22"/>
          <w:szCs w:val="22"/>
          <w:u w:val="single"/>
        </w:rPr>
        <w:t xml:space="preserve"> </w:t>
      </w:r>
      <w:r w:rsidR="00757574">
        <w:rPr>
          <w:sz w:val="22"/>
          <w:szCs w:val="22"/>
          <w:u w:val="single"/>
        </w:rPr>
        <w:t xml:space="preserve">activity </w:t>
      </w:r>
      <w:r w:rsidRPr="001D5F7A">
        <w:rPr>
          <w:sz w:val="22"/>
          <w:szCs w:val="22"/>
          <w:u w:val="single"/>
        </w:rPr>
        <w:t>stock-</w:t>
      </w:r>
      <w:r w:rsidR="00692867" w:rsidRPr="001D5F7A">
        <w:rPr>
          <w:sz w:val="22"/>
          <w:szCs w:val="22"/>
          <w:u w:val="single"/>
        </w:rPr>
        <w:t>take</w:t>
      </w:r>
      <w:r w:rsidR="00954E14">
        <w:rPr>
          <w:sz w:val="22"/>
          <w:szCs w:val="22"/>
          <w:u w:val="single"/>
        </w:rPr>
        <w:t xml:space="preserve"> </w:t>
      </w:r>
      <w:r w:rsidR="00757574">
        <w:rPr>
          <w:sz w:val="22"/>
          <w:szCs w:val="22"/>
          <w:u w:val="single"/>
        </w:rPr>
        <w:t>(</w:t>
      </w:r>
      <w:r w:rsidR="00954E14">
        <w:rPr>
          <w:sz w:val="22"/>
          <w:szCs w:val="22"/>
          <w:u w:val="single"/>
        </w:rPr>
        <w:t xml:space="preserve">and </w:t>
      </w:r>
      <w:r w:rsidR="00230E26">
        <w:rPr>
          <w:sz w:val="22"/>
          <w:szCs w:val="22"/>
          <w:u w:val="single"/>
        </w:rPr>
        <w:t>adjustment</w:t>
      </w:r>
      <w:r w:rsidR="00757574">
        <w:rPr>
          <w:sz w:val="22"/>
          <w:szCs w:val="22"/>
          <w:u w:val="single"/>
        </w:rPr>
        <w:t>)</w:t>
      </w:r>
      <w:r w:rsidR="007A1045">
        <w:rPr>
          <w:sz w:val="22"/>
          <w:szCs w:val="22"/>
          <w:u w:val="single"/>
        </w:rPr>
        <w:t>.</w:t>
      </w:r>
    </w:p>
    <w:p w14:paraId="3A5EB1B9" w14:textId="49282055" w:rsidR="00F6306B" w:rsidRDefault="001D5F7A" w:rsidP="004C190C">
      <w:pPr>
        <w:rPr>
          <w:sz w:val="22"/>
          <w:szCs w:val="22"/>
        </w:rPr>
      </w:pPr>
      <w:r>
        <w:rPr>
          <w:sz w:val="22"/>
          <w:szCs w:val="22"/>
        </w:rPr>
        <w:t>Taking account of the progress to date</w:t>
      </w:r>
      <w:r w:rsidR="00394264">
        <w:rPr>
          <w:sz w:val="22"/>
          <w:szCs w:val="22"/>
        </w:rPr>
        <w:t xml:space="preserve"> and </w:t>
      </w:r>
      <w:r>
        <w:rPr>
          <w:sz w:val="22"/>
          <w:szCs w:val="22"/>
        </w:rPr>
        <w:t xml:space="preserve">current </w:t>
      </w:r>
      <w:r w:rsidR="00394264">
        <w:rPr>
          <w:sz w:val="22"/>
          <w:szCs w:val="22"/>
        </w:rPr>
        <w:t xml:space="preserve">program </w:t>
      </w:r>
      <w:r w:rsidR="007E397D">
        <w:rPr>
          <w:sz w:val="22"/>
          <w:szCs w:val="22"/>
        </w:rPr>
        <w:t xml:space="preserve">successes and </w:t>
      </w:r>
      <w:r w:rsidR="00394264">
        <w:rPr>
          <w:sz w:val="22"/>
          <w:szCs w:val="22"/>
        </w:rPr>
        <w:t>challenges</w:t>
      </w:r>
      <w:r w:rsidR="006162A5">
        <w:rPr>
          <w:sz w:val="22"/>
          <w:szCs w:val="22"/>
        </w:rPr>
        <w:t>,</w:t>
      </w:r>
      <w:r w:rsidR="00394264">
        <w:rPr>
          <w:sz w:val="22"/>
          <w:szCs w:val="22"/>
        </w:rPr>
        <w:t xml:space="preserve"> undertake a program </w:t>
      </w:r>
      <w:r w:rsidR="00984670">
        <w:rPr>
          <w:sz w:val="22"/>
          <w:szCs w:val="22"/>
        </w:rPr>
        <w:t xml:space="preserve">activity </w:t>
      </w:r>
      <w:r w:rsidR="00394264">
        <w:rPr>
          <w:sz w:val="22"/>
          <w:szCs w:val="22"/>
        </w:rPr>
        <w:t>stock-take</w:t>
      </w:r>
      <w:r w:rsidR="00230E26">
        <w:rPr>
          <w:sz w:val="22"/>
          <w:szCs w:val="22"/>
        </w:rPr>
        <w:t xml:space="preserve"> to decide on </w:t>
      </w:r>
      <w:r w:rsidR="006C3AB0">
        <w:rPr>
          <w:sz w:val="22"/>
          <w:szCs w:val="22"/>
        </w:rPr>
        <w:t>appropriate</w:t>
      </w:r>
      <w:r w:rsidR="006162A5">
        <w:rPr>
          <w:sz w:val="22"/>
          <w:szCs w:val="22"/>
        </w:rPr>
        <w:t xml:space="preserve"> </w:t>
      </w:r>
      <w:r w:rsidR="00230E26">
        <w:rPr>
          <w:sz w:val="22"/>
          <w:szCs w:val="22"/>
        </w:rPr>
        <w:t>adjustments to program activities</w:t>
      </w:r>
      <w:r w:rsidR="00785ACF">
        <w:rPr>
          <w:sz w:val="22"/>
          <w:szCs w:val="22"/>
        </w:rPr>
        <w:t xml:space="preserve"> to improve effectiveness, efficiency</w:t>
      </w:r>
      <w:r w:rsidR="00B7012F">
        <w:rPr>
          <w:sz w:val="22"/>
          <w:szCs w:val="22"/>
        </w:rPr>
        <w:t>,</w:t>
      </w:r>
      <w:r w:rsidR="00785ACF">
        <w:rPr>
          <w:sz w:val="22"/>
          <w:szCs w:val="22"/>
        </w:rPr>
        <w:t xml:space="preserve"> and sustainability</w:t>
      </w:r>
      <w:r w:rsidR="0035412C">
        <w:rPr>
          <w:sz w:val="22"/>
          <w:szCs w:val="22"/>
        </w:rPr>
        <w:t xml:space="preserve">. This </w:t>
      </w:r>
      <w:r w:rsidR="00B7012F">
        <w:rPr>
          <w:sz w:val="22"/>
          <w:szCs w:val="22"/>
        </w:rPr>
        <w:t>might include</w:t>
      </w:r>
      <w:r w:rsidR="00B90F6E">
        <w:rPr>
          <w:sz w:val="22"/>
          <w:szCs w:val="22"/>
        </w:rPr>
        <w:t xml:space="preserve"> (but not</w:t>
      </w:r>
      <w:r w:rsidR="00B7012F">
        <w:rPr>
          <w:sz w:val="22"/>
          <w:szCs w:val="22"/>
        </w:rPr>
        <w:t xml:space="preserve"> be</w:t>
      </w:r>
      <w:r w:rsidR="00B90F6E">
        <w:rPr>
          <w:sz w:val="22"/>
          <w:szCs w:val="22"/>
        </w:rPr>
        <w:t xml:space="preserve"> limited to):</w:t>
      </w:r>
    </w:p>
    <w:p w14:paraId="3E663DFB" w14:textId="76148E19" w:rsidR="00B90F6E" w:rsidRDefault="00230E26" w:rsidP="00B90F6E">
      <w:pPr>
        <w:pStyle w:val="ListParagraph"/>
        <w:numPr>
          <w:ilvl w:val="0"/>
          <w:numId w:val="15"/>
        </w:numPr>
        <w:rPr>
          <w:sz w:val="22"/>
          <w:szCs w:val="22"/>
        </w:rPr>
      </w:pPr>
      <w:r>
        <w:rPr>
          <w:sz w:val="22"/>
          <w:szCs w:val="22"/>
        </w:rPr>
        <w:t>review</w:t>
      </w:r>
      <w:r w:rsidR="00B7012F">
        <w:rPr>
          <w:sz w:val="22"/>
          <w:szCs w:val="22"/>
        </w:rPr>
        <w:t>ing</w:t>
      </w:r>
      <w:r>
        <w:rPr>
          <w:sz w:val="22"/>
          <w:szCs w:val="22"/>
        </w:rPr>
        <w:t xml:space="preserve"> the relevance and value of Program</w:t>
      </w:r>
      <w:r w:rsidR="00B90F6E">
        <w:rPr>
          <w:sz w:val="22"/>
          <w:szCs w:val="22"/>
        </w:rPr>
        <w:t xml:space="preserve"> IOs </w:t>
      </w:r>
      <w:r>
        <w:rPr>
          <w:sz w:val="22"/>
          <w:szCs w:val="22"/>
        </w:rPr>
        <w:t xml:space="preserve">and consider </w:t>
      </w:r>
      <w:r w:rsidR="00E31EAE">
        <w:rPr>
          <w:sz w:val="22"/>
          <w:szCs w:val="22"/>
        </w:rPr>
        <w:t>streamlin</w:t>
      </w:r>
      <w:r w:rsidR="003B303B">
        <w:rPr>
          <w:sz w:val="22"/>
          <w:szCs w:val="22"/>
        </w:rPr>
        <w:t>in</w:t>
      </w:r>
      <w:r w:rsidR="00E31EAE">
        <w:rPr>
          <w:sz w:val="22"/>
          <w:szCs w:val="22"/>
        </w:rPr>
        <w:t>g,</w:t>
      </w:r>
      <w:r w:rsidR="00B90F6E">
        <w:rPr>
          <w:sz w:val="22"/>
          <w:szCs w:val="22"/>
        </w:rPr>
        <w:t xml:space="preserve"> add</w:t>
      </w:r>
      <w:r>
        <w:rPr>
          <w:sz w:val="22"/>
          <w:szCs w:val="22"/>
        </w:rPr>
        <w:t>ing or amending the current set</w:t>
      </w:r>
    </w:p>
    <w:p w14:paraId="563859F0" w14:textId="39FA0F42" w:rsidR="00EF6B21" w:rsidRPr="0065260C" w:rsidRDefault="00230E26" w:rsidP="00DF145D">
      <w:pPr>
        <w:pStyle w:val="ListParagraph"/>
        <w:numPr>
          <w:ilvl w:val="0"/>
          <w:numId w:val="15"/>
        </w:numPr>
        <w:rPr>
          <w:sz w:val="22"/>
          <w:szCs w:val="22"/>
        </w:rPr>
      </w:pPr>
      <w:r>
        <w:rPr>
          <w:sz w:val="22"/>
          <w:szCs w:val="22"/>
        </w:rPr>
        <w:t>tak</w:t>
      </w:r>
      <w:r w:rsidR="00B7012F">
        <w:rPr>
          <w:sz w:val="22"/>
          <w:szCs w:val="22"/>
        </w:rPr>
        <w:t xml:space="preserve">ing </w:t>
      </w:r>
      <w:r>
        <w:rPr>
          <w:sz w:val="22"/>
          <w:szCs w:val="22"/>
        </w:rPr>
        <w:t xml:space="preserve">stock of the current </w:t>
      </w:r>
      <w:r w:rsidR="005476E5">
        <w:rPr>
          <w:sz w:val="22"/>
          <w:szCs w:val="22"/>
        </w:rPr>
        <w:t xml:space="preserve">set of activities and consider </w:t>
      </w:r>
      <w:r w:rsidR="00C71518">
        <w:rPr>
          <w:sz w:val="22"/>
          <w:szCs w:val="22"/>
        </w:rPr>
        <w:t>c</w:t>
      </w:r>
      <w:r w:rsidR="006F1F66">
        <w:rPr>
          <w:sz w:val="22"/>
          <w:szCs w:val="22"/>
        </w:rPr>
        <w:t>essation, adaptation</w:t>
      </w:r>
      <w:r w:rsidR="005476E5">
        <w:rPr>
          <w:sz w:val="22"/>
          <w:szCs w:val="22"/>
        </w:rPr>
        <w:t xml:space="preserve"> or </w:t>
      </w:r>
      <w:r w:rsidR="006F1F66">
        <w:rPr>
          <w:sz w:val="22"/>
          <w:szCs w:val="22"/>
        </w:rPr>
        <w:t xml:space="preserve">addition </w:t>
      </w:r>
      <w:r w:rsidR="005476E5">
        <w:rPr>
          <w:sz w:val="22"/>
          <w:szCs w:val="22"/>
        </w:rPr>
        <w:t xml:space="preserve">to </w:t>
      </w:r>
      <w:r w:rsidR="000F5E43">
        <w:rPr>
          <w:sz w:val="22"/>
          <w:szCs w:val="22"/>
        </w:rPr>
        <w:t>improve effectiveness and efficiency</w:t>
      </w:r>
    </w:p>
    <w:p w14:paraId="5979AB13" w14:textId="1B297AD4" w:rsidR="001B32C3" w:rsidRDefault="001B32C3" w:rsidP="001B32C3">
      <w:pPr>
        <w:pStyle w:val="ListParagraph"/>
        <w:numPr>
          <w:ilvl w:val="0"/>
          <w:numId w:val="15"/>
        </w:numPr>
        <w:rPr>
          <w:sz w:val="22"/>
          <w:szCs w:val="22"/>
        </w:rPr>
      </w:pPr>
      <w:r>
        <w:rPr>
          <w:sz w:val="22"/>
          <w:szCs w:val="22"/>
        </w:rPr>
        <w:t>articulat</w:t>
      </w:r>
      <w:r w:rsidR="00B7012F">
        <w:rPr>
          <w:sz w:val="22"/>
          <w:szCs w:val="22"/>
        </w:rPr>
        <w:t xml:space="preserve">ing </w:t>
      </w:r>
      <w:r>
        <w:rPr>
          <w:sz w:val="22"/>
          <w:szCs w:val="22"/>
        </w:rPr>
        <w:t>key pedagogical / instructional practices that should be common to all teacher training activities i.e. across literacy and adjust the design to ensure that this happens</w:t>
      </w:r>
    </w:p>
    <w:p w14:paraId="430AF0BE" w14:textId="3DE49D5B" w:rsidR="00587D6B" w:rsidRDefault="00C71518" w:rsidP="00F6306B">
      <w:pPr>
        <w:pStyle w:val="ListParagraph"/>
        <w:numPr>
          <w:ilvl w:val="0"/>
          <w:numId w:val="15"/>
        </w:numPr>
        <w:rPr>
          <w:sz w:val="22"/>
          <w:szCs w:val="22"/>
        </w:rPr>
      </w:pPr>
      <w:r>
        <w:rPr>
          <w:sz w:val="22"/>
          <w:szCs w:val="22"/>
        </w:rPr>
        <w:t>d</w:t>
      </w:r>
      <w:r w:rsidR="00BE0D5E">
        <w:rPr>
          <w:sz w:val="22"/>
          <w:szCs w:val="22"/>
        </w:rPr>
        <w:t>esign</w:t>
      </w:r>
      <w:r w:rsidR="00B7012F">
        <w:rPr>
          <w:sz w:val="22"/>
          <w:szCs w:val="22"/>
        </w:rPr>
        <w:t>ing</w:t>
      </w:r>
      <w:r w:rsidR="00180866">
        <w:rPr>
          <w:sz w:val="22"/>
          <w:szCs w:val="22"/>
        </w:rPr>
        <w:t xml:space="preserve"> additional</w:t>
      </w:r>
      <w:r w:rsidR="00BE0D5E">
        <w:rPr>
          <w:sz w:val="22"/>
          <w:szCs w:val="22"/>
        </w:rPr>
        <w:t xml:space="preserve"> literacy learning activities </w:t>
      </w:r>
      <w:r w:rsidR="00EA7D1A">
        <w:rPr>
          <w:sz w:val="22"/>
          <w:szCs w:val="22"/>
        </w:rPr>
        <w:t xml:space="preserve">and </w:t>
      </w:r>
      <w:r w:rsidR="00EB0B73">
        <w:rPr>
          <w:sz w:val="22"/>
          <w:szCs w:val="22"/>
        </w:rPr>
        <w:t xml:space="preserve">implementation </w:t>
      </w:r>
      <w:r w:rsidR="00EA7D1A">
        <w:rPr>
          <w:sz w:val="22"/>
          <w:szCs w:val="22"/>
        </w:rPr>
        <w:t xml:space="preserve">strategies to </w:t>
      </w:r>
      <w:r w:rsidR="009E4416">
        <w:rPr>
          <w:sz w:val="22"/>
          <w:szCs w:val="22"/>
        </w:rPr>
        <w:t xml:space="preserve">consolidate, </w:t>
      </w:r>
      <w:r w:rsidR="00EB0B73">
        <w:rPr>
          <w:sz w:val="22"/>
          <w:szCs w:val="22"/>
        </w:rPr>
        <w:t>build on</w:t>
      </w:r>
      <w:r w:rsidR="00180866">
        <w:rPr>
          <w:sz w:val="22"/>
          <w:szCs w:val="22"/>
        </w:rPr>
        <w:t>, and exten</w:t>
      </w:r>
      <w:r w:rsidR="009E4416">
        <w:rPr>
          <w:sz w:val="22"/>
          <w:szCs w:val="22"/>
        </w:rPr>
        <w:t>d</w:t>
      </w:r>
      <w:r w:rsidR="00180866">
        <w:rPr>
          <w:sz w:val="22"/>
          <w:szCs w:val="22"/>
        </w:rPr>
        <w:t xml:space="preserve"> </w:t>
      </w:r>
      <w:r w:rsidR="009E4416">
        <w:rPr>
          <w:sz w:val="22"/>
          <w:szCs w:val="22"/>
        </w:rPr>
        <w:t xml:space="preserve">literacy </w:t>
      </w:r>
      <w:r w:rsidR="00180866">
        <w:rPr>
          <w:sz w:val="22"/>
          <w:szCs w:val="22"/>
        </w:rPr>
        <w:t>learning</w:t>
      </w:r>
    </w:p>
    <w:p w14:paraId="18B0BFCE" w14:textId="18E54D63" w:rsidR="00DD6F17" w:rsidRDefault="002942F2" w:rsidP="00F6306B">
      <w:pPr>
        <w:pStyle w:val="ListParagraph"/>
        <w:numPr>
          <w:ilvl w:val="0"/>
          <w:numId w:val="15"/>
        </w:numPr>
        <w:rPr>
          <w:sz w:val="22"/>
          <w:szCs w:val="22"/>
        </w:rPr>
      </w:pPr>
      <w:r>
        <w:rPr>
          <w:sz w:val="22"/>
          <w:szCs w:val="22"/>
        </w:rPr>
        <w:t xml:space="preserve">where literacy </w:t>
      </w:r>
      <w:r w:rsidR="00D406D5">
        <w:rPr>
          <w:sz w:val="22"/>
          <w:szCs w:val="22"/>
        </w:rPr>
        <w:t xml:space="preserve">learning (subject and pedagogical knowledge) has been well established </w:t>
      </w:r>
      <w:r w:rsidR="001B32C3">
        <w:rPr>
          <w:sz w:val="22"/>
          <w:szCs w:val="22"/>
        </w:rPr>
        <w:t>consider</w:t>
      </w:r>
      <w:r w:rsidR="00C26171">
        <w:rPr>
          <w:sz w:val="22"/>
          <w:szCs w:val="22"/>
        </w:rPr>
        <w:t>ing</w:t>
      </w:r>
      <w:r w:rsidR="001B32C3">
        <w:rPr>
          <w:sz w:val="22"/>
          <w:szCs w:val="22"/>
        </w:rPr>
        <w:t xml:space="preserve"> implementation </w:t>
      </w:r>
      <w:r w:rsidR="00655B89">
        <w:rPr>
          <w:sz w:val="22"/>
          <w:szCs w:val="22"/>
        </w:rPr>
        <w:t>of mathematics training</w:t>
      </w:r>
      <w:r w:rsidR="000461B6">
        <w:rPr>
          <w:sz w:val="22"/>
          <w:szCs w:val="22"/>
        </w:rPr>
        <w:t xml:space="preserve">, possibly in one province only to </w:t>
      </w:r>
      <w:r w:rsidR="00DE1ABF">
        <w:rPr>
          <w:sz w:val="22"/>
          <w:szCs w:val="22"/>
        </w:rPr>
        <w:t xml:space="preserve">gain feedback and adjust the </w:t>
      </w:r>
      <w:r w:rsidR="008A7D69">
        <w:rPr>
          <w:sz w:val="22"/>
          <w:szCs w:val="22"/>
        </w:rPr>
        <w:t xml:space="preserve">resource before further </w:t>
      </w:r>
      <w:r w:rsidR="0041133A">
        <w:rPr>
          <w:sz w:val="22"/>
          <w:szCs w:val="22"/>
        </w:rPr>
        <w:t>implementation</w:t>
      </w:r>
    </w:p>
    <w:p w14:paraId="36370DD8" w14:textId="705691FC" w:rsidR="00DF145D" w:rsidRDefault="00DF145D" w:rsidP="00F6306B">
      <w:pPr>
        <w:pStyle w:val="ListParagraph"/>
        <w:numPr>
          <w:ilvl w:val="0"/>
          <w:numId w:val="15"/>
        </w:numPr>
        <w:rPr>
          <w:sz w:val="22"/>
          <w:szCs w:val="22"/>
        </w:rPr>
      </w:pPr>
      <w:r>
        <w:rPr>
          <w:sz w:val="22"/>
          <w:szCs w:val="22"/>
        </w:rPr>
        <w:t>reflect</w:t>
      </w:r>
      <w:r w:rsidR="00C26171">
        <w:rPr>
          <w:sz w:val="22"/>
          <w:szCs w:val="22"/>
        </w:rPr>
        <w:t>ing</w:t>
      </w:r>
      <w:r>
        <w:rPr>
          <w:sz w:val="22"/>
          <w:szCs w:val="22"/>
        </w:rPr>
        <w:t xml:space="preserve"> on the implied or actual sequencing of program activities that contribute to building national, provincial and school leadership, management and governance capacity; identify foundational learning and next step learning needs</w:t>
      </w:r>
      <w:r w:rsidR="00A11732">
        <w:rPr>
          <w:sz w:val="22"/>
          <w:szCs w:val="22"/>
        </w:rPr>
        <w:t xml:space="preserve"> to </w:t>
      </w:r>
      <w:r w:rsidR="00FA74F3">
        <w:rPr>
          <w:sz w:val="22"/>
          <w:szCs w:val="22"/>
        </w:rPr>
        <w:t>enhance educational leadership</w:t>
      </w:r>
    </w:p>
    <w:p w14:paraId="3DAB3700" w14:textId="73D79468" w:rsidR="00E95CEE" w:rsidRDefault="00032470" w:rsidP="00F6306B">
      <w:pPr>
        <w:pStyle w:val="ListParagraph"/>
        <w:numPr>
          <w:ilvl w:val="0"/>
          <w:numId w:val="15"/>
        </w:numPr>
        <w:rPr>
          <w:sz w:val="22"/>
          <w:szCs w:val="22"/>
        </w:rPr>
      </w:pPr>
      <w:r>
        <w:rPr>
          <w:sz w:val="22"/>
          <w:szCs w:val="22"/>
        </w:rPr>
        <w:t>(meet</w:t>
      </w:r>
      <w:r w:rsidR="00C26171">
        <w:rPr>
          <w:sz w:val="22"/>
          <w:szCs w:val="22"/>
        </w:rPr>
        <w:t>ing</w:t>
      </w:r>
      <w:r>
        <w:rPr>
          <w:sz w:val="22"/>
          <w:szCs w:val="22"/>
        </w:rPr>
        <w:t xml:space="preserve"> with ChildFund) to gain feedback on current </w:t>
      </w:r>
      <w:r w:rsidR="006A0772">
        <w:rPr>
          <w:sz w:val="22"/>
          <w:szCs w:val="22"/>
        </w:rPr>
        <w:t xml:space="preserve">leadership and management training </w:t>
      </w:r>
      <w:r>
        <w:rPr>
          <w:sz w:val="22"/>
          <w:szCs w:val="22"/>
        </w:rPr>
        <w:t xml:space="preserve">and </w:t>
      </w:r>
      <w:r w:rsidR="008C6CFC">
        <w:rPr>
          <w:sz w:val="22"/>
          <w:szCs w:val="22"/>
        </w:rPr>
        <w:t>design</w:t>
      </w:r>
      <w:r w:rsidR="00AB75FF">
        <w:rPr>
          <w:sz w:val="22"/>
          <w:szCs w:val="22"/>
        </w:rPr>
        <w:t>ing</w:t>
      </w:r>
      <w:r w:rsidR="008C6CFC">
        <w:rPr>
          <w:sz w:val="22"/>
          <w:szCs w:val="22"/>
        </w:rPr>
        <w:t xml:space="preserve"> </w:t>
      </w:r>
      <w:r w:rsidR="00B60CBA">
        <w:rPr>
          <w:sz w:val="22"/>
          <w:szCs w:val="22"/>
        </w:rPr>
        <w:t>opportunities</w:t>
      </w:r>
      <w:r w:rsidR="008C6CFC">
        <w:rPr>
          <w:sz w:val="22"/>
          <w:szCs w:val="22"/>
        </w:rPr>
        <w:t xml:space="preserve"> to build on current learning</w:t>
      </w:r>
    </w:p>
    <w:p w14:paraId="042DA859" w14:textId="30655557" w:rsidR="00700996" w:rsidRDefault="0028638A" w:rsidP="00F6306B">
      <w:pPr>
        <w:pStyle w:val="ListParagraph"/>
        <w:numPr>
          <w:ilvl w:val="0"/>
          <w:numId w:val="15"/>
        </w:numPr>
        <w:rPr>
          <w:sz w:val="22"/>
          <w:szCs w:val="22"/>
        </w:rPr>
      </w:pPr>
      <w:r>
        <w:rPr>
          <w:sz w:val="22"/>
          <w:szCs w:val="22"/>
        </w:rPr>
        <w:t>investigat</w:t>
      </w:r>
      <w:r w:rsidR="00C26171">
        <w:rPr>
          <w:sz w:val="22"/>
          <w:szCs w:val="22"/>
        </w:rPr>
        <w:t>ing</w:t>
      </w:r>
      <w:r>
        <w:rPr>
          <w:sz w:val="22"/>
          <w:szCs w:val="22"/>
        </w:rPr>
        <w:t xml:space="preserve"> </w:t>
      </w:r>
      <w:r w:rsidR="00164374">
        <w:rPr>
          <w:sz w:val="22"/>
          <w:szCs w:val="22"/>
        </w:rPr>
        <w:t xml:space="preserve">how knowledge from embedded staff can be more strategically </w:t>
      </w:r>
      <w:r w:rsidR="00011BDD">
        <w:rPr>
          <w:sz w:val="22"/>
          <w:szCs w:val="22"/>
        </w:rPr>
        <w:t>shared and applied, particularly in relation to building ownership and sustainability (See PEA discussion and Reco 4, p.</w:t>
      </w:r>
      <w:r w:rsidR="00700996">
        <w:rPr>
          <w:sz w:val="22"/>
          <w:szCs w:val="22"/>
        </w:rPr>
        <w:t>33)</w:t>
      </w:r>
      <w:r w:rsidR="00AB75FF">
        <w:rPr>
          <w:sz w:val="22"/>
          <w:szCs w:val="22"/>
        </w:rPr>
        <w:t>.</w:t>
      </w:r>
    </w:p>
    <w:p w14:paraId="3EC06C97" w14:textId="29B782CF" w:rsidR="00A7508A" w:rsidRPr="00176343" w:rsidRDefault="00A7508A" w:rsidP="00B71B20">
      <w:pPr>
        <w:keepNext/>
        <w:rPr>
          <w:sz w:val="22"/>
          <w:szCs w:val="22"/>
          <w:u w:val="single"/>
        </w:rPr>
      </w:pPr>
      <w:r w:rsidRPr="00176343">
        <w:rPr>
          <w:sz w:val="22"/>
          <w:szCs w:val="22"/>
          <w:u w:val="single"/>
        </w:rPr>
        <w:t xml:space="preserve">Refine the MERLA </w:t>
      </w:r>
      <w:r w:rsidR="00692867" w:rsidRPr="00176343">
        <w:rPr>
          <w:sz w:val="22"/>
          <w:szCs w:val="22"/>
          <w:u w:val="single"/>
        </w:rPr>
        <w:t>framework</w:t>
      </w:r>
      <w:r w:rsidR="008D1F29">
        <w:rPr>
          <w:sz w:val="22"/>
          <w:szCs w:val="22"/>
          <w:u w:val="single"/>
        </w:rPr>
        <w:t xml:space="preserve"> and s</w:t>
      </w:r>
      <w:r w:rsidR="008E2ED7">
        <w:rPr>
          <w:sz w:val="22"/>
          <w:szCs w:val="22"/>
          <w:u w:val="single"/>
        </w:rPr>
        <w:t xml:space="preserve">trengthen </w:t>
      </w:r>
      <w:r w:rsidR="002E1E26">
        <w:rPr>
          <w:sz w:val="22"/>
          <w:szCs w:val="22"/>
          <w:u w:val="single"/>
        </w:rPr>
        <w:t>strategic communication</w:t>
      </w:r>
      <w:r w:rsidR="00EC4ACC">
        <w:rPr>
          <w:sz w:val="22"/>
          <w:szCs w:val="22"/>
          <w:u w:val="single"/>
        </w:rPr>
        <w:t>s</w:t>
      </w:r>
      <w:r w:rsidR="007A1045">
        <w:rPr>
          <w:sz w:val="22"/>
          <w:szCs w:val="22"/>
          <w:u w:val="single"/>
        </w:rPr>
        <w:t>.</w:t>
      </w:r>
    </w:p>
    <w:p w14:paraId="6B474F88" w14:textId="11C7757A" w:rsidR="007B60FB" w:rsidRDefault="004F69B1" w:rsidP="00B71B20">
      <w:pPr>
        <w:keepNext/>
        <w:rPr>
          <w:sz w:val="22"/>
          <w:szCs w:val="22"/>
        </w:rPr>
      </w:pPr>
      <w:r>
        <w:rPr>
          <w:sz w:val="22"/>
          <w:szCs w:val="22"/>
        </w:rPr>
        <w:t>Draw on the PIE MES Review</w:t>
      </w:r>
      <w:r w:rsidR="004C3528">
        <w:rPr>
          <w:sz w:val="22"/>
          <w:szCs w:val="22"/>
        </w:rPr>
        <w:t xml:space="preserve"> </w:t>
      </w:r>
      <w:r w:rsidR="00700996">
        <w:rPr>
          <w:sz w:val="22"/>
          <w:szCs w:val="22"/>
        </w:rPr>
        <w:t xml:space="preserve">and </w:t>
      </w:r>
      <w:r w:rsidR="00E47B9C">
        <w:rPr>
          <w:sz w:val="22"/>
          <w:szCs w:val="22"/>
        </w:rPr>
        <w:t xml:space="preserve">experience to date </w:t>
      </w:r>
      <w:r>
        <w:rPr>
          <w:sz w:val="22"/>
          <w:szCs w:val="22"/>
        </w:rPr>
        <w:t xml:space="preserve">to </w:t>
      </w:r>
      <w:r w:rsidR="007B60FB">
        <w:rPr>
          <w:sz w:val="22"/>
          <w:szCs w:val="22"/>
        </w:rPr>
        <w:t>refine the MERLA strategy and framework</w:t>
      </w:r>
      <w:r w:rsidR="006D3B69">
        <w:rPr>
          <w:sz w:val="22"/>
          <w:szCs w:val="22"/>
        </w:rPr>
        <w:t xml:space="preserve"> where appropriate</w:t>
      </w:r>
      <w:r w:rsidR="007B60FB">
        <w:rPr>
          <w:sz w:val="22"/>
          <w:szCs w:val="22"/>
        </w:rPr>
        <w:t>, including but not limited to:</w:t>
      </w:r>
    </w:p>
    <w:p w14:paraId="6A9AF118" w14:textId="379038C3" w:rsidR="009E0E03" w:rsidRDefault="004F6073" w:rsidP="007B60FB">
      <w:pPr>
        <w:pStyle w:val="ListParagraph"/>
        <w:numPr>
          <w:ilvl w:val="0"/>
          <w:numId w:val="16"/>
        </w:numPr>
        <w:rPr>
          <w:sz w:val="22"/>
          <w:szCs w:val="22"/>
        </w:rPr>
      </w:pPr>
      <w:r>
        <w:rPr>
          <w:sz w:val="22"/>
          <w:szCs w:val="22"/>
        </w:rPr>
        <w:t xml:space="preserve">rationalise / streamline </w:t>
      </w:r>
      <w:r w:rsidR="009E0E03">
        <w:rPr>
          <w:sz w:val="22"/>
          <w:szCs w:val="22"/>
        </w:rPr>
        <w:t>the framework</w:t>
      </w:r>
      <w:r w:rsidR="004A36E9">
        <w:rPr>
          <w:sz w:val="22"/>
          <w:szCs w:val="22"/>
        </w:rPr>
        <w:t xml:space="preserve"> with </w:t>
      </w:r>
      <w:r w:rsidR="004D0250">
        <w:rPr>
          <w:sz w:val="22"/>
          <w:szCs w:val="22"/>
        </w:rPr>
        <w:t xml:space="preserve">a goal of more frequent review and reflection </w:t>
      </w:r>
      <w:r w:rsidR="00E47B9C">
        <w:rPr>
          <w:sz w:val="22"/>
          <w:szCs w:val="22"/>
        </w:rPr>
        <w:t xml:space="preserve">activities </w:t>
      </w:r>
      <w:r w:rsidR="004D0250">
        <w:rPr>
          <w:sz w:val="22"/>
          <w:szCs w:val="22"/>
        </w:rPr>
        <w:t xml:space="preserve">on program progress and </w:t>
      </w:r>
      <w:r w:rsidR="00692867">
        <w:rPr>
          <w:sz w:val="22"/>
          <w:szCs w:val="22"/>
        </w:rPr>
        <w:t>success</w:t>
      </w:r>
    </w:p>
    <w:p w14:paraId="1B955ACC" w14:textId="77777777" w:rsidR="004A36E9" w:rsidRDefault="00330ED2" w:rsidP="007B60FB">
      <w:pPr>
        <w:pStyle w:val="ListParagraph"/>
        <w:numPr>
          <w:ilvl w:val="0"/>
          <w:numId w:val="16"/>
        </w:numPr>
        <w:rPr>
          <w:sz w:val="22"/>
          <w:szCs w:val="22"/>
        </w:rPr>
      </w:pPr>
      <w:r>
        <w:rPr>
          <w:sz w:val="22"/>
          <w:szCs w:val="22"/>
        </w:rPr>
        <w:t xml:space="preserve">review and enhance instruments (minding </w:t>
      </w:r>
      <w:r w:rsidR="004A36E9">
        <w:rPr>
          <w:sz w:val="22"/>
          <w:szCs w:val="22"/>
        </w:rPr>
        <w:t>implications for base-, mid- and endline use)</w:t>
      </w:r>
    </w:p>
    <w:p w14:paraId="78B984C0" w14:textId="05B37E92" w:rsidR="004F6073" w:rsidRDefault="003F03F6" w:rsidP="007B60FB">
      <w:pPr>
        <w:pStyle w:val="ListParagraph"/>
        <w:numPr>
          <w:ilvl w:val="0"/>
          <w:numId w:val="16"/>
        </w:numPr>
        <w:rPr>
          <w:sz w:val="22"/>
          <w:szCs w:val="22"/>
        </w:rPr>
      </w:pPr>
      <w:r>
        <w:rPr>
          <w:sz w:val="22"/>
          <w:szCs w:val="22"/>
        </w:rPr>
        <w:t xml:space="preserve">strengthen capacity to </w:t>
      </w:r>
      <w:r w:rsidR="00AB002D">
        <w:rPr>
          <w:sz w:val="22"/>
          <w:szCs w:val="22"/>
        </w:rPr>
        <w:t xml:space="preserve">assess </w:t>
      </w:r>
      <w:r w:rsidR="00A7508A" w:rsidRPr="007B60FB">
        <w:rPr>
          <w:sz w:val="22"/>
          <w:szCs w:val="22"/>
        </w:rPr>
        <w:t>the quality of teaching</w:t>
      </w:r>
      <w:r w:rsidR="00684B7E">
        <w:rPr>
          <w:sz w:val="22"/>
          <w:szCs w:val="22"/>
        </w:rPr>
        <w:t xml:space="preserve"> </w:t>
      </w:r>
      <w:r w:rsidR="00E33DB9">
        <w:rPr>
          <w:sz w:val="22"/>
          <w:szCs w:val="22"/>
        </w:rPr>
        <w:t>and</w:t>
      </w:r>
      <w:r w:rsidR="000938F7">
        <w:rPr>
          <w:sz w:val="22"/>
          <w:szCs w:val="22"/>
        </w:rPr>
        <w:t xml:space="preserve"> improvement over time</w:t>
      </w:r>
    </w:p>
    <w:p w14:paraId="5F776739" w14:textId="520B5053" w:rsidR="004A36E9" w:rsidRPr="004A36E9" w:rsidRDefault="00B07AB4" w:rsidP="004A36E9">
      <w:pPr>
        <w:pStyle w:val="ListParagraph"/>
        <w:numPr>
          <w:ilvl w:val="0"/>
          <w:numId w:val="16"/>
        </w:numPr>
        <w:rPr>
          <w:sz w:val="22"/>
          <w:szCs w:val="22"/>
        </w:rPr>
      </w:pPr>
      <w:r>
        <w:rPr>
          <w:sz w:val="22"/>
          <w:szCs w:val="22"/>
        </w:rPr>
        <w:t xml:space="preserve">incorporate the </w:t>
      </w:r>
      <w:r w:rsidR="004A36E9" w:rsidRPr="004A36E9">
        <w:rPr>
          <w:sz w:val="22"/>
          <w:szCs w:val="22"/>
        </w:rPr>
        <w:t xml:space="preserve">use of qualitative data to inform discussion about progress or barriers e.g. ‘green shoots’ and ‘orange </w:t>
      </w:r>
      <w:r w:rsidR="00692867" w:rsidRPr="004A36E9">
        <w:rPr>
          <w:sz w:val="22"/>
          <w:szCs w:val="22"/>
        </w:rPr>
        <w:t>flags’</w:t>
      </w:r>
    </w:p>
    <w:p w14:paraId="17B90632" w14:textId="595E849A" w:rsidR="004C3528" w:rsidRDefault="004C3528" w:rsidP="004C190C">
      <w:pPr>
        <w:pStyle w:val="ListParagraph"/>
        <w:numPr>
          <w:ilvl w:val="0"/>
          <w:numId w:val="16"/>
        </w:numPr>
        <w:rPr>
          <w:sz w:val="22"/>
          <w:szCs w:val="22"/>
        </w:rPr>
      </w:pPr>
      <w:r>
        <w:rPr>
          <w:sz w:val="22"/>
          <w:szCs w:val="22"/>
        </w:rPr>
        <w:t>s</w:t>
      </w:r>
      <w:r w:rsidR="004A36E9" w:rsidRPr="004A36E9">
        <w:rPr>
          <w:sz w:val="22"/>
          <w:szCs w:val="22"/>
        </w:rPr>
        <w:t>trengthen</w:t>
      </w:r>
      <w:r>
        <w:rPr>
          <w:sz w:val="22"/>
          <w:szCs w:val="22"/>
        </w:rPr>
        <w:t xml:space="preserve"> </w:t>
      </w:r>
      <w:r w:rsidR="004A36E9" w:rsidRPr="004A36E9">
        <w:rPr>
          <w:sz w:val="22"/>
          <w:szCs w:val="22"/>
        </w:rPr>
        <w:t xml:space="preserve">L and A functions, building on products such as the ‘stories of change’ in the 2024 SAR (Annex F), </w:t>
      </w:r>
      <w:r w:rsidR="00817ADC">
        <w:rPr>
          <w:sz w:val="22"/>
          <w:szCs w:val="22"/>
        </w:rPr>
        <w:t xml:space="preserve">to increase the Program’s collateral and capacity for </w:t>
      </w:r>
      <w:r w:rsidR="00817ADC" w:rsidRPr="00CD2C22">
        <w:rPr>
          <w:sz w:val="22"/>
          <w:szCs w:val="22"/>
        </w:rPr>
        <w:t xml:space="preserve">public diplomacy </w:t>
      </w:r>
      <w:r w:rsidR="00817ADC">
        <w:rPr>
          <w:sz w:val="22"/>
          <w:szCs w:val="22"/>
        </w:rPr>
        <w:t>and polic</w:t>
      </w:r>
      <w:r w:rsidR="00817ADC" w:rsidRPr="00CD2C22">
        <w:rPr>
          <w:sz w:val="22"/>
          <w:szCs w:val="22"/>
        </w:rPr>
        <w:t>y influence</w:t>
      </w:r>
      <w:r w:rsidR="00817ADC" w:rsidRPr="004A36E9" w:rsidDel="00817ADC">
        <w:rPr>
          <w:sz w:val="22"/>
          <w:szCs w:val="22"/>
        </w:rPr>
        <w:t xml:space="preserve"> </w:t>
      </w:r>
    </w:p>
    <w:p w14:paraId="4F7240E8" w14:textId="5234AD92" w:rsidR="00615F72" w:rsidRDefault="00790196" w:rsidP="004C190C">
      <w:pPr>
        <w:pStyle w:val="ListParagraph"/>
        <w:numPr>
          <w:ilvl w:val="0"/>
          <w:numId w:val="16"/>
        </w:numPr>
        <w:rPr>
          <w:sz w:val="22"/>
          <w:szCs w:val="22"/>
        </w:rPr>
      </w:pPr>
      <w:r>
        <w:rPr>
          <w:sz w:val="22"/>
          <w:szCs w:val="22"/>
        </w:rPr>
        <w:t>review the CBA model to see if it is consistent with the PIE Program Logic (and theory of change)</w:t>
      </w:r>
      <w:r w:rsidR="008840CE">
        <w:rPr>
          <w:sz w:val="22"/>
          <w:szCs w:val="22"/>
        </w:rPr>
        <w:t xml:space="preserve"> and determine wh</w:t>
      </w:r>
      <w:r w:rsidR="00692867">
        <w:rPr>
          <w:sz w:val="22"/>
          <w:szCs w:val="22"/>
        </w:rPr>
        <w:t xml:space="preserve">ich </w:t>
      </w:r>
      <w:r w:rsidR="008840CE">
        <w:rPr>
          <w:sz w:val="22"/>
          <w:szCs w:val="22"/>
        </w:rPr>
        <w:t xml:space="preserve">data can be collected for incorporation </w:t>
      </w:r>
      <w:r w:rsidR="00657F59">
        <w:rPr>
          <w:sz w:val="22"/>
          <w:szCs w:val="22"/>
        </w:rPr>
        <w:t>into the model</w:t>
      </w:r>
      <w:r w:rsidR="00650851">
        <w:rPr>
          <w:sz w:val="22"/>
          <w:szCs w:val="22"/>
        </w:rPr>
        <w:t xml:space="preserve">; and decide </w:t>
      </w:r>
      <w:r w:rsidR="00657F59">
        <w:rPr>
          <w:sz w:val="22"/>
          <w:szCs w:val="22"/>
        </w:rPr>
        <w:t xml:space="preserve">whether </w:t>
      </w:r>
      <w:r w:rsidR="002C42FB" w:rsidRPr="002C42FB">
        <w:rPr>
          <w:sz w:val="22"/>
          <w:szCs w:val="22"/>
        </w:rPr>
        <w:t>this is an exercise that PIE staff could continue with at key points in time, given the model is already b</w:t>
      </w:r>
      <w:r w:rsidR="0092133D">
        <w:rPr>
          <w:sz w:val="22"/>
          <w:szCs w:val="22"/>
        </w:rPr>
        <w:t xml:space="preserve">uilt </w:t>
      </w:r>
      <w:r w:rsidR="00E429C6">
        <w:rPr>
          <w:sz w:val="22"/>
          <w:szCs w:val="22"/>
        </w:rPr>
        <w:t xml:space="preserve"> </w:t>
      </w:r>
    </w:p>
    <w:p w14:paraId="08D37F27" w14:textId="0BED7548" w:rsidR="004E1633" w:rsidRPr="004C3528" w:rsidRDefault="00650851" w:rsidP="004C190C">
      <w:pPr>
        <w:pStyle w:val="ListParagraph"/>
        <w:numPr>
          <w:ilvl w:val="0"/>
          <w:numId w:val="16"/>
        </w:numPr>
        <w:rPr>
          <w:sz w:val="22"/>
          <w:szCs w:val="22"/>
        </w:rPr>
      </w:pPr>
      <w:r>
        <w:rPr>
          <w:sz w:val="22"/>
          <w:szCs w:val="22"/>
        </w:rPr>
        <w:t xml:space="preserve">ensure that there’s a capacity to </w:t>
      </w:r>
      <w:r w:rsidR="00DA58AE">
        <w:rPr>
          <w:sz w:val="22"/>
          <w:szCs w:val="22"/>
        </w:rPr>
        <w:t xml:space="preserve">measure and analyse </w:t>
      </w:r>
      <w:r w:rsidR="00764E98">
        <w:rPr>
          <w:sz w:val="22"/>
          <w:szCs w:val="22"/>
        </w:rPr>
        <w:t xml:space="preserve">activity inputs and </w:t>
      </w:r>
      <w:r w:rsidR="00DA58AE">
        <w:rPr>
          <w:sz w:val="22"/>
          <w:szCs w:val="22"/>
        </w:rPr>
        <w:t xml:space="preserve">outputs </w:t>
      </w:r>
      <w:r w:rsidR="00764E98">
        <w:rPr>
          <w:sz w:val="22"/>
          <w:szCs w:val="22"/>
        </w:rPr>
        <w:t>and analyse the</w:t>
      </w:r>
      <w:r w:rsidR="00137F96">
        <w:rPr>
          <w:sz w:val="22"/>
          <w:szCs w:val="22"/>
        </w:rPr>
        <w:t xml:space="preserve"> relative contributions </w:t>
      </w:r>
      <w:r w:rsidR="00882ABA">
        <w:rPr>
          <w:sz w:val="22"/>
          <w:szCs w:val="22"/>
        </w:rPr>
        <w:t>of these towards increase student attendance and engagement</w:t>
      </w:r>
      <w:r w:rsidR="00E81CA8">
        <w:rPr>
          <w:sz w:val="22"/>
          <w:szCs w:val="22"/>
        </w:rPr>
        <w:t xml:space="preserve">, improved teaching quality and improved student learning (See MERLA 2024 discussion </w:t>
      </w:r>
      <w:r w:rsidR="00C920C2">
        <w:rPr>
          <w:sz w:val="22"/>
          <w:szCs w:val="22"/>
        </w:rPr>
        <w:t xml:space="preserve">(p.24) </w:t>
      </w:r>
      <w:r w:rsidR="00E81CA8">
        <w:rPr>
          <w:sz w:val="22"/>
          <w:szCs w:val="22"/>
        </w:rPr>
        <w:t xml:space="preserve">on </w:t>
      </w:r>
      <w:r w:rsidR="00C920C2">
        <w:rPr>
          <w:sz w:val="22"/>
          <w:szCs w:val="22"/>
        </w:rPr>
        <w:t>c</w:t>
      </w:r>
      <w:r w:rsidR="004E1633">
        <w:rPr>
          <w:sz w:val="22"/>
          <w:szCs w:val="22"/>
        </w:rPr>
        <w:t>a</w:t>
      </w:r>
      <w:r w:rsidR="00891835">
        <w:rPr>
          <w:sz w:val="22"/>
          <w:szCs w:val="22"/>
        </w:rPr>
        <w:t xml:space="preserve">usal </w:t>
      </w:r>
      <w:r w:rsidR="004E1633">
        <w:rPr>
          <w:sz w:val="22"/>
          <w:szCs w:val="22"/>
        </w:rPr>
        <w:t>links</w:t>
      </w:r>
      <w:r w:rsidR="001F1190">
        <w:rPr>
          <w:sz w:val="22"/>
          <w:szCs w:val="22"/>
        </w:rPr>
        <w:t>.</w:t>
      </w:r>
    </w:p>
    <w:p w14:paraId="3A3EE6D7" w14:textId="4A3D38C4" w:rsidR="00176343" w:rsidRDefault="00DE7B00" w:rsidP="004C190C">
      <w:pPr>
        <w:rPr>
          <w:sz w:val="22"/>
          <w:szCs w:val="22"/>
          <w:u w:val="single"/>
        </w:rPr>
      </w:pPr>
      <w:r w:rsidRPr="002E6518">
        <w:rPr>
          <w:sz w:val="22"/>
          <w:szCs w:val="22"/>
          <w:u w:val="single"/>
        </w:rPr>
        <w:t xml:space="preserve">Adjust </w:t>
      </w:r>
      <w:r w:rsidR="00437589">
        <w:rPr>
          <w:sz w:val="22"/>
          <w:szCs w:val="22"/>
          <w:u w:val="single"/>
        </w:rPr>
        <w:t xml:space="preserve">current </w:t>
      </w:r>
      <w:r w:rsidR="002E6518" w:rsidRPr="002E6518">
        <w:rPr>
          <w:sz w:val="22"/>
          <w:szCs w:val="22"/>
          <w:u w:val="single"/>
        </w:rPr>
        <w:t>provi</w:t>
      </w:r>
      <w:r w:rsidR="00E503E2">
        <w:rPr>
          <w:sz w:val="22"/>
          <w:szCs w:val="22"/>
          <w:u w:val="single"/>
        </w:rPr>
        <w:t xml:space="preserve">ncial </w:t>
      </w:r>
      <w:r w:rsidR="00CA294A">
        <w:rPr>
          <w:sz w:val="22"/>
          <w:szCs w:val="22"/>
          <w:u w:val="single"/>
        </w:rPr>
        <w:t>engagement</w:t>
      </w:r>
      <w:r w:rsidR="007A1045">
        <w:rPr>
          <w:sz w:val="22"/>
          <w:szCs w:val="22"/>
          <w:u w:val="single"/>
        </w:rPr>
        <w:t>.</w:t>
      </w:r>
    </w:p>
    <w:p w14:paraId="7BE21C8C" w14:textId="4C754241" w:rsidR="00861F78" w:rsidRDefault="00D83904" w:rsidP="00A7771B">
      <w:pPr>
        <w:rPr>
          <w:sz w:val="22"/>
          <w:szCs w:val="22"/>
        </w:rPr>
      </w:pPr>
      <w:r>
        <w:rPr>
          <w:sz w:val="22"/>
          <w:szCs w:val="22"/>
        </w:rPr>
        <w:t>T</w:t>
      </w:r>
      <w:r w:rsidR="00A7771B">
        <w:rPr>
          <w:sz w:val="22"/>
          <w:szCs w:val="22"/>
        </w:rPr>
        <w:t xml:space="preserve">he </w:t>
      </w:r>
      <w:r w:rsidR="00A7771B" w:rsidRPr="0065260C">
        <w:rPr>
          <w:i/>
          <w:iCs/>
          <w:sz w:val="22"/>
          <w:szCs w:val="22"/>
        </w:rPr>
        <w:t>Partnerships for Improving Education Baseline Study</w:t>
      </w:r>
      <w:r w:rsidR="00A7771B">
        <w:rPr>
          <w:sz w:val="22"/>
          <w:szCs w:val="22"/>
        </w:rPr>
        <w:t xml:space="preserve"> (p.21) </w:t>
      </w:r>
      <w:r w:rsidR="00545B9D">
        <w:rPr>
          <w:sz w:val="22"/>
          <w:szCs w:val="22"/>
        </w:rPr>
        <w:t xml:space="preserve">observes </w:t>
      </w:r>
      <w:r>
        <w:rPr>
          <w:sz w:val="22"/>
          <w:szCs w:val="22"/>
        </w:rPr>
        <w:t xml:space="preserve">that </w:t>
      </w:r>
      <w:r w:rsidR="00545B9D">
        <w:rPr>
          <w:sz w:val="22"/>
          <w:szCs w:val="22"/>
        </w:rPr>
        <w:t>‘</w:t>
      </w:r>
      <w:r w:rsidRPr="0065260C">
        <w:rPr>
          <w:i/>
          <w:iCs/>
          <w:sz w:val="22"/>
          <w:szCs w:val="22"/>
        </w:rPr>
        <w:t>Whilst in agreement with the ToC, each of the four participating subnational locations have distinctive areas of concern that will need PIE’s attention. PIE will need to prioritise certain strategies in the approach, depending on the subnational context</w:t>
      </w:r>
      <w:r w:rsidRPr="00D83904">
        <w:rPr>
          <w:sz w:val="22"/>
          <w:szCs w:val="22"/>
        </w:rPr>
        <w:t>.</w:t>
      </w:r>
      <w:r w:rsidR="00545B9D">
        <w:rPr>
          <w:sz w:val="22"/>
          <w:szCs w:val="22"/>
        </w:rPr>
        <w:t>’</w:t>
      </w:r>
    </w:p>
    <w:p w14:paraId="18691E75" w14:textId="0C83E63E" w:rsidR="00B82D53" w:rsidRPr="00B82D53" w:rsidRDefault="00B82D53" w:rsidP="00B82D53">
      <w:pPr>
        <w:rPr>
          <w:sz w:val="22"/>
          <w:szCs w:val="22"/>
        </w:rPr>
      </w:pPr>
      <w:r>
        <w:rPr>
          <w:sz w:val="22"/>
          <w:szCs w:val="22"/>
        </w:rPr>
        <w:t>The Baseline Study (pp.15-20) observes that there is variation across the provinces in terms of a</w:t>
      </w:r>
      <w:r w:rsidRPr="00B82D53">
        <w:rPr>
          <w:sz w:val="22"/>
          <w:szCs w:val="22"/>
        </w:rPr>
        <w:t>ccess to</w:t>
      </w:r>
      <w:r>
        <w:rPr>
          <w:sz w:val="22"/>
          <w:szCs w:val="22"/>
        </w:rPr>
        <w:t xml:space="preserve"> and participation in</w:t>
      </w:r>
      <w:r w:rsidRPr="00B82D53">
        <w:rPr>
          <w:sz w:val="22"/>
          <w:szCs w:val="22"/>
        </w:rPr>
        <w:t xml:space="preserve"> ECE; student attendance</w:t>
      </w:r>
      <w:r>
        <w:rPr>
          <w:sz w:val="22"/>
          <w:szCs w:val="22"/>
        </w:rPr>
        <w:t>;</w:t>
      </w:r>
      <w:r w:rsidRPr="00B82D53">
        <w:rPr>
          <w:sz w:val="22"/>
          <w:szCs w:val="22"/>
        </w:rPr>
        <w:t xml:space="preserve"> teacher engagement with previous programs e.g. PPF; teacher </w:t>
      </w:r>
      <w:r>
        <w:rPr>
          <w:sz w:val="22"/>
          <w:szCs w:val="22"/>
        </w:rPr>
        <w:t xml:space="preserve">participation in </w:t>
      </w:r>
      <w:r w:rsidRPr="00B82D53">
        <w:rPr>
          <w:sz w:val="22"/>
          <w:szCs w:val="22"/>
        </w:rPr>
        <w:t>p</w:t>
      </w:r>
      <w:r>
        <w:rPr>
          <w:sz w:val="22"/>
          <w:szCs w:val="22"/>
        </w:rPr>
        <w:t>rofessional learning</w:t>
      </w:r>
      <w:r w:rsidR="00C6681D">
        <w:rPr>
          <w:sz w:val="22"/>
          <w:szCs w:val="22"/>
        </w:rPr>
        <w:t xml:space="preserve">. </w:t>
      </w:r>
      <w:r w:rsidR="002068BA">
        <w:rPr>
          <w:sz w:val="22"/>
          <w:szCs w:val="22"/>
        </w:rPr>
        <w:t>[</w:t>
      </w:r>
      <w:r w:rsidR="00C6681D">
        <w:rPr>
          <w:sz w:val="22"/>
          <w:szCs w:val="22"/>
        </w:rPr>
        <w:t xml:space="preserve">The </w:t>
      </w:r>
      <w:r w:rsidRPr="00B82D53">
        <w:rPr>
          <w:sz w:val="22"/>
          <w:szCs w:val="22"/>
        </w:rPr>
        <w:t xml:space="preserve">subnational snapshots </w:t>
      </w:r>
      <w:r w:rsidR="00C6681D">
        <w:rPr>
          <w:sz w:val="22"/>
          <w:szCs w:val="22"/>
        </w:rPr>
        <w:t xml:space="preserve">provided in the baseline </w:t>
      </w:r>
      <w:r w:rsidR="002068BA">
        <w:rPr>
          <w:sz w:val="22"/>
          <w:szCs w:val="22"/>
        </w:rPr>
        <w:t xml:space="preserve">should be replicated in any engagement with other provinces and should inform the starting point for </w:t>
      </w:r>
      <w:r w:rsidR="000B567F">
        <w:rPr>
          <w:sz w:val="22"/>
          <w:szCs w:val="22"/>
        </w:rPr>
        <w:t>Program activities.]</w:t>
      </w:r>
    </w:p>
    <w:p w14:paraId="71B24D3B" w14:textId="4F853546" w:rsidR="00545B9D" w:rsidRPr="004A4E22" w:rsidRDefault="00A31FFF" w:rsidP="00A7771B">
      <w:pPr>
        <w:rPr>
          <w:sz w:val="22"/>
          <w:szCs w:val="22"/>
        </w:rPr>
      </w:pPr>
      <w:r>
        <w:rPr>
          <w:sz w:val="22"/>
          <w:szCs w:val="22"/>
        </w:rPr>
        <w:t>By design</w:t>
      </w:r>
      <w:r w:rsidR="00100F61">
        <w:rPr>
          <w:sz w:val="22"/>
          <w:szCs w:val="22"/>
        </w:rPr>
        <w:t>,</w:t>
      </w:r>
      <w:r>
        <w:rPr>
          <w:sz w:val="22"/>
          <w:szCs w:val="22"/>
        </w:rPr>
        <w:t xml:space="preserve"> the Program developed a series of interventions that would apply </w:t>
      </w:r>
      <w:r w:rsidR="00100F61">
        <w:rPr>
          <w:sz w:val="22"/>
          <w:szCs w:val="22"/>
        </w:rPr>
        <w:t xml:space="preserve">in all districts in each of the four </w:t>
      </w:r>
      <w:r w:rsidR="00527F82">
        <w:rPr>
          <w:sz w:val="22"/>
          <w:szCs w:val="22"/>
        </w:rPr>
        <w:t>locations</w:t>
      </w:r>
      <w:r w:rsidR="00100F61">
        <w:rPr>
          <w:sz w:val="22"/>
          <w:szCs w:val="22"/>
        </w:rPr>
        <w:t xml:space="preserve">. </w:t>
      </w:r>
      <w:r w:rsidR="003255E7">
        <w:rPr>
          <w:sz w:val="22"/>
          <w:szCs w:val="22"/>
        </w:rPr>
        <w:t xml:space="preserve">Eighteen months in there is variation in the engagement and </w:t>
      </w:r>
      <w:r w:rsidR="000B567F">
        <w:rPr>
          <w:sz w:val="22"/>
          <w:szCs w:val="22"/>
        </w:rPr>
        <w:t xml:space="preserve">the </w:t>
      </w:r>
      <w:r w:rsidR="00B318EC">
        <w:rPr>
          <w:sz w:val="22"/>
          <w:szCs w:val="22"/>
        </w:rPr>
        <w:t xml:space="preserve">need for next steps. Consistent with the Baseline Study observation there is merit in </w:t>
      </w:r>
      <w:r w:rsidR="00437589">
        <w:rPr>
          <w:sz w:val="22"/>
          <w:szCs w:val="22"/>
        </w:rPr>
        <w:t>review</w:t>
      </w:r>
      <w:r w:rsidR="00652615">
        <w:rPr>
          <w:sz w:val="22"/>
          <w:szCs w:val="22"/>
        </w:rPr>
        <w:t>ing</w:t>
      </w:r>
      <w:r w:rsidR="00437589">
        <w:rPr>
          <w:sz w:val="22"/>
          <w:szCs w:val="22"/>
        </w:rPr>
        <w:t xml:space="preserve"> </w:t>
      </w:r>
      <w:r w:rsidR="00652615">
        <w:rPr>
          <w:sz w:val="22"/>
          <w:szCs w:val="22"/>
        </w:rPr>
        <w:t xml:space="preserve">progress to date and </w:t>
      </w:r>
      <w:r w:rsidR="00B82D53">
        <w:rPr>
          <w:sz w:val="22"/>
          <w:szCs w:val="22"/>
        </w:rPr>
        <w:t xml:space="preserve">prioritising next steps </w:t>
      </w:r>
      <w:r w:rsidR="000B567F">
        <w:rPr>
          <w:sz w:val="22"/>
          <w:szCs w:val="22"/>
        </w:rPr>
        <w:t xml:space="preserve">in each of the </w:t>
      </w:r>
      <w:r w:rsidR="000D2B4E">
        <w:rPr>
          <w:sz w:val="22"/>
          <w:szCs w:val="22"/>
        </w:rPr>
        <w:t xml:space="preserve">four </w:t>
      </w:r>
      <w:r w:rsidR="00475559">
        <w:rPr>
          <w:sz w:val="22"/>
          <w:szCs w:val="22"/>
        </w:rPr>
        <w:t>locations</w:t>
      </w:r>
      <w:r w:rsidR="000D2B4E">
        <w:rPr>
          <w:sz w:val="22"/>
          <w:szCs w:val="22"/>
        </w:rPr>
        <w:t xml:space="preserve">, from limited engagement with Enga through to </w:t>
      </w:r>
      <w:r w:rsidR="0028306E">
        <w:rPr>
          <w:sz w:val="22"/>
          <w:szCs w:val="22"/>
        </w:rPr>
        <w:t>more advanced engagement</w:t>
      </w:r>
      <w:r w:rsidR="002F68D8">
        <w:rPr>
          <w:sz w:val="22"/>
          <w:szCs w:val="22"/>
        </w:rPr>
        <w:t xml:space="preserve"> in ARoB.</w:t>
      </w:r>
      <w:r w:rsidR="0028306E">
        <w:rPr>
          <w:sz w:val="22"/>
          <w:szCs w:val="22"/>
        </w:rPr>
        <w:t xml:space="preserve"> </w:t>
      </w:r>
    </w:p>
    <w:tbl>
      <w:tblPr>
        <w:tblStyle w:val="TableGrid"/>
        <w:tblW w:w="0" w:type="auto"/>
        <w:tblLook w:val="04A0" w:firstRow="1" w:lastRow="0" w:firstColumn="1" w:lastColumn="0" w:noHBand="0" w:noVBand="1"/>
      </w:tblPr>
      <w:tblGrid>
        <w:gridCol w:w="3823"/>
        <w:gridCol w:w="1451"/>
        <w:gridCol w:w="1451"/>
        <w:gridCol w:w="1451"/>
        <w:gridCol w:w="1452"/>
      </w:tblGrid>
      <w:tr w:rsidR="001B4DA5" w:rsidRPr="004E1BCD" w14:paraId="1C9661BB" w14:textId="77777777" w:rsidTr="00B14AF6">
        <w:trPr>
          <w:tblHeader/>
        </w:trPr>
        <w:tc>
          <w:tcPr>
            <w:tcW w:w="3823" w:type="dxa"/>
          </w:tcPr>
          <w:p w14:paraId="49D53895" w14:textId="67BD844B" w:rsidR="001B4DA5" w:rsidRPr="002F5086" w:rsidRDefault="0028306E" w:rsidP="00D64EC7">
            <w:pPr>
              <w:rPr>
                <w:b/>
                <w:bCs/>
                <w:sz w:val="20"/>
                <w:szCs w:val="20"/>
              </w:rPr>
            </w:pPr>
            <w:r w:rsidRPr="0060740D">
              <w:rPr>
                <w:b/>
                <w:bCs/>
                <w:sz w:val="20"/>
                <w:szCs w:val="20"/>
              </w:rPr>
              <w:t>Possible activities</w:t>
            </w:r>
          </w:p>
        </w:tc>
        <w:tc>
          <w:tcPr>
            <w:tcW w:w="1451" w:type="dxa"/>
          </w:tcPr>
          <w:p w14:paraId="13E883A6" w14:textId="5D3A847C" w:rsidR="001B4DA5" w:rsidRPr="004E1BCD" w:rsidRDefault="001B4DA5" w:rsidP="006430F1">
            <w:pPr>
              <w:jc w:val="center"/>
              <w:rPr>
                <w:sz w:val="20"/>
                <w:szCs w:val="20"/>
              </w:rPr>
            </w:pPr>
            <w:r w:rsidRPr="004E1BCD">
              <w:rPr>
                <w:sz w:val="20"/>
                <w:szCs w:val="20"/>
              </w:rPr>
              <w:t>Enga</w:t>
            </w:r>
          </w:p>
        </w:tc>
        <w:tc>
          <w:tcPr>
            <w:tcW w:w="1451" w:type="dxa"/>
          </w:tcPr>
          <w:p w14:paraId="5A0F30C6" w14:textId="38FDCB5A" w:rsidR="001B4DA5" w:rsidRPr="004E1BCD" w:rsidRDefault="001B4DA5" w:rsidP="006430F1">
            <w:pPr>
              <w:jc w:val="center"/>
              <w:rPr>
                <w:sz w:val="20"/>
                <w:szCs w:val="20"/>
              </w:rPr>
            </w:pPr>
            <w:r w:rsidRPr="004E1BCD">
              <w:rPr>
                <w:sz w:val="20"/>
                <w:szCs w:val="20"/>
              </w:rPr>
              <w:t>Sandaun</w:t>
            </w:r>
          </w:p>
        </w:tc>
        <w:tc>
          <w:tcPr>
            <w:tcW w:w="1451" w:type="dxa"/>
          </w:tcPr>
          <w:p w14:paraId="13CF01FC" w14:textId="7157DA98" w:rsidR="001B4DA5" w:rsidRPr="004E1BCD" w:rsidRDefault="001B4DA5" w:rsidP="006430F1">
            <w:pPr>
              <w:jc w:val="center"/>
              <w:rPr>
                <w:sz w:val="20"/>
                <w:szCs w:val="20"/>
              </w:rPr>
            </w:pPr>
            <w:r w:rsidRPr="004E1BCD">
              <w:rPr>
                <w:sz w:val="20"/>
                <w:szCs w:val="20"/>
              </w:rPr>
              <w:t>ARoB</w:t>
            </w:r>
          </w:p>
        </w:tc>
        <w:tc>
          <w:tcPr>
            <w:tcW w:w="1452" w:type="dxa"/>
          </w:tcPr>
          <w:p w14:paraId="078BE329" w14:textId="367CADA7" w:rsidR="001B4DA5" w:rsidRPr="004E1BCD" w:rsidRDefault="001B4DA5" w:rsidP="006430F1">
            <w:pPr>
              <w:jc w:val="center"/>
              <w:rPr>
                <w:sz w:val="20"/>
                <w:szCs w:val="20"/>
              </w:rPr>
            </w:pPr>
            <w:r w:rsidRPr="004E1BCD">
              <w:rPr>
                <w:sz w:val="20"/>
                <w:szCs w:val="20"/>
              </w:rPr>
              <w:t>Central</w:t>
            </w:r>
          </w:p>
        </w:tc>
      </w:tr>
      <w:tr w:rsidR="006430F1" w:rsidRPr="004E1BCD" w14:paraId="040300D2" w14:textId="77777777" w:rsidTr="006430F1">
        <w:tc>
          <w:tcPr>
            <w:tcW w:w="3823" w:type="dxa"/>
          </w:tcPr>
          <w:p w14:paraId="1B95235F" w14:textId="1BD903B2" w:rsidR="006430F1" w:rsidRPr="004E1BCD" w:rsidRDefault="006430F1" w:rsidP="006430F1">
            <w:pPr>
              <w:rPr>
                <w:sz w:val="20"/>
                <w:szCs w:val="20"/>
              </w:rPr>
            </w:pPr>
            <w:r>
              <w:rPr>
                <w:sz w:val="20"/>
                <w:szCs w:val="20"/>
              </w:rPr>
              <w:t>Back to school campaign</w:t>
            </w:r>
          </w:p>
        </w:tc>
        <w:tc>
          <w:tcPr>
            <w:tcW w:w="1451" w:type="dxa"/>
          </w:tcPr>
          <w:p w14:paraId="437AAC62" w14:textId="4AAE9A66" w:rsidR="006430F1" w:rsidRPr="004E1BCD" w:rsidRDefault="006430F1" w:rsidP="006430F1">
            <w:pPr>
              <w:jc w:val="center"/>
              <w:rPr>
                <w:sz w:val="20"/>
                <w:szCs w:val="20"/>
              </w:rPr>
            </w:pPr>
            <w:r>
              <w:rPr>
                <w:sz w:val="20"/>
                <w:szCs w:val="20"/>
              </w:rPr>
              <w:t>x</w:t>
            </w:r>
          </w:p>
        </w:tc>
        <w:tc>
          <w:tcPr>
            <w:tcW w:w="1451" w:type="dxa"/>
          </w:tcPr>
          <w:p w14:paraId="54340045" w14:textId="4EFC878C" w:rsidR="006430F1" w:rsidRPr="004E1BCD" w:rsidRDefault="006430F1" w:rsidP="006430F1">
            <w:pPr>
              <w:jc w:val="center"/>
              <w:rPr>
                <w:sz w:val="20"/>
                <w:szCs w:val="20"/>
              </w:rPr>
            </w:pPr>
            <w:r w:rsidRPr="00FB2B26">
              <w:rPr>
                <w:sz w:val="20"/>
                <w:szCs w:val="20"/>
              </w:rPr>
              <w:t>Y</w:t>
            </w:r>
          </w:p>
        </w:tc>
        <w:tc>
          <w:tcPr>
            <w:tcW w:w="1451" w:type="dxa"/>
          </w:tcPr>
          <w:p w14:paraId="69FB3AA5" w14:textId="0337F362" w:rsidR="006430F1" w:rsidRPr="004E1BCD" w:rsidRDefault="006430F1" w:rsidP="006430F1">
            <w:pPr>
              <w:jc w:val="center"/>
              <w:rPr>
                <w:sz w:val="20"/>
                <w:szCs w:val="20"/>
              </w:rPr>
            </w:pPr>
            <w:r w:rsidRPr="00FB2B26">
              <w:rPr>
                <w:sz w:val="20"/>
                <w:szCs w:val="20"/>
              </w:rPr>
              <w:t>Y</w:t>
            </w:r>
          </w:p>
        </w:tc>
        <w:tc>
          <w:tcPr>
            <w:tcW w:w="1452" w:type="dxa"/>
          </w:tcPr>
          <w:p w14:paraId="6605B524" w14:textId="15927063" w:rsidR="006430F1" w:rsidRPr="004E1BCD" w:rsidRDefault="006430F1" w:rsidP="006430F1">
            <w:pPr>
              <w:jc w:val="center"/>
              <w:rPr>
                <w:sz w:val="20"/>
                <w:szCs w:val="20"/>
              </w:rPr>
            </w:pPr>
            <w:r w:rsidRPr="00FB2B26">
              <w:rPr>
                <w:sz w:val="20"/>
                <w:szCs w:val="20"/>
              </w:rPr>
              <w:t>Y</w:t>
            </w:r>
          </w:p>
        </w:tc>
      </w:tr>
      <w:tr w:rsidR="006430F1" w:rsidRPr="004E1BCD" w14:paraId="5234DE5D" w14:textId="77777777" w:rsidTr="006430F1">
        <w:tc>
          <w:tcPr>
            <w:tcW w:w="3823" w:type="dxa"/>
          </w:tcPr>
          <w:p w14:paraId="50300180" w14:textId="7AFDFD1C" w:rsidR="006430F1" w:rsidRPr="004E1BCD" w:rsidRDefault="006430F1" w:rsidP="006430F1">
            <w:pPr>
              <w:rPr>
                <w:sz w:val="20"/>
                <w:szCs w:val="20"/>
              </w:rPr>
            </w:pPr>
            <w:r w:rsidRPr="004E1BCD">
              <w:rPr>
                <w:sz w:val="20"/>
                <w:szCs w:val="20"/>
              </w:rPr>
              <w:t>School leadership and management</w:t>
            </w:r>
          </w:p>
        </w:tc>
        <w:tc>
          <w:tcPr>
            <w:tcW w:w="1451" w:type="dxa"/>
          </w:tcPr>
          <w:p w14:paraId="5CB658AD" w14:textId="3EE6862A" w:rsidR="006430F1" w:rsidRPr="004E1BCD" w:rsidRDefault="006430F1" w:rsidP="006430F1">
            <w:pPr>
              <w:jc w:val="center"/>
              <w:rPr>
                <w:sz w:val="20"/>
                <w:szCs w:val="20"/>
              </w:rPr>
            </w:pPr>
            <w:r w:rsidRPr="00C050E8">
              <w:rPr>
                <w:sz w:val="20"/>
                <w:szCs w:val="20"/>
              </w:rPr>
              <w:t>x</w:t>
            </w:r>
          </w:p>
        </w:tc>
        <w:tc>
          <w:tcPr>
            <w:tcW w:w="1451" w:type="dxa"/>
          </w:tcPr>
          <w:p w14:paraId="5A74C222" w14:textId="48E8D4C2" w:rsidR="006430F1" w:rsidRPr="004E1BCD" w:rsidRDefault="006430F1" w:rsidP="006430F1">
            <w:pPr>
              <w:jc w:val="center"/>
              <w:rPr>
                <w:sz w:val="20"/>
                <w:szCs w:val="20"/>
              </w:rPr>
            </w:pPr>
            <w:r w:rsidRPr="00FB2B26">
              <w:rPr>
                <w:sz w:val="20"/>
                <w:szCs w:val="20"/>
              </w:rPr>
              <w:t>Y</w:t>
            </w:r>
          </w:p>
        </w:tc>
        <w:tc>
          <w:tcPr>
            <w:tcW w:w="1451" w:type="dxa"/>
          </w:tcPr>
          <w:p w14:paraId="4C4871A9" w14:textId="1480B47F" w:rsidR="006430F1" w:rsidRPr="004E1BCD" w:rsidRDefault="006430F1" w:rsidP="006430F1">
            <w:pPr>
              <w:jc w:val="center"/>
              <w:rPr>
                <w:sz w:val="20"/>
                <w:szCs w:val="20"/>
              </w:rPr>
            </w:pPr>
            <w:r w:rsidRPr="00FB2B26">
              <w:rPr>
                <w:sz w:val="20"/>
                <w:szCs w:val="20"/>
              </w:rPr>
              <w:t>Y</w:t>
            </w:r>
          </w:p>
        </w:tc>
        <w:tc>
          <w:tcPr>
            <w:tcW w:w="1452" w:type="dxa"/>
          </w:tcPr>
          <w:p w14:paraId="123D3C09" w14:textId="2DEE3279" w:rsidR="006430F1" w:rsidRPr="004E1BCD" w:rsidRDefault="006430F1" w:rsidP="006430F1">
            <w:pPr>
              <w:jc w:val="center"/>
              <w:rPr>
                <w:sz w:val="20"/>
                <w:szCs w:val="20"/>
              </w:rPr>
            </w:pPr>
            <w:r w:rsidRPr="00FB2B26">
              <w:rPr>
                <w:sz w:val="20"/>
                <w:szCs w:val="20"/>
              </w:rPr>
              <w:t>Y</w:t>
            </w:r>
          </w:p>
        </w:tc>
      </w:tr>
      <w:tr w:rsidR="006430F1" w:rsidRPr="004E1BCD" w14:paraId="6EA7E944" w14:textId="77777777" w:rsidTr="006430F1">
        <w:tc>
          <w:tcPr>
            <w:tcW w:w="3823" w:type="dxa"/>
          </w:tcPr>
          <w:p w14:paraId="750B2D21" w14:textId="2AEBE11D" w:rsidR="006430F1" w:rsidRDefault="006430F1" w:rsidP="006430F1">
            <w:pPr>
              <w:rPr>
                <w:sz w:val="20"/>
                <w:szCs w:val="20"/>
              </w:rPr>
            </w:pPr>
            <w:r>
              <w:rPr>
                <w:sz w:val="20"/>
                <w:szCs w:val="20"/>
              </w:rPr>
              <w:t>AQEFA</w:t>
            </w:r>
          </w:p>
        </w:tc>
        <w:tc>
          <w:tcPr>
            <w:tcW w:w="1451" w:type="dxa"/>
          </w:tcPr>
          <w:p w14:paraId="48CF438C" w14:textId="2CB5DA84" w:rsidR="006430F1" w:rsidRPr="004E1BCD" w:rsidRDefault="006430F1" w:rsidP="006430F1">
            <w:pPr>
              <w:jc w:val="center"/>
              <w:rPr>
                <w:sz w:val="20"/>
                <w:szCs w:val="20"/>
              </w:rPr>
            </w:pPr>
            <w:r w:rsidRPr="00C050E8">
              <w:rPr>
                <w:sz w:val="20"/>
                <w:szCs w:val="20"/>
              </w:rPr>
              <w:t>x</w:t>
            </w:r>
          </w:p>
        </w:tc>
        <w:tc>
          <w:tcPr>
            <w:tcW w:w="1451" w:type="dxa"/>
          </w:tcPr>
          <w:p w14:paraId="525F35BD" w14:textId="2736FA95" w:rsidR="006430F1" w:rsidRPr="004E1BCD" w:rsidRDefault="006430F1" w:rsidP="006430F1">
            <w:pPr>
              <w:jc w:val="center"/>
              <w:rPr>
                <w:sz w:val="20"/>
                <w:szCs w:val="20"/>
              </w:rPr>
            </w:pPr>
            <w:r w:rsidRPr="00FB2B26">
              <w:rPr>
                <w:sz w:val="20"/>
                <w:szCs w:val="20"/>
              </w:rPr>
              <w:t>Y</w:t>
            </w:r>
          </w:p>
        </w:tc>
        <w:tc>
          <w:tcPr>
            <w:tcW w:w="1451" w:type="dxa"/>
          </w:tcPr>
          <w:p w14:paraId="299D725F" w14:textId="289920F7" w:rsidR="006430F1" w:rsidRPr="004E1BCD" w:rsidRDefault="006430F1" w:rsidP="006430F1">
            <w:pPr>
              <w:jc w:val="center"/>
              <w:rPr>
                <w:sz w:val="20"/>
                <w:szCs w:val="20"/>
              </w:rPr>
            </w:pPr>
            <w:r w:rsidRPr="00FB2B26">
              <w:rPr>
                <w:sz w:val="20"/>
                <w:szCs w:val="20"/>
              </w:rPr>
              <w:t>Y</w:t>
            </w:r>
          </w:p>
        </w:tc>
        <w:tc>
          <w:tcPr>
            <w:tcW w:w="1452" w:type="dxa"/>
          </w:tcPr>
          <w:p w14:paraId="183970C5" w14:textId="261321C0" w:rsidR="006430F1" w:rsidRPr="004E1BCD" w:rsidRDefault="006430F1" w:rsidP="006430F1">
            <w:pPr>
              <w:jc w:val="center"/>
              <w:rPr>
                <w:sz w:val="20"/>
                <w:szCs w:val="20"/>
              </w:rPr>
            </w:pPr>
            <w:r w:rsidRPr="00FB2B26">
              <w:rPr>
                <w:sz w:val="20"/>
                <w:szCs w:val="20"/>
              </w:rPr>
              <w:t>Y</w:t>
            </w:r>
          </w:p>
        </w:tc>
      </w:tr>
      <w:tr w:rsidR="006430F1" w:rsidRPr="004E1BCD" w14:paraId="1F5C9FE3" w14:textId="77777777" w:rsidTr="006430F1">
        <w:tc>
          <w:tcPr>
            <w:tcW w:w="3823" w:type="dxa"/>
          </w:tcPr>
          <w:p w14:paraId="58226991" w14:textId="38500804" w:rsidR="006430F1" w:rsidRDefault="006430F1" w:rsidP="006430F1">
            <w:pPr>
              <w:rPr>
                <w:sz w:val="20"/>
                <w:szCs w:val="20"/>
              </w:rPr>
            </w:pPr>
            <w:r>
              <w:rPr>
                <w:sz w:val="20"/>
                <w:szCs w:val="20"/>
              </w:rPr>
              <w:t>TUF</w:t>
            </w:r>
          </w:p>
        </w:tc>
        <w:tc>
          <w:tcPr>
            <w:tcW w:w="1451" w:type="dxa"/>
          </w:tcPr>
          <w:p w14:paraId="3B38D504" w14:textId="4AECC6AF" w:rsidR="006430F1" w:rsidRPr="004E1BCD" w:rsidRDefault="006430F1" w:rsidP="006430F1">
            <w:pPr>
              <w:jc w:val="center"/>
              <w:rPr>
                <w:sz w:val="20"/>
                <w:szCs w:val="20"/>
              </w:rPr>
            </w:pPr>
            <w:r>
              <w:rPr>
                <w:sz w:val="20"/>
                <w:szCs w:val="20"/>
              </w:rPr>
              <w:t>Y</w:t>
            </w:r>
          </w:p>
        </w:tc>
        <w:tc>
          <w:tcPr>
            <w:tcW w:w="1451" w:type="dxa"/>
          </w:tcPr>
          <w:p w14:paraId="0E50BF2A" w14:textId="311EBCE9" w:rsidR="006430F1" w:rsidRPr="004E1BCD" w:rsidRDefault="006430F1" w:rsidP="006430F1">
            <w:pPr>
              <w:jc w:val="center"/>
              <w:rPr>
                <w:sz w:val="20"/>
                <w:szCs w:val="20"/>
              </w:rPr>
            </w:pPr>
            <w:r w:rsidRPr="00840DB6">
              <w:rPr>
                <w:sz w:val="20"/>
                <w:szCs w:val="20"/>
              </w:rPr>
              <w:t>Y</w:t>
            </w:r>
          </w:p>
        </w:tc>
        <w:tc>
          <w:tcPr>
            <w:tcW w:w="1451" w:type="dxa"/>
          </w:tcPr>
          <w:p w14:paraId="4AC27763" w14:textId="03420D1E" w:rsidR="006430F1" w:rsidRPr="004E1BCD" w:rsidRDefault="006430F1" w:rsidP="006430F1">
            <w:pPr>
              <w:jc w:val="center"/>
              <w:rPr>
                <w:sz w:val="20"/>
                <w:szCs w:val="20"/>
              </w:rPr>
            </w:pPr>
            <w:r w:rsidRPr="00840DB6">
              <w:rPr>
                <w:sz w:val="20"/>
                <w:szCs w:val="20"/>
              </w:rPr>
              <w:t>Y</w:t>
            </w:r>
          </w:p>
        </w:tc>
        <w:tc>
          <w:tcPr>
            <w:tcW w:w="1452" w:type="dxa"/>
          </w:tcPr>
          <w:p w14:paraId="216AF599" w14:textId="17FDDC8B" w:rsidR="006430F1" w:rsidRPr="004E1BCD" w:rsidRDefault="006430F1" w:rsidP="006430F1">
            <w:pPr>
              <w:jc w:val="center"/>
              <w:rPr>
                <w:sz w:val="20"/>
                <w:szCs w:val="20"/>
              </w:rPr>
            </w:pPr>
            <w:r w:rsidRPr="00840DB6">
              <w:rPr>
                <w:sz w:val="20"/>
                <w:szCs w:val="20"/>
              </w:rPr>
              <w:t>Y</w:t>
            </w:r>
          </w:p>
        </w:tc>
      </w:tr>
      <w:tr w:rsidR="006430F1" w:rsidRPr="004E1BCD" w14:paraId="0166AE7D" w14:textId="77777777" w:rsidTr="006430F1">
        <w:tc>
          <w:tcPr>
            <w:tcW w:w="3823" w:type="dxa"/>
          </w:tcPr>
          <w:p w14:paraId="51437F5C" w14:textId="29D75F01" w:rsidR="006430F1" w:rsidRPr="004E1BCD" w:rsidRDefault="006430F1" w:rsidP="006430F1">
            <w:pPr>
              <w:rPr>
                <w:sz w:val="20"/>
                <w:szCs w:val="20"/>
              </w:rPr>
            </w:pPr>
            <w:r>
              <w:rPr>
                <w:sz w:val="20"/>
                <w:szCs w:val="20"/>
              </w:rPr>
              <w:t>BB training and resources</w:t>
            </w:r>
          </w:p>
        </w:tc>
        <w:tc>
          <w:tcPr>
            <w:tcW w:w="1451" w:type="dxa"/>
          </w:tcPr>
          <w:p w14:paraId="2579C3A4" w14:textId="3435787D" w:rsidR="006430F1" w:rsidRPr="004E1BCD" w:rsidRDefault="006430F1" w:rsidP="006430F1">
            <w:pPr>
              <w:jc w:val="center"/>
              <w:rPr>
                <w:sz w:val="20"/>
                <w:szCs w:val="20"/>
              </w:rPr>
            </w:pPr>
            <w:r w:rsidRPr="00E52106">
              <w:rPr>
                <w:sz w:val="20"/>
                <w:szCs w:val="20"/>
              </w:rPr>
              <w:t>x</w:t>
            </w:r>
          </w:p>
        </w:tc>
        <w:tc>
          <w:tcPr>
            <w:tcW w:w="1451" w:type="dxa"/>
          </w:tcPr>
          <w:p w14:paraId="4B532E8A" w14:textId="5D65246B" w:rsidR="006430F1" w:rsidRPr="004E1BCD" w:rsidRDefault="006430F1" w:rsidP="006430F1">
            <w:pPr>
              <w:jc w:val="center"/>
              <w:rPr>
                <w:sz w:val="20"/>
                <w:szCs w:val="20"/>
              </w:rPr>
            </w:pPr>
            <w:r>
              <w:rPr>
                <w:sz w:val="20"/>
                <w:szCs w:val="20"/>
              </w:rPr>
              <w:t>As needed</w:t>
            </w:r>
          </w:p>
        </w:tc>
        <w:tc>
          <w:tcPr>
            <w:tcW w:w="1451" w:type="dxa"/>
          </w:tcPr>
          <w:p w14:paraId="512D344E" w14:textId="2CF32338" w:rsidR="006430F1" w:rsidRPr="004E1BCD" w:rsidRDefault="006430F1" w:rsidP="006430F1">
            <w:pPr>
              <w:jc w:val="center"/>
              <w:rPr>
                <w:sz w:val="20"/>
                <w:szCs w:val="20"/>
              </w:rPr>
            </w:pPr>
            <w:r w:rsidRPr="007C5A66">
              <w:rPr>
                <w:sz w:val="20"/>
                <w:szCs w:val="20"/>
              </w:rPr>
              <w:t>As needed</w:t>
            </w:r>
          </w:p>
        </w:tc>
        <w:tc>
          <w:tcPr>
            <w:tcW w:w="1452" w:type="dxa"/>
          </w:tcPr>
          <w:p w14:paraId="4E3C7BD0" w14:textId="069AD99D" w:rsidR="006430F1" w:rsidRPr="004E1BCD" w:rsidRDefault="006430F1" w:rsidP="006430F1">
            <w:pPr>
              <w:jc w:val="center"/>
              <w:rPr>
                <w:sz w:val="20"/>
                <w:szCs w:val="20"/>
              </w:rPr>
            </w:pPr>
            <w:r w:rsidRPr="007C5A66">
              <w:rPr>
                <w:sz w:val="20"/>
                <w:szCs w:val="20"/>
              </w:rPr>
              <w:t>As needed</w:t>
            </w:r>
          </w:p>
        </w:tc>
      </w:tr>
      <w:tr w:rsidR="006430F1" w:rsidRPr="004E1BCD" w14:paraId="0C25F921" w14:textId="77777777" w:rsidTr="006430F1">
        <w:tc>
          <w:tcPr>
            <w:tcW w:w="3823" w:type="dxa"/>
          </w:tcPr>
          <w:p w14:paraId="5B408F4E" w14:textId="6656AE1C" w:rsidR="006430F1" w:rsidRPr="004E1BCD" w:rsidRDefault="006430F1" w:rsidP="006430F1">
            <w:pPr>
              <w:rPr>
                <w:sz w:val="20"/>
                <w:szCs w:val="20"/>
              </w:rPr>
            </w:pPr>
            <w:r>
              <w:rPr>
                <w:sz w:val="20"/>
                <w:szCs w:val="20"/>
              </w:rPr>
              <w:t>Conso</w:t>
            </w:r>
            <w:r w:rsidR="002F3F28">
              <w:rPr>
                <w:sz w:val="20"/>
                <w:szCs w:val="20"/>
              </w:rPr>
              <w:t>lidate (reinforce or remediate) literacy learning from B</w:t>
            </w:r>
            <w:r w:rsidR="001C1D41">
              <w:rPr>
                <w:sz w:val="20"/>
                <w:szCs w:val="20"/>
              </w:rPr>
              <w:t>B training</w:t>
            </w:r>
            <w:r w:rsidR="00F67F8A">
              <w:rPr>
                <w:sz w:val="20"/>
                <w:szCs w:val="20"/>
              </w:rPr>
              <w:t>, possibly linked to PIST</w:t>
            </w:r>
          </w:p>
        </w:tc>
        <w:tc>
          <w:tcPr>
            <w:tcW w:w="1451" w:type="dxa"/>
          </w:tcPr>
          <w:p w14:paraId="56C68F62" w14:textId="025C2D67" w:rsidR="006430F1" w:rsidRPr="004E1BCD" w:rsidRDefault="006430F1" w:rsidP="006430F1">
            <w:pPr>
              <w:jc w:val="center"/>
              <w:rPr>
                <w:sz w:val="20"/>
                <w:szCs w:val="20"/>
              </w:rPr>
            </w:pPr>
            <w:r w:rsidRPr="00E52106">
              <w:rPr>
                <w:sz w:val="20"/>
                <w:szCs w:val="20"/>
              </w:rPr>
              <w:t>x</w:t>
            </w:r>
          </w:p>
        </w:tc>
        <w:tc>
          <w:tcPr>
            <w:tcW w:w="1451" w:type="dxa"/>
          </w:tcPr>
          <w:p w14:paraId="1A77850F" w14:textId="3E90CDBA" w:rsidR="006430F1" w:rsidRPr="004E1BCD" w:rsidRDefault="006430F1" w:rsidP="006430F1">
            <w:pPr>
              <w:jc w:val="center"/>
              <w:rPr>
                <w:sz w:val="20"/>
                <w:szCs w:val="20"/>
              </w:rPr>
            </w:pPr>
            <w:r w:rsidRPr="00483103">
              <w:rPr>
                <w:sz w:val="20"/>
                <w:szCs w:val="20"/>
              </w:rPr>
              <w:t>Y</w:t>
            </w:r>
          </w:p>
        </w:tc>
        <w:tc>
          <w:tcPr>
            <w:tcW w:w="1451" w:type="dxa"/>
          </w:tcPr>
          <w:p w14:paraId="76385DD9" w14:textId="543127C5" w:rsidR="006430F1" w:rsidRPr="004E1BCD" w:rsidRDefault="006430F1" w:rsidP="006430F1">
            <w:pPr>
              <w:jc w:val="center"/>
              <w:rPr>
                <w:sz w:val="20"/>
                <w:szCs w:val="20"/>
              </w:rPr>
            </w:pPr>
            <w:r w:rsidRPr="00483103">
              <w:rPr>
                <w:sz w:val="20"/>
                <w:szCs w:val="20"/>
              </w:rPr>
              <w:t>Y</w:t>
            </w:r>
          </w:p>
        </w:tc>
        <w:tc>
          <w:tcPr>
            <w:tcW w:w="1452" w:type="dxa"/>
          </w:tcPr>
          <w:p w14:paraId="6B754005" w14:textId="7CCF8A2D" w:rsidR="006430F1" w:rsidRPr="004E1BCD" w:rsidRDefault="006430F1" w:rsidP="006430F1">
            <w:pPr>
              <w:jc w:val="center"/>
              <w:rPr>
                <w:sz w:val="20"/>
                <w:szCs w:val="20"/>
              </w:rPr>
            </w:pPr>
            <w:r w:rsidRPr="00483103">
              <w:rPr>
                <w:sz w:val="20"/>
                <w:szCs w:val="20"/>
              </w:rPr>
              <w:t>Y</w:t>
            </w:r>
          </w:p>
        </w:tc>
      </w:tr>
      <w:tr w:rsidR="006430F1" w:rsidRPr="004E1BCD" w14:paraId="47174D81" w14:textId="77777777" w:rsidTr="006430F1">
        <w:tc>
          <w:tcPr>
            <w:tcW w:w="3823" w:type="dxa"/>
          </w:tcPr>
          <w:p w14:paraId="27D31D77" w14:textId="267AB229" w:rsidR="006430F1" w:rsidRPr="004E1BCD" w:rsidRDefault="006430F1" w:rsidP="006430F1">
            <w:pPr>
              <w:rPr>
                <w:sz w:val="20"/>
                <w:szCs w:val="20"/>
              </w:rPr>
            </w:pPr>
            <w:r>
              <w:rPr>
                <w:sz w:val="20"/>
                <w:szCs w:val="20"/>
              </w:rPr>
              <w:t>Extend literacy training</w:t>
            </w:r>
            <w:r w:rsidR="00F67F8A">
              <w:rPr>
                <w:sz w:val="20"/>
                <w:szCs w:val="20"/>
              </w:rPr>
              <w:t>, possibly linked to PIST or NIST</w:t>
            </w:r>
          </w:p>
        </w:tc>
        <w:tc>
          <w:tcPr>
            <w:tcW w:w="1451" w:type="dxa"/>
          </w:tcPr>
          <w:p w14:paraId="691E13BA" w14:textId="254681AA" w:rsidR="006430F1" w:rsidRPr="004E1BCD" w:rsidRDefault="006430F1" w:rsidP="006430F1">
            <w:pPr>
              <w:jc w:val="center"/>
              <w:rPr>
                <w:sz w:val="20"/>
                <w:szCs w:val="20"/>
              </w:rPr>
            </w:pPr>
            <w:r w:rsidRPr="00E52106">
              <w:rPr>
                <w:sz w:val="20"/>
                <w:szCs w:val="20"/>
              </w:rPr>
              <w:t>x</w:t>
            </w:r>
          </w:p>
        </w:tc>
        <w:tc>
          <w:tcPr>
            <w:tcW w:w="1451" w:type="dxa"/>
          </w:tcPr>
          <w:p w14:paraId="41E7BAEF" w14:textId="6A624600" w:rsidR="006430F1" w:rsidRPr="004E1BCD" w:rsidRDefault="008028C6" w:rsidP="006430F1">
            <w:pPr>
              <w:jc w:val="center"/>
              <w:rPr>
                <w:sz w:val="20"/>
                <w:szCs w:val="20"/>
              </w:rPr>
            </w:pPr>
            <w:r>
              <w:rPr>
                <w:sz w:val="20"/>
                <w:szCs w:val="20"/>
              </w:rPr>
              <w:t>?</w:t>
            </w:r>
          </w:p>
        </w:tc>
        <w:tc>
          <w:tcPr>
            <w:tcW w:w="1451" w:type="dxa"/>
          </w:tcPr>
          <w:p w14:paraId="71FB4008" w14:textId="52184F48" w:rsidR="006430F1" w:rsidRPr="004E1BCD" w:rsidRDefault="006430F1" w:rsidP="006430F1">
            <w:pPr>
              <w:jc w:val="center"/>
              <w:rPr>
                <w:sz w:val="20"/>
                <w:szCs w:val="20"/>
              </w:rPr>
            </w:pPr>
            <w:r>
              <w:rPr>
                <w:sz w:val="20"/>
                <w:szCs w:val="20"/>
              </w:rPr>
              <w:t>Y</w:t>
            </w:r>
          </w:p>
        </w:tc>
        <w:tc>
          <w:tcPr>
            <w:tcW w:w="1452" w:type="dxa"/>
          </w:tcPr>
          <w:p w14:paraId="4ED4719C" w14:textId="09A64D1C" w:rsidR="006430F1" w:rsidRPr="004E1BCD" w:rsidRDefault="006430F1" w:rsidP="006430F1">
            <w:pPr>
              <w:jc w:val="center"/>
              <w:rPr>
                <w:sz w:val="20"/>
                <w:szCs w:val="20"/>
              </w:rPr>
            </w:pPr>
            <w:r>
              <w:rPr>
                <w:sz w:val="20"/>
                <w:szCs w:val="20"/>
              </w:rPr>
              <w:t>?</w:t>
            </w:r>
          </w:p>
        </w:tc>
      </w:tr>
      <w:tr w:rsidR="006430F1" w:rsidRPr="004E1BCD" w14:paraId="47D36DD1" w14:textId="77777777" w:rsidTr="006430F1">
        <w:tc>
          <w:tcPr>
            <w:tcW w:w="3823" w:type="dxa"/>
          </w:tcPr>
          <w:p w14:paraId="0D5D0C21" w14:textId="644F5090" w:rsidR="006430F1" w:rsidRDefault="006430F1" w:rsidP="006430F1">
            <w:pPr>
              <w:rPr>
                <w:sz w:val="20"/>
                <w:szCs w:val="20"/>
              </w:rPr>
            </w:pPr>
            <w:r>
              <w:rPr>
                <w:sz w:val="20"/>
                <w:szCs w:val="20"/>
              </w:rPr>
              <w:t>Numeracy training</w:t>
            </w:r>
            <w:r w:rsidR="006E53BB">
              <w:rPr>
                <w:sz w:val="20"/>
                <w:szCs w:val="20"/>
              </w:rPr>
              <w:t xml:space="preserve">, possibly </w:t>
            </w:r>
            <w:r w:rsidR="00E429C6">
              <w:rPr>
                <w:sz w:val="20"/>
                <w:szCs w:val="20"/>
              </w:rPr>
              <w:t xml:space="preserve">linked to PIST </w:t>
            </w:r>
            <w:r w:rsidR="00537D96">
              <w:rPr>
                <w:sz w:val="20"/>
                <w:szCs w:val="20"/>
              </w:rPr>
              <w:t>or</w:t>
            </w:r>
            <w:r w:rsidR="00E429C6">
              <w:rPr>
                <w:sz w:val="20"/>
                <w:szCs w:val="20"/>
              </w:rPr>
              <w:t xml:space="preserve"> NIST</w:t>
            </w:r>
          </w:p>
        </w:tc>
        <w:tc>
          <w:tcPr>
            <w:tcW w:w="1451" w:type="dxa"/>
          </w:tcPr>
          <w:p w14:paraId="45A6FD31" w14:textId="1CE927E9" w:rsidR="006430F1" w:rsidRPr="004E1BCD" w:rsidRDefault="006430F1" w:rsidP="006430F1">
            <w:pPr>
              <w:jc w:val="center"/>
              <w:rPr>
                <w:sz w:val="20"/>
                <w:szCs w:val="20"/>
              </w:rPr>
            </w:pPr>
            <w:r w:rsidRPr="00E52106">
              <w:rPr>
                <w:sz w:val="20"/>
                <w:szCs w:val="20"/>
              </w:rPr>
              <w:t>x</w:t>
            </w:r>
          </w:p>
        </w:tc>
        <w:tc>
          <w:tcPr>
            <w:tcW w:w="1451" w:type="dxa"/>
          </w:tcPr>
          <w:p w14:paraId="324C2B46" w14:textId="572468A8" w:rsidR="006430F1" w:rsidRPr="004E1BCD" w:rsidRDefault="008028C6" w:rsidP="006430F1">
            <w:pPr>
              <w:jc w:val="center"/>
              <w:rPr>
                <w:sz w:val="20"/>
                <w:szCs w:val="20"/>
              </w:rPr>
            </w:pPr>
            <w:r>
              <w:rPr>
                <w:sz w:val="20"/>
                <w:szCs w:val="20"/>
              </w:rPr>
              <w:t>x</w:t>
            </w:r>
          </w:p>
        </w:tc>
        <w:tc>
          <w:tcPr>
            <w:tcW w:w="1451" w:type="dxa"/>
          </w:tcPr>
          <w:p w14:paraId="2F24FA8A" w14:textId="4BE8D761" w:rsidR="006430F1" w:rsidRPr="004E1BCD" w:rsidRDefault="006430F1" w:rsidP="006430F1">
            <w:pPr>
              <w:jc w:val="center"/>
              <w:rPr>
                <w:sz w:val="20"/>
                <w:szCs w:val="20"/>
              </w:rPr>
            </w:pPr>
            <w:r>
              <w:rPr>
                <w:sz w:val="20"/>
                <w:szCs w:val="20"/>
              </w:rPr>
              <w:t>?</w:t>
            </w:r>
          </w:p>
        </w:tc>
        <w:tc>
          <w:tcPr>
            <w:tcW w:w="1452" w:type="dxa"/>
          </w:tcPr>
          <w:p w14:paraId="38AC5F5E" w14:textId="2ACFDC22" w:rsidR="006430F1" w:rsidRPr="004E1BCD" w:rsidRDefault="008028C6" w:rsidP="006430F1">
            <w:pPr>
              <w:jc w:val="center"/>
              <w:rPr>
                <w:sz w:val="20"/>
                <w:szCs w:val="20"/>
              </w:rPr>
            </w:pPr>
            <w:r>
              <w:rPr>
                <w:sz w:val="20"/>
                <w:szCs w:val="20"/>
              </w:rPr>
              <w:t>x</w:t>
            </w:r>
          </w:p>
        </w:tc>
      </w:tr>
      <w:tr w:rsidR="001062CB" w:rsidRPr="004E1BCD" w14:paraId="4F6625B6" w14:textId="77777777" w:rsidTr="006430F1">
        <w:tc>
          <w:tcPr>
            <w:tcW w:w="3823" w:type="dxa"/>
          </w:tcPr>
          <w:p w14:paraId="7C4C75BD" w14:textId="61F41ACD" w:rsidR="001062CB" w:rsidRDefault="001062CB" w:rsidP="006430F1">
            <w:pPr>
              <w:rPr>
                <w:sz w:val="20"/>
                <w:szCs w:val="20"/>
              </w:rPr>
            </w:pPr>
            <w:r>
              <w:rPr>
                <w:sz w:val="20"/>
                <w:szCs w:val="20"/>
              </w:rPr>
              <w:t>P</w:t>
            </w:r>
            <w:r w:rsidRPr="001062CB">
              <w:rPr>
                <w:sz w:val="20"/>
                <w:szCs w:val="20"/>
              </w:rPr>
              <w:t>arenting and health program</w:t>
            </w:r>
            <w:r w:rsidR="008C2C2B">
              <w:rPr>
                <w:sz w:val="20"/>
                <w:szCs w:val="20"/>
              </w:rPr>
              <w:t xml:space="preserve"> as a pilot program in one Province</w:t>
            </w:r>
          </w:p>
        </w:tc>
        <w:tc>
          <w:tcPr>
            <w:tcW w:w="1451" w:type="dxa"/>
          </w:tcPr>
          <w:p w14:paraId="1C4DD43D" w14:textId="2E7CBAAB" w:rsidR="001062CB" w:rsidRDefault="00FD5AC9" w:rsidP="006430F1">
            <w:pPr>
              <w:jc w:val="center"/>
              <w:rPr>
                <w:sz w:val="20"/>
                <w:szCs w:val="20"/>
              </w:rPr>
            </w:pPr>
            <w:r>
              <w:rPr>
                <w:sz w:val="20"/>
                <w:szCs w:val="20"/>
              </w:rPr>
              <w:t>x</w:t>
            </w:r>
          </w:p>
        </w:tc>
        <w:tc>
          <w:tcPr>
            <w:tcW w:w="1451" w:type="dxa"/>
          </w:tcPr>
          <w:p w14:paraId="70D3F64F" w14:textId="6418D733" w:rsidR="001062CB" w:rsidRPr="001F6C20" w:rsidRDefault="00FD5AC9" w:rsidP="006430F1">
            <w:pPr>
              <w:jc w:val="center"/>
              <w:rPr>
                <w:sz w:val="20"/>
                <w:szCs w:val="20"/>
              </w:rPr>
            </w:pPr>
            <w:r>
              <w:rPr>
                <w:sz w:val="20"/>
                <w:szCs w:val="20"/>
              </w:rPr>
              <w:t>x</w:t>
            </w:r>
          </w:p>
        </w:tc>
        <w:tc>
          <w:tcPr>
            <w:tcW w:w="1451" w:type="dxa"/>
          </w:tcPr>
          <w:p w14:paraId="0E9D1FDA" w14:textId="497E436C" w:rsidR="001062CB" w:rsidRPr="001F6C20" w:rsidRDefault="00BA29FA" w:rsidP="006430F1">
            <w:pPr>
              <w:jc w:val="center"/>
              <w:rPr>
                <w:sz w:val="20"/>
                <w:szCs w:val="20"/>
              </w:rPr>
            </w:pPr>
            <w:r>
              <w:rPr>
                <w:sz w:val="20"/>
                <w:szCs w:val="20"/>
              </w:rPr>
              <w:t>?</w:t>
            </w:r>
          </w:p>
        </w:tc>
        <w:tc>
          <w:tcPr>
            <w:tcW w:w="1452" w:type="dxa"/>
          </w:tcPr>
          <w:p w14:paraId="3CDB9815" w14:textId="6A94DBB2" w:rsidR="001062CB" w:rsidRPr="001F6C20" w:rsidRDefault="008C2C2B" w:rsidP="006430F1">
            <w:pPr>
              <w:jc w:val="center"/>
              <w:rPr>
                <w:sz w:val="20"/>
                <w:szCs w:val="20"/>
              </w:rPr>
            </w:pPr>
            <w:r>
              <w:rPr>
                <w:sz w:val="20"/>
                <w:szCs w:val="20"/>
              </w:rPr>
              <w:t>?</w:t>
            </w:r>
          </w:p>
        </w:tc>
      </w:tr>
      <w:tr w:rsidR="006430F1" w:rsidRPr="004E1BCD" w14:paraId="293007E2" w14:textId="77777777" w:rsidTr="006430F1">
        <w:tc>
          <w:tcPr>
            <w:tcW w:w="3823" w:type="dxa"/>
          </w:tcPr>
          <w:p w14:paraId="7772C9DB" w14:textId="3D751CD3" w:rsidR="006430F1" w:rsidRDefault="006430F1" w:rsidP="006430F1">
            <w:pPr>
              <w:rPr>
                <w:sz w:val="20"/>
                <w:szCs w:val="20"/>
              </w:rPr>
            </w:pPr>
            <w:r>
              <w:rPr>
                <w:sz w:val="20"/>
                <w:szCs w:val="20"/>
              </w:rPr>
              <w:t>PDoE training</w:t>
            </w:r>
            <w:r w:rsidR="00A316E3">
              <w:rPr>
                <w:sz w:val="20"/>
                <w:szCs w:val="20"/>
              </w:rPr>
              <w:t xml:space="preserve"> – leadership and management of key provincial pers</w:t>
            </w:r>
            <w:r w:rsidR="006E53BB">
              <w:rPr>
                <w:sz w:val="20"/>
                <w:szCs w:val="20"/>
              </w:rPr>
              <w:t>onnel</w:t>
            </w:r>
          </w:p>
        </w:tc>
        <w:tc>
          <w:tcPr>
            <w:tcW w:w="1451" w:type="dxa"/>
          </w:tcPr>
          <w:p w14:paraId="09B6DC9C" w14:textId="299816C7" w:rsidR="006430F1" w:rsidRPr="004E1BCD" w:rsidRDefault="006430F1" w:rsidP="006430F1">
            <w:pPr>
              <w:jc w:val="center"/>
              <w:rPr>
                <w:sz w:val="20"/>
                <w:szCs w:val="20"/>
              </w:rPr>
            </w:pPr>
            <w:r>
              <w:rPr>
                <w:sz w:val="20"/>
                <w:szCs w:val="20"/>
              </w:rPr>
              <w:t>Y</w:t>
            </w:r>
          </w:p>
        </w:tc>
        <w:tc>
          <w:tcPr>
            <w:tcW w:w="1451" w:type="dxa"/>
          </w:tcPr>
          <w:p w14:paraId="4739FE80" w14:textId="1EC0EDCC" w:rsidR="006430F1" w:rsidRPr="004E1BCD" w:rsidRDefault="006430F1" w:rsidP="006430F1">
            <w:pPr>
              <w:jc w:val="center"/>
              <w:rPr>
                <w:sz w:val="20"/>
                <w:szCs w:val="20"/>
              </w:rPr>
            </w:pPr>
            <w:r w:rsidRPr="001F6C20">
              <w:rPr>
                <w:sz w:val="20"/>
                <w:szCs w:val="20"/>
              </w:rPr>
              <w:t>Y</w:t>
            </w:r>
          </w:p>
        </w:tc>
        <w:tc>
          <w:tcPr>
            <w:tcW w:w="1451" w:type="dxa"/>
          </w:tcPr>
          <w:p w14:paraId="16E54653" w14:textId="6A6F730A" w:rsidR="006430F1" w:rsidRPr="004E1BCD" w:rsidRDefault="006430F1" w:rsidP="006430F1">
            <w:pPr>
              <w:jc w:val="center"/>
              <w:rPr>
                <w:sz w:val="20"/>
                <w:szCs w:val="20"/>
              </w:rPr>
            </w:pPr>
            <w:r w:rsidRPr="001F6C20">
              <w:rPr>
                <w:sz w:val="20"/>
                <w:szCs w:val="20"/>
              </w:rPr>
              <w:t>Y</w:t>
            </w:r>
          </w:p>
        </w:tc>
        <w:tc>
          <w:tcPr>
            <w:tcW w:w="1452" w:type="dxa"/>
          </w:tcPr>
          <w:p w14:paraId="74C79F1D" w14:textId="509D2EDB" w:rsidR="006430F1" w:rsidRPr="004E1BCD" w:rsidRDefault="006430F1" w:rsidP="006430F1">
            <w:pPr>
              <w:jc w:val="center"/>
              <w:rPr>
                <w:sz w:val="20"/>
                <w:szCs w:val="20"/>
              </w:rPr>
            </w:pPr>
            <w:r w:rsidRPr="001F6C20">
              <w:rPr>
                <w:sz w:val="20"/>
                <w:szCs w:val="20"/>
              </w:rPr>
              <w:t>Y</w:t>
            </w:r>
          </w:p>
        </w:tc>
      </w:tr>
    </w:tbl>
    <w:p w14:paraId="152CFFE8" w14:textId="51D28BF0" w:rsidR="00AA2726" w:rsidRPr="002D7121" w:rsidRDefault="00AA2726" w:rsidP="0065260C">
      <w:pPr>
        <w:spacing w:before="240"/>
        <w:rPr>
          <w:sz w:val="22"/>
          <w:szCs w:val="22"/>
          <w:u w:val="single"/>
        </w:rPr>
      </w:pPr>
      <w:bookmarkStart w:id="29" w:name="_Hlk176011116"/>
      <w:r>
        <w:rPr>
          <w:sz w:val="22"/>
          <w:szCs w:val="22"/>
          <w:u w:val="single"/>
        </w:rPr>
        <w:t>Geographic expansion</w:t>
      </w:r>
    </w:p>
    <w:bookmarkEnd w:id="29"/>
    <w:p w14:paraId="10C7707A" w14:textId="77777777" w:rsidR="001B42D2" w:rsidRDefault="00AA2726" w:rsidP="009763FB">
      <w:pPr>
        <w:rPr>
          <w:sz w:val="22"/>
          <w:szCs w:val="22"/>
        </w:rPr>
      </w:pPr>
      <w:r w:rsidRPr="0065260C">
        <w:rPr>
          <w:sz w:val="22"/>
          <w:szCs w:val="22"/>
        </w:rPr>
        <w:t xml:space="preserve">Based on current progress and PIE’s current resourcing profile it is not recommended that PIE expands immediately to a 5th province. </w:t>
      </w:r>
    </w:p>
    <w:p w14:paraId="677B34DB" w14:textId="691ADABC" w:rsidR="001B42D2" w:rsidRDefault="00AA2726" w:rsidP="009763FB">
      <w:pPr>
        <w:rPr>
          <w:sz w:val="22"/>
          <w:szCs w:val="22"/>
        </w:rPr>
      </w:pPr>
      <w:r w:rsidRPr="0065260C">
        <w:rPr>
          <w:sz w:val="22"/>
          <w:szCs w:val="22"/>
        </w:rPr>
        <w:t xml:space="preserve">Based on the original intent of PIE, messaging around expansion needs to be reframed in a way that sees National and Provincial government driving the expansion, taking on proven PIE models rather than an expectation that PIE </w:t>
      </w:r>
      <w:r w:rsidR="00B313F2">
        <w:rPr>
          <w:sz w:val="22"/>
          <w:szCs w:val="22"/>
        </w:rPr>
        <w:t>might,</w:t>
      </w:r>
      <w:r w:rsidRPr="0065260C">
        <w:rPr>
          <w:sz w:val="22"/>
          <w:szCs w:val="22"/>
        </w:rPr>
        <w:t xml:space="preserve"> overtime</w:t>
      </w:r>
      <w:r w:rsidR="00B313F2">
        <w:rPr>
          <w:sz w:val="22"/>
          <w:szCs w:val="22"/>
        </w:rPr>
        <w:t>,</w:t>
      </w:r>
      <w:r w:rsidRPr="0065260C">
        <w:rPr>
          <w:sz w:val="22"/>
          <w:szCs w:val="22"/>
        </w:rPr>
        <w:t xml:space="preserve"> cover every province.</w:t>
      </w:r>
    </w:p>
    <w:p w14:paraId="7A6232BB" w14:textId="390CF2FB" w:rsidR="00AA2726" w:rsidRPr="0065260C" w:rsidRDefault="00AA2726" w:rsidP="0065260C">
      <w:pPr>
        <w:rPr>
          <w:sz w:val="22"/>
          <w:szCs w:val="22"/>
        </w:rPr>
      </w:pPr>
      <w:r w:rsidRPr="0065260C">
        <w:rPr>
          <w:sz w:val="22"/>
          <w:szCs w:val="22"/>
        </w:rPr>
        <w:t>Increased government leadership and ownership may take the form of commitment to staffing key positions (e.g</w:t>
      </w:r>
      <w:r w:rsidR="00844566">
        <w:rPr>
          <w:sz w:val="22"/>
          <w:szCs w:val="22"/>
        </w:rPr>
        <w:t>.,</w:t>
      </w:r>
      <w:r w:rsidRPr="0065260C">
        <w:rPr>
          <w:sz w:val="22"/>
          <w:szCs w:val="22"/>
        </w:rPr>
        <w:t xml:space="preserve"> provincial trainers</w:t>
      </w:r>
      <w:r w:rsidR="004E3832">
        <w:rPr>
          <w:sz w:val="22"/>
          <w:szCs w:val="22"/>
        </w:rPr>
        <w:t>, literacy ad</w:t>
      </w:r>
      <w:r w:rsidR="00844566">
        <w:rPr>
          <w:sz w:val="22"/>
          <w:szCs w:val="22"/>
        </w:rPr>
        <w:t>visors</w:t>
      </w:r>
      <w:r w:rsidRPr="0065260C">
        <w:rPr>
          <w:sz w:val="22"/>
          <w:szCs w:val="22"/>
        </w:rPr>
        <w:t>), making acting positions substantive, co-contributions, strategic</w:t>
      </w:r>
      <w:r w:rsidR="001627F7">
        <w:rPr>
          <w:sz w:val="22"/>
          <w:szCs w:val="22"/>
        </w:rPr>
        <w:t xml:space="preserve"> </w:t>
      </w:r>
      <w:r w:rsidRPr="0065260C">
        <w:rPr>
          <w:sz w:val="22"/>
          <w:szCs w:val="22"/>
        </w:rPr>
        <w:t>use of PSIP</w:t>
      </w:r>
      <w:r w:rsidR="00844566">
        <w:rPr>
          <w:sz w:val="22"/>
          <w:szCs w:val="22"/>
        </w:rPr>
        <w:t xml:space="preserve"> etc</w:t>
      </w:r>
      <w:r w:rsidRPr="0065260C">
        <w:rPr>
          <w:sz w:val="22"/>
          <w:szCs w:val="22"/>
        </w:rPr>
        <w:t>.</w:t>
      </w:r>
      <w:r w:rsidR="004E360D">
        <w:rPr>
          <w:sz w:val="22"/>
          <w:szCs w:val="22"/>
        </w:rPr>
        <w:t xml:space="preserve"> In addition to provincial </w:t>
      </w:r>
      <w:r w:rsidR="005E2A69">
        <w:rPr>
          <w:sz w:val="22"/>
          <w:szCs w:val="22"/>
        </w:rPr>
        <w:t>commitments consideration should be given to possible national government commitments</w:t>
      </w:r>
      <w:r w:rsidR="00907A19">
        <w:rPr>
          <w:sz w:val="22"/>
          <w:szCs w:val="22"/>
        </w:rPr>
        <w:t xml:space="preserve"> (e.g., engagement and training of inspectors, </w:t>
      </w:r>
      <w:r w:rsidR="00DB3561">
        <w:rPr>
          <w:sz w:val="22"/>
          <w:szCs w:val="22"/>
        </w:rPr>
        <w:t>development of literacy and numeracy resources etc)</w:t>
      </w:r>
      <w:r w:rsidR="00A43AEC">
        <w:rPr>
          <w:sz w:val="22"/>
          <w:szCs w:val="22"/>
        </w:rPr>
        <w:t>.</w:t>
      </w:r>
    </w:p>
    <w:p w14:paraId="2103BC64" w14:textId="3A3CFF50" w:rsidR="00037306" w:rsidRDefault="002C474F" w:rsidP="00AA2726">
      <w:pPr>
        <w:rPr>
          <w:sz w:val="22"/>
          <w:szCs w:val="22"/>
        </w:rPr>
      </w:pPr>
      <w:r w:rsidRPr="0065260C">
        <w:rPr>
          <w:sz w:val="22"/>
          <w:szCs w:val="22"/>
        </w:rPr>
        <w:t>However, pl</w:t>
      </w:r>
      <w:r w:rsidR="00AA2726" w:rsidRPr="0065260C">
        <w:rPr>
          <w:sz w:val="22"/>
          <w:szCs w:val="22"/>
        </w:rPr>
        <w:t xml:space="preserve">anning for entry into additional province(s) should commence with </w:t>
      </w:r>
      <w:r w:rsidRPr="0065260C">
        <w:rPr>
          <w:sz w:val="22"/>
          <w:szCs w:val="22"/>
        </w:rPr>
        <w:t xml:space="preserve">the design of a process </w:t>
      </w:r>
      <w:r w:rsidR="00844566">
        <w:rPr>
          <w:sz w:val="22"/>
          <w:szCs w:val="22"/>
        </w:rPr>
        <w:t xml:space="preserve">(possibly building on </w:t>
      </w:r>
      <w:r w:rsidR="00456613">
        <w:rPr>
          <w:sz w:val="22"/>
          <w:szCs w:val="22"/>
        </w:rPr>
        <w:t>the Baseline Study approach) t</w:t>
      </w:r>
      <w:r w:rsidRPr="0065260C">
        <w:rPr>
          <w:sz w:val="22"/>
          <w:szCs w:val="22"/>
        </w:rPr>
        <w:t xml:space="preserve">o </w:t>
      </w:r>
      <w:r w:rsidR="00AA2726" w:rsidRPr="0065260C">
        <w:rPr>
          <w:sz w:val="22"/>
          <w:szCs w:val="22"/>
        </w:rPr>
        <w:t>assess strengths and development needs with a focus on identifying and building on current capacity</w:t>
      </w:r>
      <w:r w:rsidR="00D2520D">
        <w:rPr>
          <w:sz w:val="22"/>
          <w:szCs w:val="22"/>
        </w:rPr>
        <w:t>. The</w:t>
      </w:r>
      <w:r w:rsidR="002946D5">
        <w:rPr>
          <w:sz w:val="22"/>
          <w:szCs w:val="22"/>
        </w:rPr>
        <w:t xml:space="preserve"> </w:t>
      </w:r>
      <w:r w:rsidR="009054F6">
        <w:rPr>
          <w:sz w:val="22"/>
          <w:szCs w:val="22"/>
        </w:rPr>
        <w:t>study should include but not be limited to student participation and attainment factors, school leadership</w:t>
      </w:r>
      <w:r w:rsidR="00CD4A54">
        <w:rPr>
          <w:sz w:val="22"/>
          <w:szCs w:val="22"/>
        </w:rPr>
        <w:t xml:space="preserve">, management and planning (including community engagement and </w:t>
      </w:r>
      <w:r w:rsidR="00456EA5">
        <w:rPr>
          <w:sz w:val="22"/>
          <w:szCs w:val="22"/>
        </w:rPr>
        <w:t xml:space="preserve">school </w:t>
      </w:r>
      <w:r w:rsidR="00CD4A54">
        <w:rPr>
          <w:sz w:val="22"/>
          <w:szCs w:val="22"/>
        </w:rPr>
        <w:t>Board operation)</w:t>
      </w:r>
      <w:r w:rsidR="00AA2726" w:rsidRPr="0065260C">
        <w:rPr>
          <w:sz w:val="22"/>
          <w:szCs w:val="22"/>
        </w:rPr>
        <w:t xml:space="preserve">, </w:t>
      </w:r>
      <w:r w:rsidR="00CD4A54">
        <w:rPr>
          <w:sz w:val="22"/>
          <w:szCs w:val="22"/>
        </w:rPr>
        <w:t xml:space="preserve">provincial </w:t>
      </w:r>
      <w:r w:rsidR="006D4D9D">
        <w:rPr>
          <w:sz w:val="22"/>
          <w:szCs w:val="22"/>
        </w:rPr>
        <w:t xml:space="preserve">leadership and management (including technical expertise and </w:t>
      </w:r>
      <w:r w:rsidR="00294B42">
        <w:rPr>
          <w:sz w:val="22"/>
          <w:szCs w:val="22"/>
        </w:rPr>
        <w:t>budgeting and planning capacities). The development of a baseline profile would be the starting point for engagement with a new province</w:t>
      </w:r>
      <w:r w:rsidR="00491065">
        <w:rPr>
          <w:sz w:val="22"/>
          <w:szCs w:val="22"/>
        </w:rPr>
        <w:t xml:space="preserve">, which would also include the opportunity for the </w:t>
      </w:r>
      <w:r w:rsidR="00185B8A">
        <w:rPr>
          <w:sz w:val="22"/>
          <w:szCs w:val="22"/>
        </w:rPr>
        <w:t>p</w:t>
      </w:r>
      <w:r w:rsidR="00491065">
        <w:rPr>
          <w:sz w:val="22"/>
          <w:szCs w:val="22"/>
        </w:rPr>
        <w:t>rovince to set it</w:t>
      </w:r>
      <w:r w:rsidR="00537D96">
        <w:rPr>
          <w:sz w:val="22"/>
          <w:szCs w:val="22"/>
        </w:rPr>
        <w:t>s</w:t>
      </w:r>
      <w:r w:rsidR="00491065">
        <w:rPr>
          <w:sz w:val="22"/>
          <w:szCs w:val="22"/>
        </w:rPr>
        <w:t xml:space="preserve"> priorities (within a </w:t>
      </w:r>
      <w:r w:rsidR="007D5C21">
        <w:rPr>
          <w:sz w:val="22"/>
          <w:szCs w:val="22"/>
        </w:rPr>
        <w:t xml:space="preserve">suite of program </w:t>
      </w:r>
      <w:r w:rsidR="00185B8A">
        <w:rPr>
          <w:sz w:val="22"/>
          <w:szCs w:val="22"/>
        </w:rPr>
        <w:t>activities</w:t>
      </w:r>
      <w:r w:rsidR="007D5C21">
        <w:rPr>
          <w:sz w:val="22"/>
          <w:szCs w:val="22"/>
        </w:rPr>
        <w:t xml:space="preserve"> and experience</w:t>
      </w:r>
      <w:r w:rsidR="00DD150A">
        <w:rPr>
          <w:sz w:val="22"/>
          <w:szCs w:val="22"/>
        </w:rPr>
        <w:t>).</w:t>
      </w:r>
      <w:r w:rsidR="00185B8A">
        <w:rPr>
          <w:sz w:val="22"/>
          <w:szCs w:val="22"/>
        </w:rPr>
        <w:t xml:space="preserve"> </w:t>
      </w:r>
    </w:p>
    <w:p w14:paraId="18467147" w14:textId="43ECF8CE" w:rsidR="00A474A5" w:rsidRDefault="00A474A5" w:rsidP="00AA2726">
      <w:pPr>
        <w:rPr>
          <w:sz w:val="22"/>
          <w:szCs w:val="22"/>
        </w:rPr>
      </w:pPr>
      <w:r>
        <w:rPr>
          <w:sz w:val="22"/>
          <w:szCs w:val="22"/>
        </w:rPr>
        <w:t xml:space="preserve">At the earliest, after the </w:t>
      </w:r>
      <w:r w:rsidR="00305FBC">
        <w:rPr>
          <w:sz w:val="22"/>
          <w:szCs w:val="22"/>
        </w:rPr>
        <w:t xml:space="preserve">design and </w:t>
      </w:r>
      <w:r>
        <w:rPr>
          <w:sz w:val="22"/>
          <w:szCs w:val="22"/>
        </w:rPr>
        <w:t>preparatory work</w:t>
      </w:r>
      <w:r w:rsidR="00305FBC">
        <w:rPr>
          <w:sz w:val="22"/>
          <w:szCs w:val="22"/>
        </w:rPr>
        <w:t xml:space="preserve"> discussed in the previous </w:t>
      </w:r>
      <w:r w:rsidR="00163D90">
        <w:rPr>
          <w:sz w:val="22"/>
          <w:szCs w:val="22"/>
        </w:rPr>
        <w:t>paragraph</w:t>
      </w:r>
      <w:r w:rsidR="00305FBC">
        <w:rPr>
          <w:sz w:val="22"/>
          <w:szCs w:val="22"/>
        </w:rPr>
        <w:t xml:space="preserve"> and some </w:t>
      </w:r>
      <w:r>
        <w:rPr>
          <w:sz w:val="22"/>
          <w:szCs w:val="22"/>
        </w:rPr>
        <w:t xml:space="preserve">planning and negotiation with </w:t>
      </w:r>
      <w:r w:rsidR="00163D90">
        <w:rPr>
          <w:sz w:val="22"/>
          <w:szCs w:val="22"/>
        </w:rPr>
        <w:t xml:space="preserve">the </w:t>
      </w:r>
      <w:r>
        <w:rPr>
          <w:sz w:val="22"/>
          <w:szCs w:val="22"/>
        </w:rPr>
        <w:t>GoPNG, a baseline could commence in</w:t>
      </w:r>
      <w:r w:rsidR="00163D90">
        <w:rPr>
          <w:sz w:val="22"/>
          <w:szCs w:val="22"/>
        </w:rPr>
        <w:t xml:space="preserve"> a new province(s) in</w:t>
      </w:r>
      <w:r>
        <w:rPr>
          <w:sz w:val="22"/>
          <w:szCs w:val="22"/>
        </w:rPr>
        <w:t xml:space="preserve"> 12 </w:t>
      </w:r>
      <w:r w:rsidR="00163D90">
        <w:rPr>
          <w:sz w:val="22"/>
          <w:szCs w:val="22"/>
        </w:rPr>
        <w:t>months’ time</w:t>
      </w:r>
      <w:r>
        <w:rPr>
          <w:sz w:val="22"/>
          <w:szCs w:val="22"/>
        </w:rPr>
        <w:t xml:space="preserve"> (Oct 2025) to line up with the </w:t>
      </w:r>
      <w:r w:rsidR="00163D90">
        <w:rPr>
          <w:sz w:val="22"/>
          <w:szCs w:val="22"/>
        </w:rPr>
        <w:t xml:space="preserve">current PIE </w:t>
      </w:r>
      <w:r>
        <w:rPr>
          <w:sz w:val="22"/>
          <w:szCs w:val="22"/>
        </w:rPr>
        <w:t>mid-line, providing some organisational efficiencies.</w:t>
      </w:r>
    </w:p>
    <w:p w14:paraId="0B7FB2B9" w14:textId="18DDDE2B" w:rsidR="00037306" w:rsidRDefault="00465FFA" w:rsidP="00AA2726">
      <w:pPr>
        <w:rPr>
          <w:sz w:val="22"/>
          <w:szCs w:val="22"/>
        </w:rPr>
      </w:pPr>
      <w:r>
        <w:rPr>
          <w:sz w:val="22"/>
          <w:szCs w:val="22"/>
        </w:rPr>
        <w:t xml:space="preserve">Further discussion with </w:t>
      </w:r>
      <w:r w:rsidR="00EF73B7">
        <w:rPr>
          <w:sz w:val="22"/>
          <w:szCs w:val="22"/>
        </w:rPr>
        <w:t xml:space="preserve">the </w:t>
      </w:r>
      <w:r>
        <w:rPr>
          <w:sz w:val="22"/>
          <w:szCs w:val="22"/>
        </w:rPr>
        <w:t xml:space="preserve">World Bank on potential IDA funds, </w:t>
      </w:r>
      <w:r w:rsidR="00D64C32">
        <w:rPr>
          <w:sz w:val="22"/>
          <w:szCs w:val="22"/>
        </w:rPr>
        <w:t>should focus on how the injection of literacy (and numeracy) teacher training</w:t>
      </w:r>
      <w:r w:rsidR="000226CF">
        <w:rPr>
          <w:sz w:val="22"/>
          <w:szCs w:val="22"/>
        </w:rPr>
        <w:t>,</w:t>
      </w:r>
      <w:r w:rsidR="00D64C32">
        <w:rPr>
          <w:sz w:val="22"/>
          <w:szCs w:val="22"/>
        </w:rPr>
        <w:t xml:space="preserve"> and teaching and learning </w:t>
      </w:r>
      <w:r w:rsidR="000226CF">
        <w:rPr>
          <w:sz w:val="22"/>
          <w:szCs w:val="22"/>
        </w:rPr>
        <w:t xml:space="preserve">resources, can provide the jump-start to improving </w:t>
      </w:r>
      <w:r w:rsidR="00077F51">
        <w:rPr>
          <w:sz w:val="22"/>
          <w:szCs w:val="22"/>
        </w:rPr>
        <w:t>foundational learning in all PNG Provinces</w:t>
      </w:r>
      <w:r w:rsidR="00D102C4">
        <w:rPr>
          <w:sz w:val="22"/>
          <w:szCs w:val="22"/>
        </w:rPr>
        <w:t xml:space="preserve">. </w:t>
      </w:r>
      <w:r w:rsidR="00F113F2">
        <w:rPr>
          <w:sz w:val="22"/>
          <w:szCs w:val="22"/>
        </w:rPr>
        <w:t xml:space="preserve">Such funds </w:t>
      </w:r>
      <w:r w:rsidR="00F579C8">
        <w:rPr>
          <w:sz w:val="22"/>
          <w:szCs w:val="22"/>
        </w:rPr>
        <w:t xml:space="preserve">would seek to </w:t>
      </w:r>
      <w:r>
        <w:rPr>
          <w:sz w:val="22"/>
          <w:szCs w:val="22"/>
        </w:rPr>
        <w:t xml:space="preserve">replicate proven PIE models </w:t>
      </w:r>
      <w:r w:rsidR="00F579C8">
        <w:rPr>
          <w:sz w:val="22"/>
          <w:szCs w:val="22"/>
        </w:rPr>
        <w:t xml:space="preserve">within on ongoing DFAT </w:t>
      </w:r>
      <w:r w:rsidR="00A474A5">
        <w:rPr>
          <w:sz w:val="22"/>
          <w:szCs w:val="22"/>
        </w:rPr>
        <w:t xml:space="preserve">(PIE) framework focused on building capacity and sustainability of the provincial and national elements of the system. </w:t>
      </w:r>
    </w:p>
    <w:p w14:paraId="7AEC6850" w14:textId="2035C542" w:rsidR="00190F78" w:rsidRDefault="00163D90" w:rsidP="00166C9F">
      <w:pPr>
        <w:rPr>
          <w:noProof/>
        </w:rPr>
      </w:pPr>
      <w:r>
        <w:rPr>
          <w:sz w:val="22"/>
          <w:szCs w:val="22"/>
        </w:rPr>
        <w:t>Ult</w:t>
      </w:r>
      <w:r w:rsidR="00AA2726">
        <w:rPr>
          <w:sz w:val="22"/>
          <w:szCs w:val="22"/>
        </w:rPr>
        <w:t xml:space="preserve">imately the goal will be </w:t>
      </w:r>
      <w:r>
        <w:rPr>
          <w:sz w:val="22"/>
          <w:szCs w:val="22"/>
        </w:rPr>
        <w:t xml:space="preserve">for the </w:t>
      </w:r>
      <w:r w:rsidR="00AA2726">
        <w:rPr>
          <w:sz w:val="22"/>
          <w:szCs w:val="22"/>
        </w:rPr>
        <w:t xml:space="preserve">GoPNG to take the lead on </w:t>
      </w:r>
      <w:r>
        <w:rPr>
          <w:sz w:val="22"/>
          <w:szCs w:val="22"/>
        </w:rPr>
        <w:t xml:space="preserve">sustaining </w:t>
      </w:r>
      <w:r w:rsidR="00AA2726">
        <w:rPr>
          <w:sz w:val="22"/>
          <w:szCs w:val="22"/>
        </w:rPr>
        <w:t xml:space="preserve">the necessary reforms and new approaches at the provincial level, there will be an ongoing role for PIE like support, mentoring </w:t>
      </w:r>
      <w:r w:rsidR="00190F78">
        <w:rPr>
          <w:sz w:val="22"/>
          <w:szCs w:val="22"/>
        </w:rPr>
        <w:t>a</w:t>
      </w:r>
      <w:r w:rsidR="00AA2726">
        <w:rPr>
          <w:sz w:val="22"/>
          <w:szCs w:val="22"/>
        </w:rPr>
        <w:t>nd relationship brokering in existing and new provinces for many years to come.</w:t>
      </w:r>
      <w:r w:rsidR="00791188" w:rsidRPr="00791188">
        <w:rPr>
          <w:noProof/>
        </w:rPr>
        <w:t xml:space="preserve"> </w:t>
      </w:r>
    </w:p>
    <w:p w14:paraId="1F53AE20" w14:textId="27A77AE0" w:rsidR="00C5114A" w:rsidRPr="0065260C" w:rsidRDefault="00C5114A" w:rsidP="00B14AF6">
      <w:pPr>
        <w:pStyle w:val="Heading1"/>
        <w:pageBreakBefore/>
        <w:ind w:left="425" w:hanging="425"/>
      </w:pPr>
      <w:bookmarkStart w:id="30" w:name="_Toc180756333"/>
      <w:r w:rsidRPr="0065260C">
        <w:t>Recommendations</w:t>
      </w:r>
      <w:bookmarkEnd w:id="30"/>
    </w:p>
    <w:p w14:paraId="1BE7D0AC" w14:textId="5CA62772" w:rsidR="00785ACF" w:rsidRDefault="00B542A6" w:rsidP="00FC48DB">
      <w:pPr>
        <w:pStyle w:val="ListParagraph"/>
        <w:numPr>
          <w:ilvl w:val="0"/>
          <w:numId w:val="28"/>
        </w:numPr>
        <w:rPr>
          <w:sz w:val="22"/>
          <w:szCs w:val="22"/>
        </w:rPr>
      </w:pPr>
      <w:r>
        <w:rPr>
          <w:sz w:val="22"/>
          <w:szCs w:val="22"/>
        </w:rPr>
        <w:t>Program resourcing - Br</w:t>
      </w:r>
      <w:r w:rsidRPr="00E020A1">
        <w:rPr>
          <w:sz w:val="22"/>
          <w:szCs w:val="22"/>
        </w:rPr>
        <w:t xml:space="preserve">ing forward the </w:t>
      </w:r>
      <w:r>
        <w:rPr>
          <w:sz w:val="22"/>
          <w:szCs w:val="22"/>
        </w:rPr>
        <w:t>Phase 2 budget allocation to the current phase, so that AUD</w:t>
      </w:r>
      <w:r w:rsidRPr="00E020A1">
        <w:rPr>
          <w:sz w:val="22"/>
          <w:szCs w:val="22"/>
        </w:rPr>
        <w:t>75</w:t>
      </w:r>
      <w:r>
        <w:rPr>
          <w:sz w:val="22"/>
          <w:szCs w:val="22"/>
        </w:rPr>
        <w:t xml:space="preserve">m is available for </w:t>
      </w:r>
      <w:r w:rsidR="0086690E">
        <w:rPr>
          <w:sz w:val="22"/>
          <w:szCs w:val="22"/>
        </w:rPr>
        <w:t xml:space="preserve">the remaining years of </w:t>
      </w:r>
      <w:r>
        <w:rPr>
          <w:sz w:val="22"/>
          <w:szCs w:val="22"/>
        </w:rPr>
        <w:t>Phase 1</w:t>
      </w:r>
      <w:r w:rsidR="00E91274">
        <w:rPr>
          <w:sz w:val="22"/>
          <w:szCs w:val="22"/>
        </w:rPr>
        <w:t>.</w:t>
      </w:r>
    </w:p>
    <w:p w14:paraId="7933A174" w14:textId="4A2AE703" w:rsidR="00C5114A" w:rsidRDefault="00E91274" w:rsidP="00B14AF6">
      <w:pPr>
        <w:pStyle w:val="ListParagraph"/>
        <w:ind w:left="1134"/>
        <w:rPr>
          <w:sz w:val="22"/>
          <w:szCs w:val="22"/>
        </w:rPr>
      </w:pPr>
      <w:r>
        <w:rPr>
          <w:sz w:val="22"/>
          <w:szCs w:val="22"/>
        </w:rPr>
        <w:t>[Ref</w:t>
      </w:r>
      <w:r w:rsidR="00437589">
        <w:rPr>
          <w:sz w:val="22"/>
          <w:szCs w:val="22"/>
        </w:rPr>
        <w:t>.</w:t>
      </w:r>
      <w:r>
        <w:rPr>
          <w:sz w:val="22"/>
          <w:szCs w:val="22"/>
        </w:rPr>
        <w:t xml:space="preserve"> discussion in </w:t>
      </w:r>
      <w:r w:rsidRPr="00A22B73">
        <w:rPr>
          <w:sz w:val="22"/>
          <w:szCs w:val="22"/>
        </w:rPr>
        <w:t>Context (p</w:t>
      </w:r>
      <w:r w:rsidR="00914FE9">
        <w:rPr>
          <w:sz w:val="22"/>
          <w:szCs w:val="22"/>
        </w:rPr>
        <w:t>p</w:t>
      </w:r>
      <w:r w:rsidRPr="00A22B73">
        <w:rPr>
          <w:sz w:val="22"/>
          <w:szCs w:val="22"/>
        </w:rPr>
        <w:t>.</w:t>
      </w:r>
      <w:r w:rsidR="00A22B73">
        <w:rPr>
          <w:sz w:val="22"/>
          <w:szCs w:val="22"/>
        </w:rPr>
        <w:t>7</w:t>
      </w:r>
      <w:r w:rsidR="00914FE9">
        <w:rPr>
          <w:sz w:val="22"/>
          <w:szCs w:val="22"/>
        </w:rPr>
        <w:t>-10</w:t>
      </w:r>
      <w:r>
        <w:rPr>
          <w:sz w:val="22"/>
          <w:szCs w:val="22"/>
        </w:rPr>
        <w:t>)</w:t>
      </w:r>
      <w:r w:rsidR="002C7EA9">
        <w:rPr>
          <w:sz w:val="22"/>
          <w:szCs w:val="22"/>
        </w:rPr>
        <w:t>, KRQ 1 (p.</w:t>
      </w:r>
      <w:r w:rsidR="00D01D25">
        <w:rPr>
          <w:sz w:val="22"/>
          <w:szCs w:val="22"/>
        </w:rPr>
        <w:t>16</w:t>
      </w:r>
      <w:r w:rsidR="002C7EA9">
        <w:rPr>
          <w:sz w:val="22"/>
          <w:szCs w:val="22"/>
        </w:rPr>
        <w:t>), KRQ 2 (p.</w:t>
      </w:r>
      <w:r w:rsidR="00D01D25">
        <w:rPr>
          <w:sz w:val="22"/>
          <w:szCs w:val="22"/>
        </w:rPr>
        <w:t>18</w:t>
      </w:r>
      <w:r w:rsidR="002C7EA9">
        <w:rPr>
          <w:sz w:val="22"/>
          <w:szCs w:val="22"/>
        </w:rPr>
        <w:t>)</w:t>
      </w:r>
      <w:r w:rsidR="008A5BBD">
        <w:rPr>
          <w:sz w:val="22"/>
          <w:szCs w:val="22"/>
        </w:rPr>
        <w:t>, KRQ 3 (p</w:t>
      </w:r>
      <w:r w:rsidR="00D01D25">
        <w:rPr>
          <w:sz w:val="22"/>
          <w:szCs w:val="22"/>
        </w:rPr>
        <w:t>p</w:t>
      </w:r>
      <w:r w:rsidR="008A5BBD">
        <w:rPr>
          <w:sz w:val="22"/>
          <w:szCs w:val="22"/>
        </w:rPr>
        <w:t>.</w:t>
      </w:r>
      <w:r w:rsidR="00D01D25">
        <w:rPr>
          <w:sz w:val="22"/>
          <w:szCs w:val="22"/>
        </w:rPr>
        <w:t>19-20</w:t>
      </w:r>
      <w:r w:rsidR="008A5BBD">
        <w:rPr>
          <w:sz w:val="22"/>
          <w:szCs w:val="22"/>
        </w:rPr>
        <w:t>)</w:t>
      </w:r>
      <w:r w:rsidR="009E3141">
        <w:rPr>
          <w:sz w:val="22"/>
          <w:szCs w:val="22"/>
        </w:rPr>
        <w:t>, KRQ 4 (p.</w:t>
      </w:r>
      <w:r w:rsidR="00D01D25">
        <w:rPr>
          <w:sz w:val="22"/>
          <w:szCs w:val="22"/>
        </w:rPr>
        <w:t>21</w:t>
      </w:r>
      <w:r w:rsidR="009E3141">
        <w:rPr>
          <w:sz w:val="22"/>
          <w:szCs w:val="22"/>
        </w:rPr>
        <w:t>)</w:t>
      </w:r>
      <w:r w:rsidR="009833E0">
        <w:rPr>
          <w:sz w:val="22"/>
          <w:szCs w:val="22"/>
        </w:rPr>
        <w:t>,</w:t>
      </w:r>
      <w:r w:rsidR="00E539B2">
        <w:rPr>
          <w:sz w:val="22"/>
          <w:szCs w:val="22"/>
        </w:rPr>
        <w:t xml:space="preserve"> KRQ 5 (p.</w:t>
      </w:r>
      <w:r w:rsidR="00D01D25">
        <w:rPr>
          <w:sz w:val="22"/>
          <w:szCs w:val="22"/>
        </w:rPr>
        <w:t>23</w:t>
      </w:r>
      <w:r w:rsidR="00E539B2">
        <w:rPr>
          <w:sz w:val="22"/>
          <w:szCs w:val="22"/>
        </w:rPr>
        <w:t>)</w:t>
      </w:r>
      <w:r w:rsidR="009833E0">
        <w:rPr>
          <w:sz w:val="22"/>
          <w:szCs w:val="22"/>
        </w:rPr>
        <w:t xml:space="preserve"> </w:t>
      </w:r>
      <w:r w:rsidR="007323DD">
        <w:rPr>
          <w:sz w:val="22"/>
          <w:szCs w:val="22"/>
        </w:rPr>
        <w:t xml:space="preserve">and </w:t>
      </w:r>
      <w:r w:rsidR="009833E0">
        <w:rPr>
          <w:sz w:val="22"/>
          <w:szCs w:val="22"/>
        </w:rPr>
        <w:t>Discussion on next steps (p.2</w:t>
      </w:r>
      <w:r w:rsidR="00094B20">
        <w:rPr>
          <w:sz w:val="22"/>
          <w:szCs w:val="22"/>
        </w:rPr>
        <w:t>4</w:t>
      </w:r>
      <w:r w:rsidR="009833E0">
        <w:rPr>
          <w:sz w:val="22"/>
          <w:szCs w:val="22"/>
        </w:rPr>
        <w:t>)</w:t>
      </w:r>
      <w:r w:rsidR="00791EEA">
        <w:rPr>
          <w:sz w:val="22"/>
          <w:szCs w:val="22"/>
        </w:rPr>
        <w:t>.</w:t>
      </w:r>
      <w:r w:rsidR="00984670">
        <w:rPr>
          <w:sz w:val="22"/>
          <w:szCs w:val="22"/>
        </w:rPr>
        <w:t>]</w:t>
      </w:r>
    </w:p>
    <w:p w14:paraId="28AA2604" w14:textId="77777777" w:rsidR="00785ACF" w:rsidRDefault="00E91274" w:rsidP="00FC48DB">
      <w:pPr>
        <w:pStyle w:val="ListParagraph"/>
        <w:numPr>
          <w:ilvl w:val="0"/>
          <w:numId w:val="28"/>
        </w:numPr>
        <w:rPr>
          <w:sz w:val="22"/>
          <w:szCs w:val="22"/>
        </w:rPr>
      </w:pPr>
      <w:r>
        <w:rPr>
          <w:sz w:val="22"/>
          <w:szCs w:val="22"/>
        </w:rPr>
        <w:t xml:space="preserve">Strategic oversight and governance - </w:t>
      </w:r>
      <w:r w:rsidR="0061118E">
        <w:rPr>
          <w:sz w:val="22"/>
          <w:szCs w:val="22"/>
        </w:rPr>
        <w:t>Introduce a</w:t>
      </w:r>
      <w:r w:rsidR="0061118E" w:rsidRPr="00306DC8">
        <w:rPr>
          <w:sz w:val="22"/>
          <w:szCs w:val="22"/>
        </w:rPr>
        <w:t xml:space="preserve"> regular external strategic monitoring and advisory function</w:t>
      </w:r>
      <w:r w:rsidR="006C3AB0">
        <w:rPr>
          <w:sz w:val="22"/>
          <w:szCs w:val="22"/>
        </w:rPr>
        <w:t>.</w:t>
      </w:r>
    </w:p>
    <w:p w14:paraId="3793E64C" w14:textId="6AED40CE" w:rsidR="00E91274" w:rsidRPr="0065260C" w:rsidRDefault="00785ACF" w:rsidP="00B14AF6">
      <w:pPr>
        <w:pStyle w:val="ListParagraph"/>
        <w:ind w:left="1134"/>
        <w:rPr>
          <w:sz w:val="22"/>
          <w:szCs w:val="22"/>
        </w:rPr>
      </w:pPr>
      <w:r>
        <w:rPr>
          <w:sz w:val="22"/>
          <w:szCs w:val="22"/>
        </w:rPr>
        <w:t>[Ref</w:t>
      </w:r>
      <w:r w:rsidR="00437589">
        <w:rPr>
          <w:sz w:val="22"/>
          <w:szCs w:val="22"/>
        </w:rPr>
        <w:t>.</w:t>
      </w:r>
      <w:r>
        <w:rPr>
          <w:sz w:val="22"/>
          <w:szCs w:val="22"/>
        </w:rPr>
        <w:t xml:space="preserve"> discussion in </w:t>
      </w:r>
      <w:r w:rsidR="00CD63CD">
        <w:rPr>
          <w:sz w:val="22"/>
          <w:szCs w:val="22"/>
        </w:rPr>
        <w:t>Context</w:t>
      </w:r>
      <w:r w:rsidR="00851DDF">
        <w:rPr>
          <w:sz w:val="22"/>
          <w:szCs w:val="22"/>
        </w:rPr>
        <w:t xml:space="preserve"> (pp.13-14), </w:t>
      </w:r>
      <w:r w:rsidR="00D40D1B">
        <w:rPr>
          <w:sz w:val="22"/>
          <w:szCs w:val="22"/>
        </w:rPr>
        <w:t>KRQ</w:t>
      </w:r>
      <w:r w:rsidR="000C1575">
        <w:rPr>
          <w:sz w:val="22"/>
          <w:szCs w:val="22"/>
        </w:rPr>
        <w:t xml:space="preserve"> </w:t>
      </w:r>
      <w:r w:rsidR="00D40D1B">
        <w:rPr>
          <w:sz w:val="22"/>
          <w:szCs w:val="22"/>
        </w:rPr>
        <w:t>1 (p.</w:t>
      </w:r>
      <w:r w:rsidR="00851DDF">
        <w:rPr>
          <w:sz w:val="22"/>
          <w:szCs w:val="22"/>
        </w:rPr>
        <w:t>15</w:t>
      </w:r>
      <w:r w:rsidR="00D40D1B">
        <w:rPr>
          <w:sz w:val="22"/>
          <w:szCs w:val="22"/>
        </w:rPr>
        <w:t>)</w:t>
      </w:r>
      <w:r w:rsidR="006475EA">
        <w:rPr>
          <w:sz w:val="22"/>
          <w:szCs w:val="22"/>
        </w:rPr>
        <w:t>, KRQ 2 (p.</w:t>
      </w:r>
      <w:r w:rsidR="00851DDF">
        <w:rPr>
          <w:sz w:val="22"/>
          <w:szCs w:val="22"/>
        </w:rPr>
        <w:t>18</w:t>
      </w:r>
      <w:r w:rsidR="006475EA">
        <w:rPr>
          <w:sz w:val="22"/>
          <w:szCs w:val="22"/>
        </w:rPr>
        <w:t>)</w:t>
      </w:r>
      <w:r w:rsidR="00962361">
        <w:rPr>
          <w:sz w:val="22"/>
          <w:szCs w:val="22"/>
        </w:rPr>
        <w:t>, KRQ 3 (p.</w:t>
      </w:r>
      <w:r w:rsidR="00F42C73">
        <w:rPr>
          <w:sz w:val="22"/>
          <w:szCs w:val="22"/>
        </w:rPr>
        <w:t>19</w:t>
      </w:r>
      <w:r w:rsidR="00962361">
        <w:rPr>
          <w:sz w:val="22"/>
          <w:szCs w:val="22"/>
        </w:rPr>
        <w:t>)</w:t>
      </w:r>
      <w:r w:rsidR="009E3141">
        <w:rPr>
          <w:sz w:val="22"/>
          <w:szCs w:val="22"/>
        </w:rPr>
        <w:t>, KRQ 4 (p</w:t>
      </w:r>
      <w:r w:rsidR="00F42C73">
        <w:rPr>
          <w:sz w:val="22"/>
          <w:szCs w:val="22"/>
        </w:rPr>
        <w:t>p. 21-22</w:t>
      </w:r>
      <w:r w:rsidR="009E3141">
        <w:rPr>
          <w:sz w:val="22"/>
          <w:szCs w:val="22"/>
        </w:rPr>
        <w:t>)</w:t>
      </w:r>
      <w:r w:rsidR="009833E0">
        <w:rPr>
          <w:sz w:val="22"/>
          <w:szCs w:val="22"/>
        </w:rPr>
        <w:t xml:space="preserve">, </w:t>
      </w:r>
      <w:r w:rsidR="00317FAB">
        <w:rPr>
          <w:sz w:val="22"/>
          <w:szCs w:val="22"/>
        </w:rPr>
        <w:t>KRQ 5 (p.</w:t>
      </w:r>
      <w:r w:rsidR="00F42C73">
        <w:rPr>
          <w:sz w:val="22"/>
          <w:szCs w:val="22"/>
        </w:rPr>
        <w:t>23</w:t>
      </w:r>
      <w:r w:rsidR="00317FAB">
        <w:rPr>
          <w:sz w:val="22"/>
          <w:szCs w:val="22"/>
        </w:rPr>
        <w:t>)</w:t>
      </w:r>
      <w:r w:rsidR="009833E0">
        <w:rPr>
          <w:sz w:val="22"/>
          <w:szCs w:val="22"/>
        </w:rPr>
        <w:t xml:space="preserve"> </w:t>
      </w:r>
      <w:r w:rsidR="007323DD">
        <w:rPr>
          <w:sz w:val="22"/>
          <w:szCs w:val="22"/>
        </w:rPr>
        <w:t xml:space="preserve">and </w:t>
      </w:r>
      <w:r w:rsidR="009833E0">
        <w:rPr>
          <w:sz w:val="22"/>
          <w:szCs w:val="22"/>
        </w:rPr>
        <w:t>Discussion on next steps (p.25)</w:t>
      </w:r>
      <w:r w:rsidR="00791EEA">
        <w:rPr>
          <w:sz w:val="22"/>
          <w:szCs w:val="22"/>
        </w:rPr>
        <w:t>.</w:t>
      </w:r>
      <w:r w:rsidR="00317FAB">
        <w:rPr>
          <w:sz w:val="22"/>
          <w:szCs w:val="22"/>
        </w:rPr>
        <w:t>]</w:t>
      </w:r>
    </w:p>
    <w:p w14:paraId="73638C0F" w14:textId="5C1C5432" w:rsidR="006C3AB0" w:rsidRDefault="006C3AB0" w:rsidP="00FC48DB">
      <w:pPr>
        <w:pStyle w:val="ListParagraph"/>
        <w:numPr>
          <w:ilvl w:val="0"/>
          <w:numId w:val="28"/>
        </w:numPr>
        <w:rPr>
          <w:sz w:val="22"/>
          <w:szCs w:val="22"/>
        </w:rPr>
      </w:pPr>
      <w:r w:rsidRPr="006C3AB0">
        <w:rPr>
          <w:sz w:val="22"/>
          <w:szCs w:val="22"/>
        </w:rPr>
        <w:t>Program activity stock-take (and adjustment)</w:t>
      </w:r>
      <w:r>
        <w:rPr>
          <w:sz w:val="22"/>
          <w:szCs w:val="22"/>
        </w:rPr>
        <w:t xml:space="preserve"> - </w:t>
      </w:r>
      <w:r w:rsidR="00984670">
        <w:rPr>
          <w:sz w:val="22"/>
          <w:szCs w:val="22"/>
        </w:rPr>
        <w:t>Undertake a program activity stock-take to decide on appropriate adjustments to program activities to improve effectiveness, efficiency and sustainability</w:t>
      </w:r>
      <w:r w:rsidR="00437589">
        <w:rPr>
          <w:sz w:val="22"/>
          <w:szCs w:val="22"/>
        </w:rPr>
        <w:t>.</w:t>
      </w:r>
    </w:p>
    <w:p w14:paraId="71AD961F" w14:textId="5888C0FF" w:rsidR="00437589" w:rsidRPr="00E020A1" w:rsidRDefault="00437589" w:rsidP="00B14AF6">
      <w:pPr>
        <w:pStyle w:val="ListParagraph"/>
        <w:ind w:left="1134"/>
        <w:rPr>
          <w:sz w:val="22"/>
          <w:szCs w:val="22"/>
        </w:rPr>
      </w:pPr>
      <w:r>
        <w:rPr>
          <w:sz w:val="22"/>
          <w:szCs w:val="22"/>
        </w:rPr>
        <w:t xml:space="preserve">[Ref. discussion in </w:t>
      </w:r>
      <w:r w:rsidR="008C702F">
        <w:rPr>
          <w:sz w:val="22"/>
          <w:szCs w:val="22"/>
        </w:rPr>
        <w:t>Context (p.</w:t>
      </w:r>
      <w:r w:rsidR="00F42C73">
        <w:rPr>
          <w:sz w:val="22"/>
          <w:szCs w:val="22"/>
        </w:rPr>
        <w:t>13</w:t>
      </w:r>
      <w:r w:rsidR="008C702F">
        <w:rPr>
          <w:sz w:val="22"/>
          <w:szCs w:val="22"/>
        </w:rPr>
        <w:t>)</w:t>
      </w:r>
      <w:r w:rsidR="006475EA">
        <w:rPr>
          <w:sz w:val="22"/>
          <w:szCs w:val="22"/>
        </w:rPr>
        <w:t>, KRQ 2 (p.</w:t>
      </w:r>
      <w:r w:rsidR="00F42C73">
        <w:rPr>
          <w:sz w:val="22"/>
          <w:szCs w:val="22"/>
        </w:rPr>
        <w:t>1</w:t>
      </w:r>
      <w:r w:rsidR="004C6B87">
        <w:rPr>
          <w:sz w:val="22"/>
          <w:szCs w:val="22"/>
        </w:rPr>
        <w:t>8</w:t>
      </w:r>
      <w:r w:rsidR="006475EA">
        <w:rPr>
          <w:sz w:val="22"/>
          <w:szCs w:val="22"/>
        </w:rPr>
        <w:t>)</w:t>
      </w:r>
      <w:r w:rsidR="00962361">
        <w:rPr>
          <w:sz w:val="22"/>
          <w:szCs w:val="22"/>
        </w:rPr>
        <w:t>, KRQ 3 (p.</w:t>
      </w:r>
      <w:r w:rsidR="00035E6E">
        <w:rPr>
          <w:sz w:val="22"/>
          <w:szCs w:val="22"/>
        </w:rPr>
        <w:t>20</w:t>
      </w:r>
      <w:r w:rsidR="00962361">
        <w:rPr>
          <w:sz w:val="22"/>
          <w:szCs w:val="22"/>
        </w:rPr>
        <w:t>)</w:t>
      </w:r>
      <w:r w:rsidR="00386E2C">
        <w:rPr>
          <w:sz w:val="22"/>
          <w:szCs w:val="22"/>
        </w:rPr>
        <w:t>,</w:t>
      </w:r>
      <w:r w:rsidR="009E3141">
        <w:rPr>
          <w:sz w:val="22"/>
          <w:szCs w:val="22"/>
        </w:rPr>
        <w:t xml:space="preserve"> KRQ 4 (p.</w:t>
      </w:r>
      <w:r w:rsidR="00B87367">
        <w:rPr>
          <w:sz w:val="22"/>
          <w:szCs w:val="22"/>
        </w:rPr>
        <w:t>21</w:t>
      </w:r>
      <w:r w:rsidR="009E3141">
        <w:rPr>
          <w:sz w:val="22"/>
          <w:szCs w:val="22"/>
        </w:rPr>
        <w:t>)</w:t>
      </w:r>
      <w:r w:rsidR="00386E2C">
        <w:rPr>
          <w:sz w:val="22"/>
          <w:szCs w:val="22"/>
        </w:rPr>
        <w:t xml:space="preserve"> and </w:t>
      </w:r>
      <w:r w:rsidR="009833E0">
        <w:rPr>
          <w:sz w:val="22"/>
          <w:szCs w:val="22"/>
        </w:rPr>
        <w:t xml:space="preserve">Discussion on </w:t>
      </w:r>
      <w:r w:rsidR="00386E2C">
        <w:rPr>
          <w:sz w:val="22"/>
          <w:szCs w:val="22"/>
        </w:rPr>
        <w:t>next steps (p.25)</w:t>
      </w:r>
      <w:r w:rsidR="00791EEA">
        <w:rPr>
          <w:sz w:val="22"/>
          <w:szCs w:val="22"/>
        </w:rPr>
        <w:t>.</w:t>
      </w:r>
      <w:r w:rsidR="00C677C4">
        <w:rPr>
          <w:sz w:val="22"/>
          <w:szCs w:val="22"/>
        </w:rPr>
        <w:t>]</w:t>
      </w:r>
    </w:p>
    <w:p w14:paraId="6903F312" w14:textId="2C8FA294" w:rsidR="00437589" w:rsidRDefault="00437589" w:rsidP="00FC48DB">
      <w:pPr>
        <w:pStyle w:val="ListParagraph"/>
        <w:numPr>
          <w:ilvl w:val="0"/>
          <w:numId w:val="28"/>
        </w:numPr>
        <w:rPr>
          <w:sz w:val="22"/>
          <w:szCs w:val="22"/>
        </w:rPr>
      </w:pPr>
      <w:r>
        <w:rPr>
          <w:sz w:val="22"/>
          <w:szCs w:val="22"/>
        </w:rPr>
        <w:t>Refine the MERLA framework - Draw on the PIE MES Review and experience to date to refine the MERLA strategy and framework.</w:t>
      </w:r>
    </w:p>
    <w:p w14:paraId="532684A4" w14:textId="1160EE13" w:rsidR="00437589" w:rsidRDefault="00437589" w:rsidP="00B14AF6">
      <w:pPr>
        <w:pStyle w:val="ListParagraph"/>
        <w:ind w:left="1134"/>
        <w:rPr>
          <w:sz w:val="22"/>
          <w:szCs w:val="22"/>
        </w:rPr>
      </w:pPr>
      <w:r>
        <w:rPr>
          <w:sz w:val="22"/>
          <w:szCs w:val="22"/>
        </w:rPr>
        <w:t xml:space="preserve">[Ref. discussion in </w:t>
      </w:r>
      <w:r w:rsidR="002A5E37">
        <w:rPr>
          <w:sz w:val="22"/>
          <w:szCs w:val="22"/>
        </w:rPr>
        <w:t>KRQ 2 (p.</w:t>
      </w:r>
      <w:r w:rsidR="00B87367">
        <w:rPr>
          <w:sz w:val="22"/>
          <w:szCs w:val="22"/>
        </w:rPr>
        <w:t>18</w:t>
      </w:r>
      <w:r w:rsidR="002A5E37">
        <w:rPr>
          <w:sz w:val="22"/>
          <w:szCs w:val="22"/>
        </w:rPr>
        <w:t>)</w:t>
      </w:r>
      <w:r w:rsidR="008A5BBD">
        <w:rPr>
          <w:sz w:val="22"/>
          <w:szCs w:val="22"/>
        </w:rPr>
        <w:t>,</w:t>
      </w:r>
      <w:r w:rsidR="002E2FB8">
        <w:rPr>
          <w:sz w:val="22"/>
          <w:szCs w:val="22"/>
        </w:rPr>
        <w:t xml:space="preserve"> KRQ 3 (p.</w:t>
      </w:r>
      <w:r w:rsidR="00DD563F">
        <w:rPr>
          <w:sz w:val="22"/>
          <w:szCs w:val="22"/>
        </w:rPr>
        <w:t>20</w:t>
      </w:r>
      <w:r w:rsidR="002E2FB8">
        <w:rPr>
          <w:sz w:val="22"/>
          <w:szCs w:val="22"/>
        </w:rPr>
        <w:t>)</w:t>
      </w:r>
      <w:r w:rsidR="009E3141">
        <w:rPr>
          <w:sz w:val="22"/>
          <w:szCs w:val="22"/>
        </w:rPr>
        <w:t>, KRQ 4 (p.)</w:t>
      </w:r>
      <w:r w:rsidR="007323DD">
        <w:rPr>
          <w:sz w:val="22"/>
          <w:szCs w:val="22"/>
        </w:rPr>
        <w:t xml:space="preserve">, </w:t>
      </w:r>
      <w:r w:rsidR="008249BA">
        <w:rPr>
          <w:sz w:val="22"/>
          <w:szCs w:val="22"/>
        </w:rPr>
        <w:t>KRQ 5 (p.</w:t>
      </w:r>
      <w:r w:rsidR="00E72B49">
        <w:rPr>
          <w:sz w:val="22"/>
          <w:szCs w:val="22"/>
        </w:rPr>
        <w:t>21</w:t>
      </w:r>
      <w:r w:rsidR="008249BA">
        <w:rPr>
          <w:sz w:val="22"/>
          <w:szCs w:val="22"/>
        </w:rPr>
        <w:t>)</w:t>
      </w:r>
      <w:r w:rsidR="007323DD">
        <w:rPr>
          <w:sz w:val="22"/>
          <w:szCs w:val="22"/>
        </w:rPr>
        <w:t xml:space="preserve"> and Discussion on next steps (p.25)</w:t>
      </w:r>
      <w:r w:rsidR="008249BA">
        <w:rPr>
          <w:sz w:val="22"/>
          <w:szCs w:val="22"/>
        </w:rPr>
        <w:t>.</w:t>
      </w:r>
      <w:r w:rsidR="00317FAB">
        <w:rPr>
          <w:sz w:val="22"/>
          <w:szCs w:val="22"/>
        </w:rPr>
        <w:t>]</w:t>
      </w:r>
    </w:p>
    <w:p w14:paraId="154281C9" w14:textId="77777777" w:rsidR="004E7A40" w:rsidRPr="004E7A40" w:rsidRDefault="004E7A40" w:rsidP="004E7A40">
      <w:pPr>
        <w:pStyle w:val="ListParagraph"/>
        <w:numPr>
          <w:ilvl w:val="0"/>
          <w:numId w:val="28"/>
        </w:numPr>
        <w:rPr>
          <w:sz w:val="22"/>
          <w:szCs w:val="22"/>
        </w:rPr>
      </w:pPr>
      <w:r w:rsidRPr="004E7A40">
        <w:rPr>
          <w:sz w:val="22"/>
          <w:szCs w:val="22"/>
        </w:rPr>
        <w:t>Strengthen strategic communication - Increase the Program’s collateral and capacity for public diplomacy and policy influence.</w:t>
      </w:r>
    </w:p>
    <w:p w14:paraId="3379BD82" w14:textId="733E5E13" w:rsidR="004E7A40" w:rsidRPr="004E7A40" w:rsidRDefault="004E7A40" w:rsidP="00B14AF6">
      <w:pPr>
        <w:pStyle w:val="ListParagraph"/>
        <w:ind w:left="1134"/>
        <w:rPr>
          <w:sz w:val="22"/>
          <w:szCs w:val="22"/>
        </w:rPr>
      </w:pPr>
      <w:r w:rsidRPr="004E7A40">
        <w:rPr>
          <w:sz w:val="22"/>
          <w:szCs w:val="22"/>
        </w:rPr>
        <w:t xml:space="preserve">[Ref. discussion in </w:t>
      </w:r>
      <w:r w:rsidR="000C1575">
        <w:rPr>
          <w:sz w:val="22"/>
          <w:szCs w:val="22"/>
        </w:rPr>
        <w:t>KRQ 1 (p</w:t>
      </w:r>
      <w:r w:rsidR="00E72B49">
        <w:rPr>
          <w:sz w:val="22"/>
          <w:szCs w:val="22"/>
        </w:rPr>
        <w:t>p.15-16</w:t>
      </w:r>
      <w:r w:rsidR="000C1575">
        <w:rPr>
          <w:sz w:val="22"/>
          <w:szCs w:val="22"/>
        </w:rPr>
        <w:t>)</w:t>
      </w:r>
      <w:r w:rsidR="009E3141">
        <w:rPr>
          <w:sz w:val="22"/>
          <w:szCs w:val="22"/>
        </w:rPr>
        <w:t>, KRQ 4 (p</w:t>
      </w:r>
      <w:r w:rsidR="00E72B49">
        <w:rPr>
          <w:sz w:val="22"/>
          <w:szCs w:val="22"/>
        </w:rPr>
        <w:t>p.21-22</w:t>
      </w:r>
      <w:r w:rsidR="009E3141">
        <w:rPr>
          <w:sz w:val="22"/>
          <w:szCs w:val="22"/>
        </w:rPr>
        <w:t>)</w:t>
      </w:r>
      <w:r w:rsidR="00350AF1">
        <w:rPr>
          <w:sz w:val="22"/>
          <w:szCs w:val="22"/>
        </w:rPr>
        <w:t xml:space="preserve">, </w:t>
      </w:r>
      <w:r w:rsidR="00490D64">
        <w:rPr>
          <w:sz w:val="22"/>
          <w:szCs w:val="22"/>
        </w:rPr>
        <w:t>KRQ 5 (p.</w:t>
      </w:r>
      <w:r w:rsidR="00E72B49">
        <w:rPr>
          <w:sz w:val="22"/>
          <w:szCs w:val="22"/>
        </w:rPr>
        <w:t>23</w:t>
      </w:r>
      <w:r w:rsidR="00490D64">
        <w:rPr>
          <w:sz w:val="22"/>
          <w:szCs w:val="22"/>
        </w:rPr>
        <w:t>)</w:t>
      </w:r>
      <w:r w:rsidR="00350AF1">
        <w:rPr>
          <w:sz w:val="22"/>
          <w:szCs w:val="22"/>
        </w:rPr>
        <w:t xml:space="preserve"> and Discussion on next steps (p.25)</w:t>
      </w:r>
      <w:r w:rsidR="00791EEA">
        <w:rPr>
          <w:sz w:val="22"/>
          <w:szCs w:val="22"/>
        </w:rPr>
        <w:t>.</w:t>
      </w:r>
      <w:r w:rsidR="00350AF1">
        <w:rPr>
          <w:sz w:val="22"/>
          <w:szCs w:val="22"/>
        </w:rPr>
        <w:t>]</w:t>
      </w:r>
    </w:p>
    <w:p w14:paraId="20FC6A5B" w14:textId="4C9A360F" w:rsidR="00437589" w:rsidRDefault="00437589" w:rsidP="00B14AF6">
      <w:pPr>
        <w:pStyle w:val="ListParagraph"/>
        <w:keepNext/>
        <w:numPr>
          <w:ilvl w:val="0"/>
          <w:numId w:val="28"/>
        </w:numPr>
        <w:ind w:left="714" w:hanging="357"/>
        <w:rPr>
          <w:sz w:val="22"/>
          <w:szCs w:val="22"/>
        </w:rPr>
      </w:pPr>
      <w:r w:rsidRPr="00437589">
        <w:rPr>
          <w:sz w:val="22"/>
          <w:szCs w:val="22"/>
        </w:rPr>
        <w:t>Adjust current provincial engagement</w:t>
      </w:r>
      <w:r>
        <w:rPr>
          <w:sz w:val="22"/>
          <w:szCs w:val="22"/>
        </w:rPr>
        <w:t xml:space="preserve"> - </w:t>
      </w:r>
      <w:r w:rsidR="00652615">
        <w:rPr>
          <w:sz w:val="22"/>
          <w:szCs w:val="22"/>
        </w:rPr>
        <w:t xml:space="preserve">Review progress to date and prioritise next steps in each of the four </w:t>
      </w:r>
      <w:r w:rsidR="00475559">
        <w:rPr>
          <w:sz w:val="22"/>
          <w:szCs w:val="22"/>
        </w:rPr>
        <w:t>locations</w:t>
      </w:r>
      <w:r w:rsidR="000320F9">
        <w:rPr>
          <w:sz w:val="22"/>
          <w:szCs w:val="22"/>
        </w:rPr>
        <w:t xml:space="preserve"> to account for local context</w:t>
      </w:r>
      <w:r w:rsidR="004555DB">
        <w:rPr>
          <w:sz w:val="22"/>
          <w:szCs w:val="22"/>
        </w:rPr>
        <w:t xml:space="preserve"> and priorities,</w:t>
      </w:r>
      <w:r w:rsidR="000320F9">
        <w:rPr>
          <w:sz w:val="22"/>
          <w:szCs w:val="22"/>
        </w:rPr>
        <w:t xml:space="preserve"> and </w:t>
      </w:r>
      <w:r w:rsidR="004555DB">
        <w:rPr>
          <w:sz w:val="22"/>
          <w:szCs w:val="22"/>
        </w:rPr>
        <w:t>progress and learning to date</w:t>
      </w:r>
      <w:r w:rsidR="003C64A8">
        <w:rPr>
          <w:sz w:val="22"/>
          <w:szCs w:val="22"/>
        </w:rPr>
        <w:t>.</w:t>
      </w:r>
    </w:p>
    <w:p w14:paraId="6C6DC1A2" w14:textId="7816C0E9" w:rsidR="003C64A8" w:rsidRDefault="003C64A8" w:rsidP="00B14AF6">
      <w:pPr>
        <w:pStyle w:val="ListParagraph"/>
        <w:ind w:left="1134"/>
        <w:rPr>
          <w:sz w:val="22"/>
          <w:szCs w:val="22"/>
        </w:rPr>
      </w:pPr>
      <w:r>
        <w:rPr>
          <w:sz w:val="22"/>
          <w:szCs w:val="22"/>
        </w:rPr>
        <w:t xml:space="preserve">[Ref. discussion in </w:t>
      </w:r>
      <w:r w:rsidR="005E22FA">
        <w:rPr>
          <w:sz w:val="22"/>
          <w:szCs w:val="22"/>
        </w:rPr>
        <w:t>Context (p.</w:t>
      </w:r>
      <w:r w:rsidR="00E72B49">
        <w:rPr>
          <w:sz w:val="22"/>
          <w:szCs w:val="22"/>
        </w:rPr>
        <w:t>14</w:t>
      </w:r>
      <w:r w:rsidR="005E22FA">
        <w:rPr>
          <w:sz w:val="22"/>
          <w:szCs w:val="22"/>
        </w:rPr>
        <w:t>)</w:t>
      </w:r>
      <w:r w:rsidR="002E2FB8">
        <w:rPr>
          <w:sz w:val="22"/>
          <w:szCs w:val="22"/>
        </w:rPr>
        <w:t>, KRQ 2 (p.</w:t>
      </w:r>
      <w:r w:rsidR="00E72B49">
        <w:rPr>
          <w:sz w:val="22"/>
          <w:szCs w:val="22"/>
        </w:rPr>
        <w:t>18</w:t>
      </w:r>
      <w:r w:rsidR="002E2FB8">
        <w:rPr>
          <w:sz w:val="22"/>
          <w:szCs w:val="22"/>
        </w:rPr>
        <w:t>)</w:t>
      </w:r>
      <w:r w:rsidR="009E3141">
        <w:rPr>
          <w:sz w:val="22"/>
          <w:szCs w:val="22"/>
        </w:rPr>
        <w:t>, KRQ 3 (p.</w:t>
      </w:r>
      <w:r w:rsidR="00E72B49">
        <w:rPr>
          <w:sz w:val="22"/>
          <w:szCs w:val="22"/>
        </w:rPr>
        <w:t>20</w:t>
      </w:r>
      <w:r w:rsidR="009E3141">
        <w:rPr>
          <w:sz w:val="22"/>
          <w:szCs w:val="22"/>
        </w:rPr>
        <w:t>)</w:t>
      </w:r>
      <w:r w:rsidR="00350AF1">
        <w:rPr>
          <w:sz w:val="22"/>
          <w:szCs w:val="22"/>
        </w:rPr>
        <w:t xml:space="preserve">, </w:t>
      </w:r>
      <w:r w:rsidR="009E3141">
        <w:rPr>
          <w:sz w:val="22"/>
          <w:szCs w:val="22"/>
        </w:rPr>
        <w:t>KRQ 4 (p</w:t>
      </w:r>
      <w:r w:rsidR="00E72B49">
        <w:rPr>
          <w:sz w:val="22"/>
          <w:szCs w:val="22"/>
        </w:rPr>
        <w:t>p</w:t>
      </w:r>
      <w:r w:rsidR="009E3141">
        <w:rPr>
          <w:sz w:val="22"/>
          <w:szCs w:val="22"/>
        </w:rPr>
        <w:t>.</w:t>
      </w:r>
      <w:r w:rsidR="00FF7362">
        <w:rPr>
          <w:sz w:val="22"/>
          <w:szCs w:val="22"/>
        </w:rPr>
        <w:t>21-22</w:t>
      </w:r>
      <w:r w:rsidR="009E3141">
        <w:rPr>
          <w:sz w:val="22"/>
          <w:szCs w:val="22"/>
        </w:rPr>
        <w:t>)</w:t>
      </w:r>
      <w:r w:rsidR="00350AF1">
        <w:rPr>
          <w:sz w:val="22"/>
          <w:szCs w:val="22"/>
        </w:rPr>
        <w:t xml:space="preserve"> and Discussion on next steps (p.2</w:t>
      </w:r>
      <w:r w:rsidR="00C677C4">
        <w:rPr>
          <w:sz w:val="22"/>
          <w:szCs w:val="22"/>
        </w:rPr>
        <w:t>6</w:t>
      </w:r>
      <w:r w:rsidR="00350AF1">
        <w:rPr>
          <w:sz w:val="22"/>
          <w:szCs w:val="22"/>
        </w:rPr>
        <w:t>)</w:t>
      </w:r>
      <w:r w:rsidR="00791EEA">
        <w:rPr>
          <w:sz w:val="22"/>
          <w:szCs w:val="22"/>
        </w:rPr>
        <w:t>.</w:t>
      </w:r>
      <w:r w:rsidR="00350AF1">
        <w:rPr>
          <w:sz w:val="22"/>
          <w:szCs w:val="22"/>
        </w:rPr>
        <w:t>]</w:t>
      </w:r>
    </w:p>
    <w:p w14:paraId="51B04C3F" w14:textId="35318C11" w:rsidR="003C64A8" w:rsidRPr="00E020A1" w:rsidRDefault="003C64A8" w:rsidP="00FC48DB">
      <w:pPr>
        <w:pStyle w:val="ListParagraph"/>
        <w:numPr>
          <w:ilvl w:val="0"/>
          <w:numId w:val="28"/>
        </w:numPr>
        <w:rPr>
          <w:sz w:val="22"/>
          <w:szCs w:val="22"/>
        </w:rPr>
      </w:pPr>
      <w:r w:rsidRPr="003C64A8">
        <w:rPr>
          <w:sz w:val="22"/>
          <w:szCs w:val="22"/>
        </w:rPr>
        <w:t>Geographic expansion</w:t>
      </w:r>
      <w:r>
        <w:rPr>
          <w:sz w:val="22"/>
          <w:szCs w:val="22"/>
        </w:rPr>
        <w:t xml:space="preserve"> </w:t>
      </w:r>
      <w:r w:rsidR="0023030F">
        <w:rPr>
          <w:sz w:val="22"/>
          <w:szCs w:val="22"/>
        </w:rPr>
        <w:t>–</w:t>
      </w:r>
      <w:r>
        <w:rPr>
          <w:sz w:val="22"/>
          <w:szCs w:val="22"/>
        </w:rPr>
        <w:t xml:space="preserve"> </w:t>
      </w:r>
      <w:r w:rsidR="0023030F">
        <w:rPr>
          <w:sz w:val="22"/>
          <w:szCs w:val="22"/>
        </w:rPr>
        <w:t xml:space="preserve">PIE </w:t>
      </w:r>
      <w:r w:rsidR="006C2D92">
        <w:rPr>
          <w:sz w:val="22"/>
          <w:szCs w:val="22"/>
        </w:rPr>
        <w:t xml:space="preserve">should not proceed to a </w:t>
      </w:r>
      <w:r w:rsidR="0023030F" w:rsidRPr="0023030F">
        <w:rPr>
          <w:sz w:val="22"/>
          <w:szCs w:val="22"/>
        </w:rPr>
        <w:t>5th province</w:t>
      </w:r>
      <w:r w:rsidR="006C2D92">
        <w:rPr>
          <w:sz w:val="22"/>
          <w:szCs w:val="22"/>
        </w:rPr>
        <w:t xml:space="preserve"> in the short term</w:t>
      </w:r>
      <w:r w:rsidR="00CC781A">
        <w:rPr>
          <w:sz w:val="22"/>
          <w:szCs w:val="22"/>
        </w:rPr>
        <w:t xml:space="preserve">. </w:t>
      </w:r>
      <w:r w:rsidR="00262E85">
        <w:rPr>
          <w:sz w:val="22"/>
          <w:szCs w:val="22"/>
        </w:rPr>
        <w:t xml:space="preserve"> </w:t>
      </w:r>
      <w:r w:rsidR="00CC781A">
        <w:rPr>
          <w:sz w:val="22"/>
          <w:szCs w:val="22"/>
        </w:rPr>
        <w:t>Rather expansion to other provinces should be driven by GoPNG, with PIE support, informed by a longer-term plan for expansion and consultation with other partners, including the World Bank.</w:t>
      </w:r>
    </w:p>
    <w:p w14:paraId="08E66114" w14:textId="6A33C383" w:rsidR="00437589" w:rsidRPr="0065260C" w:rsidRDefault="0033551E" w:rsidP="00B14AF6">
      <w:pPr>
        <w:pStyle w:val="ListParagraph"/>
        <w:ind w:left="1134"/>
        <w:rPr>
          <w:sz w:val="22"/>
          <w:szCs w:val="22"/>
        </w:rPr>
      </w:pPr>
      <w:r>
        <w:rPr>
          <w:sz w:val="22"/>
          <w:szCs w:val="22"/>
        </w:rPr>
        <w:t xml:space="preserve">[Ref. discussion in </w:t>
      </w:r>
      <w:r w:rsidR="00832991">
        <w:rPr>
          <w:sz w:val="22"/>
          <w:szCs w:val="22"/>
        </w:rPr>
        <w:t>KRQ 1 (p.</w:t>
      </w:r>
      <w:r w:rsidR="00FF7362">
        <w:rPr>
          <w:sz w:val="22"/>
          <w:szCs w:val="22"/>
        </w:rPr>
        <w:t>16</w:t>
      </w:r>
      <w:r w:rsidR="009E3141">
        <w:rPr>
          <w:sz w:val="22"/>
          <w:szCs w:val="22"/>
        </w:rPr>
        <w:t>), KRQ 4 (p.</w:t>
      </w:r>
      <w:r w:rsidR="00FF7362">
        <w:rPr>
          <w:sz w:val="22"/>
          <w:szCs w:val="22"/>
        </w:rPr>
        <w:t>20</w:t>
      </w:r>
      <w:r w:rsidR="009E3141">
        <w:rPr>
          <w:sz w:val="22"/>
          <w:szCs w:val="22"/>
        </w:rPr>
        <w:t>)</w:t>
      </w:r>
      <w:r w:rsidR="00350AF1">
        <w:rPr>
          <w:sz w:val="22"/>
          <w:szCs w:val="22"/>
        </w:rPr>
        <w:t xml:space="preserve">, </w:t>
      </w:r>
      <w:r w:rsidR="00D145E5">
        <w:rPr>
          <w:sz w:val="22"/>
          <w:szCs w:val="22"/>
        </w:rPr>
        <w:t>KRQ 5 (p.</w:t>
      </w:r>
      <w:r w:rsidR="00976BE1">
        <w:rPr>
          <w:sz w:val="22"/>
          <w:szCs w:val="22"/>
        </w:rPr>
        <w:t>23</w:t>
      </w:r>
      <w:r w:rsidR="00D145E5">
        <w:rPr>
          <w:sz w:val="22"/>
          <w:szCs w:val="22"/>
        </w:rPr>
        <w:t>)</w:t>
      </w:r>
      <w:r w:rsidR="00350AF1">
        <w:rPr>
          <w:sz w:val="22"/>
          <w:szCs w:val="22"/>
        </w:rPr>
        <w:t xml:space="preserve"> and Discussion on next steps (p.2</w:t>
      </w:r>
      <w:r w:rsidR="00791EEA">
        <w:rPr>
          <w:sz w:val="22"/>
          <w:szCs w:val="22"/>
        </w:rPr>
        <w:t>7</w:t>
      </w:r>
      <w:r w:rsidR="00350AF1">
        <w:rPr>
          <w:sz w:val="22"/>
          <w:szCs w:val="22"/>
        </w:rPr>
        <w:t>)</w:t>
      </w:r>
      <w:r w:rsidR="00791EEA">
        <w:rPr>
          <w:sz w:val="22"/>
          <w:szCs w:val="22"/>
        </w:rPr>
        <w:t>.</w:t>
      </w:r>
      <w:r w:rsidR="00350AF1">
        <w:rPr>
          <w:sz w:val="22"/>
          <w:szCs w:val="22"/>
        </w:rPr>
        <w:t>]</w:t>
      </w:r>
    </w:p>
    <w:p w14:paraId="3271E279" w14:textId="77777777" w:rsidR="00CB6F93" w:rsidRDefault="00282F92" w:rsidP="00F83A62">
      <w:pPr>
        <w:pStyle w:val="Heading1"/>
        <w:pageBreakBefore/>
        <w:ind w:left="425" w:hanging="425"/>
      </w:pPr>
      <w:bookmarkStart w:id="31" w:name="_Toc180756334"/>
      <w:r>
        <w:t>Annex</w:t>
      </w:r>
      <w:bookmarkEnd w:id="31"/>
      <w:r>
        <w:t xml:space="preserve"> </w:t>
      </w:r>
    </w:p>
    <w:p w14:paraId="55A7CD9A" w14:textId="77777777" w:rsidR="00524827" w:rsidRDefault="00CB6F93" w:rsidP="00863D5E">
      <w:pPr>
        <w:pStyle w:val="Heading2"/>
      </w:pPr>
      <w:bookmarkStart w:id="32" w:name="_Toc180756335"/>
      <w:r>
        <w:t xml:space="preserve">Documents </w:t>
      </w:r>
      <w:r w:rsidR="00170DE8">
        <w:t>read</w:t>
      </w:r>
      <w:r w:rsidR="00A5348B">
        <w:t xml:space="preserve"> prior to </w:t>
      </w:r>
      <w:r w:rsidR="00524827">
        <w:t>in-country visit</w:t>
      </w:r>
      <w:bookmarkEnd w:id="32"/>
    </w:p>
    <w:tbl>
      <w:tblPr>
        <w:tblStyle w:val="TableGrid"/>
        <w:tblW w:w="9923" w:type="dxa"/>
        <w:tblInd w:w="-5" w:type="dxa"/>
        <w:tblLook w:val="04A0" w:firstRow="1" w:lastRow="0" w:firstColumn="1" w:lastColumn="0" w:noHBand="0" w:noVBand="1"/>
      </w:tblPr>
      <w:tblGrid>
        <w:gridCol w:w="2410"/>
        <w:gridCol w:w="7513"/>
      </w:tblGrid>
      <w:tr w:rsidR="00B57176" w:rsidRPr="00F0110B" w14:paraId="2D30D865" w14:textId="77777777" w:rsidTr="00C90671">
        <w:trPr>
          <w:tblHeader/>
        </w:trPr>
        <w:tc>
          <w:tcPr>
            <w:tcW w:w="2410" w:type="dxa"/>
          </w:tcPr>
          <w:p w14:paraId="2C78E7AA" w14:textId="0C10E871" w:rsidR="00524827" w:rsidRPr="00C90671" w:rsidRDefault="00524827" w:rsidP="00CF0C33">
            <w:pPr>
              <w:jc w:val="center"/>
              <w:rPr>
                <w:rFonts w:cs="Calibri"/>
                <w:b/>
                <w:bCs/>
                <w:sz w:val="20"/>
                <w:szCs w:val="20"/>
              </w:rPr>
            </w:pPr>
            <w:r w:rsidRPr="00C90671">
              <w:rPr>
                <w:rFonts w:cs="Calibri"/>
                <w:b/>
                <w:bCs/>
                <w:sz w:val="20"/>
                <w:szCs w:val="20"/>
              </w:rPr>
              <w:t xml:space="preserve">Group </w:t>
            </w:r>
          </w:p>
        </w:tc>
        <w:tc>
          <w:tcPr>
            <w:tcW w:w="7513" w:type="dxa"/>
            <w:shd w:val="clear" w:color="auto" w:fill="FFFFFF" w:themeFill="background1"/>
          </w:tcPr>
          <w:p w14:paraId="355C3382" w14:textId="77777777" w:rsidR="00524827" w:rsidRPr="00C90671" w:rsidRDefault="00524827" w:rsidP="00CF0C33">
            <w:pPr>
              <w:jc w:val="center"/>
              <w:rPr>
                <w:rFonts w:cs="Calibri"/>
                <w:b/>
                <w:bCs/>
                <w:sz w:val="20"/>
                <w:szCs w:val="20"/>
              </w:rPr>
            </w:pPr>
            <w:r w:rsidRPr="00C90671">
              <w:rPr>
                <w:rFonts w:cs="Calibri"/>
                <w:b/>
                <w:bCs/>
                <w:sz w:val="20"/>
                <w:szCs w:val="20"/>
              </w:rPr>
              <w:t>Document name</w:t>
            </w:r>
          </w:p>
        </w:tc>
      </w:tr>
      <w:tr w:rsidR="00B57176" w:rsidRPr="00F0110B" w14:paraId="4EB9B9B5" w14:textId="77777777" w:rsidTr="00C90671">
        <w:tc>
          <w:tcPr>
            <w:tcW w:w="2410" w:type="dxa"/>
          </w:tcPr>
          <w:p w14:paraId="078E65F8" w14:textId="77777777" w:rsidR="00524827" w:rsidRPr="00C90671" w:rsidRDefault="00524827" w:rsidP="00CF0C33">
            <w:pPr>
              <w:rPr>
                <w:rFonts w:cs="Calibri"/>
                <w:sz w:val="20"/>
                <w:szCs w:val="20"/>
              </w:rPr>
            </w:pPr>
            <w:r w:rsidRPr="00C90671">
              <w:rPr>
                <w:rFonts w:cs="Calibri"/>
                <w:sz w:val="20"/>
                <w:szCs w:val="20"/>
              </w:rPr>
              <w:t>PIE Contract</w:t>
            </w:r>
          </w:p>
        </w:tc>
        <w:tc>
          <w:tcPr>
            <w:tcW w:w="7513" w:type="dxa"/>
            <w:shd w:val="clear" w:color="auto" w:fill="FFFFFF" w:themeFill="background1"/>
          </w:tcPr>
          <w:p w14:paraId="7CEA9742" w14:textId="77777777" w:rsidR="00524827" w:rsidRPr="00C90671" w:rsidRDefault="00524827" w:rsidP="00CF0C33">
            <w:pPr>
              <w:rPr>
                <w:rFonts w:cs="Calibri"/>
                <w:sz w:val="20"/>
                <w:szCs w:val="20"/>
              </w:rPr>
            </w:pPr>
            <w:r w:rsidRPr="00C90671">
              <w:rPr>
                <w:rFonts w:cs="Calibri"/>
                <w:sz w:val="20"/>
                <w:szCs w:val="20"/>
              </w:rPr>
              <w:t>77441_Contract_PIE_.docx</w:t>
            </w:r>
          </w:p>
        </w:tc>
      </w:tr>
      <w:tr w:rsidR="00B57176" w:rsidRPr="00F0110B" w14:paraId="23DDDC7B" w14:textId="77777777" w:rsidTr="00C90671">
        <w:tc>
          <w:tcPr>
            <w:tcW w:w="2410" w:type="dxa"/>
          </w:tcPr>
          <w:p w14:paraId="461642F9" w14:textId="77777777" w:rsidR="00524827" w:rsidRPr="00C90671" w:rsidRDefault="00524827" w:rsidP="00CF0C33">
            <w:pPr>
              <w:rPr>
                <w:rFonts w:cs="Calibri"/>
                <w:sz w:val="20"/>
                <w:szCs w:val="20"/>
              </w:rPr>
            </w:pPr>
            <w:r w:rsidRPr="00C90671">
              <w:rPr>
                <w:rFonts w:cs="Calibri"/>
                <w:sz w:val="20"/>
                <w:szCs w:val="20"/>
              </w:rPr>
              <w:t>PIE Design</w:t>
            </w:r>
          </w:p>
        </w:tc>
        <w:tc>
          <w:tcPr>
            <w:tcW w:w="7513" w:type="dxa"/>
            <w:shd w:val="clear" w:color="auto" w:fill="FFFFFF" w:themeFill="background1"/>
          </w:tcPr>
          <w:p w14:paraId="272C2C71" w14:textId="77777777" w:rsidR="00524827" w:rsidRDefault="00524827" w:rsidP="00CF0C33">
            <w:pPr>
              <w:rPr>
                <w:rFonts w:cs="Calibri"/>
                <w:sz w:val="20"/>
                <w:szCs w:val="20"/>
              </w:rPr>
            </w:pPr>
            <w:r w:rsidRPr="00C90671">
              <w:rPr>
                <w:rFonts w:cs="Calibri"/>
                <w:sz w:val="20"/>
                <w:szCs w:val="20"/>
              </w:rPr>
              <w:t>Final PIE IDD with program logic in image form- Vol 1 Narrative 30072021</w:t>
            </w:r>
          </w:p>
          <w:p w14:paraId="7120464E" w14:textId="77777777" w:rsidR="00A90444" w:rsidRDefault="00A90444" w:rsidP="00CF0C33">
            <w:pPr>
              <w:rPr>
                <w:rFonts w:cs="Calibri"/>
                <w:sz w:val="20"/>
                <w:szCs w:val="20"/>
              </w:rPr>
            </w:pPr>
            <w:r w:rsidRPr="00C90671">
              <w:rPr>
                <w:rFonts w:cs="Calibri"/>
                <w:sz w:val="20"/>
                <w:szCs w:val="20"/>
              </w:rPr>
              <w:t>Appendix G-Budget 30072021</w:t>
            </w:r>
          </w:p>
          <w:p w14:paraId="5F142BB6" w14:textId="7E361A57" w:rsidR="00A90444" w:rsidRPr="00C90671" w:rsidRDefault="00A90444" w:rsidP="00CF0C33">
            <w:pPr>
              <w:rPr>
                <w:rFonts w:cs="Calibri"/>
                <w:sz w:val="20"/>
                <w:szCs w:val="20"/>
              </w:rPr>
            </w:pPr>
            <w:r w:rsidRPr="00C90671">
              <w:rPr>
                <w:rFonts w:cs="Calibri"/>
                <w:sz w:val="20"/>
                <w:szCs w:val="20"/>
              </w:rPr>
              <w:t>Clean PIE IDD - Vol 2 Appendices bm edits 30072021</w:t>
            </w:r>
          </w:p>
        </w:tc>
      </w:tr>
      <w:tr w:rsidR="00B57176" w:rsidRPr="00F0110B" w14:paraId="3408E6DC" w14:textId="77777777" w:rsidTr="00C90671">
        <w:tc>
          <w:tcPr>
            <w:tcW w:w="2410" w:type="dxa"/>
          </w:tcPr>
          <w:p w14:paraId="20AE57E3" w14:textId="77777777" w:rsidR="00524827" w:rsidRPr="00C90671" w:rsidRDefault="00524827" w:rsidP="00CF0C33">
            <w:pPr>
              <w:rPr>
                <w:rFonts w:cs="Calibri"/>
                <w:sz w:val="20"/>
                <w:szCs w:val="20"/>
              </w:rPr>
            </w:pPr>
            <w:r w:rsidRPr="00C90671">
              <w:rPr>
                <w:rFonts w:cs="Calibri"/>
                <w:sz w:val="20"/>
                <w:szCs w:val="20"/>
              </w:rPr>
              <w:t>PIE MERLA Framework</w:t>
            </w:r>
          </w:p>
        </w:tc>
        <w:tc>
          <w:tcPr>
            <w:tcW w:w="7513" w:type="dxa"/>
            <w:shd w:val="clear" w:color="auto" w:fill="FFFFFF" w:themeFill="background1"/>
          </w:tcPr>
          <w:p w14:paraId="158675E1" w14:textId="77777777" w:rsidR="00524827" w:rsidRDefault="00524827" w:rsidP="00CF0C33">
            <w:pPr>
              <w:rPr>
                <w:rFonts w:cs="Calibri"/>
                <w:sz w:val="20"/>
                <w:szCs w:val="20"/>
              </w:rPr>
            </w:pPr>
            <w:r w:rsidRPr="00C90671">
              <w:rPr>
                <w:rFonts w:cs="Calibri"/>
                <w:sz w:val="20"/>
                <w:szCs w:val="20"/>
              </w:rPr>
              <w:t>2404 PIE MERLA Framework - External 2April24</w:t>
            </w:r>
          </w:p>
          <w:p w14:paraId="33FC041A" w14:textId="77777777" w:rsidR="00A90444" w:rsidRDefault="00A90444" w:rsidP="00CF0C33">
            <w:pPr>
              <w:rPr>
                <w:rFonts w:cs="Calibri"/>
                <w:sz w:val="20"/>
                <w:szCs w:val="20"/>
              </w:rPr>
            </w:pPr>
            <w:r w:rsidRPr="00C90671">
              <w:rPr>
                <w:rFonts w:cs="Calibri"/>
                <w:sz w:val="20"/>
                <w:szCs w:val="20"/>
              </w:rPr>
              <w:t>PIE MERLA Plan 2024</w:t>
            </w:r>
          </w:p>
          <w:p w14:paraId="56A122BD" w14:textId="6DD332D3" w:rsidR="00A90444" w:rsidRDefault="00A90444" w:rsidP="00CF0C33">
            <w:pPr>
              <w:rPr>
                <w:rFonts w:cs="Calibri"/>
                <w:sz w:val="20"/>
                <w:szCs w:val="20"/>
              </w:rPr>
            </w:pPr>
            <w:r w:rsidRPr="00C90671">
              <w:rPr>
                <w:rFonts w:cs="Calibri"/>
                <w:sz w:val="20"/>
                <w:szCs w:val="20"/>
              </w:rPr>
              <w:t xml:space="preserve">2312 PIE Indicator Definitions </w:t>
            </w:r>
            <w:r>
              <w:rPr>
                <w:rFonts w:cs="Calibri"/>
                <w:sz w:val="20"/>
                <w:szCs w:val="20"/>
              </w:rPr>
              <w:t>–</w:t>
            </w:r>
            <w:r w:rsidRPr="00C90671">
              <w:rPr>
                <w:rFonts w:cs="Calibri"/>
                <w:sz w:val="20"/>
                <w:szCs w:val="20"/>
              </w:rPr>
              <w:t xml:space="preserve"> 2024</w:t>
            </w:r>
          </w:p>
          <w:p w14:paraId="544BC1DB" w14:textId="77777777" w:rsidR="00A90444" w:rsidRDefault="00A90444" w:rsidP="00CF0C33">
            <w:pPr>
              <w:rPr>
                <w:rFonts w:cs="Calibri"/>
                <w:sz w:val="20"/>
                <w:szCs w:val="20"/>
              </w:rPr>
            </w:pPr>
            <w:r w:rsidRPr="00C90671">
              <w:rPr>
                <w:rFonts w:cs="Calibri"/>
                <w:sz w:val="20"/>
                <w:szCs w:val="20"/>
              </w:rPr>
              <w:t>PIE MERLA Plan 2023 v1</w:t>
            </w:r>
          </w:p>
          <w:p w14:paraId="44D48938" w14:textId="77777777" w:rsidR="00A90444" w:rsidRDefault="00A90444" w:rsidP="00CF0C33">
            <w:pPr>
              <w:rPr>
                <w:rFonts w:cs="Calibri"/>
                <w:sz w:val="20"/>
                <w:szCs w:val="20"/>
              </w:rPr>
            </w:pPr>
            <w:r w:rsidRPr="00C90671">
              <w:rPr>
                <w:rFonts w:cs="Calibri"/>
                <w:sz w:val="20"/>
                <w:szCs w:val="20"/>
              </w:rPr>
              <w:t>PIE MERLA Framework 2023</w:t>
            </w:r>
          </w:p>
          <w:p w14:paraId="1746888B" w14:textId="77777777" w:rsidR="00A90444" w:rsidRDefault="00A90444" w:rsidP="00CF0C33">
            <w:pPr>
              <w:rPr>
                <w:rFonts w:cs="Calibri"/>
                <w:sz w:val="20"/>
                <w:szCs w:val="20"/>
              </w:rPr>
            </w:pPr>
            <w:r w:rsidRPr="00C90671">
              <w:rPr>
                <w:rFonts w:cs="Calibri"/>
                <w:sz w:val="20"/>
                <w:szCs w:val="20"/>
              </w:rPr>
              <w:t>PIE MERLA Framework clean 1Apr23</w:t>
            </w:r>
          </w:p>
          <w:p w14:paraId="5B6E5D94" w14:textId="07F0F00D" w:rsidR="00A90444" w:rsidRPr="00C90671" w:rsidRDefault="00A90444" w:rsidP="00CF0C33">
            <w:pPr>
              <w:rPr>
                <w:rFonts w:cs="Calibri"/>
                <w:sz w:val="20"/>
                <w:szCs w:val="20"/>
              </w:rPr>
            </w:pPr>
            <w:r w:rsidRPr="00C90671">
              <w:rPr>
                <w:rFonts w:cs="Calibri"/>
                <w:sz w:val="20"/>
                <w:szCs w:val="20"/>
              </w:rPr>
              <w:t>230411 Assessment Partnership for Improving Education M&amp;E STANDARD 5</w:t>
            </w:r>
          </w:p>
        </w:tc>
      </w:tr>
      <w:tr w:rsidR="00941B04" w:rsidRPr="00F0110B" w14:paraId="774D53DF" w14:textId="77777777" w:rsidTr="00C90671">
        <w:tc>
          <w:tcPr>
            <w:tcW w:w="2410" w:type="dxa"/>
          </w:tcPr>
          <w:p w14:paraId="0BC25D87" w14:textId="3066AF60" w:rsidR="00941B04" w:rsidRPr="00C90671" w:rsidRDefault="00941B04" w:rsidP="00941B04">
            <w:pPr>
              <w:rPr>
                <w:rFonts w:cs="Calibri"/>
                <w:sz w:val="20"/>
                <w:szCs w:val="20"/>
              </w:rPr>
            </w:pPr>
            <w:r w:rsidRPr="00C90671">
              <w:rPr>
                <w:rFonts w:cs="Calibri"/>
                <w:sz w:val="20"/>
                <w:szCs w:val="20"/>
              </w:rPr>
              <w:t xml:space="preserve">Reports – </w:t>
            </w:r>
            <w:r w:rsidR="00575E41" w:rsidRPr="00C90671">
              <w:rPr>
                <w:rFonts w:cs="Calibri"/>
                <w:sz w:val="20"/>
                <w:szCs w:val="20"/>
              </w:rPr>
              <w:t>AR and SAR</w:t>
            </w:r>
          </w:p>
        </w:tc>
        <w:tc>
          <w:tcPr>
            <w:tcW w:w="7513" w:type="dxa"/>
            <w:shd w:val="clear" w:color="auto" w:fill="FFFFFF" w:themeFill="background1"/>
          </w:tcPr>
          <w:p w14:paraId="44493D6E" w14:textId="77777777" w:rsidR="00941B04" w:rsidRDefault="00941B04" w:rsidP="00941B04">
            <w:pPr>
              <w:rPr>
                <w:rFonts w:cs="Calibri"/>
                <w:sz w:val="20"/>
                <w:szCs w:val="20"/>
              </w:rPr>
            </w:pPr>
            <w:r w:rsidRPr="00C90671">
              <w:rPr>
                <w:rFonts w:cs="Calibri"/>
                <w:sz w:val="20"/>
                <w:szCs w:val="20"/>
              </w:rPr>
              <w:t>2023 Annual Performance Report</w:t>
            </w:r>
          </w:p>
          <w:p w14:paraId="698F7707" w14:textId="77777777" w:rsidR="00A90444" w:rsidRDefault="00A90444" w:rsidP="00941B04">
            <w:pPr>
              <w:rPr>
                <w:rFonts w:cs="Calibri"/>
                <w:sz w:val="20"/>
                <w:szCs w:val="20"/>
              </w:rPr>
            </w:pPr>
            <w:r w:rsidRPr="00C90671">
              <w:rPr>
                <w:rFonts w:cs="Calibri"/>
                <w:sz w:val="20"/>
                <w:szCs w:val="20"/>
              </w:rPr>
              <w:t>2023 APR Annexes</w:t>
            </w:r>
          </w:p>
          <w:p w14:paraId="22777D31" w14:textId="77777777" w:rsidR="00A90444" w:rsidRDefault="00A90444" w:rsidP="00941B04">
            <w:pPr>
              <w:rPr>
                <w:rFonts w:cs="Calibri"/>
                <w:sz w:val="20"/>
                <w:szCs w:val="20"/>
              </w:rPr>
            </w:pPr>
            <w:r w:rsidRPr="00C90671">
              <w:rPr>
                <w:rFonts w:cs="Calibri"/>
                <w:sz w:val="20"/>
                <w:szCs w:val="20"/>
              </w:rPr>
              <w:t>PIE APR Annexes Jan 23 - Dec 23</w:t>
            </w:r>
          </w:p>
          <w:p w14:paraId="6DF6026F" w14:textId="77777777" w:rsidR="00A90444" w:rsidRDefault="00A90444" w:rsidP="00941B04">
            <w:pPr>
              <w:rPr>
                <w:rFonts w:cs="Calibri"/>
                <w:sz w:val="20"/>
                <w:szCs w:val="20"/>
              </w:rPr>
            </w:pPr>
            <w:r w:rsidRPr="00C90671">
              <w:rPr>
                <w:rFonts w:cs="Calibri"/>
                <w:sz w:val="20"/>
                <w:szCs w:val="20"/>
              </w:rPr>
              <w:t>PIE Semi-Annual Report January 2023 to June 2023</w:t>
            </w:r>
          </w:p>
          <w:p w14:paraId="16EE2E3E" w14:textId="77777777" w:rsidR="00A90444" w:rsidRDefault="00A90444" w:rsidP="00941B04">
            <w:pPr>
              <w:rPr>
                <w:rFonts w:cs="Calibri"/>
                <w:sz w:val="20"/>
                <w:szCs w:val="20"/>
              </w:rPr>
            </w:pPr>
            <w:r w:rsidRPr="00C90671">
              <w:rPr>
                <w:rFonts w:cs="Calibri"/>
                <w:sz w:val="20"/>
                <w:szCs w:val="20"/>
              </w:rPr>
              <w:t>Abt PIE SAR Reporting Annexes Jan 23 - Jun 23</w:t>
            </w:r>
          </w:p>
          <w:p w14:paraId="1CC655D7" w14:textId="77777777" w:rsidR="00A90444" w:rsidRDefault="00A90444" w:rsidP="00941B04">
            <w:pPr>
              <w:rPr>
                <w:rFonts w:cs="Calibri"/>
                <w:sz w:val="20"/>
                <w:szCs w:val="20"/>
              </w:rPr>
            </w:pPr>
            <w:r w:rsidRPr="00C90671">
              <w:rPr>
                <w:rFonts w:cs="Calibri"/>
                <w:sz w:val="20"/>
                <w:szCs w:val="20"/>
              </w:rPr>
              <w:t>2024 SAR</w:t>
            </w:r>
          </w:p>
          <w:p w14:paraId="4D01709B" w14:textId="77777777" w:rsidR="00A90444" w:rsidRDefault="00A90444" w:rsidP="00941B04">
            <w:pPr>
              <w:rPr>
                <w:rFonts w:cs="Calibri"/>
                <w:sz w:val="20"/>
                <w:szCs w:val="20"/>
              </w:rPr>
            </w:pPr>
            <w:r w:rsidRPr="00C90671">
              <w:rPr>
                <w:rFonts w:cs="Calibri"/>
                <w:sz w:val="20"/>
                <w:szCs w:val="20"/>
              </w:rPr>
              <w:t>2024 SAR Annexes 31.07.24</w:t>
            </w:r>
          </w:p>
          <w:p w14:paraId="3A8ABBA4" w14:textId="4B49D455" w:rsidR="00A90444" w:rsidRPr="00C90671" w:rsidRDefault="00A90444" w:rsidP="00941B04">
            <w:pPr>
              <w:rPr>
                <w:rFonts w:cs="Calibri"/>
                <w:sz w:val="20"/>
                <w:szCs w:val="20"/>
              </w:rPr>
            </w:pPr>
            <w:r w:rsidRPr="00C90671">
              <w:rPr>
                <w:rFonts w:cs="Calibri"/>
                <w:sz w:val="20"/>
                <w:szCs w:val="20"/>
              </w:rPr>
              <w:t>PIE 6MR Annexes Jan 24 - June 24</w:t>
            </w:r>
          </w:p>
        </w:tc>
      </w:tr>
      <w:tr w:rsidR="00941B04" w:rsidRPr="00F0110B" w14:paraId="6161DD59" w14:textId="77777777" w:rsidTr="00C90671">
        <w:tc>
          <w:tcPr>
            <w:tcW w:w="2410" w:type="dxa"/>
          </w:tcPr>
          <w:p w14:paraId="6E52D768" w14:textId="77777777" w:rsidR="00941B04" w:rsidRPr="00C90671" w:rsidRDefault="00941B04" w:rsidP="00941B04">
            <w:pPr>
              <w:rPr>
                <w:rFonts w:cs="Calibri"/>
                <w:sz w:val="20"/>
                <w:szCs w:val="20"/>
              </w:rPr>
            </w:pPr>
            <w:r w:rsidRPr="00C90671">
              <w:rPr>
                <w:rFonts w:cs="Calibri"/>
                <w:sz w:val="20"/>
                <w:szCs w:val="20"/>
              </w:rPr>
              <w:t>PIE Program Strategies</w:t>
            </w:r>
          </w:p>
        </w:tc>
        <w:tc>
          <w:tcPr>
            <w:tcW w:w="7513" w:type="dxa"/>
            <w:shd w:val="clear" w:color="auto" w:fill="FFFFFF" w:themeFill="background1"/>
          </w:tcPr>
          <w:p w14:paraId="4ACEE7FA" w14:textId="77777777" w:rsidR="00941B04" w:rsidRDefault="00941B04" w:rsidP="00941B04">
            <w:pPr>
              <w:rPr>
                <w:rFonts w:cs="Calibri"/>
                <w:sz w:val="20"/>
                <w:szCs w:val="20"/>
              </w:rPr>
            </w:pPr>
            <w:r w:rsidRPr="00C90671">
              <w:rPr>
                <w:rFonts w:cs="Calibri"/>
                <w:sz w:val="20"/>
                <w:szCs w:val="20"/>
              </w:rPr>
              <w:t>PIE GEDSI Strategy 2024</w:t>
            </w:r>
          </w:p>
          <w:p w14:paraId="1FCF3B73" w14:textId="77777777" w:rsidR="00A90444" w:rsidRDefault="00A90444" w:rsidP="00941B04">
            <w:pPr>
              <w:rPr>
                <w:rFonts w:cs="Calibri"/>
                <w:sz w:val="20"/>
                <w:szCs w:val="20"/>
              </w:rPr>
            </w:pPr>
            <w:r w:rsidRPr="00C90671">
              <w:rPr>
                <w:rFonts w:cs="Calibri"/>
                <w:sz w:val="20"/>
                <w:szCs w:val="20"/>
              </w:rPr>
              <w:t>Final Partnerships for Improving Education Localisation Strategy v6</w:t>
            </w:r>
          </w:p>
          <w:p w14:paraId="7B1EA30B" w14:textId="6C287661" w:rsidR="00A90444" w:rsidRPr="00C90671" w:rsidRDefault="00A90444" w:rsidP="00941B04">
            <w:pPr>
              <w:rPr>
                <w:rFonts w:cs="Calibri"/>
                <w:sz w:val="20"/>
                <w:szCs w:val="20"/>
              </w:rPr>
            </w:pPr>
            <w:r w:rsidRPr="00C90671">
              <w:rPr>
                <w:rFonts w:cs="Calibri"/>
                <w:sz w:val="20"/>
                <w:szCs w:val="20"/>
              </w:rPr>
              <w:t>PIE Sustainability Strategy October 22</w:t>
            </w:r>
          </w:p>
        </w:tc>
      </w:tr>
      <w:tr w:rsidR="00941B04" w:rsidRPr="00F0110B" w14:paraId="2C37AF02" w14:textId="77777777" w:rsidTr="00C90671">
        <w:tc>
          <w:tcPr>
            <w:tcW w:w="2410" w:type="dxa"/>
          </w:tcPr>
          <w:p w14:paraId="3B38A407" w14:textId="66D7BB9E" w:rsidR="00941B04" w:rsidRPr="00C90671" w:rsidRDefault="00941B04" w:rsidP="00941B04">
            <w:pPr>
              <w:rPr>
                <w:rFonts w:cs="Calibri"/>
                <w:sz w:val="20"/>
                <w:szCs w:val="20"/>
              </w:rPr>
            </w:pPr>
            <w:r w:rsidRPr="00C90671">
              <w:rPr>
                <w:rFonts w:cs="Calibri"/>
                <w:sz w:val="20"/>
                <w:szCs w:val="20"/>
              </w:rPr>
              <w:t xml:space="preserve">PASA </w:t>
            </w:r>
          </w:p>
        </w:tc>
        <w:tc>
          <w:tcPr>
            <w:tcW w:w="7513" w:type="dxa"/>
            <w:shd w:val="clear" w:color="auto" w:fill="FFFFFF" w:themeFill="background1"/>
          </w:tcPr>
          <w:p w14:paraId="45C11B0E" w14:textId="77777777" w:rsidR="00941B04" w:rsidRDefault="00941B04" w:rsidP="00941B04">
            <w:pPr>
              <w:rPr>
                <w:rFonts w:cs="Calibri"/>
                <w:sz w:val="20"/>
                <w:szCs w:val="20"/>
              </w:rPr>
            </w:pPr>
            <w:r w:rsidRPr="00C90671">
              <w:rPr>
                <w:rFonts w:cs="Calibri"/>
                <w:sz w:val="20"/>
                <w:szCs w:val="20"/>
              </w:rPr>
              <w:t>20221011 Education PASA Aide Memoire</w:t>
            </w:r>
          </w:p>
          <w:p w14:paraId="4B304430" w14:textId="77777777" w:rsidR="00A90444" w:rsidRDefault="00A90444" w:rsidP="00941B04">
            <w:pPr>
              <w:rPr>
                <w:rFonts w:cs="Calibri"/>
                <w:sz w:val="20"/>
                <w:szCs w:val="20"/>
              </w:rPr>
            </w:pPr>
            <w:r w:rsidRPr="00C90671">
              <w:rPr>
                <w:rFonts w:cs="Calibri"/>
                <w:sz w:val="20"/>
                <w:szCs w:val="20"/>
              </w:rPr>
              <w:t>20230406 Aide Memoire - Education PASA Mission -February 2023</w:t>
            </w:r>
          </w:p>
          <w:p w14:paraId="06F97CDC" w14:textId="15B4BD42" w:rsidR="00A90444" w:rsidRPr="00C90671" w:rsidRDefault="00A90444" w:rsidP="00941B04">
            <w:pPr>
              <w:rPr>
                <w:rFonts w:cs="Calibri"/>
                <w:sz w:val="20"/>
                <w:szCs w:val="20"/>
              </w:rPr>
            </w:pPr>
            <w:r w:rsidRPr="00C90671">
              <w:rPr>
                <w:rFonts w:cs="Calibri"/>
                <w:sz w:val="20"/>
                <w:szCs w:val="20"/>
              </w:rPr>
              <w:t>Aide Memoire - Education PASA_April 24 to April 28 2023</w:t>
            </w:r>
          </w:p>
        </w:tc>
      </w:tr>
      <w:tr w:rsidR="00941B04" w:rsidRPr="00F0110B" w14:paraId="42E26485" w14:textId="77777777" w:rsidTr="00C90671">
        <w:tc>
          <w:tcPr>
            <w:tcW w:w="2410" w:type="dxa"/>
          </w:tcPr>
          <w:p w14:paraId="60354B9F" w14:textId="77777777" w:rsidR="00941B04" w:rsidRPr="00C90671" w:rsidRDefault="00941B04" w:rsidP="00941B04">
            <w:pPr>
              <w:rPr>
                <w:rFonts w:cs="Calibri"/>
                <w:sz w:val="20"/>
                <w:szCs w:val="20"/>
              </w:rPr>
            </w:pPr>
            <w:r w:rsidRPr="00C90671">
              <w:rPr>
                <w:rFonts w:cs="Calibri"/>
                <w:sz w:val="20"/>
                <w:szCs w:val="20"/>
              </w:rPr>
              <w:t>Workplans</w:t>
            </w:r>
          </w:p>
        </w:tc>
        <w:tc>
          <w:tcPr>
            <w:tcW w:w="7513" w:type="dxa"/>
            <w:shd w:val="clear" w:color="auto" w:fill="FFFFFF" w:themeFill="background1"/>
          </w:tcPr>
          <w:p w14:paraId="40913628" w14:textId="77777777" w:rsidR="00941B04" w:rsidRDefault="00941B04" w:rsidP="00941B04">
            <w:pPr>
              <w:rPr>
                <w:rFonts w:cs="Calibri"/>
                <w:sz w:val="20"/>
                <w:szCs w:val="20"/>
              </w:rPr>
            </w:pPr>
            <w:r w:rsidRPr="00C90671">
              <w:rPr>
                <w:rFonts w:cs="Calibri"/>
                <w:sz w:val="20"/>
                <w:szCs w:val="20"/>
              </w:rPr>
              <w:t>PIE Inception Plan 29.08.2022</w:t>
            </w:r>
          </w:p>
          <w:p w14:paraId="2A8A159E" w14:textId="77777777" w:rsidR="00A90444" w:rsidRDefault="00A90444" w:rsidP="00941B04">
            <w:pPr>
              <w:rPr>
                <w:rFonts w:cs="Calibri"/>
                <w:sz w:val="20"/>
                <w:szCs w:val="20"/>
              </w:rPr>
            </w:pPr>
            <w:r w:rsidRPr="00C90671">
              <w:rPr>
                <w:rFonts w:cs="Calibri"/>
                <w:sz w:val="20"/>
                <w:szCs w:val="20"/>
              </w:rPr>
              <w:t>PIE 2023 Annual Workplan Resubmission</w:t>
            </w:r>
          </w:p>
          <w:p w14:paraId="1E49101A" w14:textId="77777777" w:rsidR="00A90444" w:rsidRDefault="00A90444" w:rsidP="00941B04">
            <w:pPr>
              <w:rPr>
                <w:rFonts w:cs="Calibri"/>
                <w:sz w:val="20"/>
                <w:szCs w:val="20"/>
              </w:rPr>
            </w:pPr>
            <w:r w:rsidRPr="00C90671">
              <w:rPr>
                <w:rFonts w:cs="Calibri"/>
                <w:sz w:val="20"/>
                <w:szCs w:val="20"/>
              </w:rPr>
              <w:t>2024 Annual Work Plan</w:t>
            </w:r>
          </w:p>
          <w:p w14:paraId="3286125B" w14:textId="77777777" w:rsidR="00A90444" w:rsidRDefault="00A90444" w:rsidP="00941B04">
            <w:pPr>
              <w:rPr>
                <w:rFonts w:cs="Calibri"/>
                <w:sz w:val="20"/>
                <w:szCs w:val="20"/>
              </w:rPr>
            </w:pPr>
            <w:r w:rsidRPr="00C90671">
              <w:rPr>
                <w:rFonts w:cs="Calibri"/>
                <w:sz w:val="20"/>
                <w:szCs w:val="20"/>
              </w:rPr>
              <w:t>2024 AWP Annexes 1A - 4A</w:t>
            </w:r>
          </w:p>
          <w:p w14:paraId="7769CD2A" w14:textId="77777777" w:rsidR="00A90444" w:rsidRDefault="00A90444" w:rsidP="00941B04">
            <w:pPr>
              <w:rPr>
                <w:rFonts w:cs="Calibri"/>
                <w:sz w:val="20"/>
                <w:szCs w:val="20"/>
              </w:rPr>
            </w:pPr>
            <w:r w:rsidRPr="00C90671">
              <w:rPr>
                <w:rFonts w:cs="Calibri"/>
                <w:sz w:val="20"/>
                <w:szCs w:val="20"/>
              </w:rPr>
              <w:t>PIE Annual Workplan 2024-2025</w:t>
            </w:r>
          </w:p>
          <w:p w14:paraId="77A2FD75" w14:textId="30F0CB94" w:rsidR="00A90444" w:rsidRPr="00C90671" w:rsidRDefault="00A90444" w:rsidP="00941B04">
            <w:pPr>
              <w:rPr>
                <w:rFonts w:cs="Calibri"/>
                <w:sz w:val="20"/>
                <w:szCs w:val="20"/>
              </w:rPr>
            </w:pPr>
            <w:r w:rsidRPr="00C90671">
              <w:rPr>
                <w:rFonts w:cs="Calibri"/>
                <w:sz w:val="20"/>
                <w:szCs w:val="20"/>
              </w:rPr>
              <w:t>PIE Plan to Accelerate Impact - Combined Strategy Document</w:t>
            </w:r>
          </w:p>
        </w:tc>
      </w:tr>
      <w:tr w:rsidR="00941B04" w:rsidRPr="00F0110B" w14:paraId="025FED64" w14:textId="77777777" w:rsidTr="00C90671">
        <w:tc>
          <w:tcPr>
            <w:tcW w:w="2410" w:type="dxa"/>
          </w:tcPr>
          <w:p w14:paraId="6E8A8769" w14:textId="77777777" w:rsidR="00941B04" w:rsidRPr="00C90671" w:rsidRDefault="00941B04" w:rsidP="00941B04">
            <w:pPr>
              <w:rPr>
                <w:rFonts w:cs="Calibri"/>
                <w:sz w:val="20"/>
                <w:szCs w:val="20"/>
              </w:rPr>
            </w:pPr>
            <w:r w:rsidRPr="00C90671">
              <w:rPr>
                <w:rFonts w:cs="Calibri"/>
                <w:sz w:val="20"/>
                <w:szCs w:val="20"/>
              </w:rPr>
              <w:t>Baseline data</w:t>
            </w:r>
          </w:p>
        </w:tc>
        <w:tc>
          <w:tcPr>
            <w:tcW w:w="7513" w:type="dxa"/>
            <w:shd w:val="clear" w:color="auto" w:fill="FFFFFF" w:themeFill="background1"/>
          </w:tcPr>
          <w:p w14:paraId="65F10118" w14:textId="77777777" w:rsidR="00941B04" w:rsidRDefault="00941B04" w:rsidP="00941B04">
            <w:pPr>
              <w:rPr>
                <w:rFonts w:cs="Calibri"/>
                <w:sz w:val="20"/>
                <w:szCs w:val="20"/>
              </w:rPr>
            </w:pPr>
            <w:r w:rsidRPr="00C90671">
              <w:rPr>
                <w:rFonts w:cs="Calibri"/>
                <w:sz w:val="20"/>
                <w:szCs w:val="20"/>
              </w:rPr>
              <w:t>PNP011_BASELINE_V15_LR</w:t>
            </w:r>
          </w:p>
          <w:p w14:paraId="5379CAA5" w14:textId="69C3EC41" w:rsidR="00A90444" w:rsidRPr="00C90671" w:rsidRDefault="00A90444" w:rsidP="00941B04">
            <w:pPr>
              <w:rPr>
                <w:rFonts w:cs="Calibri"/>
                <w:sz w:val="20"/>
                <w:szCs w:val="20"/>
              </w:rPr>
            </w:pPr>
            <w:r w:rsidRPr="00C90671">
              <w:rPr>
                <w:rFonts w:cs="Calibri"/>
                <w:sz w:val="20"/>
                <w:szCs w:val="20"/>
              </w:rPr>
              <w:t>20221118_PIE SICA Report_v3</w:t>
            </w:r>
          </w:p>
        </w:tc>
      </w:tr>
      <w:tr w:rsidR="00941B04" w:rsidRPr="00F0110B" w14:paraId="6CD9C207" w14:textId="77777777" w:rsidTr="00C90671">
        <w:tc>
          <w:tcPr>
            <w:tcW w:w="2410" w:type="dxa"/>
          </w:tcPr>
          <w:p w14:paraId="4A78F9F6" w14:textId="0D446140" w:rsidR="00941B04" w:rsidRPr="00C90671" w:rsidRDefault="00941B04" w:rsidP="00941B04">
            <w:pPr>
              <w:rPr>
                <w:rFonts w:cs="Calibri"/>
                <w:sz w:val="20"/>
                <w:szCs w:val="20"/>
              </w:rPr>
            </w:pPr>
            <w:r w:rsidRPr="00C90671">
              <w:rPr>
                <w:rFonts w:cs="Calibri"/>
                <w:sz w:val="20"/>
                <w:szCs w:val="20"/>
              </w:rPr>
              <w:t>Other</w:t>
            </w:r>
          </w:p>
        </w:tc>
        <w:tc>
          <w:tcPr>
            <w:tcW w:w="7513" w:type="dxa"/>
            <w:shd w:val="clear" w:color="auto" w:fill="FFFFFF" w:themeFill="background1"/>
          </w:tcPr>
          <w:p w14:paraId="4740398F" w14:textId="77777777" w:rsidR="00941B04" w:rsidRDefault="00941B04" w:rsidP="00941B04">
            <w:pPr>
              <w:rPr>
                <w:rFonts w:cs="Calibri"/>
                <w:sz w:val="20"/>
                <w:szCs w:val="20"/>
              </w:rPr>
            </w:pPr>
            <w:r w:rsidRPr="00C90671">
              <w:rPr>
                <w:rFonts w:cs="Calibri"/>
                <w:sz w:val="20"/>
                <w:szCs w:val="20"/>
              </w:rPr>
              <w:t>Exception Report on Save the Children Contract 2024</w:t>
            </w:r>
          </w:p>
          <w:p w14:paraId="1E1A2A69" w14:textId="05ECF85F" w:rsidR="00A90444" w:rsidRPr="00C90671" w:rsidRDefault="00A90444" w:rsidP="00941B04">
            <w:pPr>
              <w:rPr>
                <w:rFonts w:cs="Calibri"/>
                <w:sz w:val="20"/>
                <w:szCs w:val="20"/>
              </w:rPr>
            </w:pPr>
            <w:r w:rsidRPr="00C90671">
              <w:rPr>
                <w:rFonts w:cs="Calibri"/>
                <w:sz w:val="20"/>
                <w:szCs w:val="20"/>
              </w:rPr>
              <w:t>PEA PIE Report_v8</w:t>
            </w:r>
          </w:p>
        </w:tc>
      </w:tr>
    </w:tbl>
    <w:p w14:paraId="13FBFEF4" w14:textId="4710BA81" w:rsidR="00CB6F93" w:rsidRDefault="00CB6F93" w:rsidP="00863D5E">
      <w:pPr>
        <w:pStyle w:val="Heading2"/>
      </w:pPr>
    </w:p>
    <w:p w14:paraId="3D2B6ECF" w14:textId="14E6F2C4" w:rsidR="00CB6F93" w:rsidRDefault="00CB6F93" w:rsidP="00F83A62">
      <w:pPr>
        <w:pStyle w:val="Heading2"/>
        <w:pageBreakBefore/>
      </w:pPr>
      <w:bookmarkStart w:id="33" w:name="_Toc180756336"/>
      <w:r>
        <w:t>Interviews</w:t>
      </w:r>
      <w:r w:rsidR="00913643">
        <w:t xml:space="preserve"> and meetings</w:t>
      </w:r>
      <w:r>
        <w:t xml:space="preserve"> – remote and in-country</w:t>
      </w:r>
      <w:bookmarkEnd w:id="33"/>
    </w:p>
    <w:tbl>
      <w:tblPr>
        <w:tblStyle w:val="TableGrid"/>
        <w:tblW w:w="9918" w:type="dxa"/>
        <w:tblLook w:val="04A0" w:firstRow="1" w:lastRow="0" w:firstColumn="1" w:lastColumn="0" w:noHBand="0" w:noVBand="1"/>
      </w:tblPr>
      <w:tblGrid>
        <w:gridCol w:w="1129"/>
        <w:gridCol w:w="7371"/>
        <w:gridCol w:w="1418"/>
      </w:tblGrid>
      <w:tr w:rsidR="00CD0FD6" w14:paraId="30A484ED" w14:textId="77777777" w:rsidTr="00F83A62">
        <w:tc>
          <w:tcPr>
            <w:tcW w:w="1129" w:type="dxa"/>
          </w:tcPr>
          <w:p w14:paraId="63526FA6" w14:textId="0E22EF39" w:rsidR="00CD0FD6" w:rsidRPr="00C90671" w:rsidRDefault="00CD0FD6" w:rsidP="00BA2AAC">
            <w:pPr>
              <w:rPr>
                <w:b/>
                <w:bCs/>
                <w:sz w:val="20"/>
                <w:szCs w:val="20"/>
              </w:rPr>
            </w:pPr>
            <w:r w:rsidRPr="00C90671">
              <w:rPr>
                <w:b/>
                <w:bCs/>
                <w:sz w:val="20"/>
                <w:szCs w:val="20"/>
              </w:rPr>
              <w:t>When</w:t>
            </w:r>
          </w:p>
        </w:tc>
        <w:tc>
          <w:tcPr>
            <w:tcW w:w="7371" w:type="dxa"/>
          </w:tcPr>
          <w:p w14:paraId="6C92135C" w14:textId="7A8EF33C" w:rsidR="00CD0FD6" w:rsidRPr="00C90671" w:rsidRDefault="00CD0FD6" w:rsidP="00BA2AAC">
            <w:pPr>
              <w:rPr>
                <w:b/>
                <w:bCs/>
                <w:sz w:val="20"/>
                <w:szCs w:val="20"/>
              </w:rPr>
            </w:pPr>
            <w:r w:rsidRPr="00C90671">
              <w:rPr>
                <w:b/>
                <w:bCs/>
                <w:sz w:val="20"/>
                <w:szCs w:val="20"/>
              </w:rPr>
              <w:t>Who</w:t>
            </w:r>
          </w:p>
        </w:tc>
        <w:tc>
          <w:tcPr>
            <w:tcW w:w="1418" w:type="dxa"/>
          </w:tcPr>
          <w:p w14:paraId="3AFDAB61" w14:textId="7EFC7874" w:rsidR="00CD0FD6" w:rsidRPr="00C90671" w:rsidRDefault="00CD0FD6" w:rsidP="00BA2AAC">
            <w:pPr>
              <w:rPr>
                <w:b/>
                <w:bCs/>
                <w:sz w:val="20"/>
                <w:szCs w:val="20"/>
              </w:rPr>
            </w:pPr>
            <w:r w:rsidRPr="00C90671">
              <w:rPr>
                <w:b/>
                <w:bCs/>
                <w:sz w:val="20"/>
                <w:szCs w:val="20"/>
              </w:rPr>
              <w:t>Mode</w:t>
            </w:r>
          </w:p>
        </w:tc>
      </w:tr>
      <w:tr w:rsidR="00A37482" w14:paraId="3FDA4B2B" w14:textId="77777777" w:rsidTr="00F83A62">
        <w:tc>
          <w:tcPr>
            <w:tcW w:w="1129" w:type="dxa"/>
          </w:tcPr>
          <w:p w14:paraId="41F25327" w14:textId="37DBEEEA" w:rsidR="00A37482" w:rsidRPr="00A37482" w:rsidRDefault="00A37482" w:rsidP="00BA2AAC">
            <w:pPr>
              <w:rPr>
                <w:sz w:val="20"/>
                <w:szCs w:val="20"/>
              </w:rPr>
            </w:pPr>
            <w:r>
              <w:rPr>
                <w:sz w:val="20"/>
                <w:szCs w:val="20"/>
              </w:rPr>
              <w:t>1 August</w:t>
            </w:r>
          </w:p>
        </w:tc>
        <w:tc>
          <w:tcPr>
            <w:tcW w:w="7371" w:type="dxa"/>
          </w:tcPr>
          <w:p w14:paraId="51D3E1C7" w14:textId="161EA38A" w:rsidR="00A37482" w:rsidRDefault="00CB0D5B" w:rsidP="00BA2AAC">
            <w:pPr>
              <w:rPr>
                <w:sz w:val="20"/>
                <w:szCs w:val="20"/>
              </w:rPr>
            </w:pPr>
            <w:r>
              <w:rPr>
                <w:sz w:val="20"/>
                <w:szCs w:val="20"/>
              </w:rPr>
              <w:t>CBA Report discussion</w:t>
            </w:r>
            <w:r w:rsidR="000673D3">
              <w:rPr>
                <w:sz w:val="20"/>
                <w:szCs w:val="20"/>
              </w:rPr>
              <w:t xml:space="preserve"> – Limestone Analytics</w:t>
            </w:r>
          </w:p>
          <w:p w14:paraId="086CE00E" w14:textId="2D701536" w:rsidR="00CB0D5B" w:rsidRPr="00C90671" w:rsidRDefault="000673D3" w:rsidP="00C90671">
            <w:pPr>
              <w:pStyle w:val="ListParagraph"/>
              <w:numPr>
                <w:ilvl w:val="2"/>
                <w:numId w:val="32"/>
              </w:numPr>
              <w:ind w:left="179" w:hanging="142"/>
              <w:rPr>
                <w:sz w:val="20"/>
                <w:szCs w:val="20"/>
              </w:rPr>
            </w:pPr>
            <w:r>
              <w:rPr>
                <w:sz w:val="20"/>
                <w:szCs w:val="20"/>
              </w:rPr>
              <w:t>Limestone Analytics</w:t>
            </w:r>
            <w:r w:rsidR="00B417F0">
              <w:rPr>
                <w:sz w:val="20"/>
                <w:szCs w:val="20"/>
              </w:rPr>
              <w:t xml:space="preserve">; HDMES </w:t>
            </w:r>
          </w:p>
        </w:tc>
        <w:tc>
          <w:tcPr>
            <w:tcW w:w="1418" w:type="dxa"/>
          </w:tcPr>
          <w:p w14:paraId="53DC273E" w14:textId="772D30A2" w:rsidR="00A37482" w:rsidRPr="00A37482" w:rsidRDefault="005265AF" w:rsidP="00BA2AAC">
            <w:pPr>
              <w:rPr>
                <w:sz w:val="20"/>
                <w:szCs w:val="20"/>
              </w:rPr>
            </w:pPr>
            <w:r>
              <w:rPr>
                <w:sz w:val="20"/>
                <w:szCs w:val="20"/>
              </w:rPr>
              <w:t>Teams</w:t>
            </w:r>
          </w:p>
        </w:tc>
      </w:tr>
      <w:tr w:rsidR="00CD0FD6" w14:paraId="2F58850D" w14:textId="77777777" w:rsidTr="00F83A62">
        <w:tc>
          <w:tcPr>
            <w:tcW w:w="1129" w:type="dxa"/>
          </w:tcPr>
          <w:p w14:paraId="328C4606" w14:textId="131481B1" w:rsidR="00CD0FD6" w:rsidRPr="00C90671" w:rsidRDefault="00D440FA" w:rsidP="00BA2AAC">
            <w:pPr>
              <w:rPr>
                <w:sz w:val="20"/>
                <w:szCs w:val="20"/>
              </w:rPr>
            </w:pPr>
            <w:r w:rsidRPr="00C90671">
              <w:rPr>
                <w:sz w:val="20"/>
                <w:szCs w:val="20"/>
              </w:rPr>
              <w:t>9 August</w:t>
            </w:r>
          </w:p>
        </w:tc>
        <w:tc>
          <w:tcPr>
            <w:tcW w:w="7371" w:type="dxa"/>
          </w:tcPr>
          <w:p w14:paraId="4A672A6C" w14:textId="094A5C7E" w:rsidR="00F0110B" w:rsidRPr="001F1190" w:rsidRDefault="00F0110B" w:rsidP="001F1190">
            <w:pPr>
              <w:rPr>
                <w:sz w:val="20"/>
                <w:szCs w:val="20"/>
              </w:rPr>
            </w:pPr>
            <w:r w:rsidRPr="00C90671">
              <w:rPr>
                <w:sz w:val="20"/>
                <w:szCs w:val="20"/>
              </w:rPr>
              <w:t>PIE Finance</w:t>
            </w:r>
          </w:p>
        </w:tc>
        <w:tc>
          <w:tcPr>
            <w:tcW w:w="1418" w:type="dxa"/>
          </w:tcPr>
          <w:p w14:paraId="72D34DB1" w14:textId="79F0DEB0" w:rsidR="00CD0FD6" w:rsidRPr="00C90671" w:rsidRDefault="00F0110B" w:rsidP="00BA2AAC">
            <w:pPr>
              <w:rPr>
                <w:sz w:val="20"/>
                <w:szCs w:val="20"/>
              </w:rPr>
            </w:pPr>
            <w:r w:rsidRPr="00C90671">
              <w:rPr>
                <w:sz w:val="20"/>
                <w:szCs w:val="20"/>
              </w:rPr>
              <w:t>Teams</w:t>
            </w:r>
          </w:p>
        </w:tc>
      </w:tr>
      <w:tr w:rsidR="00F65D75" w:rsidRPr="00D26DD5" w14:paraId="194BDF86" w14:textId="77777777" w:rsidTr="00F83A62">
        <w:tc>
          <w:tcPr>
            <w:tcW w:w="1129" w:type="dxa"/>
          </w:tcPr>
          <w:p w14:paraId="71F5000A" w14:textId="4EFD2A02" w:rsidR="00F65D75" w:rsidRPr="00C90671" w:rsidRDefault="00F65D75" w:rsidP="00F65D75">
            <w:pPr>
              <w:rPr>
                <w:sz w:val="20"/>
                <w:szCs w:val="20"/>
              </w:rPr>
            </w:pPr>
            <w:r>
              <w:rPr>
                <w:sz w:val="20"/>
                <w:szCs w:val="20"/>
              </w:rPr>
              <w:t>9 August</w:t>
            </w:r>
          </w:p>
        </w:tc>
        <w:tc>
          <w:tcPr>
            <w:tcW w:w="7371" w:type="dxa"/>
          </w:tcPr>
          <w:p w14:paraId="5F0F61F0" w14:textId="5E623311" w:rsidR="00F65D75" w:rsidRPr="001F1190" w:rsidRDefault="00F65D75" w:rsidP="001F1190">
            <w:pPr>
              <w:rPr>
                <w:sz w:val="20"/>
                <w:szCs w:val="20"/>
              </w:rPr>
            </w:pPr>
            <w:r>
              <w:rPr>
                <w:sz w:val="20"/>
                <w:szCs w:val="20"/>
              </w:rPr>
              <w:t>PIE Merla Team</w:t>
            </w:r>
          </w:p>
        </w:tc>
        <w:tc>
          <w:tcPr>
            <w:tcW w:w="1418" w:type="dxa"/>
          </w:tcPr>
          <w:p w14:paraId="6C2D1A03" w14:textId="0B5B389B" w:rsidR="00F65D75" w:rsidRPr="00C90671" w:rsidRDefault="00F65D75" w:rsidP="00F65D75">
            <w:pPr>
              <w:rPr>
                <w:sz w:val="20"/>
                <w:szCs w:val="20"/>
                <w:lang w:val="sv-SE"/>
              </w:rPr>
            </w:pPr>
            <w:r w:rsidRPr="00017DBE">
              <w:rPr>
                <w:sz w:val="20"/>
                <w:szCs w:val="20"/>
              </w:rPr>
              <w:t>Teams</w:t>
            </w:r>
          </w:p>
        </w:tc>
      </w:tr>
      <w:tr w:rsidR="00F65D75" w:rsidRPr="00D26DD5" w14:paraId="2FA386EC" w14:textId="77777777" w:rsidTr="00F83A62">
        <w:tc>
          <w:tcPr>
            <w:tcW w:w="1129" w:type="dxa"/>
          </w:tcPr>
          <w:p w14:paraId="0ECAEA07" w14:textId="00FF7896" w:rsidR="00F65D75" w:rsidRPr="00C90671" w:rsidRDefault="00F65D75" w:rsidP="00F65D75">
            <w:pPr>
              <w:rPr>
                <w:sz w:val="20"/>
                <w:szCs w:val="20"/>
                <w:lang w:val="sv-SE"/>
              </w:rPr>
            </w:pPr>
            <w:r>
              <w:rPr>
                <w:sz w:val="20"/>
                <w:szCs w:val="20"/>
                <w:lang w:val="sv-SE"/>
              </w:rPr>
              <w:t>12 August</w:t>
            </w:r>
          </w:p>
        </w:tc>
        <w:tc>
          <w:tcPr>
            <w:tcW w:w="7371" w:type="dxa"/>
          </w:tcPr>
          <w:p w14:paraId="1980D9EC" w14:textId="13482BFB" w:rsidR="00F65D75" w:rsidRPr="00C90671" w:rsidRDefault="00742048" w:rsidP="00F83A62">
            <w:pPr>
              <w:rPr>
                <w:sz w:val="20"/>
                <w:szCs w:val="20"/>
              </w:rPr>
            </w:pPr>
            <w:r w:rsidRPr="00C90671">
              <w:rPr>
                <w:sz w:val="20"/>
                <w:szCs w:val="20"/>
              </w:rPr>
              <w:t>Ab</w:t>
            </w:r>
            <w:r>
              <w:rPr>
                <w:sz w:val="20"/>
                <w:szCs w:val="20"/>
              </w:rPr>
              <w:t>t</w:t>
            </w:r>
          </w:p>
        </w:tc>
        <w:tc>
          <w:tcPr>
            <w:tcW w:w="1418" w:type="dxa"/>
          </w:tcPr>
          <w:p w14:paraId="7F35023B" w14:textId="45974C74" w:rsidR="00F65D75" w:rsidRPr="00C90671" w:rsidRDefault="00F65D75" w:rsidP="00F65D75">
            <w:pPr>
              <w:rPr>
                <w:sz w:val="20"/>
                <w:szCs w:val="20"/>
                <w:lang w:val="sv-SE"/>
              </w:rPr>
            </w:pPr>
            <w:r w:rsidRPr="00017DBE">
              <w:rPr>
                <w:sz w:val="20"/>
                <w:szCs w:val="20"/>
              </w:rPr>
              <w:t>Teams</w:t>
            </w:r>
          </w:p>
        </w:tc>
      </w:tr>
      <w:tr w:rsidR="00F65D75" w:rsidRPr="00726A8A" w14:paraId="6E7E7C01" w14:textId="77777777" w:rsidTr="00F83A62">
        <w:tc>
          <w:tcPr>
            <w:tcW w:w="1129" w:type="dxa"/>
          </w:tcPr>
          <w:p w14:paraId="2F7BDE62" w14:textId="4502D058" w:rsidR="00F65D75" w:rsidRPr="00C90671" w:rsidRDefault="00F65D75" w:rsidP="00F65D75">
            <w:pPr>
              <w:rPr>
                <w:sz w:val="20"/>
                <w:szCs w:val="20"/>
                <w:lang w:val="sv-SE"/>
              </w:rPr>
            </w:pPr>
            <w:r>
              <w:rPr>
                <w:sz w:val="20"/>
                <w:szCs w:val="20"/>
                <w:lang w:val="sv-SE"/>
              </w:rPr>
              <w:t>13 August</w:t>
            </w:r>
          </w:p>
        </w:tc>
        <w:tc>
          <w:tcPr>
            <w:tcW w:w="7371" w:type="dxa"/>
          </w:tcPr>
          <w:p w14:paraId="3E0F167D" w14:textId="333897E5" w:rsidR="00F65D75" w:rsidRPr="001F1190" w:rsidRDefault="00F65D75" w:rsidP="001F1190">
            <w:pPr>
              <w:rPr>
                <w:sz w:val="20"/>
                <w:szCs w:val="20"/>
                <w:lang w:val="sv-SE"/>
              </w:rPr>
            </w:pPr>
            <w:r>
              <w:rPr>
                <w:sz w:val="20"/>
                <w:szCs w:val="20"/>
                <w:lang w:val="sv-SE"/>
              </w:rPr>
              <w:t>PIE Sub-national managers</w:t>
            </w:r>
          </w:p>
        </w:tc>
        <w:tc>
          <w:tcPr>
            <w:tcW w:w="1418" w:type="dxa"/>
          </w:tcPr>
          <w:p w14:paraId="63DE9EC9" w14:textId="585CD62E" w:rsidR="00F65D75" w:rsidRPr="00C90671" w:rsidRDefault="00F65D75" w:rsidP="00F65D75">
            <w:pPr>
              <w:rPr>
                <w:sz w:val="20"/>
                <w:szCs w:val="20"/>
              </w:rPr>
            </w:pPr>
            <w:r w:rsidRPr="00017DBE">
              <w:rPr>
                <w:sz w:val="20"/>
                <w:szCs w:val="20"/>
              </w:rPr>
              <w:t>Teams</w:t>
            </w:r>
          </w:p>
        </w:tc>
      </w:tr>
      <w:tr w:rsidR="00F65D75" w:rsidRPr="00726A8A" w14:paraId="3B6BA986" w14:textId="77777777" w:rsidTr="00F83A62">
        <w:tc>
          <w:tcPr>
            <w:tcW w:w="1129" w:type="dxa"/>
          </w:tcPr>
          <w:p w14:paraId="226C1190" w14:textId="1547824E" w:rsidR="00F65D75" w:rsidRDefault="00F65D75" w:rsidP="00F65D75">
            <w:pPr>
              <w:rPr>
                <w:sz w:val="20"/>
                <w:szCs w:val="20"/>
                <w:lang w:val="sv-SE"/>
              </w:rPr>
            </w:pPr>
            <w:r>
              <w:rPr>
                <w:sz w:val="20"/>
                <w:szCs w:val="20"/>
                <w:lang w:val="sv-SE"/>
              </w:rPr>
              <w:t xml:space="preserve">13 August </w:t>
            </w:r>
          </w:p>
        </w:tc>
        <w:tc>
          <w:tcPr>
            <w:tcW w:w="7371" w:type="dxa"/>
          </w:tcPr>
          <w:p w14:paraId="26EA92E9" w14:textId="6D7E6646" w:rsidR="00F65D75" w:rsidRPr="001F1190" w:rsidRDefault="00F65D75" w:rsidP="001F1190">
            <w:pPr>
              <w:rPr>
                <w:sz w:val="20"/>
                <w:szCs w:val="20"/>
                <w:lang w:val="sv-SE"/>
              </w:rPr>
            </w:pPr>
            <w:r>
              <w:rPr>
                <w:sz w:val="20"/>
                <w:szCs w:val="20"/>
                <w:lang w:val="sv-SE"/>
              </w:rPr>
              <w:t>PIE National Technical Adviser</w:t>
            </w:r>
          </w:p>
        </w:tc>
        <w:tc>
          <w:tcPr>
            <w:tcW w:w="1418" w:type="dxa"/>
          </w:tcPr>
          <w:p w14:paraId="1012C712" w14:textId="7C918CF5" w:rsidR="00F65D75" w:rsidRPr="00726A8A" w:rsidRDefault="00F65D75" w:rsidP="00F65D75">
            <w:pPr>
              <w:rPr>
                <w:sz w:val="20"/>
                <w:szCs w:val="20"/>
              </w:rPr>
            </w:pPr>
            <w:r w:rsidRPr="00017DBE">
              <w:rPr>
                <w:sz w:val="20"/>
                <w:szCs w:val="20"/>
              </w:rPr>
              <w:t>Teams</w:t>
            </w:r>
          </w:p>
        </w:tc>
      </w:tr>
      <w:tr w:rsidR="00F65D75" w:rsidRPr="00726A8A" w14:paraId="783666F3" w14:textId="77777777" w:rsidTr="00F83A62">
        <w:tc>
          <w:tcPr>
            <w:tcW w:w="1129" w:type="dxa"/>
          </w:tcPr>
          <w:p w14:paraId="1A2D01BA" w14:textId="5E7D1DA8" w:rsidR="00F65D75" w:rsidRDefault="00F65D75" w:rsidP="00F65D75">
            <w:pPr>
              <w:rPr>
                <w:sz w:val="20"/>
                <w:szCs w:val="20"/>
                <w:lang w:val="sv-SE"/>
              </w:rPr>
            </w:pPr>
            <w:r>
              <w:rPr>
                <w:sz w:val="20"/>
                <w:szCs w:val="20"/>
                <w:lang w:val="sv-SE"/>
              </w:rPr>
              <w:t>14 August</w:t>
            </w:r>
          </w:p>
        </w:tc>
        <w:tc>
          <w:tcPr>
            <w:tcW w:w="7371" w:type="dxa"/>
          </w:tcPr>
          <w:p w14:paraId="4BA7EF99" w14:textId="6A68DAAD" w:rsidR="00F65D75" w:rsidRPr="001F1190" w:rsidRDefault="00F65D75" w:rsidP="001F1190">
            <w:pPr>
              <w:rPr>
                <w:sz w:val="20"/>
                <w:szCs w:val="20"/>
                <w:lang w:val="sv-SE"/>
              </w:rPr>
            </w:pPr>
            <w:r>
              <w:rPr>
                <w:sz w:val="20"/>
                <w:szCs w:val="20"/>
                <w:lang w:val="sv-SE"/>
              </w:rPr>
              <w:t>Bilum Books</w:t>
            </w:r>
          </w:p>
        </w:tc>
        <w:tc>
          <w:tcPr>
            <w:tcW w:w="1418" w:type="dxa"/>
          </w:tcPr>
          <w:p w14:paraId="049F8ED0" w14:textId="76D98292" w:rsidR="00F65D75" w:rsidRPr="00726A8A" w:rsidRDefault="00F65D75" w:rsidP="00F65D75">
            <w:pPr>
              <w:rPr>
                <w:sz w:val="20"/>
                <w:szCs w:val="20"/>
              </w:rPr>
            </w:pPr>
            <w:r w:rsidRPr="00017DBE">
              <w:rPr>
                <w:sz w:val="20"/>
                <w:szCs w:val="20"/>
              </w:rPr>
              <w:t>Teams</w:t>
            </w:r>
          </w:p>
        </w:tc>
      </w:tr>
      <w:tr w:rsidR="00F65D75" w:rsidRPr="00726A8A" w14:paraId="5E838D2D" w14:textId="77777777" w:rsidTr="00F83A62">
        <w:tc>
          <w:tcPr>
            <w:tcW w:w="1129" w:type="dxa"/>
          </w:tcPr>
          <w:p w14:paraId="2D8AA74E" w14:textId="39C1FBB8" w:rsidR="00F65D75" w:rsidRDefault="00F65D75" w:rsidP="00F65D75">
            <w:pPr>
              <w:rPr>
                <w:sz w:val="20"/>
                <w:szCs w:val="20"/>
                <w:lang w:val="sv-SE"/>
              </w:rPr>
            </w:pPr>
            <w:r>
              <w:rPr>
                <w:sz w:val="20"/>
                <w:szCs w:val="20"/>
                <w:lang w:val="sv-SE"/>
              </w:rPr>
              <w:t>14 August</w:t>
            </w:r>
          </w:p>
        </w:tc>
        <w:tc>
          <w:tcPr>
            <w:tcW w:w="7371" w:type="dxa"/>
          </w:tcPr>
          <w:p w14:paraId="3B41389F" w14:textId="2692A9E8" w:rsidR="00F65D75" w:rsidRPr="001F1190" w:rsidRDefault="00F65D75" w:rsidP="001F1190">
            <w:pPr>
              <w:rPr>
                <w:sz w:val="20"/>
                <w:szCs w:val="20"/>
                <w:lang w:val="sv-SE"/>
              </w:rPr>
            </w:pPr>
            <w:r>
              <w:rPr>
                <w:sz w:val="20"/>
                <w:szCs w:val="20"/>
                <w:lang w:val="sv-SE"/>
              </w:rPr>
              <w:t>PIE GEDSI Safeguarding Team</w:t>
            </w:r>
          </w:p>
        </w:tc>
        <w:tc>
          <w:tcPr>
            <w:tcW w:w="1418" w:type="dxa"/>
          </w:tcPr>
          <w:p w14:paraId="50260B12" w14:textId="117306B7" w:rsidR="00F65D75" w:rsidRPr="00726A8A" w:rsidRDefault="00F65D75" w:rsidP="00F65D75">
            <w:pPr>
              <w:rPr>
                <w:sz w:val="20"/>
                <w:szCs w:val="20"/>
              </w:rPr>
            </w:pPr>
            <w:r w:rsidRPr="00017DBE">
              <w:rPr>
                <w:sz w:val="20"/>
                <w:szCs w:val="20"/>
              </w:rPr>
              <w:t>Teams</w:t>
            </w:r>
          </w:p>
        </w:tc>
      </w:tr>
      <w:tr w:rsidR="00F65D75" w:rsidRPr="00726A8A" w14:paraId="4930617F" w14:textId="77777777" w:rsidTr="00F83A62">
        <w:tc>
          <w:tcPr>
            <w:tcW w:w="1129" w:type="dxa"/>
          </w:tcPr>
          <w:p w14:paraId="4A978384" w14:textId="6A5694C5" w:rsidR="00F65D75" w:rsidRDefault="00F65D75" w:rsidP="00F65D75">
            <w:pPr>
              <w:rPr>
                <w:sz w:val="20"/>
                <w:szCs w:val="20"/>
                <w:lang w:val="sv-SE"/>
              </w:rPr>
            </w:pPr>
            <w:r>
              <w:rPr>
                <w:sz w:val="20"/>
                <w:szCs w:val="20"/>
                <w:lang w:val="sv-SE"/>
              </w:rPr>
              <w:t>16 August</w:t>
            </w:r>
          </w:p>
        </w:tc>
        <w:tc>
          <w:tcPr>
            <w:tcW w:w="7371" w:type="dxa"/>
          </w:tcPr>
          <w:p w14:paraId="319D3E1D" w14:textId="50588266" w:rsidR="00F65D75" w:rsidRPr="00A22B73" w:rsidRDefault="00F65D75" w:rsidP="00F83A62">
            <w:pPr>
              <w:rPr>
                <w:sz w:val="20"/>
                <w:szCs w:val="20"/>
              </w:rPr>
            </w:pPr>
            <w:r w:rsidRPr="00A22B73">
              <w:rPr>
                <w:sz w:val="20"/>
                <w:szCs w:val="20"/>
              </w:rPr>
              <w:t>World Ban</w:t>
            </w:r>
            <w:r w:rsidR="00C602EF" w:rsidRPr="00A22B73">
              <w:rPr>
                <w:sz w:val="20"/>
                <w:szCs w:val="20"/>
              </w:rPr>
              <w:t>k</w:t>
            </w:r>
            <w:r w:rsidRPr="00A22B73">
              <w:rPr>
                <w:sz w:val="20"/>
                <w:szCs w:val="20"/>
              </w:rPr>
              <w:t xml:space="preserve"> PASA</w:t>
            </w:r>
            <w:r w:rsidR="00F83A62" w:rsidRPr="00A22B73">
              <w:rPr>
                <w:sz w:val="20"/>
                <w:szCs w:val="20"/>
              </w:rPr>
              <w:t xml:space="preserve"> </w:t>
            </w:r>
          </w:p>
        </w:tc>
        <w:tc>
          <w:tcPr>
            <w:tcW w:w="1418" w:type="dxa"/>
          </w:tcPr>
          <w:p w14:paraId="7864AC3C" w14:textId="04D54EB6" w:rsidR="00F65D75" w:rsidRPr="00726A8A" w:rsidRDefault="00F65D75" w:rsidP="00F65D75">
            <w:pPr>
              <w:rPr>
                <w:sz w:val="20"/>
                <w:szCs w:val="20"/>
              </w:rPr>
            </w:pPr>
            <w:r w:rsidRPr="00017DBE">
              <w:rPr>
                <w:sz w:val="20"/>
                <w:szCs w:val="20"/>
              </w:rPr>
              <w:t>Teams</w:t>
            </w:r>
          </w:p>
        </w:tc>
      </w:tr>
      <w:tr w:rsidR="00F65D75" w:rsidRPr="00F817BF" w14:paraId="242CC0F4" w14:textId="77777777" w:rsidTr="00F83A62">
        <w:tc>
          <w:tcPr>
            <w:tcW w:w="1129" w:type="dxa"/>
          </w:tcPr>
          <w:p w14:paraId="4D6D65C6" w14:textId="5D814FC1" w:rsidR="00F65D75" w:rsidRDefault="00DE4405" w:rsidP="00F65D75">
            <w:pPr>
              <w:rPr>
                <w:sz w:val="20"/>
                <w:szCs w:val="20"/>
                <w:lang w:val="sv-SE"/>
              </w:rPr>
            </w:pPr>
            <w:r>
              <w:rPr>
                <w:sz w:val="20"/>
                <w:szCs w:val="20"/>
                <w:lang w:val="sv-SE"/>
              </w:rPr>
              <w:t>19 August</w:t>
            </w:r>
          </w:p>
        </w:tc>
        <w:tc>
          <w:tcPr>
            <w:tcW w:w="7371" w:type="dxa"/>
          </w:tcPr>
          <w:p w14:paraId="78E6368A" w14:textId="031F55D3" w:rsidR="00375325" w:rsidRPr="001F1190" w:rsidRDefault="00375325" w:rsidP="001F1190">
            <w:pPr>
              <w:rPr>
                <w:sz w:val="20"/>
                <w:szCs w:val="20"/>
                <w:lang w:val="sv-SE"/>
              </w:rPr>
            </w:pPr>
            <w:r>
              <w:rPr>
                <w:sz w:val="20"/>
                <w:szCs w:val="20"/>
                <w:lang w:val="sv-SE"/>
              </w:rPr>
              <w:t>AHC Port Moresby</w:t>
            </w:r>
          </w:p>
        </w:tc>
        <w:tc>
          <w:tcPr>
            <w:tcW w:w="1418" w:type="dxa"/>
          </w:tcPr>
          <w:p w14:paraId="32C755A1" w14:textId="7E202DF9" w:rsidR="00F65D75" w:rsidRPr="00C90671" w:rsidRDefault="00F817BF" w:rsidP="00F65D75">
            <w:pPr>
              <w:rPr>
                <w:sz w:val="20"/>
                <w:szCs w:val="20"/>
                <w:lang w:val="sv-SE"/>
              </w:rPr>
            </w:pPr>
            <w:r>
              <w:rPr>
                <w:sz w:val="20"/>
                <w:szCs w:val="20"/>
                <w:lang w:val="sv-SE"/>
              </w:rPr>
              <w:t>In-person</w:t>
            </w:r>
          </w:p>
        </w:tc>
      </w:tr>
      <w:tr w:rsidR="00C602EF" w:rsidRPr="005A4F67" w14:paraId="2D388BA3" w14:textId="77777777" w:rsidTr="00F83A62">
        <w:tc>
          <w:tcPr>
            <w:tcW w:w="1129" w:type="dxa"/>
          </w:tcPr>
          <w:p w14:paraId="124A7812" w14:textId="372F1A4A" w:rsidR="00C602EF" w:rsidRDefault="00C602EF" w:rsidP="00C602EF">
            <w:pPr>
              <w:rPr>
                <w:sz w:val="20"/>
                <w:szCs w:val="20"/>
                <w:lang w:val="sv-SE"/>
              </w:rPr>
            </w:pPr>
            <w:r>
              <w:rPr>
                <w:sz w:val="20"/>
                <w:szCs w:val="20"/>
                <w:lang w:val="sv-SE"/>
              </w:rPr>
              <w:t>19 August</w:t>
            </w:r>
          </w:p>
        </w:tc>
        <w:tc>
          <w:tcPr>
            <w:tcW w:w="7371" w:type="dxa"/>
          </w:tcPr>
          <w:p w14:paraId="4DECF76C" w14:textId="1180B39B" w:rsidR="00C602EF" w:rsidRPr="001F1190" w:rsidRDefault="00C602EF" w:rsidP="001F1190">
            <w:pPr>
              <w:rPr>
                <w:sz w:val="20"/>
                <w:szCs w:val="20"/>
              </w:rPr>
            </w:pPr>
            <w:r w:rsidRPr="00CF0C33">
              <w:rPr>
                <w:sz w:val="20"/>
                <w:szCs w:val="20"/>
              </w:rPr>
              <w:t>PIE Finance</w:t>
            </w:r>
          </w:p>
        </w:tc>
        <w:tc>
          <w:tcPr>
            <w:tcW w:w="1418" w:type="dxa"/>
          </w:tcPr>
          <w:p w14:paraId="16DCBC82" w14:textId="57CF6446" w:rsidR="00C602EF" w:rsidRPr="00C90671" w:rsidRDefault="00C602EF" w:rsidP="00C602EF">
            <w:pPr>
              <w:rPr>
                <w:sz w:val="20"/>
                <w:szCs w:val="20"/>
              </w:rPr>
            </w:pPr>
            <w:r>
              <w:rPr>
                <w:sz w:val="20"/>
                <w:szCs w:val="20"/>
                <w:lang w:val="sv-SE"/>
              </w:rPr>
              <w:t>In-person</w:t>
            </w:r>
          </w:p>
        </w:tc>
      </w:tr>
      <w:tr w:rsidR="00C602EF" w:rsidRPr="00236195" w14:paraId="6CC491C4" w14:textId="77777777" w:rsidTr="00F83A62">
        <w:tc>
          <w:tcPr>
            <w:tcW w:w="1129" w:type="dxa"/>
          </w:tcPr>
          <w:p w14:paraId="7B2484EE" w14:textId="78D0B865" w:rsidR="00C602EF" w:rsidRDefault="00C602EF" w:rsidP="00C602EF">
            <w:pPr>
              <w:rPr>
                <w:sz w:val="20"/>
                <w:szCs w:val="20"/>
                <w:lang w:val="sv-SE"/>
              </w:rPr>
            </w:pPr>
            <w:r>
              <w:rPr>
                <w:sz w:val="20"/>
                <w:szCs w:val="20"/>
                <w:lang w:val="sv-SE"/>
              </w:rPr>
              <w:t>19 August</w:t>
            </w:r>
          </w:p>
        </w:tc>
        <w:tc>
          <w:tcPr>
            <w:tcW w:w="7371" w:type="dxa"/>
          </w:tcPr>
          <w:p w14:paraId="430CA87B" w14:textId="054C9D57" w:rsidR="00C602EF" w:rsidRPr="001F1190" w:rsidRDefault="00C602EF" w:rsidP="001F1190">
            <w:pPr>
              <w:rPr>
                <w:sz w:val="20"/>
                <w:szCs w:val="20"/>
              </w:rPr>
            </w:pPr>
            <w:r>
              <w:rPr>
                <w:sz w:val="20"/>
                <w:szCs w:val="20"/>
              </w:rPr>
              <w:t>JMV to Vanapa Briefing</w:t>
            </w:r>
          </w:p>
        </w:tc>
        <w:tc>
          <w:tcPr>
            <w:tcW w:w="1418" w:type="dxa"/>
          </w:tcPr>
          <w:p w14:paraId="57A840A3" w14:textId="4A46C6EB" w:rsidR="00C602EF" w:rsidRPr="00236195" w:rsidRDefault="00C602EF" w:rsidP="00C602EF">
            <w:pPr>
              <w:rPr>
                <w:sz w:val="20"/>
                <w:szCs w:val="20"/>
              </w:rPr>
            </w:pPr>
            <w:r>
              <w:rPr>
                <w:sz w:val="20"/>
                <w:szCs w:val="20"/>
                <w:lang w:val="sv-SE"/>
              </w:rPr>
              <w:t>In-person</w:t>
            </w:r>
          </w:p>
        </w:tc>
      </w:tr>
      <w:tr w:rsidR="00913643" w:rsidRPr="00561E6F" w14:paraId="596C7B3F" w14:textId="77777777" w:rsidTr="00F83A62">
        <w:tc>
          <w:tcPr>
            <w:tcW w:w="1129" w:type="dxa"/>
          </w:tcPr>
          <w:p w14:paraId="138D5649" w14:textId="1E72A4BA" w:rsidR="00913643" w:rsidRDefault="0034442A" w:rsidP="00C602EF">
            <w:pPr>
              <w:rPr>
                <w:sz w:val="20"/>
                <w:szCs w:val="20"/>
                <w:lang w:val="sv-SE"/>
              </w:rPr>
            </w:pPr>
            <w:r>
              <w:rPr>
                <w:sz w:val="20"/>
                <w:szCs w:val="20"/>
                <w:lang w:val="sv-SE"/>
              </w:rPr>
              <w:t>19 August</w:t>
            </w:r>
          </w:p>
        </w:tc>
        <w:tc>
          <w:tcPr>
            <w:tcW w:w="7371" w:type="dxa"/>
          </w:tcPr>
          <w:p w14:paraId="3033E8BD" w14:textId="1126437C" w:rsidR="00913643" w:rsidRPr="001F1190" w:rsidRDefault="00913643" w:rsidP="001F1190">
            <w:pPr>
              <w:rPr>
                <w:sz w:val="20"/>
                <w:szCs w:val="20"/>
                <w:lang w:val="sv-SE"/>
              </w:rPr>
            </w:pPr>
            <w:r w:rsidRPr="00C90671">
              <w:rPr>
                <w:sz w:val="20"/>
                <w:szCs w:val="20"/>
                <w:lang w:val="sv-SE"/>
              </w:rPr>
              <w:t>PIE Merla Team</w:t>
            </w:r>
          </w:p>
        </w:tc>
        <w:tc>
          <w:tcPr>
            <w:tcW w:w="1418" w:type="dxa"/>
          </w:tcPr>
          <w:p w14:paraId="527479AB" w14:textId="31F265AC" w:rsidR="00913643" w:rsidRDefault="005265AF" w:rsidP="00C602EF">
            <w:pPr>
              <w:rPr>
                <w:sz w:val="20"/>
                <w:szCs w:val="20"/>
                <w:lang w:val="sv-SE"/>
              </w:rPr>
            </w:pPr>
            <w:r>
              <w:rPr>
                <w:sz w:val="20"/>
                <w:szCs w:val="20"/>
                <w:lang w:val="sv-SE"/>
              </w:rPr>
              <w:t>In-person</w:t>
            </w:r>
          </w:p>
        </w:tc>
      </w:tr>
      <w:tr w:rsidR="00913643" w:rsidRPr="00561E6F" w14:paraId="0FFF30BB" w14:textId="77777777" w:rsidTr="00F83A62">
        <w:tc>
          <w:tcPr>
            <w:tcW w:w="1129" w:type="dxa"/>
          </w:tcPr>
          <w:p w14:paraId="20345325" w14:textId="3F271256" w:rsidR="00913643" w:rsidRDefault="0034442A" w:rsidP="00C602EF">
            <w:pPr>
              <w:rPr>
                <w:sz w:val="20"/>
                <w:szCs w:val="20"/>
                <w:lang w:val="sv-SE"/>
              </w:rPr>
            </w:pPr>
            <w:r>
              <w:rPr>
                <w:sz w:val="20"/>
                <w:szCs w:val="20"/>
                <w:lang w:val="sv-SE"/>
              </w:rPr>
              <w:t xml:space="preserve">19 August </w:t>
            </w:r>
          </w:p>
        </w:tc>
        <w:tc>
          <w:tcPr>
            <w:tcW w:w="7371" w:type="dxa"/>
          </w:tcPr>
          <w:p w14:paraId="12667DAC" w14:textId="2CEE1D85" w:rsidR="00913643" w:rsidRPr="001F1190" w:rsidRDefault="00821B93" w:rsidP="001F1190">
            <w:pPr>
              <w:rPr>
                <w:sz w:val="20"/>
                <w:szCs w:val="20"/>
                <w:lang w:val="sv-SE"/>
              </w:rPr>
            </w:pPr>
            <w:r>
              <w:rPr>
                <w:sz w:val="20"/>
                <w:szCs w:val="20"/>
                <w:lang w:val="sv-SE"/>
              </w:rPr>
              <w:t>MEL Review Discussion</w:t>
            </w:r>
          </w:p>
        </w:tc>
        <w:tc>
          <w:tcPr>
            <w:tcW w:w="1418" w:type="dxa"/>
          </w:tcPr>
          <w:p w14:paraId="00EFF10D" w14:textId="5593463B" w:rsidR="00913643" w:rsidRDefault="005265AF" w:rsidP="00C602EF">
            <w:pPr>
              <w:rPr>
                <w:sz w:val="20"/>
                <w:szCs w:val="20"/>
                <w:lang w:val="sv-SE"/>
              </w:rPr>
            </w:pPr>
            <w:r>
              <w:rPr>
                <w:sz w:val="20"/>
                <w:szCs w:val="20"/>
                <w:lang w:val="sv-SE"/>
              </w:rPr>
              <w:t>Teams</w:t>
            </w:r>
          </w:p>
        </w:tc>
      </w:tr>
      <w:tr w:rsidR="005265AF" w:rsidRPr="00961787" w14:paraId="45CD133A" w14:textId="77777777" w:rsidTr="00F83A62">
        <w:tc>
          <w:tcPr>
            <w:tcW w:w="1129" w:type="dxa"/>
          </w:tcPr>
          <w:p w14:paraId="423C01DE" w14:textId="7C8F1999" w:rsidR="005265AF" w:rsidRDefault="005265AF" w:rsidP="00C602EF">
            <w:pPr>
              <w:rPr>
                <w:sz w:val="20"/>
                <w:szCs w:val="20"/>
                <w:lang w:val="sv-SE"/>
              </w:rPr>
            </w:pPr>
            <w:r>
              <w:rPr>
                <w:sz w:val="20"/>
                <w:szCs w:val="20"/>
                <w:lang w:val="sv-SE"/>
              </w:rPr>
              <w:t>20 August</w:t>
            </w:r>
          </w:p>
        </w:tc>
        <w:tc>
          <w:tcPr>
            <w:tcW w:w="7371" w:type="dxa"/>
          </w:tcPr>
          <w:p w14:paraId="5570046F" w14:textId="3702F5BF" w:rsidR="005265AF" w:rsidRDefault="00961787" w:rsidP="00C602EF">
            <w:pPr>
              <w:rPr>
                <w:sz w:val="20"/>
                <w:szCs w:val="20"/>
              </w:rPr>
            </w:pPr>
            <w:r w:rsidRPr="00C90671">
              <w:rPr>
                <w:sz w:val="20"/>
                <w:szCs w:val="20"/>
              </w:rPr>
              <w:t>Vapana School Visit – class o</w:t>
            </w:r>
            <w:r>
              <w:rPr>
                <w:sz w:val="20"/>
                <w:szCs w:val="20"/>
              </w:rPr>
              <w:t xml:space="preserve">bservation; discussion with </w:t>
            </w:r>
            <w:r w:rsidR="00776F68">
              <w:rPr>
                <w:sz w:val="20"/>
                <w:szCs w:val="20"/>
              </w:rPr>
              <w:t>S</w:t>
            </w:r>
            <w:r>
              <w:rPr>
                <w:sz w:val="20"/>
                <w:szCs w:val="20"/>
              </w:rPr>
              <w:t xml:space="preserve">chool </w:t>
            </w:r>
            <w:r w:rsidR="00776F68">
              <w:rPr>
                <w:sz w:val="20"/>
                <w:szCs w:val="20"/>
              </w:rPr>
              <w:t>P</w:t>
            </w:r>
            <w:r>
              <w:rPr>
                <w:sz w:val="20"/>
                <w:szCs w:val="20"/>
              </w:rPr>
              <w:t xml:space="preserve">rincipal and </w:t>
            </w:r>
            <w:r w:rsidR="00776F68">
              <w:rPr>
                <w:sz w:val="20"/>
                <w:szCs w:val="20"/>
              </w:rPr>
              <w:t>School Board Members</w:t>
            </w:r>
          </w:p>
          <w:p w14:paraId="166CF320" w14:textId="27759D7E" w:rsidR="00776F68" w:rsidRDefault="00776F68" w:rsidP="00776F68">
            <w:pPr>
              <w:pStyle w:val="ListParagraph"/>
              <w:numPr>
                <w:ilvl w:val="2"/>
                <w:numId w:val="32"/>
              </w:numPr>
              <w:ind w:left="179" w:hanging="142"/>
              <w:rPr>
                <w:sz w:val="20"/>
                <w:szCs w:val="20"/>
              </w:rPr>
            </w:pPr>
            <w:r>
              <w:rPr>
                <w:sz w:val="20"/>
                <w:szCs w:val="20"/>
              </w:rPr>
              <w:t>Discussion with NDOE Personnel</w:t>
            </w:r>
          </w:p>
          <w:p w14:paraId="13206829" w14:textId="21802C34" w:rsidR="00B01F3E" w:rsidRPr="00C90671" w:rsidRDefault="00B01F3E" w:rsidP="00C90671">
            <w:pPr>
              <w:pStyle w:val="ListParagraph"/>
              <w:numPr>
                <w:ilvl w:val="2"/>
                <w:numId w:val="32"/>
              </w:numPr>
              <w:ind w:left="179" w:hanging="142"/>
              <w:rPr>
                <w:sz w:val="20"/>
                <w:szCs w:val="20"/>
              </w:rPr>
            </w:pPr>
            <w:r>
              <w:rPr>
                <w:sz w:val="20"/>
                <w:szCs w:val="20"/>
              </w:rPr>
              <w:t>Debrief session with JMV team</w:t>
            </w:r>
          </w:p>
        </w:tc>
        <w:tc>
          <w:tcPr>
            <w:tcW w:w="1418" w:type="dxa"/>
          </w:tcPr>
          <w:p w14:paraId="5D489D72" w14:textId="4070495A" w:rsidR="005265AF" w:rsidRPr="00C90671" w:rsidRDefault="00776F68" w:rsidP="00C602EF">
            <w:pPr>
              <w:rPr>
                <w:sz w:val="20"/>
                <w:szCs w:val="20"/>
              </w:rPr>
            </w:pPr>
            <w:r>
              <w:rPr>
                <w:sz w:val="20"/>
                <w:szCs w:val="20"/>
              </w:rPr>
              <w:t>In-person</w:t>
            </w:r>
          </w:p>
        </w:tc>
      </w:tr>
      <w:tr w:rsidR="00776F68" w:rsidRPr="00776F68" w14:paraId="70E23B48" w14:textId="77777777" w:rsidTr="00F83A62">
        <w:tc>
          <w:tcPr>
            <w:tcW w:w="1129" w:type="dxa"/>
          </w:tcPr>
          <w:p w14:paraId="46E37594" w14:textId="36A5B27A" w:rsidR="00776F68" w:rsidRDefault="00B01F3E" w:rsidP="00C602EF">
            <w:pPr>
              <w:rPr>
                <w:sz w:val="20"/>
                <w:szCs w:val="20"/>
                <w:lang w:val="sv-SE"/>
              </w:rPr>
            </w:pPr>
            <w:r>
              <w:rPr>
                <w:sz w:val="20"/>
                <w:szCs w:val="20"/>
                <w:lang w:val="sv-SE"/>
              </w:rPr>
              <w:t>20 August</w:t>
            </w:r>
          </w:p>
        </w:tc>
        <w:tc>
          <w:tcPr>
            <w:tcW w:w="7371" w:type="dxa"/>
          </w:tcPr>
          <w:p w14:paraId="1F227C78" w14:textId="06C69E4D" w:rsidR="00742048" w:rsidRPr="00C90671" w:rsidRDefault="002630B4" w:rsidP="00A22B73">
            <w:pPr>
              <w:rPr>
                <w:sz w:val="20"/>
                <w:szCs w:val="20"/>
              </w:rPr>
            </w:pPr>
            <w:r>
              <w:rPr>
                <w:sz w:val="20"/>
                <w:szCs w:val="20"/>
              </w:rPr>
              <w:t>Niupay</w:t>
            </w:r>
            <w:r w:rsidR="00A22B73">
              <w:rPr>
                <w:sz w:val="20"/>
                <w:szCs w:val="20"/>
              </w:rPr>
              <w:t xml:space="preserve"> </w:t>
            </w:r>
          </w:p>
        </w:tc>
        <w:tc>
          <w:tcPr>
            <w:tcW w:w="1418" w:type="dxa"/>
          </w:tcPr>
          <w:p w14:paraId="090DC8EF" w14:textId="00810534" w:rsidR="00776F68" w:rsidRDefault="0078298B" w:rsidP="00C602EF">
            <w:pPr>
              <w:rPr>
                <w:sz w:val="20"/>
                <w:szCs w:val="20"/>
              </w:rPr>
            </w:pPr>
            <w:r>
              <w:rPr>
                <w:sz w:val="20"/>
                <w:szCs w:val="20"/>
              </w:rPr>
              <w:t>Teams</w:t>
            </w:r>
          </w:p>
        </w:tc>
      </w:tr>
      <w:tr w:rsidR="00742048" w:rsidRPr="00776F68" w14:paraId="300C08A4" w14:textId="77777777" w:rsidTr="00F83A62">
        <w:tc>
          <w:tcPr>
            <w:tcW w:w="1129" w:type="dxa"/>
          </w:tcPr>
          <w:p w14:paraId="099385D8" w14:textId="32C62056" w:rsidR="00742048" w:rsidRDefault="00742048" w:rsidP="00C602EF">
            <w:pPr>
              <w:rPr>
                <w:sz w:val="20"/>
                <w:szCs w:val="20"/>
                <w:lang w:val="sv-SE"/>
              </w:rPr>
            </w:pPr>
            <w:r>
              <w:rPr>
                <w:sz w:val="20"/>
                <w:szCs w:val="20"/>
                <w:lang w:val="sv-SE"/>
              </w:rPr>
              <w:t>21 August</w:t>
            </w:r>
          </w:p>
        </w:tc>
        <w:tc>
          <w:tcPr>
            <w:tcW w:w="7371" w:type="dxa"/>
          </w:tcPr>
          <w:p w14:paraId="7B827659" w14:textId="11A38CFB" w:rsidR="00742048" w:rsidRPr="00C90671" w:rsidRDefault="00742048" w:rsidP="00A22B73">
            <w:pPr>
              <w:rPr>
                <w:sz w:val="20"/>
                <w:szCs w:val="20"/>
              </w:rPr>
            </w:pPr>
            <w:r>
              <w:rPr>
                <w:sz w:val="20"/>
                <w:szCs w:val="20"/>
              </w:rPr>
              <w:t>Abt</w:t>
            </w:r>
            <w:r w:rsidR="00A22B73">
              <w:rPr>
                <w:sz w:val="20"/>
                <w:szCs w:val="20"/>
              </w:rPr>
              <w:t xml:space="preserve"> </w:t>
            </w:r>
          </w:p>
        </w:tc>
        <w:tc>
          <w:tcPr>
            <w:tcW w:w="1418" w:type="dxa"/>
          </w:tcPr>
          <w:p w14:paraId="57032E17" w14:textId="69084D1E" w:rsidR="00742048" w:rsidRDefault="0078298B" w:rsidP="00C602EF">
            <w:pPr>
              <w:rPr>
                <w:sz w:val="20"/>
                <w:szCs w:val="20"/>
              </w:rPr>
            </w:pPr>
            <w:r>
              <w:rPr>
                <w:sz w:val="20"/>
                <w:szCs w:val="20"/>
              </w:rPr>
              <w:t>Teams</w:t>
            </w:r>
          </w:p>
        </w:tc>
      </w:tr>
      <w:tr w:rsidR="007A502C" w:rsidRPr="00776F68" w14:paraId="718DB170" w14:textId="77777777" w:rsidTr="00F83A62">
        <w:tc>
          <w:tcPr>
            <w:tcW w:w="1129" w:type="dxa"/>
          </w:tcPr>
          <w:p w14:paraId="53DA43B5" w14:textId="2B1F6160" w:rsidR="007A502C" w:rsidRDefault="007A502C" w:rsidP="00C602EF">
            <w:pPr>
              <w:rPr>
                <w:sz w:val="20"/>
                <w:szCs w:val="20"/>
                <w:lang w:val="sv-SE"/>
              </w:rPr>
            </w:pPr>
            <w:r>
              <w:rPr>
                <w:sz w:val="20"/>
                <w:szCs w:val="20"/>
                <w:lang w:val="sv-SE"/>
              </w:rPr>
              <w:t>2</w:t>
            </w:r>
            <w:r w:rsidR="00D010E5">
              <w:rPr>
                <w:sz w:val="20"/>
                <w:szCs w:val="20"/>
                <w:lang w:val="sv-SE"/>
              </w:rPr>
              <w:t>1</w:t>
            </w:r>
            <w:r>
              <w:rPr>
                <w:sz w:val="20"/>
                <w:szCs w:val="20"/>
                <w:lang w:val="sv-SE"/>
              </w:rPr>
              <w:t xml:space="preserve"> August</w:t>
            </w:r>
          </w:p>
        </w:tc>
        <w:tc>
          <w:tcPr>
            <w:tcW w:w="7371" w:type="dxa"/>
          </w:tcPr>
          <w:p w14:paraId="7764553C" w14:textId="5A89264E" w:rsidR="00E03ECF" w:rsidRPr="001F1190" w:rsidRDefault="00E03ECF" w:rsidP="001F1190">
            <w:pPr>
              <w:rPr>
                <w:sz w:val="20"/>
                <w:szCs w:val="20"/>
              </w:rPr>
            </w:pPr>
            <w:r>
              <w:rPr>
                <w:sz w:val="20"/>
                <w:szCs w:val="20"/>
              </w:rPr>
              <w:t>NDoE</w:t>
            </w:r>
          </w:p>
        </w:tc>
        <w:tc>
          <w:tcPr>
            <w:tcW w:w="1418" w:type="dxa"/>
          </w:tcPr>
          <w:p w14:paraId="5F26E0DF" w14:textId="22E62C46" w:rsidR="007A502C" w:rsidRDefault="0078298B" w:rsidP="00C602EF">
            <w:pPr>
              <w:rPr>
                <w:sz w:val="20"/>
                <w:szCs w:val="20"/>
              </w:rPr>
            </w:pPr>
            <w:r>
              <w:rPr>
                <w:sz w:val="20"/>
                <w:szCs w:val="20"/>
              </w:rPr>
              <w:t>In-</w:t>
            </w:r>
            <w:r w:rsidR="001B0A01">
              <w:rPr>
                <w:sz w:val="20"/>
                <w:szCs w:val="20"/>
              </w:rPr>
              <w:t>person</w:t>
            </w:r>
          </w:p>
        </w:tc>
      </w:tr>
      <w:tr w:rsidR="001B0A01" w:rsidRPr="00776F68" w14:paraId="233925EC" w14:textId="77777777" w:rsidTr="00F83A62">
        <w:tc>
          <w:tcPr>
            <w:tcW w:w="1129" w:type="dxa"/>
          </w:tcPr>
          <w:p w14:paraId="18BAAEBC" w14:textId="09665474" w:rsidR="001B0A01" w:rsidRDefault="001B0A01" w:rsidP="001B0A01">
            <w:pPr>
              <w:rPr>
                <w:sz w:val="20"/>
                <w:szCs w:val="20"/>
                <w:lang w:val="sv-SE"/>
              </w:rPr>
            </w:pPr>
            <w:r>
              <w:rPr>
                <w:sz w:val="20"/>
                <w:szCs w:val="20"/>
                <w:lang w:val="sv-SE"/>
              </w:rPr>
              <w:t>2</w:t>
            </w:r>
            <w:r w:rsidR="00D010E5">
              <w:rPr>
                <w:sz w:val="20"/>
                <w:szCs w:val="20"/>
                <w:lang w:val="sv-SE"/>
              </w:rPr>
              <w:t>1</w:t>
            </w:r>
            <w:r>
              <w:rPr>
                <w:sz w:val="20"/>
                <w:szCs w:val="20"/>
                <w:lang w:val="sv-SE"/>
              </w:rPr>
              <w:t xml:space="preserve"> August</w:t>
            </w:r>
          </w:p>
        </w:tc>
        <w:tc>
          <w:tcPr>
            <w:tcW w:w="7371" w:type="dxa"/>
          </w:tcPr>
          <w:p w14:paraId="4CCE2056" w14:textId="0EFAA860" w:rsidR="001B0A01" w:rsidRDefault="001B0A01" w:rsidP="001B0A01">
            <w:pPr>
              <w:rPr>
                <w:sz w:val="20"/>
                <w:szCs w:val="20"/>
              </w:rPr>
            </w:pPr>
            <w:r>
              <w:rPr>
                <w:sz w:val="20"/>
                <w:szCs w:val="20"/>
              </w:rPr>
              <w:t>University of PNG – ANU Policy Update – ‘Teachers and the education sector’</w:t>
            </w:r>
          </w:p>
        </w:tc>
        <w:tc>
          <w:tcPr>
            <w:tcW w:w="1418" w:type="dxa"/>
          </w:tcPr>
          <w:p w14:paraId="1ABB6C5F" w14:textId="404CC391" w:rsidR="001B0A01" w:rsidRDefault="001B0A01" w:rsidP="001B0A01">
            <w:pPr>
              <w:rPr>
                <w:sz w:val="20"/>
                <w:szCs w:val="20"/>
              </w:rPr>
            </w:pPr>
            <w:r>
              <w:rPr>
                <w:sz w:val="20"/>
                <w:szCs w:val="20"/>
              </w:rPr>
              <w:t>In-person</w:t>
            </w:r>
          </w:p>
        </w:tc>
      </w:tr>
      <w:tr w:rsidR="001B0A01" w:rsidRPr="00776F68" w14:paraId="58248A25" w14:textId="77777777" w:rsidTr="00F83A62">
        <w:tc>
          <w:tcPr>
            <w:tcW w:w="1129" w:type="dxa"/>
          </w:tcPr>
          <w:p w14:paraId="48497CF3" w14:textId="4C5C3B8C" w:rsidR="001B0A01" w:rsidRDefault="001B0A01" w:rsidP="001B0A01">
            <w:pPr>
              <w:rPr>
                <w:sz w:val="20"/>
                <w:szCs w:val="20"/>
                <w:lang w:val="sv-SE"/>
              </w:rPr>
            </w:pPr>
            <w:r>
              <w:rPr>
                <w:sz w:val="20"/>
                <w:szCs w:val="20"/>
                <w:lang w:val="sv-SE"/>
              </w:rPr>
              <w:t>2</w:t>
            </w:r>
            <w:r w:rsidR="000136DB">
              <w:rPr>
                <w:sz w:val="20"/>
                <w:szCs w:val="20"/>
                <w:lang w:val="sv-SE"/>
              </w:rPr>
              <w:t>2</w:t>
            </w:r>
            <w:r>
              <w:rPr>
                <w:sz w:val="20"/>
                <w:szCs w:val="20"/>
                <w:lang w:val="sv-SE"/>
              </w:rPr>
              <w:t xml:space="preserve"> August</w:t>
            </w:r>
          </w:p>
        </w:tc>
        <w:tc>
          <w:tcPr>
            <w:tcW w:w="7371" w:type="dxa"/>
          </w:tcPr>
          <w:p w14:paraId="464B4D92" w14:textId="2A370C7E" w:rsidR="001B0A01" w:rsidRPr="001F1190" w:rsidRDefault="001B0A01" w:rsidP="001F1190">
            <w:pPr>
              <w:rPr>
                <w:sz w:val="20"/>
                <w:szCs w:val="20"/>
              </w:rPr>
            </w:pPr>
            <w:r>
              <w:rPr>
                <w:sz w:val="20"/>
                <w:szCs w:val="20"/>
              </w:rPr>
              <w:t>NDoE</w:t>
            </w:r>
          </w:p>
        </w:tc>
        <w:tc>
          <w:tcPr>
            <w:tcW w:w="1418" w:type="dxa"/>
          </w:tcPr>
          <w:p w14:paraId="51EBA4F7" w14:textId="5BF75F00" w:rsidR="001B0A01" w:rsidRDefault="001B0A01" w:rsidP="001B0A01">
            <w:pPr>
              <w:rPr>
                <w:sz w:val="20"/>
                <w:szCs w:val="20"/>
              </w:rPr>
            </w:pPr>
            <w:r>
              <w:rPr>
                <w:sz w:val="20"/>
                <w:szCs w:val="20"/>
              </w:rPr>
              <w:t>In-person</w:t>
            </w:r>
          </w:p>
        </w:tc>
      </w:tr>
      <w:tr w:rsidR="0078298B" w:rsidRPr="00D219CE" w14:paraId="4FE94E26" w14:textId="77777777" w:rsidTr="00F83A62">
        <w:tc>
          <w:tcPr>
            <w:tcW w:w="1129" w:type="dxa"/>
          </w:tcPr>
          <w:p w14:paraId="18F239F1" w14:textId="1DBC886E" w:rsidR="0078298B" w:rsidRDefault="00DC6096" w:rsidP="00C602EF">
            <w:pPr>
              <w:rPr>
                <w:sz w:val="20"/>
                <w:szCs w:val="20"/>
                <w:lang w:val="sv-SE"/>
              </w:rPr>
            </w:pPr>
            <w:r>
              <w:rPr>
                <w:sz w:val="20"/>
                <w:szCs w:val="20"/>
                <w:lang w:val="sv-SE"/>
              </w:rPr>
              <w:t>2</w:t>
            </w:r>
            <w:r w:rsidR="000136DB">
              <w:rPr>
                <w:sz w:val="20"/>
                <w:szCs w:val="20"/>
                <w:lang w:val="sv-SE"/>
              </w:rPr>
              <w:t>2</w:t>
            </w:r>
            <w:r>
              <w:rPr>
                <w:sz w:val="20"/>
                <w:szCs w:val="20"/>
                <w:lang w:val="sv-SE"/>
              </w:rPr>
              <w:t xml:space="preserve"> August</w:t>
            </w:r>
          </w:p>
        </w:tc>
        <w:tc>
          <w:tcPr>
            <w:tcW w:w="7371" w:type="dxa"/>
          </w:tcPr>
          <w:p w14:paraId="1FA58162" w14:textId="161AC049" w:rsidR="00EF537B" w:rsidRPr="001F1190" w:rsidRDefault="00DC6096" w:rsidP="001F1190">
            <w:pPr>
              <w:rPr>
                <w:sz w:val="20"/>
                <w:szCs w:val="20"/>
              </w:rPr>
            </w:pPr>
            <w:r>
              <w:rPr>
                <w:sz w:val="20"/>
                <w:szCs w:val="20"/>
              </w:rPr>
              <w:t>NDoE and TSC personnel</w:t>
            </w:r>
          </w:p>
        </w:tc>
        <w:tc>
          <w:tcPr>
            <w:tcW w:w="1418" w:type="dxa"/>
          </w:tcPr>
          <w:p w14:paraId="2B61543C" w14:textId="01ECD3CE" w:rsidR="0078298B" w:rsidRPr="00D219CE" w:rsidRDefault="00D010E5" w:rsidP="00C602EF">
            <w:pPr>
              <w:rPr>
                <w:sz w:val="20"/>
                <w:szCs w:val="20"/>
              </w:rPr>
            </w:pPr>
            <w:r>
              <w:rPr>
                <w:sz w:val="20"/>
                <w:szCs w:val="20"/>
              </w:rPr>
              <w:t>In-person</w:t>
            </w:r>
          </w:p>
        </w:tc>
      </w:tr>
      <w:tr w:rsidR="00D010E5" w:rsidRPr="00D219CE" w14:paraId="66171C90" w14:textId="77777777" w:rsidTr="00F83A62">
        <w:tc>
          <w:tcPr>
            <w:tcW w:w="1129" w:type="dxa"/>
          </w:tcPr>
          <w:p w14:paraId="3CAC60FB" w14:textId="768F5FBE" w:rsidR="00D010E5" w:rsidRDefault="00D010E5" w:rsidP="00C602EF">
            <w:pPr>
              <w:rPr>
                <w:sz w:val="20"/>
                <w:szCs w:val="20"/>
                <w:lang w:val="sv-SE"/>
              </w:rPr>
            </w:pPr>
            <w:r>
              <w:rPr>
                <w:sz w:val="20"/>
                <w:szCs w:val="20"/>
                <w:lang w:val="sv-SE"/>
              </w:rPr>
              <w:t>2</w:t>
            </w:r>
            <w:r w:rsidR="000136DB">
              <w:rPr>
                <w:sz w:val="20"/>
                <w:szCs w:val="20"/>
                <w:lang w:val="sv-SE"/>
              </w:rPr>
              <w:t>2 August</w:t>
            </w:r>
          </w:p>
        </w:tc>
        <w:tc>
          <w:tcPr>
            <w:tcW w:w="7371" w:type="dxa"/>
          </w:tcPr>
          <w:p w14:paraId="3C11518E" w14:textId="7692FE4B" w:rsidR="00A347CD" w:rsidRPr="001F1190" w:rsidRDefault="00A347CD" w:rsidP="001F1190">
            <w:pPr>
              <w:rPr>
                <w:sz w:val="20"/>
                <w:szCs w:val="20"/>
              </w:rPr>
            </w:pPr>
            <w:r>
              <w:rPr>
                <w:sz w:val="20"/>
                <w:szCs w:val="20"/>
              </w:rPr>
              <w:t>NDoE</w:t>
            </w:r>
          </w:p>
        </w:tc>
        <w:tc>
          <w:tcPr>
            <w:tcW w:w="1418" w:type="dxa"/>
          </w:tcPr>
          <w:p w14:paraId="3C5C7050" w14:textId="77777777" w:rsidR="00D010E5" w:rsidRDefault="00FD4082" w:rsidP="00C602EF">
            <w:pPr>
              <w:rPr>
                <w:sz w:val="20"/>
                <w:szCs w:val="20"/>
              </w:rPr>
            </w:pPr>
            <w:r>
              <w:rPr>
                <w:sz w:val="20"/>
                <w:szCs w:val="20"/>
              </w:rPr>
              <w:t>In-person</w:t>
            </w:r>
          </w:p>
          <w:p w14:paraId="7F727C4A" w14:textId="53CD7EAD" w:rsidR="00FD4082" w:rsidRDefault="00FD4082" w:rsidP="00C602EF">
            <w:pPr>
              <w:rPr>
                <w:sz w:val="20"/>
                <w:szCs w:val="20"/>
              </w:rPr>
            </w:pPr>
          </w:p>
        </w:tc>
      </w:tr>
      <w:tr w:rsidR="00FD4082" w:rsidRPr="00D219CE" w14:paraId="6E3EA623" w14:textId="77777777" w:rsidTr="00F83A62">
        <w:tc>
          <w:tcPr>
            <w:tcW w:w="1129" w:type="dxa"/>
          </w:tcPr>
          <w:p w14:paraId="3BC227F0" w14:textId="339E96B5" w:rsidR="00FD4082" w:rsidRDefault="001B0B14" w:rsidP="00C602EF">
            <w:pPr>
              <w:rPr>
                <w:sz w:val="20"/>
                <w:szCs w:val="20"/>
                <w:lang w:val="sv-SE"/>
              </w:rPr>
            </w:pPr>
            <w:r>
              <w:rPr>
                <w:sz w:val="20"/>
                <w:szCs w:val="20"/>
                <w:lang w:val="sv-SE"/>
              </w:rPr>
              <w:t>23 August</w:t>
            </w:r>
          </w:p>
        </w:tc>
        <w:tc>
          <w:tcPr>
            <w:tcW w:w="7371" w:type="dxa"/>
          </w:tcPr>
          <w:p w14:paraId="22830518" w14:textId="1DED1A98" w:rsidR="001B0B14" w:rsidRPr="001F1190" w:rsidRDefault="001B0B14" w:rsidP="001F1190">
            <w:pPr>
              <w:rPr>
                <w:sz w:val="20"/>
                <w:szCs w:val="20"/>
              </w:rPr>
            </w:pPr>
            <w:r>
              <w:rPr>
                <w:sz w:val="20"/>
                <w:szCs w:val="20"/>
              </w:rPr>
              <w:t>NDoE</w:t>
            </w:r>
          </w:p>
        </w:tc>
        <w:tc>
          <w:tcPr>
            <w:tcW w:w="1418" w:type="dxa"/>
          </w:tcPr>
          <w:p w14:paraId="17673A92" w14:textId="446074CE" w:rsidR="00FD4082" w:rsidRDefault="00637B56" w:rsidP="00C602EF">
            <w:pPr>
              <w:rPr>
                <w:sz w:val="20"/>
                <w:szCs w:val="20"/>
              </w:rPr>
            </w:pPr>
            <w:r>
              <w:rPr>
                <w:sz w:val="20"/>
                <w:szCs w:val="20"/>
              </w:rPr>
              <w:t>In-person</w:t>
            </w:r>
          </w:p>
        </w:tc>
      </w:tr>
      <w:tr w:rsidR="00637B56" w:rsidRPr="00D219CE" w14:paraId="26106065" w14:textId="77777777" w:rsidTr="00F83A62">
        <w:tc>
          <w:tcPr>
            <w:tcW w:w="1129" w:type="dxa"/>
          </w:tcPr>
          <w:p w14:paraId="12AEA990" w14:textId="0FFC1B30" w:rsidR="00637B56" w:rsidRDefault="00637B56" w:rsidP="00C602EF">
            <w:pPr>
              <w:rPr>
                <w:sz w:val="20"/>
                <w:szCs w:val="20"/>
                <w:lang w:val="sv-SE"/>
              </w:rPr>
            </w:pPr>
            <w:r>
              <w:rPr>
                <w:sz w:val="20"/>
                <w:szCs w:val="20"/>
                <w:lang w:val="sv-SE"/>
              </w:rPr>
              <w:t>23 August</w:t>
            </w:r>
          </w:p>
        </w:tc>
        <w:tc>
          <w:tcPr>
            <w:tcW w:w="7371" w:type="dxa"/>
          </w:tcPr>
          <w:p w14:paraId="51ABC0B8" w14:textId="0E163D83" w:rsidR="00637B56" w:rsidRPr="001F1190" w:rsidRDefault="00637B56" w:rsidP="001F1190">
            <w:pPr>
              <w:rPr>
                <w:sz w:val="20"/>
                <w:szCs w:val="20"/>
              </w:rPr>
            </w:pPr>
            <w:r>
              <w:rPr>
                <w:sz w:val="20"/>
                <w:szCs w:val="20"/>
              </w:rPr>
              <w:t>ChildFund</w:t>
            </w:r>
          </w:p>
        </w:tc>
        <w:tc>
          <w:tcPr>
            <w:tcW w:w="1418" w:type="dxa"/>
          </w:tcPr>
          <w:p w14:paraId="450D30A7" w14:textId="46027390" w:rsidR="00637B56" w:rsidRDefault="000D4651" w:rsidP="00C602EF">
            <w:pPr>
              <w:rPr>
                <w:sz w:val="20"/>
                <w:szCs w:val="20"/>
              </w:rPr>
            </w:pPr>
            <w:r>
              <w:rPr>
                <w:sz w:val="20"/>
                <w:szCs w:val="20"/>
              </w:rPr>
              <w:t>Teams</w:t>
            </w:r>
          </w:p>
        </w:tc>
      </w:tr>
      <w:tr w:rsidR="000D4651" w:rsidRPr="00D219CE" w14:paraId="656BD2F9" w14:textId="77777777" w:rsidTr="00F83A62">
        <w:tc>
          <w:tcPr>
            <w:tcW w:w="1129" w:type="dxa"/>
          </w:tcPr>
          <w:p w14:paraId="117A7B7D" w14:textId="6D23157A" w:rsidR="000D4651" w:rsidRDefault="005D5F17" w:rsidP="00C602EF">
            <w:pPr>
              <w:rPr>
                <w:sz w:val="20"/>
                <w:szCs w:val="20"/>
                <w:lang w:val="sv-SE"/>
              </w:rPr>
            </w:pPr>
            <w:r>
              <w:rPr>
                <w:sz w:val="20"/>
                <w:szCs w:val="20"/>
                <w:lang w:val="sv-SE"/>
              </w:rPr>
              <w:t>28 August</w:t>
            </w:r>
          </w:p>
        </w:tc>
        <w:tc>
          <w:tcPr>
            <w:tcW w:w="7371" w:type="dxa"/>
          </w:tcPr>
          <w:p w14:paraId="22E0187E" w14:textId="3AE93B93" w:rsidR="00081407" w:rsidRPr="00C90671" w:rsidRDefault="00081407" w:rsidP="00A22B73">
            <w:pPr>
              <w:rPr>
                <w:sz w:val="20"/>
                <w:szCs w:val="20"/>
              </w:rPr>
            </w:pPr>
            <w:r>
              <w:rPr>
                <w:sz w:val="20"/>
                <w:szCs w:val="20"/>
              </w:rPr>
              <w:t>Divine Word University</w:t>
            </w:r>
            <w:r w:rsidR="00A22B73">
              <w:rPr>
                <w:sz w:val="20"/>
                <w:szCs w:val="20"/>
              </w:rPr>
              <w:t xml:space="preserve"> </w:t>
            </w:r>
          </w:p>
        </w:tc>
        <w:tc>
          <w:tcPr>
            <w:tcW w:w="1418" w:type="dxa"/>
          </w:tcPr>
          <w:p w14:paraId="0A186874" w14:textId="792AA2D1" w:rsidR="000D4651" w:rsidRDefault="00081407" w:rsidP="00C602EF">
            <w:pPr>
              <w:rPr>
                <w:sz w:val="20"/>
                <w:szCs w:val="20"/>
              </w:rPr>
            </w:pPr>
            <w:r>
              <w:rPr>
                <w:sz w:val="20"/>
                <w:szCs w:val="20"/>
              </w:rPr>
              <w:t>Teams</w:t>
            </w:r>
          </w:p>
        </w:tc>
      </w:tr>
    </w:tbl>
    <w:p w14:paraId="1566E7CC" w14:textId="4646E1DA" w:rsidR="00943D0A" w:rsidRPr="00D219CE" w:rsidRDefault="00943D0A" w:rsidP="00C90671"/>
    <w:p w14:paraId="2B603642" w14:textId="77777777" w:rsidR="00F71229" w:rsidRPr="00D219CE" w:rsidRDefault="00F71229" w:rsidP="00154842">
      <w:pPr>
        <w:rPr>
          <w:sz w:val="22"/>
          <w:szCs w:val="22"/>
        </w:rPr>
      </w:pPr>
    </w:p>
    <w:p w14:paraId="69F91895" w14:textId="77777777" w:rsidR="00990248" w:rsidRPr="00D219CE" w:rsidRDefault="00990248" w:rsidP="00990248">
      <w:pPr>
        <w:rPr>
          <w:sz w:val="22"/>
          <w:szCs w:val="22"/>
        </w:rPr>
      </w:pPr>
    </w:p>
    <w:sectPr w:rsidR="00990248" w:rsidRPr="00D219CE" w:rsidSect="00197473">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510B" w14:textId="77777777" w:rsidR="005C71F4" w:rsidRDefault="005C71F4" w:rsidP="002C4760">
      <w:pPr>
        <w:spacing w:after="0" w:line="240" w:lineRule="auto"/>
      </w:pPr>
      <w:r>
        <w:separator/>
      </w:r>
    </w:p>
  </w:endnote>
  <w:endnote w:type="continuationSeparator" w:id="0">
    <w:p w14:paraId="4F8A0C54" w14:textId="77777777" w:rsidR="005C71F4" w:rsidRDefault="005C71F4" w:rsidP="002C4760">
      <w:pPr>
        <w:spacing w:after="0" w:line="240" w:lineRule="auto"/>
      </w:pPr>
      <w:r>
        <w:continuationSeparator/>
      </w:r>
    </w:p>
  </w:endnote>
  <w:endnote w:type="continuationNotice" w:id="1">
    <w:p w14:paraId="0F6ACBE0" w14:textId="77777777" w:rsidR="005C71F4" w:rsidRDefault="005C7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rEavesXLModO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AA32" w14:textId="0A5330DB" w:rsidR="00A17C88" w:rsidRPr="00A17C88" w:rsidRDefault="00A17C88" w:rsidP="0065260C">
    <w:pPr>
      <w:pStyle w:val="Footer"/>
      <w:tabs>
        <w:tab w:val="clear" w:pos="4513"/>
        <w:tab w:val="clear" w:pos="9026"/>
        <w:tab w:val="center" w:pos="4820"/>
        <w:tab w:val="right" w:pos="15309"/>
      </w:tabs>
      <w:rPr>
        <w:sz w:val="18"/>
        <w:szCs w:val="18"/>
      </w:rPr>
    </w:pPr>
    <w:r w:rsidRPr="00A17C88">
      <w:rPr>
        <w:sz w:val="18"/>
        <w:szCs w:val="18"/>
      </w:rPr>
      <w:t xml:space="preserve">PNG PIE – </w:t>
    </w:r>
    <w:r w:rsidR="004F40C5">
      <w:rPr>
        <w:sz w:val="18"/>
        <w:szCs w:val="18"/>
      </w:rPr>
      <w:t>Independent Progress Review</w:t>
    </w:r>
    <w:r w:rsidR="002F531F">
      <w:rPr>
        <w:sz w:val="18"/>
        <w:szCs w:val="18"/>
      </w:rPr>
      <w:t xml:space="preserve"> </w:t>
    </w:r>
    <w:r>
      <w:rPr>
        <w:sz w:val="18"/>
        <w:szCs w:val="18"/>
      </w:rPr>
      <w:tab/>
    </w:r>
    <w:r w:rsidR="00197473" w:rsidRPr="00197473">
      <w:rPr>
        <w:sz w:val="18"/>
        <w:szCs w:val="18"/>
      </w:rPr>
      <w:fldChar w:fldCharType="begin"/>
    </w:r>
    <w:r w:rsidR="00197473" w:rsidRPr="00197473">
      <w:rPr>
        <w:sz w:val="18"/>
        <w:szCs w:val="18"/>
      </w:rPr>
      <w:instrText>PAGE   \* MERGEFORMAT</w:instrText>
    </w:r>
    <w:r w:rsidR="00197473" w:rsidRPr="00197473">
      <w:rPr>
        <w:sz w:val="18"/>
        <w:szCs w:val="18"/>
      </w:rPr>
      <w:fldChar w:fldCharType="separate"/>
    </w:r>
    <w:r w:rsidR="00197473" w:rsidRPr="00197473">
      <w:rPr>
        <w:sz w:val="18"/>
        <w:szCs w:val="18"/>
        <w:lang w:val="en-GB"/>
      </w:rPr>
      <w:t>1</w:t>
    </w:r>
    <w:r w:rsidR="00197473" w:rsidRPr="00197473">
      <w:rPr>
        <w:sz w:val="18"/>
        <w:szCs w:val="18"/>
      </w:rPr>
      <w:fldChar w:fldCharType="end"/>
    </w:r>
    <w:r w:rsidR="00197473">
      <w:rPr>
        <w:sz w:val="18"/>
        <w:szCs w:val="18"/>
      </w:rPr>
      <w:tab/>
    </w:r>
    <w:r w:rsidR="00CC4F13">
      <w:rPr>
        <w:sz w:val="18"/>
        <w:szCs w:val="18"/>
      </w:rPr>
      <w:t>Final</w:t>
    </w:r>
    <w:r w:rsidR="00197473">
      <w:rPr>
        <w:sz w:val="18"/>
        <w:szCs w:val="18"/>
      </w:rPr>
      <w:t xml:space="preserve"> – </w:t>
    </w:r>
    <w:r w:rsidR="006F2230">
      <w:rPr>
        <w:sz w:val="18"/>
        <w:szCs w:val="18"/>
      </w:rPr>
      <w:t>2</w:t>
    </w:r>
    <w:r w:rsidR="00B75AD3">
      <w:rPr>
        <w:sz w:val="18"/>
        <w:szCs w:val="18"/>
      </w:rPr>
      <w:t>5</w:t>
    </w:r>
    <w:r w:rsidR="004F78FE">
      <w:rPr>
        <w:sz w:val="18"/>
        <w:szCs w:val="18"/>
      </w:rPr>
      <w:t xml:space="preserve"> </w:t>
    </w:r>
    <w:r w:rsidR="006F2230">
      <w:rPr>
        <w:sz w:val="18"/>
        <w:szCs w:val="18"/>
      </w:rPr>
      <w:t>Octo</w:t>
    </w:r>
    <w:r w:rsidR="004F78FE">
      <w:rPr>
        <w:sz w:val="18"/>
        <w:szCs w:val="18"/>
      </w:rPr>
      <w:t>ber</w:t>
    </w:r>
    <w:r w:rsidR="00197473">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CB4D" w14:textId="77777777" w:rsidR="005C71F4" w:rsidRDefault="005C71F4" w:rsidP="002C4760">
      <w:pPr>
        <w:spacing w:after="0" w:line="240" w:lineRule="auto"/>
      </w:pPr>
      <w:r>
        <w:separator/>
      </w:r>
    </w:p>
  </w:footnote>
  <w:footnote w:type="continuationSeparator" w:id="0">
    <w:p w14:paraId="23130CD2" w14:textId="77777777" w:rsidR="005C71F4" w:rsidRDefault="005C71F4" w:rsidP="002C4760">
      <w:pPr>
        <w:spacing w:after="0" w:line="240" w:lineRule="auto"/>
      </w:pPr>
      <w:r>
        <w:continuationSeparator/>
      </w:r>
    </w:p>
  </w:footnote>
  <w:footnote w:type="continuationNotice" w:id="1">
    <w:p w14:paraId="181A4859" w14:textId="77777777" w:rsidR="005C71F4" w:rsidRDefault="005C71F4">
      <w:pPr>
        <w:spacing w:after="0" w:line="240" w:lineRule="auto"/>
      </w:pPr>
    </w:p>
  </w:footnote>
  <w:footnote w:id="2">
    <w:p w14:paraId="7C11B488" w14:textId="77777777" w:rsidR="00F65F9E" w:rsidRDefault="00F65F9E" w:rsidP="00F65F9E">
      <w:pPr>
        <w:pStyle w:val="FootnoteText"/>
      </w:pPr>
      <w:r>
        <w:rPr>
          <w:rStyle w:val="FootnoteReference"/>
        </w:rPr>
        <w:footnoteRef/>
      </w:r>
      <w:r>
        <w:t xml:space="preserve"> </w:t>
      </w:r>
      <w:r w:rsidRPr="00476412">
        <w:t>https://www.dfat.gov.au/publications/development/australias-papua-new-guinea-development-partnership-plan-2024-2029</w:t>
      </w:r>
    </w:p>
  </w:footnote>
  <w:footnote w:id="3">
    <w:p w14:paraId="3C39A054" w14:textId="68AC1115" w:rsidR="00004743" w:rsidRPr="00C90671" w:rsidRDefault="00004743">
      <w:pPr>
        <w:pStyle w:val="FootnoteText"/>
      </w:pPr>
      <w:r w:rsidRPr="00C42783">
        <w:rPr>
          <w:rStyle w:val="FootnoteReference"/>
        </w:rPr>
        <w:footnoteRef/>
      </w:r>
      <w:r w:rsidRPr="00C42783">
        <w:t xml:space="preserve"> </w:t>
      </w:r>
      <w:r w:rsidR="000E114A" w:rsidRPr="00C90671">
        <w:t xml:space="preserve">Compare this with more than 4000 elementary teachers receiving training up to </w:t>
      </w:r>
      <w:r w:rsidR="008E0414" w:rsidRPr="00C90671">
        <w:t>June 2024 – see section 5.</w:t>
      </w:r>
    </w:p>
  </w:footnote>
  <w:footnote w:id="4">
    <w:p w14:paraId="5003AECC" w14:textId="4432A832" w:rsidR="0010086D" w:rsidRPr="00C90671" w:rsidRDefault="0010086D">
      <w:pPr>
        <w:pStyle w:val="FootnoteText"/>
      </w:pPr>
      <w:r w:rsidRPr="00C42783">
        <w:rPr>
          <w:rStyle w:val="FootnoteReference"/>
        </w:rPr>
        <w:footnoteRef/>
      </w:r>
      <w:r w:rsidRPr="00C42783">
        <w:t xml:space="preserve"> </w:t>
      </w:r>
      <w:r w:rsidR="000E6E28" w:rsidRPr="00C90671">
        <w:t>Increased</w:t>
      </w:r>
      <w:r w:rsidR="005A511C" w:rsidRPr="00C90671">
        <w:t xml:space="preserve"> </w:t>
      </w:r>
      <w:r w:rsidR="00F9744C" w:rsidRPr="00C90671">
        <w:t xml:space="preserve">requirement of </w:t>
      </w:r>
      <w:r w:rsidR="00395E8F" w:rsidRPr="00C90671">
        <w:t>teacher texts to ensure 1 per teacher</w:t>
      </w:r>
      <w:r w:rsidR="00236804" w:rsidRPr="00C90671">
        <w:t xml:space="preserve"> and </w:t>
      </w:r>
      <w:r w:rsidR="00E003ED" w:rsidRPr="00C90671">
        <w:t>to meet needs of multigrade teachers</w:t>
      </w:r>
      <w:r w:rsidR="00C47560" w:rsidRPr="00C90671">
        <w:t>.</w:t>
      </w:r>
    </w:p>
  </w:footnote>
  <w:footnote w:id="5">
    <w:p w14:paraId="27EE25C0" w14:textId="2C1483C1" w:rsidR="00C47560" w:rsidRPr="00C90671" w:rsidRDefault="00C47560">
      <w:pPr>
        <w:pStyle w:val="FootnoteText"/>
      </w:pPr>
      <w:r w:rsidRPr="00C42783">
        <w:rPr>
          <w:rStyle w:val="FootnoteReference"/>
        </w:rPr>
        <w:footnoteRef/>
      </w:r>
      <w:r w:rsidRPr="00C42783">
        <w:t xml:space="preserve"> </w:t>
      </w:r>
      <w:r w:rsidR="00077719" w:rsidRPr="00C90671">
        <w:t xml:space="preserve">Initial plan to </w:t>
      </w:r>
      <w:r w:rsidR="00131BBE" w:rsidRPr="00C90671">
        <w:t xml:space="preserve">provide </w:t>
      </w:r>
      <w:r w:rsidR="00077719" w:rsidRPr="00C90671">
        <w:t xml:space="preserve">10 student books per grade </w:t>
      </w:r>
      <w:r w:rsidR="00131BBE" w:rsidRPr="00C90671">
        <w:t>(1:3</w:t>
      </w:r>
      <w:r w:rsidR="00E7676D" w:rsidRPr="00C90671">
        <w:t>-</w:t>
      </w:r>
      <w:r w:rsidR="00131BBE" w:rsidRPr="00C90671">
        <w:t>book</w:t>
      </w:r>
      <w:r w:rsidR="00E7676D" w:rsidRPr="00C90671">
        <w:t>:</w:t>
      </w:r>
      <w:r w:rsidR="009C550F" w:rsidRPr="00C90671">
        <w:t xml:space="preserve">student) was increased to meet </w:t>
      </w:r>
      <w:r w:rsidR="00BE67A8" w:rsidRPr="00C90671">
        <w:t>needs of classes with more than 30 students</w:t>
      </w:r>
      <w:r w:rsidR="00754BC8" w:rsidRPr="00C90671">
        <w:t>.</w:t>
      </w:r>
    </w:p>
  </w:footnote>
  <w:footnote w:id="6">
    <w:p w14:paraId="5840FB1A" w14:textId="3710E7BE" w:rsidR="00BE67A8" w:rsidRPr="00C42783" w:rsidRDefault="00BE67A8">
      <w:pPr>
        <w:pStyle w:val="FootnoteText"/>
      </w:pPr>
      <w:r w:rsidRPr="00C42783">
        <w:rPr>
          <w:rStyle w:val="FootnoteReference"/>
        </w:rPr>
        <w:footnoteRef/>
      </w:r>
      <w:r w:rsidRPr="00C42783">
        <w:t xml:space="preserve"> </w:t>
      </w:r>
      <w:r w:rsidR="009745D7" w:rsidRPr="00C90671">
        <w:t xml:space="preserve">Decision taken to </w:t>
      </w:r>
      <w:r w:rsidR="00754BC8" w:rsidRPr="00C90671">
        <w:t>increase the supply of libraries and readers.</w:t>
      </w:r>
    </w:p>
  </w:footnote>
  <w:footnote w:id="7">
    <w:p w14:paraId="40F4F03E" w14:textId="77777777" w:rsidR="00596BD9" w:rsidRPr="008C047E" w:rsidRDefault="00596BD9" w:rsidP="00596BD9">
      <w:pPr>
        <w:pStyle w:val="FootnoteText"/>
        <w:rPr>
          <w:rFonts w:ascii="Calibri Light" w:hAnsi="Calibri Light" w:cs="Calibri Light"/>
        </w:rPr>
      </w:pPr>
      <w:r w:rsidRPr="00C90671">
        <w:rPr>
          <w:rStyle w:val="FootnoteReference"/>
          <w:rFonts w:cs="Calibri Light"/>
        </w:rPr>
        <w:footnoteRef/>
      </w:r>
      <w:r w:rsidRPr="00C90671">
        <w:rPr>
          <w:rFonts w:cs="Calibri Light"/>
        </w:rPr>
        <w:t xml:space="preserve"> Training costs increased due to population (more teachers, volunteer teachers and the requirement to accommodate babysitters); increased service delivery costs due to inflationary pressures also increased the training costs.</w:t>
      </w:r>
    </w:p>
  </w:footnote>
  <w:footnote w:id="8">
    <w:p w14:paraId="59EB033E" w14:textId="77777777" w:rsidR="009B27FB" w:rsidRPr="00C90671" w:rsidRDefault="009B27FB" w:rsidP="009B27FB">
      <w:pPr>
        <w:pStyle w:val="FootnoteText"/>
        <w:rPr>
          <w:rFonts w:ascii="Calibri Light" w:hAnsi="Calibri Light" w:cs="Calibri Light"/>
        </w:rPr>
      </w:pPr>
      <w:r w:rsidRPr="00C90671">
        <w:rPr>
          <w:rStyle w:val="FootnoteReference"/>
          <w:rFonts w:ascii="Calibri Light" w:hAnsi="Calibri Light" w:cs="Calibri Light"/>
        </w:rPr>
        <w:footnoteRef/>
      </w:r>
      <w:r w:rsidRPr="00C90671">
        <w:rPr>
          <w:rFonts w:ascii="Calibri Light" w:hAnsi="Calibri Light" w:cs="Calibri Light"/>
        </w:rPr>
        <w:t xml:space="preserve"> Numbers do not include volunteer teachers, t</w:t>
      </w:r>
      <w:r w:rsidRPr="00C90671">
        <w:rPr>
          <w:rFonts w:ascii="Calibri Light" w:hAnsi="Calibri Light" w:cs="Calibri Light"/>
          <w:color w:val="252525"/>
        </w:rPr>
        <w:t>eachers</w:t>
      </w:r>
      <w:r w:rsidRPr="00C90671">
        <w:rPr>
          <w:rFonts w:ascii="Calibri Light" w:hAnsi="Calibri Light" w:cs="Calibri Light"/>
          <w:color w:val="252525"/>
          <w:spacing w:val="-2"/>
        </w:rPr>
        <w:t xml:space="preserve"> </w:t>
      </w:r>
      <w:r w:rsidRPr="00C90671">
        <w:rPr>
          <w:rFonts w:ascii="Calibri Light" w:hAnsi="Calibri Light" w:cs="Calibri Light"/>
          <w:color w:val="252525"/>
        </w:rPr>
        <w:t>who</w:t>
      </w:r>
      <w:r w:rsidRPr="00C90671">
        <w:rPr>
          <w:rFonts w:ascii="Calibri Light" w:hAnsi="Calibri Light" w:cs="Calibri Light"/>
          <w:color w:val="252525"/>
          <w:spacing w:val="-3"/>
        </w:rPr>
        <w:t xml:space="preserve"> </w:t>
      </w:r>
      <w:r w:rsidRPr="00C90671">
        <w:rPr>
          <w:rFonts w:ascii="Calibri Light" w:hAnsi="Calibri Light" w:cs="Calibri Light"/>
          <w:color w:val="252525"/>
        </w:rPr>
        <w:t>are</w:t>
      </w:r>
      <w:r w:rsidRPr="00C90671">
        <w:rPr>
          <w:rFonts w:ascii="Calibri Light" w:hAnsi="Calibri Light" w:cs="Calibri Light"/>
          <w:color w:val="252525"/>
          <w:spacing w:val="-3"/>
        </w:rPr>
        <w:t xml:space="preserve"> </w:t>
      </w:r>
      <w:r w:rsidRPr="00C90671">
        <w:rPr>
          <w:rFonts w:ascii="Calibri Light" w:hAnsi="Calibri Light" w:cs="Calibri Light"/>
          <w:color w:val="252525"/>
        </w:rPr>
        <w:t>supporting</w:t>
      </w:r>
      <w:r w:rsidRPr="00C90671">
        <w:rPr>
          <w:rFonts w:ascii="Calibri Light" w:hAnsi="Calibri Light" w:cs="Calibri Light"/>
          <w:color w:val="252525"/>
          <w:spacing w:val="-3"/>
        </w:rPr>
        <w:t xml:space="preserve"> </w:t>
      </w:r>
      <w:r w:rsidRPr="00C90671">
        <w:rPr>
          <w:rFonts w:ascii="Calibri Light" w:hAnsi="Calibri Light" w:cs="Calibri Light"/>
          <w:color w:val="252525"/>
        </w:rPr>
        <w:t>service delivery in remotest PNG. This increase does not include the number of teachers and students in newly established early grade schools.</w:t>
      </w:r>
    </w:p>
  </w:footnote>
  <w:footnote w:id="9">
    <w:p w14:paraId="1F918785" w14:textId="51C89035" w:rsidR="006B1011" w:rsidRPr="00C42783" w:rsidRDefault="006B1011">
      <w:pPr>
        <w:pStyle w:val="FootnoteText"/>
      </w:pPr>
      <w:r w:rsidRPr="00C42783">
        <w:rPr>
          <w:rStyle w:val="FootnoteReference"/>
        </w:rPr>
        <w:footnoteRef/>
      </w:r>
      <w:r w:rsidRPr="00C42783">
        <w:t xml:space="preserve"> </w:t>
      </w:r>
      <w:r w:rsidRPr="00C42783">
        <w:rPr>
          <w:rFonts w:ascii="Calibri Light" w:hAnsi="Calibri Light" w:cs="Calibri Light"/>
        </w:rPr>
        <w:t>Math In-service TOT Exception Report May 2024</w:t>
      </w:r>
    </w:p>
  </w:footnote>
  <w:footnote w:id="10">
    <w:p w14:paraId="507728FD" w14:textId="7099E8AC" w:rsidR="00AD1D5F" w:rsidRDefault="00AD1D5F">
      <w:pPr>
        <w:pStyle w:val="FootnoteText"/>
      </w:pPr>
      <w:r w:rsidRPr="00C42783">
        <w:rPr>
          <w:rStyle w:val="FootnoteReference"/>
        </w:rPr>
        <w:footnoteRef/>
      </w:r>
      <w:r w:rsidRPr="00C42783">
        <w:t xml:space="preserve"> </w:t>
      </w:r>
      <w:r w:rsidR="001C1976" w:rsidRPr="00C42783">
        <w:t>See June 2023 Semi-Annual Report</w:t>
      </w:r>
    </w:p>
  </w:footnote>
  <w:footnote w:id="11">
    <w:p w14:paraId="7B0DA40F" w14:textId="09E88E55" w:rsidR="00830484" w:rsidRPr="00F74AD5" w:rsidRDefault="00830484" w:rsidP="00830484">
      <w:pPr>
        <w:pStyle w:val="FootnoteText"/>
        <w:rPr>
          <w:rFonts w:ascii="Calibri Light" w:hAnsi="Calibri Light" w:cs="Calibri Light"/>
        </w:rPr>
      </w:pPr>
      <w:r w:rsidRPr="00F74AD5">
        <w:rPr>
          <w:rStyle w:val="FootnoteReference"/>
          <w:rFonts w:ascii="Calibri Light" w:hAnsi="Calibri Light" w:cs="Calibri Light"/>
        </w:rPr>
        <w:footnoteRef/>
      </w:r>
      <w:r w:rsidRPr="00F74AD5">
        <w:rPr>
          <w:rFonts w:ascii="Calibri Light" w:hAnsi="Calibri Light" w:cs="Calibri Light"/>
        </w:rPr>
        <w:t xml:space="preserve"> This would include delivery in Enga as well.  A</w:t>
      </w:r>
      <w:r w:rsidR="00C94D1D">
        <w:rPr>
          <w:rFonts w:ascii="Calibri Light" w:hAnsi="Calibri Light" w:cs="Calibri Light"/>
        </w:rPr>
        <w:t>UD1m</w:t>
      </w:r>
      <w:r w:rsidRPr="00F74AD5">
        <w:rPr>
          <w:rFonts w:ascii="Calibri Light" w:hAnsi="Calibri Light" w:cs="Calibri Light"/>
        </w:rPr>
        <w:t xml:space="preserve"> additional not including Enga.</w:t>
      </w:r>
    </w:p>
  </w:footnote>
  <w:footnote w:id="12">
    <w:p w14:paraId="6DF6D8A3" w14:textId="52DFB955" w:rsidR="00D533E7" w:rsidRDefault="00D533E7">
      <w:pPr>
        <w:pStyle w:val="FootnoteText"/>
      </w:pPr>
      <w:r>
        <w:rPr>
          <w:rStyle w:val="FootnoteReference"/>
        </w:rPr>
        <w:footnoteRef/>
      </w:r>
      <w:r>
        <w:t xml:space="preserve"> Noting that the </w:t>
      </w:r>
      <w:r w:rsidR="004446AC">
        <w:t xml:space="preserve">outsourcing </w:t>
      </w:r>
      <w:r w:rsidR="00DC2EAC">
        <w:t xml:space="preserve">of some activities e.g. </w:t>
      </w:r>
      <w:r w:rsidR="00DC42EA">
        <w:t xml:space="preserve">school monitoring </w:t>
      </w:r>
      <w:r w:rsidR="00011E59">
        <w:t xml:space="preserve">by World Vision will include some </w:t>
      </w:r>
      <w:r w:rsidR="00B258E0">
        <w:t>personnel costs</w:t>
      </w:r>
    </w:p>
  </w:footnote>
  <w:footnote w:id="13">
    <w:p w14:paraId="7A179B75" w14:textId="500F1B48" w:rsidR="00242FA0" w:rsidRDefault="00242FA0">
      <w:pPr>
        <w:pStyle w:val="FootnoteText"/>
      </w:pPr>
      <w:r>
        <w:rPr>
          <w:rStyle w:val="FootnoteReference"/>
        </w:rPr>
        <w:footnoteRef/>
      </w:r>
      <w:r>
        <w:t xml:space="preserve"> </w:t>
      </w:r>
      <w:r w:rsidRPr="00242FA0">
        <w:t xml:space="preserve">Centre for Education Statistics and Evaluation (CESE) (2014) </w:t>
      </w:r>
      <w:r w:rsidRPr="00242FA0">
        <w:rPr>
          <w:i/>
          <w:iCs/>
        </w:rPr>
        <w:t>School Improvement Frameworks: The Evidence Base</w:t>
      </w:r>
      <w:r w:rsidRPr="00242FA0">
        <w:t>, NSW Department of Education, Sydney.</w:t>
      </w:r>
    </w:p>
  </w:footnote>
  <w:footnote w:id="14">
    <w:p w14:paraId="065A7DB6" w14:textId="6875919F" w:rsidR="00476412" w:rsidRDefault="00476412">
      <w:pPr>
        <w:pStyle w:val="FootnoteText"/>
      </w:pPr>
      <w:r>
        <w:rPr>
          <w:rStyle w:val="FootnoteReference"/>
        </w:rPr>
        <w:footnoteRef/>
      </w:r>
      <w:r>
        <w:t xml:space="preserve"> </w:t>
      </w:r>
      <w:r w:rsidRPr="00476412">
        <w:t>https://www.dfat.gov.au/publications/development/australias-papua-new-guinea-development-partnership-plan-2024-2029</w:t>
      </w:r>
    </w:p>
  </w:footnote>
  <w:footnote w:id="15">
    <w:p w14:paraId="1CBF1391" w14:textId="376319B4" w:rsidR="0052761B" w:rsidRDefault="0052761B">
      <w:pPr>
        <w:pStyle w:val="FootnoteText"/>
      </w:pPr>
      <w:r>
        <w:rPr>
          <w:rStyle w:val="FootnoteReference"/>
        </w:rPr>
        <w:footnoteRef/>
      </w:r>
      <w:r>
        <w:t xml:space="preserve"> </w:t>
      </w:r>
      <w:r w:rsidRPr="0052761B">
        <w:t xml:space="preserve">Mourshed M, Chijioke C and Barber M (2010) </w:t>
      </w:r>
      <w:r w:rsidRPr="0052761B">
        <w:rPr>
          <w:i/>
          <w:iCs/>
        </w:rPr>
        <w:t>How the World’s Most Improved School Systems Keep Getting Better</w:t>
      </w:r>
      <w:r w:rsidRPr="0052761B">
        <w:t>. McKinsey &amp; Company, London.</w:t>
      </w:r>
    </w:p>
  </w:footnote>
  <w:footnote w:id="16">
    <w:p w14:paraId="0D952284" w14:textId="67527B18" w:rsidR="006C1BA3" w:rsidRDefault="006C1BA3" w:rsidP="005865F2">
      <w:pPr>
        <w:pStyle w:val="FootnoteText"/>
      </w:pPr>
      <w:r>
        <w:rPr>
          <w:rStyle w:val="FootnoteReference"/>
        </w:rPr>
        <w:footnoteRef/>
      </w:r>
      <w:r>
        <w:t xml:space="preserve"> </w:t>
      </w:r>
      <w:r w:rsidR="005865F2" w:rsidRPr="005865F2">
        <w:t>The National Center on Education and the Economy</w:t>
      </w:r>
      <w:r w:rsidR="005865F2">
        <w:t xml:space="preserve"> (2024)</w:t>
      </w:r>
      <w:r w:rsidR="005865F2" w:rsidRPr="005865F2">
        <w:t xml:space="preserve"> </w:t>
      </w:r>
      <w:r w:rsidR="005865F2" w:rsidRPr="005865F2">
        <w:rPr>
          <w:i/>
          <w:iCs/>
        </w:rPr>
        <w:t>NCEE Blueprint: Designing Systems</w:t>
      </w:r>
      <w:r w:rsidR="005865F2">
        <w:rPr>
          <w:i/>
          <w:iCs/>
        </w:rPr>
        <w:t xml:space="preserve"> </w:t>
      </w:r>
      <w:r w:rsidR="005865F2" w:rsidRPr="005865F2">
        <w:rPr>
          <w:i/>
          <w:iCs/>
        </w:rPr>
        <w:t>That Work</w:t>
      </w:r>
      <w:r w:rsidR="00230123">
        <w:rPr>
          <w:i/>
          <w:iCs/>
        </w:rPr>
        <w:t>.</w:t>
      </w:r>
      <w:r w:rsidR="005865F2" w:rsidRPr="005865F2">
        <w:t xml:space="preserve"> Washington, DC</w:t>
      </w:r>
      <w:r w:rsidR="00230123">
        <w:t>,</w:t>
      </w:r>
      <w:r w:rsidR="005865F2" w:rsidRPr="005865F2">
        <w:t xml:space="preserve"> National Center on Education and the Economy.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7" w:hanging="360"/>
      </w:pPr>
      <w:rPr>
        <w:rFonts w:ascii="Symbol" w:hAnsi="Symbol"/>
        <w:w w:val="99"/>
      </w:rPr>
    </w:lvl>
    <w:lvl w:ilvl="1">
      <w:numFmt w:val="bullet"/>
      <w:lvlText w:val="•"/>
      <w:lvlJc w:val="left"/>
      <w:pPr>
        <w:ind w:left="1327" w:hanging="360"/>
      </w:pPr>
    </w:lvl>
    <w:lvl w:ilvl="2">
      <w:numFmt w:val="bullet"/>
      <w:lvlText w:val="•"/>
      <w:lvlJc w:val="left"/>
      <w:pPr>
        <w:ind w:left="1835" w:hanging="360"/>
      </w:pPr>
    </w:lvl>
    <w:lvl w:ilvl="3">
      <w:numFmt w:val="bullet"/>
      <w:lvlText w:val="•"/>
      <w:lvlJc w:val="left"/>
      <w:pPr>
        <w:ind w:left="2342" w:hanging="360"/>
      </w:pPr>
    </w:lvl>
    <w:lvl w:ilvl="4">
      <w:numFmt w:val="bullet"/>
      <w:lvlText w:val="•"/>
      <w:lvlJc w:val="left"/>
      <w:pPr>
        <w:ind w:left="2850" w:hanging="360"/>
      </w:pPr>
    </w:lvl>
    <w:lvl w:ilvl="5">
      <w:numFmt w:val="bullet"/>
      <w:lvlText w:val="•"/>
      <w:lvlJc w:val="left"/>
      <w:pPr>
        <w:ind w:left="3357" w:hanging="360"/>
      </w:pPr>
    </w:lvl>
    <w:lvl w:ilvl="6">
      <w:numFmt w:val="bullet"/>
      <w:lvlText w:val="•"/>
      <w:lvlJc w:val="left"/>
      <w:pPr>
        <w:ind w:left="3865" w:hanging="360"/>
      </w:pPr>
    </w:lvl>
    <w:lvl w:ilvl="7">
      <w:numFmt w:val="bullet"/>
      <w:lvlText w:val="•"/>
      <w:lvlJc w:val="left"/>
      <w:pPr>
        <w:ind w:left="4372" w:hanging="360"/>
      </w:pPr>
    </w:lvl>
    <w:lvl w:ilvl="8">
      <w:numFmt w:val="bullet"/>
      <w:lvlText w:val="•"/>
      <w:lvlJc w:val="left"/>
      <w:pPr>
        <w:ind w:left="4880" w:hanging="360"/>
      </w:pPr>
    </w:lvl>
  </w:abstractNum>
  <w:abstractNum w:abstractNumId="1" w15:restartNumberingAfterBreak="0">
    <w:nsid w:val="00514455"/>
    <w:multiLevelType w:val="hybridMultilevel"/>
    <w:tmpl w:val="F5EE36F0"/>
    <w:lvl w:ilvl="0" w:tplc="9B663FC6">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424EEB"/>
    <w:multiLevelType w:val="hybridMultilevel"/>
    <w:tmpl w:val="C8A026CC"/>
    <w:lvl w:ilvl="0" w:tplc="0C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1A3F19"/>
    <w:multiLevelType w:val="hybridMultilevel"/>
    <w:tmpl w:val="D06C72E2"/>
    <w:lvl w:ilvl="0" w:tplc="FFFFFFFF">
      <w:start w:val="1"/>
      <w:numFmt w:val="upperRoman"/>
      <w:lvlText w:val="%1."/>
      <w:lvlJc w:val="right"/>
      <w:pPr>
        <w:ind w:left="720" w:hanging="360"/>
      </w:pPr>
      <w:rPr>
        <w:rFonts w:hint="default"/>
      </w:r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0080C"/>
    <w:multiLevelType w:val="hybridMultilevel"/>
    <w:tmpl w:val="DFFC4A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F43E8"/>
    <w:multiLevelType w:val="hybridMultilevel"/>
    <w:tmpl w:val="23FE4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5B4935"/>
    <w:multiLevelType w:val="hybridMultilevel"/>
    <w:tmpl w:val="CF602C38"/>
    <w:lvl w:ilvl="0" w:tplc="ECEA6FD6">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7" w15:restartNumberingAfterBreak="0">
    <w:nsid w:val="1A695263"/>
    <w:multiLevelType w:val="hybridMultilevel"/>
    <w:tmpl w:val="B268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AD292D"/>
    <w:multiLevelType w:val="hybridMultilevel"/>
    <w:tmpl w:val="A348A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EF2FBF"/>
    <w:multiLevelType w:val="hybridMultilevel"/>
    <w:tmpl w:val="F9528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A63F44"/>
    <w:multiLevelType w:val="hybridMultilevel"/>
    <w:tmpl w:val="BC1E6A6E"/>
    <w:lvl w:ilvl="0" w:tplc="FFFFFFFF">
      <w:start w:val="1"/>
      <w:numFmt w:val="upperRoman"/>
      <w:lvlText w:val="%1."/>
      <w:lvlJc w:val="righ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253F3E"/>
    <w:multiLevelType w:val="hybridMultilevel"/>
    <w:tmpl w:val="EA7E7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0F535A"/>
    <w:multiLevelType w:val="hybridMultilevel"/>
    <w:tmpl w:val="60200930"/>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3D75869"/>
    <w:multiLevelType w:val="hybridMultilevel"/>
    <w:tmpl w:val="0D1AD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133C25"/>
    <w:multiLevelType w:val="hybridMultilevel"/>
    <w:tmpl w:val="6C20700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2F40D5"/>
    <w:multiLevelType w:val="hybridMultilevel"/>
    <w:tmpl w:val="DD1ADAC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96151E7"/>
    <w:multiLevelType w:val="hybridMultilevel"/>
    <w:tmpl w:val="FA123C4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F7541D"/>
    <w:multiLevelType w:val="hybridMultilevel"/>
    <w:tmpl w:val="65587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EF1399"/>
    <w:multiLevelType w:val="hybridMultilevel"/>
    <w:tmpl w:val="099C2AD0"/>
    <w:lvl w:ilvl="0" w:tplc="9B86101C">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0560EF"/>
    <w:multiLevelType w:val="hybridMultilevel"/>
    <w:tmpl w:val="EDC8A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997ED6"/>
    <w:multiLevelType w:val="hybridMultilevel"/>
    <w:tmpl w:val="7680A24C"/>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C50298"/>
    <w:multiLevelType w:val="hybridMultilevel"/>
    <w:tmpl w:val="0600A0BA"/>
    <w:lvl w:ilvl="0" w:tplc="FFFFFFFF">
      <w:start w:val="1"/>
      <w:numFmt w:val="decimal"/>
      <w:lvlText w:val="%1."/>
      <w:lvlJc w:val="left"/>
      <w:pPr>
        <w:ind w:left="720" w:hanging="360"/>
      </w:pPr>
      <w:rPr>
        <w:rFonts w:hint="default"/>
      </w:rPr>
    </w:lvl>
    <w:lvl w:ilvl="1" w:tplc="0C09001B">
      <w:start w:val="1"/>
      <w:numFmt w:val="lowerRoman"/>
      <w:lvlText w:val="%2."/>
      <w:lvlJc w:val="right"/>
      <w:pPr>
        <w:ind w:left="1440" w:hanging="360"/>
      </w:pPr>
    </w:lvl>
    <w:lvl w:ilvl="2" w:tplc="754EA060">
      <w:start w:val="30"/>
      <w:numFmt w:val="bullet"/>
      <w:lvlText w:val="-"/>
      <w:lvlJc w:val="left"/>
      <w:pPr>
        <w:ind w:left="2340" w:hanging="360"/>
      </w:pPr>
      <w:rPr>
        <w:rFonts w:ascii="Aptos" w:eastAsiaTheme="minorHAnsi" w:hAnsi="Aptos" w:cstheme="minorBidi" w:hint="default"/>
      </w:rPr>
    </w:lvl>
    <w:lvl w:ilvl="3" w:tplc="6F44041C">
      <w:start w:val="3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4B079B"/>
    <w:multiLevelType w:val="hybridMultilevel"/>
    <w:tmpl w:val="E32214A2"/>
    <w:lvl w:ilvl="0" w:tplc="E4D08004">
      <w:start w:val="1"/>
      <w:numFmt w:val="decimal"/>
      <w:pStyle w:val="Heading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E23CC6"/>
    <w:multiLevelType w:val="hybridMultilevel"/>
    <w:tmpl w:val="6C0093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4" w15:restartNumberingAfterBreak="0">
    <w:nsid w:val="64CA6535"/>
    <w:multiLevelType w:val="hybridMultilevel"/>
    <w:tmpl w:val="19AADA3A"/>
    <w:lvl w:ilvl="0" w:tplc="6C28D25A">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D13F06"/>
    <w:multiLevelType w:val="hybridMultilevel"/>
    <w:tmpl w:val="0888A4CE"/>
    <w:lvl w:ilvl="0" w:tplc="0C09001B">
      <w:start w:val="1"/>
      <w:numFmt w:val="lowerRoman"/>
      <w:lvlText w:val="%1."/>
      <w:lvlJc w:val="righ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6" w15:restartNumberingAfterBreak="0">
    <w:nsid w:val="6FBB2DD3"/>
    <w:multiLevelType w:val="hybridMultilevel"/>
    <w:tmpl w:val="8C3C6ED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C35F3C"/>
    <w:multiLevelType w:val="hybridMultilevel"/>
    <w:tmpl w:val="7B7E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B35943"/>
    <w:multiLevelType w:val="hybridMultilevel"/>
    <w:tmpl w:val="485E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211CA4"/>
    <w:multiLevelType w:val="hybridMultilevel"/>
    <w:tmpl w:val="7CBEE742"/>
    <w:lvl w:ilvl="0" w:tplc="8E2CC5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880364">
    <w:abstractNumId w:val="22"/>
  </w:num>
  <w:num w:numId="2" w16cid:durableId="802230134">
    <w:abstractNumId w:val="13"/>
  </w:num>
  <w:num w:numId="3" w16cid:durableId="1596552429">
    <w:abstractNumId w:val="28"/>
  </w:num>
  <w:num w:numId="4" w16cid:durableId="1730877453">
    <w:abstractNumId w:val="1"/>
  </w:num>
  <w:num w:numId="5" w16cid:durableId="1690527451">
    <w:abstractNumId w:val="12"/>
  </w:num>
  <w:num w:numId="6" w16cid:durableId="1539389158">
    <w:abstractNumId w:val="2"/>
  </w:num>
  <w:num w:numId="7" w16cid:durableId="1951474380">
    <w:abstractNumId w:val="5"/>
  </w:num>
  <w:num w:numId="8" w16cid:durableId="1821261879">
    <w:abstractNumId w:val="8"/>
  </w:num>
  <w:num w:numId="9" w16cid:durableId="532883118">
    <w:abstractNumId w:val="4"/>
  </w:num>
  <w:num w:numId="10" w16cid:durableId="265503605">
    <w:abstractNumId w:val="9"/>
  </w:num>
  <w:num w:numId="11" w16cid:durableId="1461875686">
    <w:abstractNumId w:val="16"/>
  </w:num>
  <w:num w:numId="12" w16cid:durableId="52853690">
    <w:abstractNumId w:val="25"/>
  </w:num>
  <w:num w:numId="13" w16cid:durableId="1111169124">
    <w:abstractNumId w:val="6"/>
  </w:num>
  <w:num w:numId="14" w16cid:durableId="1543399143">
    <w:abstractNumId w:val="27"/>
  </w:num>
  <w:num w:numId="15" w16cid:durableId="1404795243">
    <w:abstractNumId w:val="19"/>
  </w:num>
  <w:num w:numId="16" w16cid:durableId="420641671">
    <w:abstractNumId w:val="17"/>
  </w:num>
  <w:num w:numId="17" w16cid:durableId="1227691746">
    <w:abstractNumId w:val="9"/>
  </w:num>
  <w:num w:numId="18" w16cid:durableId="2072194959">
    <w:abstractNumId w:val="11"/>
  </w:num>
  <w:num w:numId="19" w16cid:durableId="861895556">
    <w:abstractNumId w:val="29"/>
  </w:num>
  <w:num w:numId="20" w16cid:durableId="1846746554">
    <w:abstractNumId w:val="0"/>
  </w:num>
  <w:num w:numId="21" w16cid:durableId="664164776">
    <w:abstractNumId w:val="22"/>
  </w:num>
  <w:num w:numId="22" w16cid:durableId="2050758894">
    <w:abstractNumId w:val="22"/>
  </w:num>
  <w:num w:numId="23" w16cid:durableId="679351304">
    <w:abstractNumId w:val="22"/>
  </w:num>
  <w:num w:numId="24" w16cid:durableId="838933785">
    <w:abstractNumId w:val="22"/>
  </w:num>
  <w:num w:numId="25" w16cid:durableId="192159749">
    <w:abstractNumId w:val="7"/>
  </w:num>
  <w:num w:numId="26" w16cid:durableId="1184826382">
    <w:abstractNumId w:val="20"/>
  </w:num>
  <w:num w:numId="27" w16cid:durableId="727193930">
    <w:abstractNumId w:val="26"/>
  </w:num>
  <w:num w:numId="28" w16cid:durableId="570313671">
    <w:abstractNumId w:val="18"/>
  </w:num>
  <w:num w:numId="29" w16cid:durableId="1302075592">
    <w:abstractNumId w:val="10"/>
  </w:num>
  <w:num w:numId="30" w16cid:durableId="1749883494">
    <w:abstractNumId w:val="3"/>
  </w:num>
  <w:num w:numId="31" w16cid:durableId="1595046351">
    <w:abstractNumId w:val="14"/>
  </w:num>
  <w:num w:numId="32" w16cid:durableId="1103569224">
    <w:abstractNumId w:val="21"/>
  </w:num>
  <w:num w:numId="33" w16cid:durableId="1657102888">
    <w:abstractNumId w:val="23"/>
  </w:num>
  <w:num w:numId="34" w16cid:durableId="757558895">
    <w:abstractNumId w:val="24"/>
  </w:num>
  <w:num w:numId="35" w16cid:durableId="79247674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60"/>
    <w:rsid w:val="0000025B"/>
    <w:rsid w:val="00000C10"/>
    <w:rsid w:val="00001BC0"/>
    <w:rsid w:val="00001F7C"/>
    <w:rsid w:val="0000280E"/>
    <w:rsid w:val="0000297A"/>
    <w:rsid w:val="00002A0D"/>
    <w:rsid w:val="00003546"/>
    <w:rsid w:val="000036DF"/>
    <w:rsid w:val="0000397F"/>
    <w:rsid w:val="00004001"/>
    <w:rsid w:val="000040C1"/>
    <w:rsid w:val="00004743"/>
    <w:rsid w:val="00004B9E"/>
    <w:rsid w:val="00004C24"/>
    <w:rsid w:val="00005D56"/>
    <w:rsid w:val="000063E8"/>
    <w:rsid w:val="000065FC"/>
    <w:rsid w:val="00006617"/>
    <w:rsid w:val="00006802"/>
    <w:rsid w:val="00006A6A"/>
    <w:rsid w:val="000119D4"/>
    <w:rsid w:val="00011BDD"/>
    <w:rsid w:val="00011D54"/>
    <w:rsid w:val="00011E59"/>
    <w:rsid w:val="00012227"/>
    <w:rsid w:val="00012913"/>
    <w:rsid w:val="00012ED3"/>
    <w:rsid w:val="000131C6"/>
    <w:rsid w:val="000136DB"/>
    <w:rsid w:val="00013B93"/>
    <w:rsid w:val="00013BA3"/>
    <w:rsid w:val="00013BD1"/>
    <w:rsid w:val="00013ED2"/>
    <w:rsid w:val="00013FD0"/>
    <w:rsid w:val="00016304"/>
    <w:rsid w:val="0002157B"/>
    <w:rsid w:val="00021FEB"/>
    <w:rsid w:val="000226CF"/>
    <w:rsid w:val="00022B2D"/>
    <w:rsid w:val="000239F7"/>
    <w:rsid w:val="00023DBA"/>
    <w:rsid w:val="0002492D"/>
    <w:rsid w:val="000260C7"/>
    <w:rsid w:val="00026B7B"/>
    <w:rsid w:val="00030623"/>
    <w:rsid w:val="0003175D"/>
    <w:rsid w:val="000320F9"/>
    <w:rsid w:val="00032470"/>
    <w:rsid w:val="00032A02"/>
    <w:rsid w:val="00032EB9"/>
    <w:rsid w:val="00032FF2"/>
    <w:rsid w:val="00033632"/>
    <w:rsid w:val="00035E6E"/>
    <w:rsid w:val="000360AA"/>
    <w:rsid w:val="0003610C"/>
    <w:rsid w:val="0003627D"/>
    <w:rsid w:val="000371DA"/>
    <w:rsid w:val="00037306"/>
    <w:rsid w:val="00037F5B"/>
    <w:rsid w:val="000402F3"/>
    <w:rsid w:val="00040964"/>
    <w:rsid w:val="00040B57"/>
    <w:rsid w:val="0004186C"/>
    <w:rsid w:val="000419E3"/>
    <w:rsid w:val="000423E1"/>
    <w:rsid w:val="00042B4C"/>
    <w:rsid w:val="00043B23"/>
    <w:rsid w:val="00044182"/>
    <w:rsid w:val="00045397"/>
    <w:rsid w:val="00045497"/>
    <w:rsid w:val="000461B6"/>
    <w:rsid w:val="000461B7"/>
    <w:rsid w:val="00046A84"/>
    <w:rsid w:val="0004777D"/>
    <w:rsid w:val="00047F43"/>
    <w:rsid w:val="00050B18"/>
    <w:rsid w:val="00051B6D"/>
    <w:rsid w:val="000524D6"/>
    <w:rsid w:val="0005257B"/>
    <w:rsid w:val="0005342F"/>
    <w:rsid w:val="000539A8"/>
    <w:rsid w:val="00060009"/>
    <w:rsid w:val="000606F1"/>
    <w:rsid w:val="00060A71"/>
    <w:rsid w:val="00061B20"/>
    <w:rsid w:val="00061B9C"/>
    <w:rsid w:val="0006312A"/>
    <w:rsid w:val="000635C0"/>
    <w:rsid w:val="00063D85"/>
    <w:rsid w:val="000640E8"/>
    <w:rsid w:val="000642BE"/>
    <w:rsid w:val="00064C51"/>
    <w:rsid w:val="0006501D"/>
    <w:rsid w:val="00065345"/>
    <w:rsid w:val="00065B91"/>
    <w:rsid w:val="000673D3"/>
    <w:rsid w:val="00067595"/>
    <w:rsid w:val="00070300"/>
    <w:rsid w:val="0007052E"/>
    <w:rsid w:val="00071121"/>
    <w:rsid w:val="00073D6C"/>
    <w:rsid w:val="00074275"/>
    <w:rsid w:val="00074E2A"/>
    <w:rsid w:val="00074F2F"/>
    <w:rsid w:val="00074F80"/>
    <w:rsid w:val="00075069"/>
    <w:rsid w:val="0007561C"/>
    <w:rsid w:val="00076688"/>
    <w:rsid w:val="00077634"/>
    <w:rsid w:val="00077719"/>
    <w:rsid w:val="00077F51"/>
    <w:rsid w:val="00080861"/>
    <w:rsid w:val="00080FBF"/>
    <w:rsid w:val="00081105"/>
    <w:rsid w:val="00081407"/>
    <w:rsid w:val="00081965"/>
    <w:rsid w:val="000834A8"/>
    <w:rsid w:val="00084316"/>
    <w:rsid w:val="000852CA"/>
    <w:rsid w:val="000857A5"/>
    <w:rsid w:val="0008656B"/>
    <w:rsid w:val="000866CB"/>
    <w:rsid w:val="00086BBA"/>
    <w:rsid w:val="00087164"/>
    <w:rsid w:val="00087F7F"/>
    <w:rsid w:val="00090B0D"/>
    <w:rsid w:val="00091789"/>
    <w:rsid w:val="00091DF6"/>
    <w:rsid w:val="00091F12"/>
    <w:rsid w:val="00093142"/>
    <w:rsid w:val="000938F7"/>
    <w:rsid w:val="00093948"/>
    <w:rsid w:val="00093B45"/>
    <w:rsid w:val="00093B5A"/>
    <w:rsid w:val="00093B85"/>
    <w:rsid w:val="000943BB"/>
    <w:rsid w:val="00094B20"/>
    <w:rsid w:val="000972FE"/>
    <w:rsid w:val="00097C7A"/>
    <w:rsid w:val="000A0FE0"/>
    <w:rsid w:val="000A193B"/>
    <w:rsid w:val="000A1B3E"/>
    <w:rsid w:val="000A40E9"/>
    <w:rsid w:val="000A4469"/>
    <w:rsid w:val="000A4B22"/>
    <w:rsid w:val="000A4FB3"/>
    <w:rsid w:val="000A56D7"/>
    <w:rsid w:val="000A594C"/>
    <w:rsid w:val="000A5BAD"/>
    <w:rsid w:val="000A5C93"/>
    <w:rsid w:val="000A6748"/>
    <w:rsid w:val="000B1A47"/>
    <w:rsid w:val="000B1F6D"/>
    <w:rsid w:val="000B2F3C"/>
    <w:rsid w:val="000B3326"/>
    <w:rsid w:val="000B3E30"/>
    <w:rsid w:val="000B567F"/>
    <w:rsid w:val="000B5C78"/>
    <w:rsid w:val="000B60B8"/>
    <w:rsid w:val="000B73D3"/>
    <w:rsid w:val="000C119D"/>
    <w:rsid w:val="000C130F"/>
    <w:rsid w:val="000C1396"/>
    <w:rsid w:val="000C1575"/>
    <w:rsid w:val="000C22E5"/>
    <w:rsid w:val="000C30C8"/>
    <w:rsid w:val="000C3B5F"/>
    <w:rsid w:val="000C4753"/>
    <w:rsid w:val="000C4ECF"/>
    <w:rsid w:val="000C5C05"/>
    <w:rsid w:val="000C6814"/>
    <w:rsid w:val="000C68AE"/>
    <w:rsid w:val="000D0186"/>
    <w:rsid w:val="000D0FB8"/>
    <w:rsid w:val="000D1E84"/>
    <w:rsid w:val="000D2B4E"/>
    <w:rsid w:val="000D3081"/>
    <w:rsid w:val="000D395F"/>
    <w:rsid w:val="000D3EBA"/>
    <w:rsid w:val="000D4404"/>
    <w:rsid w:val="000D4651"/>
    <w:rsid w:val="000D4B08"/>
    <w:rsid w:val="000D5F2E"/>
    <w:rsid w:val="000D6E5C"/>
    <w:rsid w:val="000D7CE6"/>
    <w:rsid w:val="000E0806"/>
    <w:rsid w:val="000E0C4C"/>
    <w:rsid w:val="000E114A"/>
    <w:rsid w:val="000E26B2"/>
    <w:rsid w:val="000E27CC"/>
    <w:rsid w:val="000E2D27"/>
    <w:rsid w:val="000E32B0"/>
    <w:rsid w:val="000E33C8"/>
    <w:rsid w:val="000E3644"/>
    <w:rsid w:val="000E5065"/>
    <w:rsid w:val="000E6993"/>
    <w:rsid w:val="000E6A3D"/>
    <w:rsid w:val="000E6B69"/>
    <w:rsid w:val="000E6D8A"/>
    <w:rsid w:val="000E6E28"/>
    <w:rsid w:val="000E721A"/>
    <w:rsid w:val="000E74FD"/>
    <w:rsid w:val="000F0741"/>
    <w:rsid w:val="000F1619"/>
    <w:rsid w:val="000F248B"/>
    <w:rsid w:val="000F4A43"/>
    <w:rsid w:val="000F513C"/>
    <w:rsid w:val="000F5367"/>
    <w:rsid w:val="000F5E43"/>
    <w:rsid w:val="000F65D4"/>
    <w:rsid w:val="000F66AF"/>
    <w:rsid w:val="000F6B02"/>
    <w:rsid w:val="000F6BD9"/>
    <w:rsid w:val="000F7BE3"/>
    <w:rsid w:val="000F7DA3"/>
    <w:rsid w:val="0010021B"/>
    <w:rsid w:val="0010086D"/>
    <w:rsid w:val="00100DB1"/>
    <w:rsid w:val="00100F61"/>
    <w:rsid w:val="00101222"/>
    <w:rsid w:val="0010146E"/>
    <w:rsid w:val="00101BE4"/>
    <w:rsid w:val="00103C34"/>
    <w:rsid w:val="00104C93"/>
    <w:rsid w:val="00105526"/>
    <w:rsid w:val="001062B2"/>
    <w:rsid w:val="001062CB"/>
    <w:rsid w:val="0010637F"/>
    <w:rsid w:val="00106F6C"/>
    <w:rsid w:val="00107066"/>
    <w:rsid w:val="001073F5"/>
    <w:rsid w:val="001077FD"/>
    <w:rsid w:val="0010794E"/>
    <w:rsid w:val="00107B57"/>
    <w:rsid w:val="00107BA3"/>
    <w:rsid w:val="00107E40"/>
    <w:rsid w:val="001127B2"/>
    <w:rsid w:val="00112F61"/>
    <w:rsid w:val="0011384B"/>
    <w:rsid w:val="00113AAF"/>
    <w:rsid w:val="00114085"/>
    <w:rsid w:val="00114088"/>
    <w:rsid w:val="001140D7"/>
    <w:rsid w:val="00114F4C"/>
    <w:rsid w:val="001153CB"/>
    <w:rsid w:val="00115E7E"/>
    <w:rsid w:val="00117507"/>
    <w:rsid w:val="00121313"/>
    <w:rsid w:val="00123335"/>
    <w:rsid w:val="001239F0"/>
    <w:rsid w:val="00124970"/>
    <w:rsid w:val="001249E6"/>
    <w:rsid w:val="00124AA5"/>
    <w:rsid w:val="001253B9"/>
    <w:rsid w:val="001270D6"/>
    <w:rsid w:val="00130258"/>
    <w:rsid w:val="00130369"/>
    <w:rsid w:val="0013073A"/>
    <w:rsid w:val="00131573"/>
    <w:rsid w:val="00131BBE"/>
    <w:rsid w:val="00133BDB"/>
    <w:rsid w:val="00133EED"/>
    <w:rsid w:val="00134A46"/>
    <w:rsid w:val="00135B1D"/>
    <w:rsid w:val="00135DC1"/>
    <w:rsid w:val="00136A02"/>
    <w:rsid w:val="00137F96"/>
    <w:rsid w:val="0014006C"/>
    <w:rsid w:val="00140114"/>
    <w:rsid w:val="0014022C"/>
    <w:rsid w:val="001410A4"/>
    <w:rsid w:val="00141468"/>
    <w:rsid w:val="001415ED"/>
    <w:rsid w:val="001429E0"/>
    <w:rsid w:val="001431F9"/>
    <w:rsid w:val="00144216"/>
    <w:rsid w:val="001445E8"/>
    <w:rsid w:val="00146E12"/>
    <w:rsid w:val="00147BB7"/>
    <w:rsid w:val="00147D63"/>
    <w:rsid w:val="001502C1"/>
    <w:rsid w:val="00150F79"/>
    <w:rsid w:val="00151550"/>
    <w:rsid w:val="0015175E"/>
    <w:rsid w:val="00154562"/>
    <w:rsid w:val="00154842"/>
    <w:rsid w:val="00154BBC"/>
    <w:rsid w:val="00155D5A"/>
    <w:rsid w:val="00157BBD"/>
    <w:rsid w:val="00160434"/>
    <w:rsid w:val="00160E20"/>
    <w:rsid w:val="00161ABE"/>
    <w:rsid w:val="00162450"/>
    <w:rsid w:val="001627F7"/>
    <w:rsid w:val="00163064"/>
    <w:rsid w:val="00163896"/>
    <w:rsid w:val="00163D90"/>
    <w:rsid w:val="00164374"/>
    <w:rsid w:val="001649A3"/>
    <w:rsid w:val="001658E2"/>
    <w:rsid w:val="00165D23"/>
    <w:rsid w:val="00165D74"/>
    <w:rsid w:val="001661BF"/>
    <w:rsid w:val="00166C9F"/>
    <w:rsid w:val="0016720C"/>
    <w:rsid w:val="00170504"/>
    <w:rsid w:val="00170DE8"/>
    <w:rsid w:val="001724C3"/>
    <w:rsid w:val="00172F0F"/>
    <w:rsid w:val="00173E5E"/>
    <w:rsid w:val="0017401B"/>
    <w:rsid w:val="00174D67"/>
    <w:rsid w:val="00176343"/>
    <w:rsid w:val="00176483"/>
    <w:rsid w:val="001766AB"/>
    <w:rsid w:val="00176B6C"/>
    <w:rsid w:val="00176EAC"/>
    <w:rsid w:val="00177C37"/>
    <w:rsid w:val="00177DAC"/>
    <w:rsid w:val="00180685"/>
    <w:rsid w:val="00180866"/>
    <w:rsid w:val="00180AF9"/>
    <w:rsid w:val="00181475"/>
    <w:rsid w:val="0018194B"/>
    <w:rsid w:val="00181CE2"/>
    <w:rsid w:val="00182DF9"/>
    <w:rsid w:val="0018346E"/>
    <w:rsid w:val="001835C8"/>
    <w:rsid w:val="00183C45"/>
    <w:rsid w:val="00184344"/>
    <w:rsid w:val="00185B8A"/>
    <w:rsid w:val="00186DF3"/>
    <w:rsid w:val="0019054D"/>
    <w:rsid w:val="001909F4"/>
    <w:rsid w:val="00190C2A"/>
    <w:rsid w:val="00190F78"/>
    <w:rsid w:val="00191294"/>
    <w:rsid w:val="001912A9"/>
    <w:rsid w:val="00191418"/>
    <w:rsid w:val="00191D9B"/>
    <w:rsid w:val="00191E7E"/>
    <w:rsid w:val="001944D0"/>
    <w:rsid w:val="00195157"/>
    <w:rsid w:val="001958ED"/>
    <w:rsid w:val="00196A8B"/>
    <w:rsid w:val="00197473"/>
    <w:rsid w:val="001A0687"/>
    <w:rsid w:val="001A0A40"/>
    <w:rsid w:val="001A1450"/>
    <w:rsid w:val="001A3FE4"/>
    <w:rsid w:val="001A451C"/>
    <w:rsid w:val="001A4BFB"/>
    <w:rsid w:val="001A5211"/>
    <w:rsid w:val="001A53CC"/>
    <w:rsid w:val="001A5534"/>
    <w:rsid w:val="001A5E77"/>
    <w:rsid w:val="001A6777"/>
    <w:rsid w:val="001A6A58"/>
    <w:rsid w:val="001A701B"/>
    <w:rsid w:val="001A79B1"/>
    <w:rsid w:val="001B00D9"/>
    <w:rsid w:val="001B05C6"/>
    <w:rsid w:val="001B0A01"/>
    <w:rsid w:val="001B0B14"/>
    <w:rsid w:val="001B1DB8"/>
    <w:rsid w:val="001B1F40"/>
    <w:rsid w:val="001B23DF"/>
    <w:rsid w:val="001B32C3"/>
    <w:rsid w:val="001B42D2"/>
    <w:rsid w:val="001B43FF"/>
    <w:rsid w:val="001B4609"/>
    <w:rsid w:val="001B4C45"/>
    <w:rsid w:val="001B4DA5"/>
    <w:rsid w:val="001B508D"/>
    <w:rsid w:val="001B539A"/>
    <w:rsid w:val="001B5BFD"/>
    <w:rsid w:val="001B6236"/>
    <w:rsid w:val="001B62EC"/>
    <w:rsid w:val="001B64B5"/>
    <w:rsid w:val="001B725E"/>
    <w:rsid w:val="001B7980"/>
    <w:rsid w:val="001C10CC"/>
    <w:rsid w:val="001C17DE"/>
    <w:rsid w:val="001C1976"/>
    <w:rsid w:val="001C1D41"/>
    <w:rsid w:val="001C2AEA"/>
    <w:rsid w:val="001C3240"/>
    <w:rsid w:val="001C418C"/>
    <w:rsid w:val="001C57B7"/>
    <w:rsid w:val="001C5D63"/>
    <w:rsid w:val="001C6279"/>
    <w:rsid w:val="001C6A21"/>
    <w:rsid w:val="001C7046"/>
    <w:rsid w:val="001C70AB"/>
    <w:rsid w:val="001D0B41"/>
    <w:rsid w:val="001D0F60"/>
    <w:rsid w:val="001D176E"/>
    <w:rsid w:val="001D1959"/>
    <w:rsid w:val="001D1D98"/>
    <w:rsid w:val="001D2AF9"/>
    <w:rsid w:val="001D2E16"/>
    <w:rsid w:val="001D31AE"/>
    <w:rsid w:val="001D3C8B"/>
    <w:rsid w:val="001D5F7A"/>
    <w:rsid w:val="001D69DA"/>
    <w:rsid w:val="001D6A92"/>
    <w:rsid w:val="001E0B81"/>
    <w:rsid w:val="001E346C"/>
    <w:rsid w:val="001E3B94"/>
    <w:rsid w:val="001E4323"/>
    <w:rsid w:val="001E5146"/>
    <w:rsid w:val="001E643A"/>
    <w:rsid w:val="001E6641"/>
    <w:rsid w:val="001E708E"/>
    <w:rsid w:val="001E7467"/>
    <w:rsid w:val="001E78B3"/>
    <w:rsid w:val="001E794D"/>
    <w:rsid w:val="001F021D"/>
    <w:rsid w:val="001F0B29"/>
    <w:rsid w:val="001F0ED8"/>
    <w:rsid w:val="001F1190"/>
    <w:rsid w:val="001F1244"/>
    <w:rsid w:val="001F1F7A"/>
    <w:rsid w:val="001F3EF1"/>
    <w:rsid w:val="001F68EC"/>
    <w:rsid w:val="001F6D2C"/>
    <w:rsid w:val="002004FF"/>
    <w:rsid w:val="002005CC"/>
    <w:rsid w:val="00200C9C"/>
    <w:rsid w:val="002013AC"/>
    <w:rsid w:val="0020303A"/>
    <w:rsid w:val="002030AA"/>
    <w:rsid w:val="002036E8"/>
    <w:rsid w:val="00203CF3"/>
    <w:rsid w:val="00204387"/>
    <w:rsid w:val="00204799"/>
    <w:rsid w:val="00204AD9"/>
    <w:rsid w:val="00205AE4"/>
    <w:rsid w:val="002062EE"/>
    <w:rsid w:val="002068BA"/>
    <w:rsid w:val="002104C0"/>
    <w:rsid w:val="00211681"/>
    <w:rsid w:val="0021173E"/>
    <w:rsid w:val="002118A6"/>
    <w:rsid w:val="00211B57"/>
    <w:rsid w:val="00211B73"/>
    <w:rsid w:val="00211EAF"/>
    <w:rsid w:val="0021201B"/>
    <w:rsid w:val="0021284C"/>
    <w:rsid w:val="00212E7B"/>
    <w:rsid w:val="00214871"/>
    <w:rsid w:val="00214CC2"/>
    <w:rsid w:val="00214ECB"/>
    <w:rsid w:val="0021517D"/>
    <w:rsid w:val="002154E1"/>
    <w:rsid w:val="00215D45"/>
    <w:rsid w:val="00215F63"/>
    <w:rsid w:val="0021733D"/>
    <w:rsid w:val="00217A96"/>
    <w:rsid w:val="00221527"/>
    <w:rsid w:val="002219B7"/>
    <w:rsid w:val="00221D65"/>
    <w:rsid w:val="00222696"/>
    <w:rsid w:val="00222B0B"/>
    <w:rsid w:val="00222CC0"/>
    <w:rsid w:val="0022382D"/>
    <w:rsid w:val="0022508E"/>
    <w:rsid w:val="0022571C"/>
    <w:rsid w:val="00225F45"/>
    <w:rsid w:val="002261FA"/>
    <w:rsid w:val="002268C5"/>
    <w:rsid w:val="00227817"/>
    <w:rsid w:val="00227ACE"/>
    <w:rsid w:val="00230123"/>
    <w:rsid w:val="0023030F"/>
    <w:rsid w:val="002303CE"/>
    <w:rsid w:val="002305F5"/>
    <w:rsid w:val="00230E26"/>
    <w:rsid w:val="002317B1"/>
    <w:rsid w:val="002320CA"/>
    <w:rsid w:val="002333AF"/>
    <w:rsid w:val="00233A17"/>
    <w:rsid w:val="002341E7"/>
    <w:rsid w:val="0023436F"/>
    <w:rsid w:val="00234B12"/>
    <w:rsid w:val="00235695"/>
    <w:rsid w:val="0023572E"/>
    <w:rsid w:val="00236195"/>
    <w:rsid w:val="00236804"/>
    <w:rsid w:val="00236CA6"/>
    <w:rsid w:val="00236D42"/>
    <w:rsid w:val="002379C8"/>
    <w:rsid w:val="00241246"/>
    <w:rsid w:val="00242FA0"/>
    <w:rsid w:val="00243529"/>
    <w:rsid w:val="002438A1"/>
    <w:rsid w:val="00243C12"/>
    <w:rsid w:val="00244768"/>
    <w:rsid w:val="00244BC2"/>
    <w:rsid w:val="00246120"/>
    <w:rsid w:val="00246388"/>
    <w:rsid w:val="00246DC9"/>
    <w:rsid w:val="00246ED7"/>
    <w:rsid w:val="00247A79"/>
    <w:rsid w:val="00250002"/>
    <w:rsid w:val="0025313F"/>
    <w:rsid w:val="00253D8C"/>
    <w:rsid w:val="00254579"/>
    <w:rsid w:val="00255653"/>
    <w:rsid w:val="002570C3"/>
    <w:rsid w:val="00257B02"/>
    <w:rsid w:val="00260CB1"/>
    <w:rsid w:val="0026232B"/>
    <w:rsid w:val="00262785"/>
    <w:rsid w:val="00262A5E"/>
    <w:rsid w:val="00262E85"/>
    <w:rsid w:val="002630B4"/>
    <w:rsid w:val="002634E0"/>
    <w:rsid w:val="00263792"/>
    <w:rsid w:val="00263B97"/>
    <w:rsid w:val="00263C93"/>
    <w:rsid w:val="00263CC6"/>
    <w:rsid w:val="00264857"/>
    <w:rsid w:val="00264A21"/>
    <w:rsid w:val="0026549F"/>
    <w:rsid w:val="0026567F"/>
    <w:rsid w:val="00265E24"/>
    <w:rsid w:val="00266A37"/>
    <w:rsid w:val="00266EFF"/>
    <w:rsid w:val="002670AC"/>
    <w:rsid w:val="00267244"/>
    <w:rsid w:val="00267A3D"/>
    <w:rsid w:val="00267D22"/>
    <w:rsid w:val="00272519"/>
    <w:rsid w:val="00272C53"/>
    <w:rsid w:val="0027470A"/>
    <w:rsid w:val="00274E8E"/>
    <w:rsid w:val="00275EC3"/>
    <w:rsid w:val="00277227"/>
    <w:rsid w:val="0028082A"/>
    <w:rsid w:val="00280C03"/>
    <w:rsid w:val="00280F46"/>
    <w:rsid w:val="0028158C"/>
    <w:rsid w:val="0028248B"/>
    <w:rsid w:val="00282F92"/>
    <w:rsid w:val="0028306E"/>
    <w:rsid w:val="00284DA4"/>
    <w:rsid w:val="00284FFF"/>
    <w:rsid w:val="00285118"/>
    <w:rsid w:val="0028638A"/>
    <w:rsid w:val="00286A44"/>
    <w:rsid w:val="00290273"/>
    <w:rsid w:val="00290339"/>
    <w:rsid w:val="002916A4"/>
    <w:rsid w:val="002923D0"/>
    <w:rsid w:val="00292A54"/>
    <w:rsid w:val="002942F2"/>
    <w:rsid w:val="002946D5"/>
    <w:rsid w:val="002949C8"/>
    <w:rsid w:val="00294B42"/>
    <w:rsid w:val="00295AC9"/>
    <w:rsid w:val="00297210"/>
    <w:rsid w:val="002A03D3"/>
    <w:rsid w:val="002A0742"/>
    <w:rsid w:val="002A0CAC"/>
    <w:rsid w:val="002A1EA8"/>
    <w:rsid w:val="002A21E9"/>
    <w:rsid w:val="002A2A8A"/>
    <w:rsid w:val="002A322A"/>
    <w:rsid w:val="002A362B"/>
    <w:rsid w:val="002A3C4B"/>
    <w:rsid w:val="002A3FEC"/>
    <w:rsid w:val="002A5D25"/>
    <w:rsid w:val="002A5E37"/>
    <w:rsid w:val="002A60FB"/>
    <w:rsid w:val="002A6487"/>
    <w:rsid w:val="002A7885"/>
    <w:rsid w:val="002B014C"/>
    <w:rsid w:val="002B1016"/>
    <w:rsid w:val="002B1A0F"/>
    <w:rsid w:val="002B26B2"/>
    <w:rsid w:val="002B3140"/>
    <w:rsid w:val="002B3F90"/>
    <w:rsid w:val="002B45FE"/>
    <w:rsid w:val="002B4C84"/>
    <w:rsid w:val="002B4DD3"/>
    <w:rsid w:val="002B56DE"/>
    <w:rsid w:val="002B63F3"/>
    <w:rsid w:val="002B6647"/>
    <w:rsid w:val="002B73EE"/>
    <w:rsid w:val="002C00ED"/>
    <w:rsid w:val="002C0813"/>
    <w:rsid w:val="002C084D"/>
    <w:rsid w:val="002C0BF7"/>
    <w:rsid w:val="002C305A"/>
    <w:rsid w:val="002C3637"/>
    <w:rsid w:val="002C42FB"/>
    <w:rsid w:val="002C474F"/>
    <w:rsid w:val="002C4760"/>
    <w:rsid w:val="002C5DE5"/>
    <w:rsid w:val="002C62EA"/>
    <w:rsid w:val="002C7EA9"/>
    <w:rsid w:val="002D00E5"/>
    <w:rsid w:val="002D058D"/>
    <w:rsid w:val="002D10EC"/>
    <w:rsid w:val="002D1223"/>
    <w:rsid w:val="002D214C"/>
    <w:rsid w:val="002D2A6C"/>
    <w:rsid w:val="002D41A7"/>
    <w:rsid w:val="002D5C1B"/>
    <w:rsid w:val="002D7121"/>
    <w:rsid w:val="002D75BB"/>
    <w:rsid w:val="002E11E6"/>
    <w:rsid w:val="002E1E26"/>
    <w:rsid w:val="002E2FB8"/>
    <w:rsid w:val="002E4934"/>
    <w:rsid w:val="002E5AC2"/>
    <w:rsid w:val="002E5BA6"/>
    <w:rsid w:val="002E6518"/>
    <w:rsid w:val="002F0B72"/>
    <w:rsid w:val="002F15E3"/>
    <w:rsid w:val="002F31CC"/>
    <w:rsid w:val="002F3F28"/>
    <w:rsid w:val="002F5086"/>
    <w:rsid w:val="002F531F"/>
    <w:rsid w:val="002F53C1"/>
    <w:rsid w:val="002F5CD2"/>
    <w:rsid w:val="002F5DBD"/>
    <w:rsid w:val="002F61EE"/>
    <w:rsid w:val="002F65BE"/>
    <w:rsid w:val="002F68D8"/>
    <w:rsid w:val="002F6B3E"/>
    <w:rsid w:val="002F7EB1"/>
    <w:rsid w:val="003000E4"/>
    <w:rsid w:val="00300C1F"/>
    <w:rsid w:val="003011E6"/>
    <w:rsid w:val="00301B2F"/>
    <w:rsid w:val="00304F42"/>
    <w:rsid w:val="00305773"/>
    <w:rsid w:val="00305BD0"/>
    <w:rsid w:val="00305FBC"/>
    <w:rsid w:val="0030621A"/>
    <w:rsid w:val="003066DB"/>
    <w:rsid w:val="00306DC8"/>
    <w:rsid w:val="00310537"/>
    <w:rsid w:val="0031099E"/>
    <w:rsid w:val="00310A61"/>
    <w:rsid w:val="003114A9"/>
    <w:rsid w:val="003114B8"/>
    <w:rsid w:val="00313C90"/>
    <w:rsid w:val="00314B21"/>
    <w:rsid w:val="0031723D"/>
    <w:rsid w:val="00317957"/>
    <w:rsid w:val="00317FAB"/>
    <w:rsid w:val="00320545"/>
    <w:rsid w:val="00320C30"/>
    <w:rsid w:val="00321BC1"/>
    <w:rsid w:val="00321D9F"/>
    <w:rsid w:val="00322081"/>
    <w:rsid w:val="00322572"/>
    <w:rsid w:val="00322577"/>
    <w:rsid w:val="00322A61"/>
    <w:rsid w:val="00322CD8"/>
    <w:rsid w:val="00323073"/>
    <w:rsid w:val="003232EF"/>
    <w:rsid w:val="00323DC0"/>
    <w:rsid w:val="00324945"/>
    <w:rsid w:val="0032503E"/>
    <w:rsid w:val="003255E7"/>
    <w:rsid w:val="003262F1"/>
    <w:rsid w:val="00327B2D"/>
    <w:rsid w:val="00330ED2"/>
    <w:rsid w:val="0033153F"/>
    <w:rsid w:val="00332267"/>
    <w:rsid w:val="003328AE"/>
    <w:rsid w:val="003339FF"/>
    <w:rsid w:val="00334368"/>
    <w:rsid w:val="00334848"/>
    <w:rsid w:val="00334AAF"/>
    <w:rsid w:val="0033551E"/>
    <w:rsid w:val="003355BE"/>
    <w:rsid w:val="00335BFD"/>
    <w:rsid w:val="0033654F"/>
    <w:rsid w:val="00336B48"/>
    <w:rsid w:val="00337382"/>
    <w:rsid w:val="00337EFB"/>
    <w:rsid w:val="00340DBC"/>
    <w:rsid w:val="00341304"/>
    <w:rsid w:val="003413D3"/>
    <w:rsid w:val="00342831"/>
    <w:rsid w:val="0034287D"/>
    <w:rsid w:val="00343F64"/>
    <w:rsid w:val="00344024"/>
    <w:rsid w:val="0034442A"/>
    <w:rsid w:val="0034488F"/>
    <w:rsid w:val="00344A7F"/>
    <w:rsid w:val="00344ADC"/>
    <w:rsid w:val="00346EAF"/>
    <w:rsid w:val="00347669"/>
    <w:rsid w:val="00347CE6"/>
    <w:rsid w:val="0035049D"/>
    <w:rsid w:val="00350AF1"/>
    <w:rsid w:val="00350C12"/>
    <w:rsid w:val="00352FBE"/>
    <w:rsid w:val="0035310F"/>
    <w:rsid w:val="00353642"/>
    <w:rsid w:val="00353902"/>
    <w:rsid w:val="0035412C"/>
    <w:rsid w:val="003547B8"/>
    <w:rsid w:val="00354F2F"/>
    <w:rsid w:val="003564BF"/>
    <w:rsid w:val="00357954"/>
    <w:rsid w:val="0036151F"/>
    <w:rsid w:val="00362AA5"/>
    <w:rsid w:val="0036325A"/>
    <w:rsid w:val="00363B5F"/>
    <w:rsid w:val="00365600"/>
    <w:rsid w:val="0036595C"/>
    <w:rsid w:val="0036609A"/>
    <w:rsid w:val="00367788"/>
    <w:rsid w:val="00370B96"/>
    <w:rsid w:val="00371FB0"/>
    <w:rsid w:val="00372819"/>
    <w:rsid w:val="00373832"/>
    <w:rsid w:val="003751E6"/>
    <w:rsid w:val="00375325"/>
    <w:rsid w:val="0037661C"/>
    <w:rsid w:val="00376F0F"/>
    <w:rsid w:val="0037709C"/>
    <w:rsid w:val="0037711A"/>
    <w:rsid w:val="00377E53"/>
    <w:rsid w:val="0038005C"/>
    <w:rsid w:val="003810F9"/>
    <w:rsid w:val="003815D0"/>
    <w:rsid w:val="00381DD7"/>
    <w:rsid w:val="0038240B"/>
    <w:rsid w:val="00383E57"/>
    <w:rsid w:val="00383FA6"/>
    <w:rsid w:val="003843CF"/>
    <w:rsid w:val="00384BE5"/>
    <w:rsid w:val="0038580F"/>
    <w:rsid w:val="00385DB5"/>
    <w:rsid w:val="00386E2C"/>
    <w:rsid w:val="00387A06"/>
    <w:rsid w:val="00387B45"/>
    <w:rsid w:val="00387EAE"/>
    <w:rsid w:val="00390746"/>
    <w:rsid w:val="00392E22"/>
    <w:rsid w:val="00393016"/>
    <w:rsid w:val="00394264"/>
    <w:rsid w:val="00395E8F"/>
    <w:rsid w:val="00397377"/>
    <w:rsid w:val="00397583"/>
    <w:rsid w:val="00397C02"/>
    <w:rsid w:val="00397E6D"/>
    <w:rsid w:val="003A0352"/>
    <w:rsid w:val="003A04ED"/>
    <w:rsid w:val="003A102A"/>
    <w:rsid w:val="003A15C3"/>
    <w:rsid w:val="003A2870"/>
    <w:rsid w:val="003A2B7D"/>
    <w:rsid w:val="003A3900"/>
    <w:rsid w:val="003A51D6"/>
    <w:rsid w:val="003A6029"/>
    <w:rsid w:val="003A6A0E"/>
    <w:rsid w:val="003A7007"/>
    <w:rsid w:val="003A7690"/>
    <w:rsid w:val="003A7C21"/>
    <w:rsid w:val="003A7C4F"/>
    <w:rsid w:val="003B0EC7"/>
    <w:rsid w:val="003B1652"/>
    <w:rsid w:val="003B17DB"/>
    <w:rsid w:val="003B214A"/>
    <w:rsid w:val="003B214F"/>
    <w:rsid w:val="003B26A7"/>
    <w:rsid w:val="003B303B"/>
    <w:rsid w:val="003B4952"/>
    <w:rsid w:val="003B4C2A"/>
    <w:rsid w:val="003B4D31"/>
    <w:rsid w:val="003B5694"/>
    <w:rsid w:val="003B65AC"/>
    <w:rsid w:val="003B6C23"/>
    <w:rsid w:val="003B6FE7"/>
    <w:rsid w:val="003B7B1A"/>
    <w:rsid w:val="003C06F3"/>
    <w:rsid w:val="003C2ED3"/>
    <w:rsid w:val="003C30EB"/>
    <w:rsid w:val="003C3FCC"/>
    <w:rsid w:val="003C46D8"/>
    <w:rsid w:val="003C508C"/>
    <w:rsid w:val="003C5AF0"/>
    <w:rsid w:val="003C6236"/>
    <w:rsid w:val="003C6330"/>
    <w:rsid w:val="003C64A8"/>
    <w:rsid w:val="003C6F70"/>
    <w:rsid w:val="003C7F3A"/>
    <w:rsid w:val="003D090F"/>
    <w:rsid w:val="003D2044"/>
    <w:rsid w:val="003D2C3F"/>
    <w:rsid w:val="003D35C7"/>
    <w:rsid w:val="003D4D19"/>
    <w:rsid w:val="003D57E4"/>
    <w:rsid w:val="003D5EF3"/>
    <w:rsid w:val="003D63FB"/>
    <w:rsid w:val="003D7177"/>
    <w:rsid w:val="003D77A5"/>
    <w:rsid w:val="003E1FDB"/>
    <w:rsid w:val="003E260B"/>
    <w:rsid w:val="003E32A3"/>
    <w:rsid w:val="003E439B"/>
    <w:rsid w:val="003E488C"/>
    <w:rsid w:val="003E6C99"/>
    <w:rsid w:val="003F01D1"/>
    <w:rsid w:val="003F03F6"/>
    <w:rsid w:val="003F0FFA"/>
    <w:rsid w:val="003F109C"/>
    <w:rsid w:val="003F207E"/>
    <w:rsid w:val="003F22DC"/>
    <w:rsid w:val="003F25A4"/>
    <w:rsid w:val="003F3F84"/>
    <w:rsid w:val="003F504F"/>
    <w:rsid w:val="003F5F80"/>
    <w:rsid w:val="00400AC0"/>
    <w:rsid w:val="004011E4"/>
    <w:rsid w:val="00401DFC"/>
    <w:rsid w:val="00402415"/>
    <w:rsid w:val="00403AA7"/>
    <w:rsid w:val="004045F5"/>
    <w:rsid w:val="004047EF"/>
    <w:rsid w:val="00406118"/>
    <w:rsid w:val="0041133A"/>
    <w:rsid w:val="004118A0"/>
    <w:rsid w:val="00411B0A"/>
    <w:rsid w:val="00411B90"/>
    <w:rsid w:val="004129C3"/>
    <w:rsid w:val="00413344"/>
    <w:rsid w:val="004138A5"/>
    <w:rsid w:val="004143C8"/>
    <w:rsid w:val="004147CF"/>
    <w:rsid w:val="00415590"/>
    <w:rsid w:val="00416235"/>
    <w:rsid w:val="004163D8"/>
    <w:rsid w:val="00417A90"/>
    <w:rsid w:val="004201DC"/>
    <w:rsid w:val="004201F5"/>
    <w:rsid w:val="0042032B"/>
    <w:rsid w:val="00420740"/>
    <w:rsid w:val="0042318F"/>
    <w:rsid w:val="00423E90"/>
    <w:rsid w:val="00424115"/>
    <w:rsid w:val="0042528F"/>
    <w:rsid w:val="004258EC"/>
    <w:rsid w:val="00427E60"/>
    <w:rsid w:val="004309F1"/>
    <w:rsid w:val="00432C66"/>
    <w:rsid w:val="00433D11"/>
    <w:rsid w:val="00434A3D"/>
    <w:rsid w:val="00434AEF"/>
    <w:rsid w:val="00436654"/>
    <w:rsid w:val="00436EF1"/>
    <w:rsid w:val="00437589"/>
    <w:rsid w:val="00437ED1"/>
    <w:rsid w:val="00440807"/>
    <w:rsid w:val="00441290"/>
    <w:rsid w:val="004412D6"/>
    <w:rsid w:val="00441844"/>
    <w:rsid w:val="00441CCD"/>
    <w:rsid w:val="00441D65"/>
    <w:rsid w:val="004421C8"/>
    <w:rsid w:val="00443F2B"/>
    <w:rsid w:val="004446AC"/>
    <w:rsid w:val="00445773"/>
    <w:rsid w:val="00445C08"/>
    <w:rsid w:val="004462D7"/>
    <w:rsid w:val="00446567"/>
    <w:rsid w:val="00446870"/>
    <w:rsid w:val="00447203"/>
    <w:rsid w:val="0045020D"/>
    <w:rsid w:val="00450360"/>
    <w:rsid w:val="00450474"/>
    <w:rsid w:val="00450EE6"/>
    <w:rsid w:val="00450F90"/>
    <w:rsid w:val="00451E8A"/>
    <w:rsid w:val="00451F0F"/>
    <w:rsid w:val="00452140"/>
    <w:rsid w:val="00452356"/>
    <w:rsid w:val="004531A5"/>
    <w:rsid w:val="00453F9E"/>
    <w:rsid w:val="004555DB"/>
    <w:rsid w:val="00455862"/>
    <w:rsid w:val="00456613"/>
    <w:rsid w:val="0045670D"/>
    <w:rsid w:val="00456EA5"/>
    <w:rsid w:val="00457C61"/>
    <w:rsid w:val="00460058"/>
    <w:rsid w:val="004618D7"/>
    <w:rsid w:val="00462A24"/>
    <w:rsid w:val="00464E67"/>
    <w:rsid w:val="00465E3D"/>
    <w:rsid w:val="00465FFA"/>
    <w:rsid w:val="00467ADE"/>
    <w:rsid w:val="00467B27"/>
    <w:rsid w:val="0047083B"/>
    <w:rsid w:val="00472249"/>
    <w:rsid w:val="00472258"/>
    <w:rsid w:val="00472DB9"/>
    <w:rsid w:val="00473588"/>
    <w:rsid w:val="004737E3"/>
    <w:rsid w:val="0047427E"/>
    <w:rsid w:val="004748EB"/>
    <w:rsid w:val="0047536C"/>
    <w:rsid w:val="00475559"/>
    <w:rsid w:val="0047595F"/>
    <w:rsid w:val="00475D94"/>
    <w:rsid w:val="00476412"/>
    <w:rsid w:val="0047665E"/>
    <w:rsid w:val="00476C46"/>
    <w:rsid w:val="004809C5"/>
    <w:rsid w:val="00480A63"/>
    <w:rsid w:val="004810B1"/>
    <w:rsid w:val="004812A1"/>
    <w:rsid w:val="00481E1D"/>
    <w:rsid w:val="0048268B"/>
    <w:rsid w:val="00484343"/>
    <w:rsid w:val="004855CB"/>
    <w:rsid w:val="004859E6"/>
    <w:rsid w:val="00485B66"/>
    <w:rsid w:val="00485DB3"/>
    <w:rsid w:val="00486270"/>
    <w:rsid w:val="004867B1"/>
    <w:rsid w:val="00486A0D"/>
    <w:rsid w:val="0048728E"/>
    <w:rsid w:val="0048738A"/>
    <w:rsid w:val="00487F0A"/>
    <w:rsid w:val="00490617"/>
    <w:rsid w:val="00490D64"/>
    <w:rsid w:val="00491065"/>
    <w:rsid w:val="00492F53"/>
    <w:rsid w:val="00493B7B"/>
    <w:rsid w:val="00494AB2"/>
    <w:rsid w:val="0049533C"/>
    <w:rsid w:val="00495ADC"/>
    <w:rsid w:val="00495E7C"/>
    <w:rsid w:val="00495FD4"/>
    <w:rsid w:val="00496E80"/>
    <w:rsid w:val="00496EDC"/>
    <w:rsid w:val="00497D05"/>
    <w:rsid w:val="004A10AC"/>
    <w:rsid w:val="004A2D36"/>
    <w:rsid w:val="004A36E9"/>
    <w:rsid w:val="004A3957"/>
    <w:rsid w:val="004A4628"/>
    <w:rsid w:val="004A4889"/>
    <w:rsid w:val="004A4AB2"/>
    <w:rsid w:val="004A4E22"/>
    <w:rsid w:val="004A51A0"/>
    <w:rsid w:val="004A62A5"/>
    <w:rsid w:val="004A68AB"/>
    <w:rsid w:val="004A6C83"/>
    <w:rsid w:val="004A6F02"/>
    <w:rsid w:val="004A764D"/>
    <w:rsid w:val="004A78F1"/>
    <w:rsid w:val="004A78F4"/>
    <w:rsid w:val="004B0AC3"/>
    <w:rsid w:val="004B0B79"/>
    <w:rsid w:val="004B17AB"/>
    <w:rsid w:val="004B220E"/>
    <w:rsid w:val="004B3AAE"/>
    <w:rsid w:val="004B45C8"/>
    <w:rsid w:val="004B559A"/>
    <w:rsid w:val="004B6881"/>
    <w:rsid w:val="004B712D"/>
    <w:rsid w:val="004B7433"/>
    <w:rsid w:val="004B7811"/>
    <w:rsid w:val="004C00C5"/>
    <w:rsid w:val="004C06A8"/>
    <w:rsid w:val="004C1565"/>
    <w:rsid w:val="004C190C"/>
    <w:rsid w:val="004C2219"/>
    <w:rsid w:val="004C248E"/>
    <w:rsid w:val="004C28FE"/>
    <w:rsid w:val="004C3528"/>
    <w:rsid w:val="004C3BDC"/>
    <w:rsid w:val="004C3F8C"/>
    <w:rsid w:val="004C46F2"/>
    <w:rsid w:val="004C5BD2"/>
    <w:rsid w:val="004C6B87"/>
    <w:rsid w:val="004C7127"/>
    <w:rsid w:val="004C7CCE"/>
    <w:rsid w:val="004D0250"/>
    <w:rsid w:val="004D283D"/>
    <w:rsid w:val="004D49C0"/>
    <w:rsid w:val="004D4E74"/>
    <w:rsid w:val="004D4EE3"/>
    <w:rsid w:val="004D531C"/>
    <w:rsid w:val="004D6459"/>
    <w:rsid w:val="004D69B2"/>
    <w:rsid w:val="004D7924"/>
    <w:rsid w:val="004D79EF"/>
    <w:rsid w:val="004D7CFD"/>
    <w:rsid w:val="004D7ED3"/>
    <w:rsid w:val="004E0670"/>
    <w:rsid w:val="004E1633"/>
    <w:rsid w:val="004E1BCD"/>
    <w:rsid w:val="004E1BFF"/>
    <w:rsid w:val="004E360D"/>
    <w:rsid w:val="004E3642"/>
    <w:rsid w:val="004E3832"/>
    <w:rsid w:val="004E4C19"/>
    <w:rsid w:val="004E65AB"/>
    <w:rsid w:val="004E7A40"/>
    <w:rsid w:val="004E7E36"/>
    <w:rsid w:val="004F16E7"/>
    <w:rsid w:val="004F2BA3"/>
    <w:rsid w:val="004F385A"/>
    <w:rsid w:val="004F40C5"/>
    <w:rsid w:val="004F5860"/>
    <w:rsid w:val="004F6073"/>
    <w:rsid w:val="004F69B1"/>
    <w:rsid w:val="004F7895"/>
    <w:rsid w:val="004F78FE"/>
    <w:rsid w:val="004F796E"/>
    <w:rsid w:val="005009F3"/>
    <w:rsid w:val="00500A36"/>
    <w:rsid w:val="0050118B"/>
    <w:rsid w:val="00501233"/>
    <w:rsid w:val="00503673"/>
    <w:rsid w:val="00503B8E"/>
    <w:rsid w:val="00503BD5"/>
    <w:rsid w:val="00506E6F"/>
    <w:rsid w:val="0051017D"/>
    <w:rsid w:val="00511B16"/>
    <w:rsid w:val="00512EA7"/>
    <w:rsid w:val="005143A6"/>
    <w:rsid w:val="0051505D"/>
    <w:rsid w:val="00515383"/>
    <w:rsid w:val="005164B5"/>
    <w:rsid w:val="005172A3"/>
    <w:rsid w:val="00520826"/>
    <w:rsid w:val="00522F65"/>
    <w:rsid w:val="0052431C"/>
    <w:rsid w:val="00524827"/>
    <w:rsid w:val="00524955"/>
    <w:rsid w:val="00524DC0"/>
    <w:rsid w:val="00524ED3"/>
    <w:rsid w:val="005257ED"/>
    <w:rsid w:val="00526271"/>
    <w:rsid w:val="005265AF"/>
    <w:rsid w:val="005272F3"/>
    <w:rsid w:val="0052761B"/>
    <w:rsid w:val="00527B74"/>
    <w:rsid w:val="00527C3A"/>
    <w:rsid w:val="00527F82"/>
    <w:rsid w:val="00531307"/>
    <w:rsid w:val="00531C3D"/>
    <w:rsid w:val="0053233E"/>
    <w:rsid w:val="00533652"/>
    <w:rsid w:val="00533A61"/>
    <w:rsid w:val="00535BA7"/>
    <w:rsid w:val="00536313"/>
    <w:rsid w:val="005366E8"/>
    <w:rsid w:val="00536CEE"/>
    <w:rsid w:val="00537D96"/>
    <w:rsid w:val="00537F77"/>
    <w:rsid w:val="00540090"/>
    <w:rsid w:val="00540CBB"/>
    <w:rsid w:val="005410C8"/>
    <w:rsid w:val="00541BD3"/>
    <w:rsid w:val="00541C0F"/>
    <w:rsid w:val="00541E5A"/>
    <w:rsid w:val="00543544"/>
    <w:rsid w:val="00543A6B"/>
    <w:rsid w:val="00544C40"/>
    <w:rsid w:val="0054536B"/>
    <w:rsid w:val="00545B9D"/>
    <w:rsid w:val="00545C79"/>
    <w:rsid w:val="005462AB"/>
    <w:rsid w:val="0054751C"/>
    <w:rsid w:val="005476E5"/>
    <w:rsid w:val="00550032"/>
    <w:rsid w:val="005500A9"/>
    <w:rsid w:val="00550255"/>
    <w:rsid w:val="00550AC7"/>
    <w:rsid w:val="00550EAE"/>
    <w:rsid w:val="00551716"/>
    <w:rsid w:val="00553F14"/>
    <w:rsid w:val="005540AA"/>
    <w:rsid w:val="005567E6"/>
    <w:rsid w:val="00556F96"/>
    <w:rsid w:val="00556FE9"/>
    <w:rsid w:val="00557ED3"/>
    <w:rsid w:val="00560C0A"/>
    <w:rsid w:val="00561E6F"/>
    <w:rsid w:val="00563EA9"/>
    <w:rsid w:val="005643CF"/>
    <w:rsid w:val="005649E1"/>
    <w:rsid w:val="00564AC0"/>
    <w:rsid w:val="005658AE"/>
    <w:rsid w:val="0056673C"/>
    <w:rsid w:val="00566AD9"/>
    <w:rsid w:val="005700B1"/>
    <w:rsid w:val="005700E5"/>
    <w:rsid w:val="005708FF"/>
    <w:rsid w:val="00570F15"/>
    <w:rsid w:val="00572446"/>
    <w:rsid w:val="005729E3"/>
    <w:rsid w:val="00572A45"/>
    <w:rsid w:val="00572A66"/>
    <w:rsid w:val="00574453"/>
    <w:rsid w:val="00574768"/>
    <w:rsid w:val="00574DE9"/>
    <w:rsid w:val="00575269"/>
    <w:rsid w:val="00575E41"/>
    <w:rsid w:val="005772D3"/>
    <w:rsid w:val="00577403"/>
    <w:rsid w:val="00584C7B"/>
    <w:rsid w:val="005854DA"/>
    <w:rsid w:val="00586355"/>
    <w:rsid w:val="005865F2"/>
    <w:rsid w:val="0058694C"/>
    <w:rsid w:val="00586E93"/>
    <w:rsid w:val="00587CBC"/>
    <w:rsid w:val="00587D6B"/>
    <w:rsid w:val="00590D11"/>
    <w:rsid w:val="00592329"/>
    <w:rsid w:val="00594191"/>
    <w:rsid w:val="0059650A"/>
    <w:rsid w:val="00596BD9"/>
    <w:rsid w:val="00596EAD"/>
    <w:rsid w:val="00597F7C"/>
    <w:rsid w:val="005A1FAB"/>
    <w:rsid w:val="005A2385"/>
    <w:rsid w:val="005A3517"/>
    <w:rsid w:val="005A3FDE"/>
    <w:rsid w:val="005A4284"/>
    <w:rsid w:val="005A47B6"/>
    <w:rsid w:val="005A4F67"/>
    <w:rsid w:val="005A511C"/>
    <w:rsid w:val="005A767C"/>
    <w:rsid w:val="005B071C"/>
    <w:rsid w:val="005B1B33"/>
    <w:rsid w:val="005B26B7"/>
    <w:rsid w:val="005B34E2"/>
    <w:rsid w:val="005B377D"/>
    <w:rsid w:val="005B3856"/>
    <w:rsid w:val="005B4717"/>
    <w:rsid w:val="005B47B7"/>
    <w:rsid w:val="005B5376"/>
    <w:rsid w:val="005B547A"/>
    <w:rsid w:val="005B6539"/>
    <w:rsid w:val="005B6CE5"/>
    <w:rsid w:val="005B7082"/>
    <w:rsid w:val="005B7228"/>
    <w:rsid w:val="005B7A5C"/>
    <w:rsid w:val="005B7AF8"/>
    <w:rsid w:val="005C04FC"/>
    <w:rsid w:val="005C11D9"/>
    <w:rsid w:val="005C1A0F"/>
    <w:rsid w:val="005C1E5D"/>
    <w:rsid w:val="005C3008"/>
    <w:rsid w:val="005C47BA"/>
    <w:rsid w:val="005C56A5"/>
    <w:rsid w:val="005C6356"/>
    <w:rsid w:val="005C66B6"/>
    <w:rsid w:val="005C6A7B"/>
    <w:rsid w:val="005C703A"/>
    <w:rsid w:val="005C71F4"/>
    <w:rsid w:val="005C7C98"/>
    <w:rsid w:val="005D0049"/>
    <w:rsid w:val="005D183B"/>
    <w:rsid w:val="005D1CBB"/>
    <w:rsid w:val="005D218C"/>
    <w:rsid w:val="005D249E"/>
    <w:rsid w:val="005D2C6A"/>
    <w:rsid w:val="005D2EF2"/>
    <w:rsid w:val="005D331E"/>
    <w:rsid w:val="005D3A74"/>
    <w:rsid w:val="005D514A"/>
    <w:rsid w:val="005D51CD"/>
    <w:rsid w:val="005D5B55"/>
    <w:rsid w:val="005D5F17"/>
    <w:rsid w:val="005D6BB8"/>
    <w:rsid w:val="005D6DCD"/>
    <w:rsid w:val="005D76C0"/>
    <w:rsid w:val="005D7742"/>
    <w:rsid w:val="005D7777"/>
    <w:rsid w:val="005E01FF"/>
    <w:rsid w:val="005E043A"/>
    <w:rsid w:val="005E05CE"/>
    <w:rsid w:val="005E1A46"/>
    <w:rsid w:val="005E22FA"/>
    <w:rsid w:val="005E24A8"/>
    <w:rsid w:val="005E2585"/>
    <w:rsid w:val="005E2A69"/>
    <w:rsid w:val="005E3153"/>
    <w:rsid w:val="005E33BF"/>
    <w:rsid w:val="005E35A8"/>
    <w:rsid w:val="005E3D1B"/>
    <w:rsid w:val="005E435A"/>
    <w:rsid w:val="005E4DCF"/>
    <w:rsid w:val="005E5629"/>
    <w:rsid w:val="005E78D4"/>
    <w:rsid w:val="005E7D49"/>
    <w:rsid w:val="005F00AD"/>
    <w:rsid w:val="005F0622"/>
    <w:rsid w:val="005F06BA"/>
    <w:rsid w:val="005F4195"/>
    <w:rsid w:val="005F5387"/>
    <w:rsid w:val="005F5BAA"/>
    <w:rsid w:val="005F5D02"/>
    <w:rsid w:val="005F63A8"/>
    <w:rsid w:val="005F64E0"/>
    <w:rsid w:val="005F6C2F"/>
    <w:rsid w:val="005F72C8"/>
    <w:rsid w:val="005F7469"/>
    <w:rsid w:val="005F776A"/>
    <w:rsid w:val="005F797D"/>
    <w:rsid w:val="00600B54"/>
    <w:rsid w:val="00600D00"/>
    <w:rsid w:val="00601DA0"/>
    <w:rsid w:val="00602C83"/>
    <w:rsid w:val="00604285"/>
    <w:rsid w:val="00604E01"/>
    <w:rsid w:val="0060544A"/>
    <w:rsid w:val="006057F3"/>
    <w:rsid w:val="00605C16"/>
    <w:rsid w:val="00605CE1"/>
    <w:rsid w:val="0060740D"/>
    <w:rsid w:val="0060795D"/>
    <w:rsid w:val="00607DA9"/>
    <w:rsid w:val="0061118E"/>
    <w:rsid w:val="0061206C"/>
    <w:rsid w:val="00612BE3"/>
    <w:rsid w:val="00612F73"/>
    <w:rsid w:val="00613AF5"/>
    <w:rsid w:val="006154D8"/>
    <w:rsid w:val="00615563"/>
    <w:rsid w:val="00615F72"/>
    <w:rsid w:val="006162A5"/>
    <w:rsid w:val="00616847"/>
    <w:rsid w:val="006169FC"/>
    <w:rsid w:val="00616CA3"/>
    <w:rsid w:val="00616DC4"/>
    <w:rsid w:val="00616E3A"/>
    <w:rsid w:val="0062060A"/>
    <w:rsid w:val="006206DA"/>
    <w:rsid w:val="00620776"/>
    <w:rsid w:val="00621194"/>
    <w:rsid w:val="006214D1"/>
    <w:rsid w:val="00622F58"/>
    <w:rsid w:val="006231D9"/>
    <w:rsid w:val="00625542"/>
    <w:rsid w:val="006255E9"/>
    <w:rsid w:val="0062598C"/>
    <w:rsid w:val="00626448"/>
    <w:rsid w:val="0062650A"/>
    <w:rsid w:val="00627076"/>
    <w:rsid w:val="006308D1"/>
    <w:rsid w:val="00631804"/>
    <w:rsid w:val="00631A8C"/>
    <w:rsid w:val="006332FD"/>
    <w:rsid w:val="006356C3"/>
    <w:rsid w:val="00636A22"/>
    <w:rsid w:val="006372C9"/>
    <w:rsid w:val="00637B56"/>
    <w:rsid w:val="00637E76"/>
    <w:rsid w:val="00637F9E"/>
    <w:rsid w:val="00640ABA"/>
    <w:rsid w:val="0064175D"/>
    <w:rsid w:val="00642ACC"/>
    <w:rsid w:val="006430F1"/>
    <w:rsid w:val="00643403"/>
    <w:rsid w:val="006436A8"/>
    <w:rsid w:val="00643B26"/>
    <w:rsid w:val="0064474D"/>
    <w:rsid w:val="00644BD1"/>
    <w:rsid w:val="0064500C"/>
    <w:rsid w:val="00645411"/>
    <w:rsid w:val="00646880"/>
    <w:rsid w:val="00646AB0"/>
    <w:rsid w:val="00647395"/>
    <w:rsid w:val="006475EA"/>
    <w:rsid w:val="006476AF"/>
    <w:rsid w:val="00647AAE"/>
    <w:rsid w:val="0065025B"/>
    <w:rsid w:val="00650851"/>
    <w:rsid w:val="00650D94"/>
    <w:rsid w:val="00650DE9"/>
    <w:rsid w:val="00651B10"/>
    <w:rsid w:val="0065260C"/>
    <w:rsid w:val="00652615"/>
    <w:rsid w:val="0065307E"/>
    <w:rsid w:val="0065307F"/>
    <w:rsid w:val="0065358C"/>
    <w:rsid w:val="00653695"/>
    <w:rsid w:val="00653E7F"/>
    <w:rsid w:val="00654E45"/>
    <w:rsid w:val="00655B89"/>
    <w:rsid w:val="00656655"/>
    <w:rsid w:val="00656B16"/>
    <w:rsid w:val="0065762B"/>
    <w:rsid w:val="00657C1B"/>
    <w:rsid w:val="00657F59"/>
    <w:rsid w:val="006606F1"/>
    <w:rsid w:val="0066143C"/>
    <w:rsid w:val="00661C83"/>
    <w:rsid w:val="00664673"/>
    <w:rsid w:val="00664BC7"/>
    <w:rsid w:val="00664CCE"/>
    <w:rsid w:val="00664FA7"/>
    <w:rsid w:val="006658FF"/>
    <w:rsid w:val="00665A90"/>
    <w:rsid w:val="00665CDD"/>
    <w:rsid w:val="00665F1D"/>
    <w:rsid w:val="0067009A"/>
    <w:rsid w:val="0067059C"/>
    <w:rsid w:val="0067226E"/>
    <w:rsid w:val="00672709"/>
    <w:rsid w:val="00672C97"/>
    <w:rsid w:val="00673671"/>
    <w:rsid w:val="00675425"/>
    <w:rsid w:val="006754E9"/>
    <w:rsid w:val="0067788A"/>
    <w:rsid w:val="00677EA7"/>
    <w:rsid w:val="0068001E"/>
    <w:rsid w:val="006803E1"/>
    <w:rsid w:val="00680F15"/>
    <w:rsid w:val="00681074"/>
    <w:rsid w:val="0068156C"/>
    <w:rsid w:val="006824F9"/>
    <w:rsid w:val="006825BC"/>
    <w:rsid w:val="00682936"/>
    <w:rsid w:val="00684B28"/>
    <w:rsid w:val="00684B7E"/>
    <w:rsid w:val="00684D56"/>
    <w:rsid w:val="00685F4B"/>
    <w:rsid w:val="0068621D"/>
    <w:rsid w:val="0068688F"/>
    <w:rsid w:val="00690B1C"/>
    <w:rsid w:val="006912EB"/>
    <w:rsid w:val="00691908"/>
    <w:rsid w:val="00691A0C"/>
    <w:rsid w:val="00691A1A"/>
    <w:rsid w:val="00691E57"/>
    <w:rsid w:val="00691F1E"/>
    <w:rsid w:val="00692443"/>
    <w:rsid w:val="00692867"/>
    <w:rsid w:val="006938F5"/>
    <w:rsid w:val="00694D48"/>
    <w:rsid w:val="00695784"/>
    <w:rsid w:val="00695D4C"/>
    <w:rsid w:val="00696057"/>
    <w:rsid w:val="00696704"/>
    <w:rsid w:val="00696C17"/>
    <w:rsid w:val="006A01CA"/>
    <w:rsid w:val="006A0772"/>
    <w:rsid w:val="006A211B"/>
    <w:rsid w:val="006A21B9"/>
    <w:rsid w:val="006A2F5C"/>
    <w:rsid w:val="006A30C1"/>
    <w:rsid w:val="006A3392"/>
    <w:rsid w:val="006A4955"/>
    <w:rsid w:val="006A49D4"/>
    <w:rsid w:val="006A4C23"/>
    <w:rsid w:val="006A58D4"/>
    <w:rsid w:val="006A6607"/>
    <w:rsid w:val="006A70BC"/>
    <w:rsid w:val="006A7240"/>
    <w:rsid w:val="006A7309"/>
    <w:rsid w:val="006A7435"/>
    <w:rsid w:val="006B0944"/>
    <w:rsid w:val="006B1011"/>
    <w:rsid w:val="006B1365"/>
    <w:rsid w:val="006B33AA"/>
    <w:rsid w:val="006B4B37"/>
    <w:rsid w:val="006B56FF"/>
    <w:rsid w:val="006B5CC8"/>
    <w:rsid w:val="006B68DB"/>
    <w:rsid w:val="006B7ACC"/>
    <w:rsid w:val="006B7E26"/>
    <w:rsid w:val="006C1BA3"/>
    <w:rsid w:val="006C2D92"/>
    <w:rsid w:val="006C34FB"/>
    <w:rsid w:val="006C3AB0"/>
    <w:rsid w:val="006C47EC"/>
    <w:rsid w:val="006C597D"/>
    <w:rsid w:val="006C6510"/>
    <w:rsid w:val="006C65C4"/>
    <w:rsid w:val="006C6D4E"/>
    <w:rsid w:val="006C72F5"/>
    <w:rsid w:val="006C73D5"/>
    <w:rsid w:val="006D02E8"/>
    <w:rsid w:val="006D06B7"/>
    <w:rsid w:val="006D0995"/>
    <w:rsid w:val="006D25C0"/>
    <w:rsid w:val="006D2813"/>
    <w:rsid w:val="006D3B69"/>
    <w:rsid w:val="006D4635"/>
    <w:rsid w:val="006D4D9D"/>
    <w:rsid w:val="006D50C2"/>
    <w:rsid w:val="006D5B55"/>
    <w:rsid w:val="006D6706"/>
    <w:rsid w:val="006D6997"/>
    <w:rsid w:val="006D7205"/>
    <w:rsid w:val="006D732D"/>
    <w:rsid w:val="006E0F5C"/>
    <w:rsid w:val="006E11CE"/>
    <w:rsid w:val="006E197D"/>
    <w:rsid w:val="006E2FBE"/>
    <w:rsid w:val="006E36E0"/>
    <w:rsid w:val="006E3B36"/>
    <w:rsid w:val="006E3E77"/>
    <w:rsid w:val="006E4320"/>
    <w:rsid w:val="006E4A2F"/>
    <w:rsid w:val="006E4D1B"/>
    <w:rsid w:val="006E53BB"/>
    <w:rsid w:val="006E7246"/>
    <w:rsid w:val="006E79F5"/>
    <w:rsid w:val="006F0520"/>
    <w:rsid w:val="006F10B0"/>
    <w:rsid w:val="006F129E"/>
    <w:rsid w:val="006F1E20"/>
    <w:rsid w:val="006F1F66"/>
    <w:rsid w:val="006F2230"/>
    <w:rsid w:val="006F2AD2"/>
    <w:rsid w:val="006F3FD0"/>
    <w:rsid w:val="006F41E8"/>
    <w:rsid w:val="006F58CB"/>
    <w:rsid w:val="006F6D97"/>
    <w:rsid w:val="006F7BB5"/>
    <w:rsid w:val="00700996"/>
    <w:rsid w:val="007009E5"/>
    <w:rsid w:val="00701111"/>
    <w:rsid w:val="00705135"/>
    <w:rsid w:val="0070541E"/>
    <w:rsid w:val="007059F8"/>
    <w:rsid w:val="00705BA2"/>
    <w:rsid w:val="00705C61"/>
    <w:rsid w:val="00706E83"/>
    <w:rsid w:val="0070712B"/>
    <w:rsid w:val="007076B8"/>
    <w:rsid w:val="00707C93"/>
    <w:rsid w:val="00710354"/>
    <w:rsid w:val="007112AD"/>
    <w:rsid w:val="00711713"/>
    <w:rsid w:val="00711A11"/>
    <w:rsid w:val="00711D6D"/>
    <w:rsid w:val="00712040"/>
    <w:rsid w:val="00714126"/>
    <w:rsid w:val="0071431D"/>
    <w:rsid w:val="00715503"/>
    <w:rsid w:val="0071648E"/>
    <w:rsid w:val="007171A2"/>
    <w:rsid w:val="00717B68"/>
    <w:rsid w:val="00720033"/>
    <w:rsid w:val="007210AB"/>
    <w:rsid w:val="00721677"/>
    <w:rsid w:val="00721C22"/>
    <w:rsid w:val="00721C96"/>
    <w:rsid w:val="007220CB"/>
    <w:rsid w:val="007225A5"/>
    <w:rsid w:val="00724C29"/>
    <w:rsid w:val="00726915"/>
    <w:rsid w:val="00726A8A"/>
    <w:rsid w:val="00726E9A"/>
    <w:rsid w:val="00727C97"/>
    <w:rsid w:val="00727D6B"/>
    <w:rsid w:val="0073082C"/>
    <w:rsid w:val="00730E16"/>
    <w:rsid w:val="0073113D"/>
    <w:rsid w:val="00731803"/>
    <w:rsid w:val="00731850"/>
    <w:rsid w:val="00731D1B"/>
    <w:rsid w:val="0073208C"/>
    <w:rsid w:val="0073223A"/>
    <w:rsid w:val="007323DD"/>
    <w:rsid w:val="007337B1"/>
    <w:rsid w:val="00733E33"/>
    <w:rsid w:val="007340C3"/>
    <w:rsid w:val="00734534"/>
    <w:rsid w:val="00735236"/>
    <w:rsid w:val="00735960"/>
    <w:rsid w:val="00735E38"/>
    <w:rsid w:val="00736C22"/>
    <w:rsid w:val="00736ED2"/>
    <w:rsid w:val="00741629"/>
    <w:rsid w:val="00742048"/>
    <w:rsid w:val="00742E95"/>
    <w:rsid w:val="00743828"/>
    <w:rsid w:val="007468BB"/>
    <w:rsid w:val="00746A15"/>
    <w:rsid w:val="00746F2D"/>
    <w:rsid w:val="007479BF"/>
    <w:rsid w:val="00747A85"/>
    <w:rsid w:val="007511F5"/>
    <w:rsid w:val="0075178F"/>
    <w:rsid w:val="00751C37"/>
    <w:rsid w:val="00752D3E"/>
    <w:rsid w:val="00752DBB"/>
    <w:rsid w:val="00752EF8"/>
    <w:rsid w:val="00753224"/>
    <w:rsid w:val="00754522"/>
    <w:rsid w:val="00754A36"/>
    <w:rsid w:val="00754BC8"/>
    <w:rsid w:val="00755AB2"/>
    <w:rsid w:val="00755EDF"/>
    <w:rsid w:val="00756FCE"/>
    <w:rsid w:val="00757574"/>
    <w:rsid w:val="0075781B"/>
    <w:rsid w:val="007579E9"/>
    <w:rsid w:val="00757D8A"/>
    <w:rsid w:val="0076057F"/>
    <w:rsid w:val="00760804"/>
    <w:rsid w:val="00761E2C"/>
    <w:rsid w:val="007628C1"/>
    <w:rsid w:val="007631CE"/>
    <w:rsid w:val="007638D1"/>
    <w:rsid w:val="0076459D"/>
    <w:rsid w:val="007646CF"/>
    <w:rsid w:val="00764E98"/>
    <w:rsid w:val="0076519C"/>
    <w:rsid w:val="00765BF6"/>
    <w:rsid w:val="00767D63"/>
    <w:rsid w:val="00772F81"/>
    <w:rsid w:val="00773B2B"/>
    <w:rsid w:val="00775193"/>
    <w:rsid w:val="007753A2"/>
    <w:rsid w:val="00776911"/>
    <w:rsid w:val="00776F68"/>
    <w:rsid w:val="00777407"/>
    <w:rsid w:val="00781824"/>
    <w:rsid w:val="00781AE8"/>
    <w:rsid w:val="0078298B"/>
    <w:rsid w:val="007830AA"/>
    <w:rsid w:val="007833D5"/>
    <w:rsid w:val="00785ACF"/>
    <w:rsid w:val="00786610"/>
    <w:rsid w:val="00790196"/>
    <w:rsid w:val="007901B2"/>
    <w:rsid w:val="00790C1E"/>
    <w:rsid w:val="00790CA6"/>
    <w:rsid w:val="00791188"/>
    <w:rsid w:val="00791EEA"/>
    <w:rsid w:val="00793629"/>
    <w:rsid w:val="007939B6"/>
    <w:rsid w:val="007950C5"/>
    <w:rsid w:val="007951A4"/>
    <w:rsid w:val="007951FE"/>
    <w:rsid w:val="00795430"/>
    <w:rsid w:val="00795D12"/>
    <w:rsid w:val="0079607B"/>
    <w:rsid w:val="00797130"/>
    <w:rsid w:val="007973BC"/>
    <w:rsid w:val="00797930"/>
    <w:rsid w:val="007A00C4"/>
    <w:rsid w:val="007A0425"/>
    <w:rsid w:val="007A1045"/>
    <w:rsid w:val="007A1889"/>
    <w:rsid w:val="007A2FD0"/>
    <w:rsid w:val="007A422E"/>
    <w:rsid w:val="007A440D"/>
    <w:rsid w:val="007A48D9"/>
    <w:rsid w:val="007A502C"/>
    <w:rsid w:val="007A6E21"/>
    <w:rsid w:val="007B02D3"/>
    <w:rsid w:val="007B10DD"/>
    <w:rsid w:val="007B128A"/>
    <w:rsid w:val="007B296E"/>
    <w:rsid w:val="007B4054"/>
    <w:rsid w:val="007B47D8"/>
    <w:rsid w:val="007B4B40"/>
    <w:rsid w:val="007B60FB"/>
    <w:rsid w:val="007B6D49"/>
    <w:rsid w:val="007B738A"/>
    <w:rsid w:val="007C029B"/>
    <w:rsid w:val="007C053B"/>
    <w:rsid w:val="007C07E6"/>
    <w:rsid w:val="007C0881"/>
    <w:rsid w:val="007C1423"/>
    <w:rsid w:val="007C1746"/>
    <w:rsid w:val="007C22DE"/>
    <w:rsid w:val="007C3578"/>
    <w:rsid w:val="007C384E"/>
    <w:rsid w:val="007C4B32"/>
    <w:rsid w:val="007C59F6"/>
    <w:rsid w:val="007C5AB9"/>
    <w:rsid w:val="007D040E"/>
    <w:rsid w:val="007D0701"/>
    <w:rsid w:val="007D27AD"/>
    <w:rsid w:val="007D31F3"/>
    <w:rsid w:val="007D3490"/>
    <w:rsid w:val="007D3810"/>
    <w:rsid w:val="007D45F2"/>
    <w:rsid w:val="007D4643"/>
    <w:rsid w:val="007D5209"/>
    <w:rsid w:val="007D5C21"/>
    <w:rsid w:val="007D6E28"/>
    <w:rsid w:val="007E0C45"/>
    <w:rsid w:val="007E397D"/>
    <w:rsid w:val="007E52C7"/>
    <w:rsid w:val="007E539A"/>
    <w:rsid w:val="007E5F4B"/>
    <w:rsid w:val="007E628C"/>
    <w:rsid w:val="007F0869"/>
    <w:rsid w:val="007F0C55"/>
    <w:rsid w:val="007F0EF1"/>
    <w:rsid w:val="007F1755"/>
    <w:rsid w:val="007F1C54"/>
    <w:rsid w:val="007F26C6"/>
    <w:rsid w:val="007F2E71"/>
    <w:rsid w:val="007F35DD"/>
    <w:rsid w:val="007F3A0D"/>
    <w:rsid w:val="007F4624"/>
    <w:rsid w:val="007F4BF0"/>
    <w:rsid w:val="007F5D0E"/>
    <w:rsid w:val="008005E0"/>
    <w:rsid w:val="00800C58"/>
    <w:rsid w:val="00800C9A"/>
    <w:rsid w:val="00802342"/>
    <w:rsid w:val="008028C6"/>
    <w:rsid w:val="00802B09"/>
    <w:rsid w:val="00802C9E"/>
    <w:rsid w:val="00802ECC"/>
    <w:rsid w:val="0080446E"/>
    <w:rsid w:val="00804E4C"/>
    <w:rsid w:val="00805444"/>
    <w:rsid w:val="008055B1"/>
    <w:rsid w:val="00806066"/>
    <w:rsid w:val="008061E9"/>
    <w:rsid w:val="00806315"/>
    <w:rsid w:val="008063D4"/>
    <w:rsid w:val="0080652E"/>
    <w:rsid w:val="00807374"/>
    <w:rsid w:val="00810773"/>
    <w:rsid w:val="00811021"/>
    <w:rsid w:val="00811C4B"/>
    <w:rsid w:val="00812410"/>
    <w:rsid w:val="00812B83"/>
    <w:rsid w:val="0081448C"/>
    <w:rsid w:val="00814B5C"/>
    <w:rsid w:val="00814D3B"/>
    <w:rsid w:val="00814F00"/>
    <w:rsid w:val="00817ADC"/>
    <w:rsid w:val="008200B6"/>
    <w:rsid w:val="00820B4E"/>
    <w:rsid w:val="00821B93"/>
    <w:rsid w:val="00822C63"/>
    <w:rsid w:val="008249BA"/>
    <w:rsid w:val="00824C91"/>
    <w:rsid w:val="008259A9"/>
    <w:rsid w:val="00825CD8"/>
    <w:rsid w:val="0082672D"/>
    <w:rsid w:val="00826842"/>
    <w:rsid w:val="008270EC"/>
    <w:rsid w:val="00827A43"/>
    <w:rsid w:val="00830484"/>
    <w:rsid w:val="008304BB"/>
    <w:rsid w:val="008312A4"/>
    <w:rsid w:val="0083132C"/>
    <w:rsid w:val="0083191F"/>
    <w:rsid w:val="0083196D"/>
    <w:rsid w:val="00831F72"/>
    <w:rsid w:val="00832991"/>
    <w:rsid w:val="00832A8B"/>
    <w:rsid w:val="0083424A"/>
    <w:rsid w:val="00834CD4"/>
    <w:rsid w:val="00834E1A"/>
    <w:rsid w:val="008359E6"/>
    <w:rsid w:val="00836E57"/>
    <w:rsid w:val="0083713B"/>
    <w:rsid w:val="00841377"/>
    <w:rsid w:val="00841D74"/>
    <w:rsid w:val="008423C5"/>
    <w:rsid w:val="00843C5C"/>
    <w:rsid w:val="00843ED9"/>
    <w:rsid w:val="00844566"/>
    <w:rsid w:val="008459D6"/>
    <w:rsid w:val="00850B1E"/>
    <w:rsid w:val="00850DCC"/>
    <w:rsid w:val="008517DD"/>
    <w:rsid w:val="00851DDF"/>
    <w:rsid w:val="008543BA"/>
    <w:rsid w:val="008549A6"/>
    <w:rsid w:val="0085579C"/>
    <w:rsid w:val="00855999"/>
    <w:rsid w:val="00856947"/>
    <w:rsid w:val="00860EB3"/>
    <w:rsid w:val="00861F78"/>
    <w:rsid w:val="0086209E"/>
    <w:rsid w:val="00862C1B"/>
    <w:rsid w:val="008639FB"/>
    <w:rsid w:val="00863D5E"/>
    <w:rsid w:val="00865163"/>
    <w:rsid w:val="0086679A"/>
    <w:rsid w:val="0086690E"/>
    <w:rsid w:val="00866B4B"/>
    <w:rsid w:val="00867806"/>
    <w:rsid w:val="008679DF"/>
    <w:rsid w:val="00867AD6"/>
    <w:rsid w:val="00870405"/>
    <w:rsid w:val="00870C68"/>
    <w:rsid w:val="0087110F"/>
    <w:rsid w:val="00871B7C"/>
    <w:rsid w:val="00872814"/>
    <w:rsid w:val="00873061"/>
    <w:rsid w:val="0087341D"/>
    <w:rsid w:val="00874012"/>
    <w:rsid w:val="00875217"/>
    <w:rsid w:val="008762A2"/>
    <w:rsid w:val="00881DB5"/>
    <w:rsid w:val="00881F19"/>
    <w:rsid w:val="00881F1E"/>
    <w:rsid w:val="00882ABA"/>
    <w:rsid w:val="008840CE"/>
    <w:rsid w:val="008850DD"/>
    <w:rsid w:val="0088586C"/>
    <w:rsid w:val="00885A27"/>
    <w:rsid w:val="008864F6"/>
    <w:rsid w:val="00886727"/>
    <w:rsid w:val="008874D2"/>
    <w:rsid w:val="0088771C"/>
    <w:rsid w:val="008909D1"/>
    <w:rsid w:val="0089108A"/>
    <w:rsid w:val="008915FA"/>
    <w:rsid w:val="00891835"/>
    <w:rsid w:val="00893206"/>
    <w:rsid w:val="008932AB"/>
    <w:rsid w:val="00893320"/>
    <w:rsid w:val="00893666"/>
    <w:rsid w:val="00896FBF"/>
    <w:rsid w:val="0089747F"/>
    <w:rsid w:val="008A0330"/>
    <w:rsid w:val="008A1C75"/>
    <w:rsid w:val="008A1CAC"/>
    <w:rsid w:val="008A21F4"/>
    <w:rsid w:val="008A2243"/>
    <w:rsid w:val="008A29B2"/>
    <w:rsid w:val="008A3E56"/>
    <w:rsid w:val="008A4B4A"/>
    <w:rsid w:val="008A5738"/>
    <w:rsid w:val="008A5B12"/>
    <w:rsid w:val="008A5BBD"/>
    <w:rsid w:val="008A5BCE"/>
    <w:rsid w:val="008A5D64"/>
    <w:rsid w:val="008A6581"/>
    <w:rsid w:val="008A7D33"/>
    <w:rsid w:val="008A7D69"/>
    <w:rsid w:val="008A7E2A"/>
    <w:rsid w:val="008B014B"/>
    <w:rsid w:val="008B1023"/>
    <w:rsid w:val="008B1860"/>
    <w:rsid w:val="008B22F6"/>
    <w:rsid w:val="008B4D0E"/>
    <w:rsid w:val="008B5334"/>
    <w:rsid w:val="008B5F36"/>
    <w:rsid w:val="008B6DD7"/>
    <w:rsid w:val="008B7435"/>
    <w:rsid w:val="008C1745"/>
    <w:rsid w:val="008C1BAF"/>
    <w:rsid w:val="008C2C2B"/>
    <w:rsid w:val="008C37D8"/>
    <w:rsid w:val="008C3D39"/>
    <w:rsid w:val="008C47D0"/>
    <w:rsid w:val="008C4AC6"/>
    <w:rsid w:val="008C4B59"/>
    <w:rsid w:val="008C58F5"/>
    <w:rsid w:val="008C61A2"/>
    <w:rsid w:val="008C6CFC"/>
    <w:rsid w:val="008C6F7A"/>
    <w:rsid w:val="008C702F"/>
    <w:rsid w:val="008C7988"/>
    <w:rsid w:val="008D1999"/>
    <w:rsid w:val="008D1F29"/>
    <w:rsid w:val="008D47A5"/>
    <w:rsid w:val="008D4FE5"/>
    <w:rsid w:val="008D685D"/>
    <w:rsid w:val="008E02B5"/>
    <w:rsid w:val="008E0414"/>
    <w:rsid w:val="008E1240"/>
    <w:rsid w:val="008E1370"/>
    <w:rsid w:val="008E291B"/>
    <w:rsid w:val="008E2E1C"/>
    <w:rsid w:val="008E2ED7"/>
    <w:rsid w:val="008E3236"/>
    <w:rsid w:val="008E3455"/>
    <w:rsid w:val="008E3C79"/>
    <w:rsid w:val="008E4803"/>
    <w:rsid w:val="008E502D"/>
    <w:rsid w:val="008E5D0D"/>
    <w:rsid w:val="008E74F4"/>
    <w:rsid w:val="008E75A9"/>
    <w:rsid w:val="008F1365"/>
    <w:rsid w:val="008F1445"/>
    <w:rsid w:val="008F2EAC"/>
    <w:rsid w:val="008F35B8"/>
    <w:rsid w:val="008F4D00"/>
    <w:rsid w:val="008F56B6"/>
    <w:rsid w:val="008F5D80"/>
    <w:rsid w:val="008F6C0A"/>
    <w:rsid w:val="008F6D98"/>
    <w:rsid w:val="008F6FD1"/>
    <w:rsid w:val="008F7AB3"/>
    <w:rsid w:val="00900F60"/>
    <w:rsid w:val="00901507"/>
    <w:rsid w:val="009020B1"/>
    <w:rsid w:val="00904E81"/>
    <w:rsid w:val="009054F6"/>
    <w:rsid w:val="0090618D"/>
    <w:rsid w:val="009066E9"/>
    <w:rsid w:val="00907A19"/>
    <w:rsid w:val="00910408"/>
    <w:rsid w:val="00911E47"/>
    <w:rsid w:val="009124E2"/>
    <w:rsid w:val="00912F90"/>
    <w:rsid w:val="00912FE3"/>
    <w:rsid w:val="00913100"/>
    <w:rsid w:val="00913643"/>
    <w:rsid w:val="00913C3D"/>
    <w:rsid w:val="009140A7"/>
    <w:rsid w:val="00914FE9"/>
    <w:rsid w:val="009150E4"/>
    <w:rsid w:val="00915242"/>
    <w:rsid w:val="00915273"/>
    <w:rsid w:val="00916F41"/>
    <w:rsid w:val="009172B4"/>
    <w:rsid w:val="00917B47"/>
    <w:rsid w:val="00917F08"/>
    <w:rsid w:val="009201DD"/>
    <w:rsid w:val="00920524"/>
    <w:rsid w:val="00920D20"/>
    <w:rsid w:val="0092133D"/>
    <w:rsid w:val="00921667"/>
    <w:rsid w:val="00921DF0"/>
    <w:rsid w:val="00922B9B"/>
    <w:rsid w:val="00923B0B"/>
    <w:rsid w:val="00923CB7"/>
    <w:rsid w:val="009244EB"/>
    <w:rsid w:val="0092544B"/>
    <w:rsid w:val="00926310"/>
    <w:rsid w:val="009265BF"/>
    <w:rsid w:val="00927693"/>
    <w:rsid w:val="00931426"/>
    <w:rsid w:val="00932861"/>
    <w:rsid w:val="00932F30"/>
    <w:rsid w:val="00933AB9"/>
    <w:rsid w:val="009340AB"/>
    <w:rsid w:val="00934BB5"/>
    <w:rsid w:val="00935855"/>
    <w:rsid w:val="00936A50"/>
    <w:rsid w:val="00936C94"/>
    <w:rsid w:val="009371BC"/>
    <w:rsid w:val="009405CC"/>
    <w:rsid w:val="00941B04"/>
    <w:rsid w:val="00941C3F"/>
    <w:rsid w:val="009433FD"/>
    <w:rsid w:val="00943827"/>
    <w:rsid w:val="00943D0A"/>
    <w:rsid w:val="00944C02"/>
    <w:rsid w:val="00945698"/>
    <w:rsid w:val="00945A08"/>
    <w:rsid w:val="00945B77"/>
    <w:rsid w:val="00945BA0"/>
    <w:rsid w:val="0094610C"/>
    <w:rsid w:val="009464C1"/>
    <w:rsid w:val="009503D9"/>
    <w:rsid w:val="00950EB0"/>
    <w:rsid w:val="009511FA"/>
    <w:rsid w:val="00951396"/>
    <w:rsid w:val="00951A69"/>
    <w:rsid w:val="00952019"/>
    <w:rsid w:val="00952622"/>
    <w:rsid w:val="00952731"/>
    <w:rsid w:val="00952851"/>
    <w:rsid w:val="00952DAB"/>
    <w:rsid w:val="00952FB1"/>
    <w:rsid w:val="009535EC"/>
    <w:rsid w:val="00954004"/>
    <w:rsid w:val="009547E8"/>
    <w:rsid w:val="00954E14"/>
    <w:rsid w:val="00955813"/>
    <w:rsid w:val="00956C69"/>
    <w:rsid w:val="009573C3"/>
    <w:rsid w:val="0096093C"/>
    <w:rsid w:val="00961787"/>
    <w:rsid w:val="0096222D"/>
    <w:rsid w:val="00962361"/>
    <w:rsid w:val="009623C9"/>
    <w:rsid w:val="00962796"/>
    <w:rsid w:val="0096348F"/>
    <w:rsid w:val="009635C8"/>
    <w:rsid w:val="00963C2E"/>
    <w:rsid w:val="00964923"/>
    <w:rsid w:val="00964C53"/>
    <w:rsid w:val="00966647"/>
    <w:rsid w:val="00967307"/>
    <w:rsid w:val="00967645"/>
    <w:rsid w:val="00967F42"/>
    <w:rsid w:val="0097143B"/>
    <w:rsid w:val="00971BBB"/>
    <w:rsid w:val="00971F16"/>
    <w:rsid w:val="00972241"/>
    <w:rsid w:val="009724B2"/>
    <w:rsid w:val="00972DF3"/>
    <w:rsid w:val="00973F59"/>
    <w:rsid w:val="00974432"/>
    <w:rsid w:val="009745D7"/>
    <w:rsid w:val="009752A6"/>
    <w:rsid w:val="00975428"/>
    <w:rsid w:val="009759F1"/>
    <w:rsid w:val="00976038"/>
    <w:rsid w:val="009763FB"/>
    <w:rsid w:val="00976BE1"/>
    <w:rsid w:val="00976E2C"/>
    <w:rsid w:val="009771D5"/>
    <w:rsid w:val="009775E8"/>
    <w:rsid w:val="009807BD"/>
    <w:rsid w:val="00980A5B"/>
    <w:rsid w:val="00980EE1"/>
    <w:rsid w:val="00981619"/>
    <w:rsid w:val="00981AA2"/>
    <w:rsid w:val="009826EE"/>
    <w:rsid w:val="00983310"/>
    <w:rsid w:val="009833E0"/>
    <w:rsid w:val="00984670"/>
    <w:rsid w:val="009848B9"/>
    <w:rsid w:val="009858B6"/>
    <w:rsid w:val="00990248"/>
    <w:rsid w:val="00991B07"/>
    <w:rsid w:val="00991BFC"/>
    <w:rsid w:val="00992047"/>
    <w:rsid w:val="009924E2"/>
    <w:rsid w:val="00992F62"/>
    <w:rsid w:val="00993182"/>
    <w:rsid w:val="00994BA8"/>
    <w:rsid w:val="009952D7"/>
    <w:rsid w:val="00997863"/>
    <w:rsid w:val="009979E3"/>
    <w:rsid w:val="009A078B"/>
    <w:rsid w:val="009A0A71"/>
    <w:rsid w:val="009A0A75"/>
    <w:rsid w:val="009A0D9E"/>
    <w:rsid w:val="009A523B"/>
    <w:rsid w:val="009A694B"/>
    <w:rsid w:val="009A7961"/>
    <w:rsid w:val="009B238B"/>
    <w:rsid w:val="009B24A1"/>
    <w:rsid w:val="009B27FB"/>
    <w:rsid w:val="009B2FC8"/>
    <w:rsid w:val="009B35FF"/>
    <w:rsid w:val="009B4D38"/>
    <w:rsid w:val="009B560D"/>
    <w:rsid w:val="009B5A71"/>
    <w:rsid w:val="009B69F3"/>
    <w:rsid w:val="009B6CD8"/>
    <w:rsid w:val="009B72E5"/>
    <w:rsid w:val="009B7AEB"/>
    <w:rsid w:val="009C1EDF"/>
    <w:rsid w:val="009C3CE9"/>
    <w:rsid w:val="009C43C9"/>
    <w:rsid w:val="009C52E5"/>
    <w:rsid w:val="009C550F"/>
    <w:rsid w:val="009C7024"/>
    <w:rsid w:val="009C728A"/>
    <w:rsid w:val="009D0519"/>
    <w:rsid w:val="009D112F"/>
    <w:rsid w:val="009D1183"/>
    <w:rsid w:val="009D1890"/>
    <w:rsid w:val="009D2C14"/>
    <w:rsid w:val="009D3E3F"/>
    <w:rsid w:val="009D6EE7"/>
    <w:rsid w:val="009D79D6"/>
    <w:rsid w:val="009D7E2C"/>
    <w:rsid w:val="009E0E03"/>
    <w:rsid w:val="009E1628"/>
    <w:rsid w:val="009E179D"/>
    <w:rsid w:val="009E2DDD"/>
    <w:rsid w:val="009E3141"/>
    <w:rsid w:val="009E4416"/>
    <w:rsid w:val="009E55D1"/>
    <w:rsid w:val="009E6BFB"/>
    <w:rsid w:val="009E786D"/>
    <w:rsid w:val="009E7E0F"/>
    <w:rsid w:val="009F1A8F"/>
    <w:rsid w:val="009F1AAE"/>
    <w:rsid w:val="009F2146"/>
    <w:rsid w:val="009F2486"/>
    <w:rsid w:val="009F298B"/>
    <w:rsid w:val="009F402D"/>
    <w:rsid w:val="009F4273"/>
    <w:rsid w:val="009F60EC"/>
    <w:rsid w:val="009F6CE0"/>
    <w:rsid w:val="00A03023"/>
    <w:rsid w:val="00A03026"/>
    <w:rsid w:val="00A04F21"/>
    <w:rsid w:val="00A05154"/>
    <w:rsid w:val="00A053AD"/>
    <w:rsid w:val="00A0541F"/>
    <w:rsid w:val="00A06172"/>
    <w:rsid w:val="00A06437"/>
    <w:rsid w:val="00A06BB2"/>
    <w:rsid w:val="00A06C78"/>
    <w:rsid w:val="00A07CE3"/>
    <w:rsid w:val="00A103F0"/>
    <w:rsid w:val="00A1139A"/>
    <w:rsid w:val="00A11732"/>
    <w:rsid w:val="00A11D89"/>
    <w:rsid w:val="00A11E97"/>
    <w:rsid w:val="00A12034"/>
    <w:rsid w:val="00A12149"/>
    <w:rsid w:val="00A122B5"/>
    <w:rsid w:val="00A1354F"/>
    <w:rsid w:val="00A1482D"/>
    <w:rsid w:val="00A14C1C"/>
    <w:rsid w:val="00A14C82"/>
    <w:rsid w:val="00A15CFF"/>
    <w:rsid w:val="00A16476"/>
    <w:rsid w:val="00A16812"/>
    <w:rsid w:val="00A17C03"/>
    <w:rsid w:val="00A17C88"/>
    <w:rsid w:val="00A20043"/>
    <w:rsid w:val="00A22B73"/>
    <w:rsid w:val="00A2475C"/>
    <w:rsid w:val="00A2595B"/>
    <w:rsid w:val="00A266FD"/>
    <w:rsid w:val="00A27A81"/>
    <w:rsid w:val="00A30382"/>
    <w:rsid w:val="00A30B04"/>
    <w:rsid w:val="00A3139A"/>
    <w:rsid w:val="00A316E3"/>
    <w:rsid w:val="00A31FFF"/>
    <w:rsid w:val="00A32740"/>
    <w:rsid w:val="00A32E05"/>
    <w:rsid w:val="00A32EE5"/>
    <w:rsid w:val="00A347CD"/>
    <w:rsid w:val="00A34DAA"/>
    <w:rsid w:val="00A35261"/>
    <w:rsid w:val="00A36131"/>
    <w:rsid w:val="00A371AC"/>
    <w:rsid w:val="00A37482"/>
    <w:rsid w:val="00A41C95"/>
    <w:rsid w:val="00A4216C"/>
    <w:rsid w:val="00A43010"/>
    <w:rsid w:val="00A43307"/>
    <w:rsid w:val="00A43812"/>
    <w:rsid w:val="00A43AEC"/>
    <w:rsid w:val="00A45A22"/>
    <w:rsid w:val="00A46A88"/>
    <w:rsid w:val="00A474A5"/>
    <w:rsid w:val="00A50F87"/>
    <w:rsid w:val="00A51260"/>
    <w:rsid w:val="00A52388"/>
    <w:rsid w:val="00A52483"/>
    <w:rsid w:val="00A5280E"/>
    <w:rsid w:val="00A52A33"/>
    <w:rsid w:val="00A52A43"/>
    <w:rsid w:val="00A52B22"/>
    <w:rsid w:val="00A52DFC"/>
    <w:rsid w:val="00A52E0F"/>
    <w:rsid w:val="00A5348B"/>
    <w:rsid w:val="00A536DD"/>
    <w:rsid w:val="00A5385E"/>
    <w:rsid w:val="00A53B3A"/>
    <w:rsid w:val="00A54156"/>
    <w:rsid w:val="00A547C4"/>
    <w:rsid w:val="00A55281"/>
    <w:rsid w:val="00A55CB7"/>
    <w:rsid w:val="00A566CB"/>
    <w:rsid w:val="00A60218"/>
    <w:rsid w:val="00A61B2B"/>
    <w:rsid w:val="00A629E9"/>
    <w:rsid w:val="00A642BB"/>
    <w:rsid w:val="00A65A66"/>
    <w:rsid w:val="00A660B3"/>
    <w:rsid w:val="00A6616B"/>
    <w:rsid w:val="00A70A36"/>
    <w:rsid w:val="00A70DC7"/>
    <w:rsid w:val="00A7268B"/>
    <w:rsid w:val="00A72DE7"/>
    <w:rsid w:val="00A730CE"/>
    <w:rsid w:val="00A7355B"/>
    <w:rsid w:val="00A736B5"/>
    <w:rsid w:val="00A73980"/>
    <w:rsid w:val="00A7508A"/>
    <w:rsid w:val="00A7771B"/>
    <w:rsid w:val="00A7795B"/>
    <w:rsid w:val="00A8066B"/>
    <w:rsid w:val="00A81322"/>
    <w:rsid w:val="00A81880"/>
    <w:rsid w:val="00A82185"/>
    <w:rsid w:val="00A8301F"/>
    <w:rsid w:val="00A837C9"/>
    <w:rsid w:val="00A8395B"/>
    <w:rsid w:val="00A839A2"/>
    <w:rsid w:val="00A83D32"/>
    <w:rsid w:val="00A84613"/>
    <w:rsid w:val="00A84BEE"/>
    <w:rsid w:val="00A84EA5"/>
    <w:rsid w:val="00A8544A"/>
    <w:rsid w:val="00A90444"/>
    <w:rsid w:val="00A91669"/>
    <w:rsid w:val="00A92774"/>
    <w:rsid w:val="00A93D08"/>
    <w:rsid w:val="00A93EBB"/>
    <w:rsid w:val="00A9555F"/>
    <w:rsid w:val="00A95CB5"/>
    <w:rsid w:val="00A97AA3"/>
    <w:rsid w:val="00A97B00"/>
    <w:rsid w:val="00AA09B7"/>
    <w:rsid w:val="00AA1A1C"/>
    <w:rsid w:val="00AA1B64"/>
    <w:rsid w:val="00AA2726"/>
    <w:rsid w:val="00AA4564"/>
    <w:rsid w:val="00AA501F"/>
    <w:rsid w:val="00AA5B82"/>
    <w:rsid w:val="00AA6443"/>
    <w:rsid w:val="00AA6566"/>
    <w:rsid w:val="00AA6C60"/>
    <w:rsid w:val="00AA7B1F"/>
    <w:rsid w:val="00AB002D"/>
    <w:rsid w:val="00AB136B"/>
    <w:rsid w:val="00AB1BFB"/>
    <w:rsid w:val="00AB3C95"/>
    <w:rsid w:val="00AB3F62"/>
    <w:rsid w:val="00AB573D"/>
    <w:rsid w:val="00AB6EBB"/>
    <w:rsid w:val="00AB6FF7"/>
    <w:rsid w:val="00AB75FF"/>
    <w:rsid w:val="00AB7891"/>
    <w:rsid w:val="00AB7C7E"/>
    <w:rsid w:val="00AC0F5D"/>
    <w:rsid w:val="00AC1ACB"/>
    <w:rsid w:val="00AC1DBF"/>
    <w:rsid w:val="00AC365D"/>
    <w:rsid w:val="00AC3971"/>
    <w:rsid w:val="00AC3C1B"/>
    <w:rsid w:val="00AC3F26"/>
    <w:rsid w:val="00AC4920"/>
    <w:rsid w:val="00AC547A"/>
    <w:rsid w:val="00AC5BBE"/>
    <w:rsid w:val="00AC5C76"/>
    <w:rsid w:val="00AC72AE"/>
    <w:rsid w:val="00AC73BC"/>
    <w:rsid w:val="00AC76A5"/>
    <w:rsid w:val="00AC77D7"/>
    <w:rsid w:val="00AD1981"/>
    <w:rsid w:val="00AD1ADC"/>
    <w:rsid w:val="00AD1D5F"/>
    <w:rsid w:val="00AD245A"/>
    <w:rsid w:val="00AD26B7"/>
    <w:rsid w:val="00AD26E4"/>
    <w:rsid w:val="00AD38FC"/>
    <w:rsid w:val="00AD435C"/>
    <w:rsid w:val="00AD454F"/>
    <w:rsid w:val="00AD4D6F"/>
    <w:rsid w:val="00AD4E0E"/>
    <w:rsid w:val="00AD553A"/>
    <w:rsid w:val="00AD7200"/>
    <w:rsid w:val="00AE1D4C"/>
    <w:rsid w:val="00AE26F5"/>
    <w:rsid w:val="00AE2950"/>
    <w:rsid w:val="00AE3210"/>
    <w:rsid w:val="00AE34EE"/>
    <w:rsid w:val="00AE354B"/>
    <w:rsid w:val="00AE35E1"/>
    <w:rsid w:val="00AE41F7"/>
    <w:rsid w:val="00AE4A8E"/>
    <w:rsid w:val="00AE5241"/>
    <w:rsid w:val="00AE60B2"/>
    <w:rsid w:val="00AE6406"/>
    <w:rsid w:val="00AE7DBC"/>
    <w:rsid w:val="00AF038D"/>
    <w:rsid w:val="00AF0AD0"/>
    <w:rsid w:val="00AF2748"/>
    <w:rsid w:val="00AF49A8"/>
    <w:rsid w:val="00AF6200"/>
    <w:rsid w:val="00AF7CF0"/>
    <w:rsid w:val="00B00966"/>
    <w:rsid w:val="00B00BB9"/>
    <w:rsid w:val="00B00E81"/>
    <w:rsid w:val="00B01F3E"/>
    <w:rsid w:val="00B02DFA"/>
    <w:rsid w:val="00B04A37"/>
    <w:rsid w:val="00B0615B"/>
    <w:rsid w:val="00B06448"/>
    <w:rsid w:val="00B06764"/>
    <w:rsid w:val="00B073B2"/>
    <w:rsid w:val="00B07AB4"/>
    <w:rsid w:val="00B11505"/>
    <w:rsid w:val="00B11A82"/>
    <w:rsid w:val="00B138C3"/>
    <w:rsid w:val="00B13D60"/>
    <w:rsid w:val="00B13F03"/>
    <w:rsid w:val="00B1477B"/>
    <w:rsid w:val="00B1498A"/>
    <w:rsid w:val="00B14AF6"/>
    <w:rsid w:val="00B15AE8"/>
    <w:rsid w:val="00B17264"/>
    <w:rsid w:val="00B20007"/>
    <w:rsid w:val="00B20298"/>
    <w:rsid w:val="00B21B56"/>
    <w:rsid w:val="00B21CF4"/>
    <w:rsid w:val="00B22129"/>
    <w:rsid w:val="00B22791"/>
    <w:rsid w:val="00B23162"/>
    <w:rsid w:val="00B23972"/>
    <w:rsid w:val="00B23DEA"/>
    <w:rsid w:val="00B240C0"/>
    <w:rsid w:val="00B258E0"/>
    <w:rsid w:val="00B26504"/>
    <w:rsid w:val="00B2669E"/>
    <w:rsid w:val="00B313F2"/>
    <w:rsid w:val="00B315F0"/>
    <w:rsid w:val="00B31737"/>
    <w:rsid w:val="00B318EC"/>
    <w:rsid w:val="00B32267"/>
    <w:rsid w:val="00B32C2B"/>
    <w:rsid w:val="00B33134"/>
    <w:rsid w:val="00B3366C"/>
    <w:rsid w:val="00B337A3"/>
    <w:rsid w:val="00B342D1"/>
    <w:rsid w:val="00B34EFA"/>
    <w:rsid w:val="00B35214"/>
    <w:rsid w:val="00B35D4F"/>
    <w:rsid w:val="00B3660B"/>
    <w:rsid w:val="00B36839"/>
    <w:rsid w:val="00B36AC6"/>
    <w:rsid w:val="00B36DC8"/>
    <w:rsid w:val="00B37BFF"/>
    <w:rsid w:val="00B417F0"/>
    <w:rsid w:val="00B41A60"/>
    <w:rsid w:val="00B4443D"/>
    <w:rsid w:val="00B460D2"/>
    <w:rsid w:val="00B4684C"/>
    <w:rsid w:val="00B4781E"/>
    <w:rsid w:val="00B51BDE"/>
    <w:rsid w:val="00B5212F"/>
    <w:rsid w:val="00B52421"/>
    <w:rsid w:val="00B535C9"/>
    <w:rsid w:val="00B542A6"/>
    <w:rsid w:val="00B5473F"/>
    <w:rsid w:val="00B555C2"/>
    <w:rsid w:val="00B557BA"/>
    <w:rsid w:val="00B55B12"/>
    <w:rsid w:val="00B57176"/>
    <w:rsid w:val="00B57328"/>
    <w:rsid w:val="00B60CBA"/>
    <w:rsid w:val="00B62D75"/>
    <w:rsid w:val="00B634B4"/>
    <w:rsid w:val="00B64940"/>
    <w:rsid w:val="00B66216"/>
    <w:rsid w:val="00B66498"/>
    <w:rsid w:val="00B66760"/>
    <w:rsid w:val="00B7012F"/>
    <w:rsid w:val="00B70E31"/>
    <w:rsid w:val="00B7112A"/>
    <w:rsid w:val="00B71B20"/>
    <w:rsid w:val="00B71C39"/>
    <w:rsid w:val="00B72AA0"/>
    <w:rsid w:val="00B7419B"/>
    <w:rsid w:val="00B74DDA"/>
    <w:rsid w:val="00B75AD3"/>
    <w:rsid w:val="00B77699"/>
    <w:rsid w:val="00B81386"/>
    <w:rsid w:val="00B825B5"/>
    <w:rsid w:val="00B82D53"/>
    <w:rsid w:val="00B8335E"/>
    <w:rsid w:val="00B83505"/>
    <w:rsid w:val="00B83F42"/>
    <w:rsid w:val="00B85467"/>
    <w:rsid w:val="00B86523"/>
    <w:rsid w:val="00B87367"/>
    <w:rsid w:val="00B90C79"/>
    <w:rsid w:val="00B90F6E"/>
    <w:rsid w:val="00B91FC6"/>
    <w:rsid w:val="00B92354"/>
    <w:rsid w:val="00B96919"/>
    <w:rsid w:val="00B969B7"/>
    <w:rsid w:val="00BA09D5"/>
    <w:rsid w:val="00BA1382"/>
    <w:rsid w:val="00BA17D3"/>
    <w:rsid w:val="00BA29FA"/>
    <w:rsid w:val="00BA2AAC"/>
    <w:rsid w:val="00BA3ABF"/>
    <w:rsid w:val="00BA6165"/>
    <w:rsid w:val="00BA645A"/>
    <w:rsid w:val="00BA75EA"/>
    <w:rsid w:val="00BA7A8F"/>
    <w:rsid w:val="00BB04DD"/>
    <w:rsid w:val="00BB154F"/>
    <w:rsid w:val="00BB18D6"/>
    <w:rsid w:val="00BB43E2"/>
    <w:rsid w:val="00BB6777"/>
    <w:rsid w:val="00BB6A36"/>
    <w:rsid w:val="00BC014C"/>
    <w:rsid w:val="00BC03E1"/>
    <w:rsid w:val="00BC0AD9"/>
    <w:rsid w:val="00BC0F10"/>
    <w:rsid w:val="00BC21DE"/>
    <w:rsid w:val="00BC2362"/>
    <w:rsid w:val="00BC334C"/>
    <w:rsid w:val="00BC3F1F"/>
    <w:rsid w:val="00BC43CF"/>
    <w:rsid w:val="00BC4909"/>
    <w:rsid w:val="00BC4984"/>
    <w:rsid w:val="00BC57B8"/>
    <w:rsid w:val="00BC5C7C"/>
    <w:rsid w:val="00BC5FBA"/>
    <w:rsid w:val="00BC6EF9"/>
    <w:rsid w:val="00BC7430"/>
    <w:rsid w:val="00BC7860"/>
    <w:rsid w:val="00BD071B"/>
    <w:rsid w:val="00BD1233"/>
    <w:rsid w:val="00BD4E07"/>
    <w:rsid w:val="00BD5BBE"/>
    <w:rsid w:val="00BD6774"/>
    <w:rsid w:val="00BE0D5E"/>
    <w:rsid w:val="00BE1A5F"/>
    <w:rsid w:val="00BE1EC6"/>
    <w:rsid w:val="00BE3DBB"/>
    <w:rsid w:val="00BE5DCF"/>
    <w:rsid w:val="00BE5F58"/>
    <w:rsid w:val="00BE67A8"/>
    <w:rsid w:val="00BE69CC"/>
    <w:rsid w:val="00BF1441"/>
    <w:rsid w:val="00BF2624"/>
    <w:rsid w:val="00BF4366"/>
    <w:rsid w:val="00BF5767"/>
    <w:rsid w:val="00C0141F"/>
    <w:rsid w:val="00C01A77"/>
    <w:rsid w:val="00C01FE5"/>
    <w:rsid w:val="00C02278"/>
    <w:rsid w:val="00C02CBD"/>
    <w:rsid w:val="00C043FC"/>
    <w:rsid w:val="00C047F7"/>
    <w:rsid w:val="00C07E70"/>
    <w:rsid w:val="00C07F5E"/>
    <w:rsid w:val="00C101E7"/>
    <w:rsid w:val="00C1049A"/>
    <w:rsid w:val="00C10CB4"/>
    <w:rsid w:val="00C111DA"/>
    <w:rsid w:val="00C11D87"/>
    <w:rsid w:val="00C12891"/>
    <w:rsid w:val="00C12F17"/>
    <w:rsid w:val="00C141E9"/>
    <w:rsid w:val="00C14321"/>
    <w:rsid w:val="00C16077"/>
    <w:rsid w:val="00C17133"/>
    <w:rsid w:val="00C20AEA"/>
    <w:rsid w:val="00C215A2"/>
    <w:rsid w:val="00C21BBC"/>
    <w:rsid w:val="00C22748"/>
    <w:rsid w:val="00C239B6"/>
    <w:rsid w:val="00C23D78"/>
    <w:rsid w:val="00C26171"/>
    <w:rsid w:val="00C267FA"/>
    <w:rsid w:val="00C27741"/>
    <w:rsid w:val="00C27C11"/>
    <w:rsid w:val="00C27E36"/>
    <w:rsid w:val="00C30081"/>
    <w:rsid w:val="00C30B03"/>
    <w:rsid w:val="00C3142B"/>
    <w:rsid w:val="00C31D2A"/>
    <w:rsid w:val="00C31DC2"/>
    <w:rsid w:val="00C32525"/>
    <w:rsid w:val="00C325B7"/>
    <w:rsid w:val="00C3500D"/>
    <w:rsid w:val="00C353DF"/>
    <w:rsid w:val="00C368A5"/>
    <w:rsid w:val="00C36A78"/>
    <w:rsid w:val="00C36D7F"/>
    <w:rsid w:val="00C3752F"/>
    <w:rsid w:val="00C400CE"/>
    <w:rsid w:val="00C403FA"/>
    <w:rsid w:val="00C40E05"/>
    <w:rsid w:val="00C412E8"/>
    <w:rsid w:val="00C416B2"/>
    <w:rsid w:val="00C417D5"/>
    <w:rsid w:val="00C4211A"/>
    <w:rsid w:val="00C42422"/>
    <w:rsid w:val="00C42783"/>
    <w:rsid w:val="00C45111"/>
    <w:rsid w:val="00C461D2"/>
    <w:rsid w:val="00C461ED"/>
    <w:rsid w:val="00C46AFB"/>
    <w:rsid w:val="00C46C6B"/>
    <w:rsid w:val="00C47560"/>
    <w:rsid w:val="00C47836"/>
    <w:rsid w:val="00C5114A"/>
    <w:rsid w:val="00C5190D"/>
    <w:rsid w:val="00C519E7"/>
    <w:rsid w:val="00C52422"/>
    <w:rsid w:val="00C52A1E"/>
    <w:rsid w:val="00C52E8D"/>
    <w:rsid w:val="00C52F5E"/>
    <w:rsid w:val="00C530C4"/>
    <w:rsid w:val="00C5533D"/>
    <w:rsid w:val="00C5586E"/>
    <w:rsid w:val="00C57B2D"/>
    <w:rsid w:val="00C602EF"/>
    <w:rsid w:val="00C6036B"/>
    <w:rsid w:val="00C61293"/>
    <w:rsid w:val="00C61E57"/>
    <w:rsid w:val="00C623F5"/>
    <w:rsid w:val="00C63624"/>
    <w:rsid w:val="00C63AB8"/>
    <w:rsid w:val="00C64B02"/>
    <w:rsid w:val="00C65460"/>
    <w:rsid w:val="00C663A2"/>
    <w:rsid w:val="00C665AD"/>
    <w:rsid w:val="00C6681D"/>
    <w:rsid w:val="00C677C4"/>
    <w:rsid w:val="00C67873"/>
    <w:rsid w:val="00C67F30"/>
    <w:rsid w:val="00C7051B"/>
    <w:rsid w:val="00C7076B"/>
    <w:rsid w:val="00C708DD"/>
    <w:rsid w:val="00C71518"/>
    <w:rsid w:val="00C71712"/>
    <w:rsid w:val="00C717CA"/>
    <w:rsid w:val="00C7231A"/>
    <w:rsid w:val="00C72885"/>
    <w:rsid w:val="00C72D5A"/>
    <w:rsid w:val="00C73137"/>
    <w:rsid w:val="00C74129"/>
    <w:rsid w:val="00C74951"/>
    <w:rsid w:val="00C76AC6"/>
    <w:rsid w:val="00C76FBD"/>
    <w:rsid w:val="00C77DB4"/>
    <w:rsid w:val="00C80BE8"/>
    <w:rsid w:val="00C80CF8"/>
    <w:rsid w:val="00C82A94"/>
    <w:rsid w:val="00C82E6D"/>
    <w:rsid w:val="00C83509"/>
    <w:rsid w:val="00C8460B"/>
    <w:rsid w:val="00C865F1"/>
    <w:rsid w:val="00C87B59"/>
    <w:rsid w:val="00C90390"/>
    <w:rsid w:val="00C90671"/>
    <w:rsid w:val="00C9072B"/>
    <w:rsid w:val="00C90C22"/>
    <w:rsid w:val="00C920C2"/>
    <w:rsid w:val="00C92FBA"/>
    <w:rsid w:val="00C93DD5"/>
    <w:rsid w:val="00C94030"/>
    <w:rsid w:val="00C94181"/>
    <w:rsid w:val="00C94AC7"/>
    <w:rsid w:val="00C94D1D"/>
    <w:rsid w:val="00C972B4"/>
    <w:rsid w:val="00CA0E7C"/>
    <w:rsid w:val="00CA1A67"/>
    <w:rsid w:val="00CA1FDE"/>
    <w:rsid w:val="00CA294A"/>
    <w:rsid w:val="00CA419A"/>
    <w:rsid w:val="00CA431D"/>
    <w:rsid w:val="00CA47FD"/>
    <w:rsid w:val="00CA4B82"/>
    <w:rsid w:val="00CA6053"/>
    <w:rsid w:val="00CA7645"/>
    <w:rsid w:val="00CB0429"/>
    <w:rsid w:val="00CB0A58"/>
    <w:rsid w:val="00CB0D5B"/>
    <w:rsid w:val="00CB1050"/>
    <w:rsid w:val="00CB1E5A"/>
    <w:rsid w:val="00CB32D6"/>
    <w:rsid w:val="00CB3C0D"/>
    <w:rsid w:val="00CB61F4"/>
    <w:rsid w:val="00CB6F8E"/>
    <w:rsid w:val="00CB6F93"/>
    <w:rsid w:val="00CC0B04"/>
    <w:rsid w:val="00CC1144"/>
    <w:rsid w:val="00CC1E23"/>
    <w:rsid w:val="00CC29A4"/>
    <w:rsid w:val="00CC2AFF"/>
    <w:rsid w:val="00CC36B7"/>
    <w:rsid w:val="00CC3973"/>
    <w:rsid w:val="00CC3C3C"/>
    <w:rsid w:val="00CC436E"/>
    <w:rsid w:val="00CC45FF"/>
    <w:rsid w:val="00CC4933"/>
    <w:rsid w:val="00CC4F13"/>
    <w:rsid w:val="00CC53E2"/>
    <w:rsid w:val="00CC588C"/>
    <w:rsid w:val="00CC5B6C"/>
    <w:rsid w:val="00CC5F77"/>
    <w:rsid w:val="00CC6032"/>
    <w:rsid w:val="00CC605B"/>
    <w:rsid w:val="00CC60E0"/>
    <w:rsid w:val="00CC6B6D"/>
    <w:rsid w:val="00CC70B2"/>
    <w:rsid w:val="00CC781A"/>
    <w:rsid w:val="00CC7EA2"/>
    <w:rsid w:val="00CD0FD6"/>
    <w:rsid w:val="00CD2B89"/>
    <w:rsid w:val="00CD2C22"/>
    <w:rsid w:val="00CD3D4D"/>
    <w:rsid w:val="00CD41F2"/>
    <w:rsid w:val="00CD4A54"/>
    <w:rsid w:val="00CD5C4D"/>
    <w:rsid w:val="00CD63CD"/>
    <w:rsid w:val="00CD6482"/>
    <w:rsid w:val="00CD6A47"/>
    <w:rsid w:val="00CD6FF5"/>
    <w:rsid w:val="00CD7DD7"/>
    <w:rsid w:val="00CE37A3"/>
    <w:rsid w:val="00CE3F14"/>
    <w:rsid w:val="00CE41E2"/>
    <w:rsid w:val="00CE5754"/>
    <w:rsid w:val="00CE63C5"/>
    <w:rsid w:val="00CE7B15"/>
    <w:rsid w:val="00CE7C20"/>
    <w:rsid w:val="00CF03FB"/>
    <w:rsid w:val="00CF380E"/>
    <w:rsid w:val="00CF3DF8"/>
    <w:rsid w:val="00CF4E35"/>
    <w:rsid w:val="00CF639B"/>
    <w:rsid w:val="00CF6ECF"/>
    <w:rsid w:val="00CF799C"/>
    <w:rsid w:val="00D00298"/>
    <w:rsid w:val="00D010E5"/>
    <w:rsid w:val="00D019EF"/>
    <w:rsid w:val="00D01D25"/>
    <w:rsid w:val="00D02C49"/>
    <w:rsid w:val="00D03A85"/>
    <w:rsid w:val="00D0408D"/>
    <w:rsid w:val="00D04CAA"/>
    <w:rsid w:val="00D04EC6"/>
    <w:rsid w:val="00D04F55"/>
    <w:rsid w:val="00D07441"/>
    <w:rsid w:val="00D102C4"/>
    <w:rsid w:val="00D12254"/>
    <w:rsid w:val="00D12382"/>
    <w:rsid w:val="00D12A44"/>
    <w:rsid w:val="00D13283"/>
    <w:rsid w:val="00D145E5"/>
    <w:rsid w:val="00D157AE"/>
    <w:rsid w:val="00D164DF"/>
    <w:rsid w:val="00D16B70"/>
    <w:rsid w:val="00D16FEE"/>
    <w:rsid w:val="00D174E4"/>
    <w:rsid w:val="00D1796A"/>
    <w:rsid w:val="00D219CE"/>
    <w:rsid w:val="00D21ED0"/>
    <w:rsid w:val="00D225FA"/>
    <w:rsid w:val="00D23056"/>
    <w:rsid w:val="00D23144"/>
    <w:rsid w:val="00D234F6"/>
    <w:rsid w:val="00D23BC3"/>
    <w:rsid w:val="00D2520D"/>
    <w:rsid w:val="00D26DD5"/>
    <w:rsid w:val="00D26F7E"/>
    <w:rsid w:val="00D27E9A"/>
    <w:rsid w:val="00D30582"/>
    <w:rsid w:val="00D30F0D"/>
    <w:rsid w:val="00D31288"/>
    <w:rsid w:val="00D32538"/>
    <w:rsid w:val="00D36A4D"/>
    <w:rsid w:val="00D36DA9"/>
    <w:rsid w:val="00D37DC6"/>
    <w:rsid w:val="00D406D5"/>
    <w:rsid w:val="00D4078C"/>
    <w:rsid w:val="00D40D1B"/>
    <w:rsid w:val="00D41BD3"/>
    <w:rsid w:val="00D4220D"/>
    <w:rsid w:val="00D430FF"/>
    <w:rsid w:val="00D440FA"/>
    <w:rsid w:val="00D44277"/>
    <w:rsid w:val="00D4571A"/>
    <w:rsid w:val="00D4667A"/>
    <w:rsid w:val="00D468CF"/>
    <w:rsid w:val="00D46CB7"/>
    <w:rsid w:val="00D477C0"/>
    <w:rsid w:val="00D47811"/>
    <w:rsid w:val="00D500C7"/>
    <w:rsid w:val="00D50104"/>
    <w:rsid w:val="00D506B1"/>
    <w:rsid w:val="00D50894"/>
    <w:rsid w:val="00D51A8A"/>
    <w:rsid w:val="00D52316"/>
    <w:rsid w:val="00D5339B"/>
    <w:rsid w:val="00D533E7"/>
    <w:rsid w:val="00D54CF8"/>
    <w:rsid w:val="00D568E2"/>
    <w:rsid w:val="00D57646"/>
    <w:rsid w:val="00D60F62"/>
    <w:rsid w:val="00D61EB2"/>
    <w:rsid w:val="00D62E03"/>
    <w:rsid w:val="00D6341B"/>
    <w:rsid w:val="00D639CB"/>
    <w:rsid w:val="00D639E1"/>
    <w:rsid w:val="00D63C5C"/>
    <w:rsid w:val="00D647EA"/>
    <w:rsid w:val="00D64C32"/>
    <w:rsid w:val="00D64E11"/>
    <w:rsid w:val="00D64EC7"/>
    <w:rsid w:val="00D651D7"/>
    <w:rsid w:val="00D65524"/>
    <w:rsid w:val="00D65835"/>
    <w:rsid w:val="00D675FA"/>
    <w:rsid w:val="00D67869"/>
    <w:rsid w:val="00D71608"/>
    <w:rsid w:val="00D72174"/>
    <w:rsid w:val="00D74E33"/>
    <w:rsid w:val="00D76B41"/>
    <w:rsid w:val="00D76D01"/>
    <w:rsid w:val="00D76D79"/>
    <w:rsid w:val="00D7742D"/>
    <w:rsid w:val="00D804DA"/>
    <w:rsid w:val="00D80CA5"/>
    <w:rsid w:val="00D83904"/>
    <w:rsid w:val="00D83AA1"/>
    <w:rsid w:val="00D83F66"/>
    <w:rsid w:val="00D847FA"/>
    <w:rsid w:val="00D84C05"/>
    <w:rsid w:val="00D85165"/>
    <w:rsid w:val="00D86BC7"/>
    <w:rsid w:val="00D87D3E"/>
    <w:rsid w:val="00D909E0"/>
    <w:rsid w:val="00D90C59"/>
    <w:rsid w:val="00D91B9A"/>
    <w:rsid w:val="00D93559"/>
    <w:rsid w:val="00D9497A"/>
    <w:rsid w:val="00D94C94"/>
    <w:rsid w:val="00D95573"/>
    <w:rsid w:val="00D957B4"/>
    <w:rsid w:val="00D97540"/>
    <w:rsid w:val="00DA1B68"/>
    <w:rsid w:val="00DA2E55"/>
    <w:rsid w:val="00DA365D"/>
    <w:rsid w:val="00DA3DDD"/>
    <w:rsid w:val="00DA4A19"/>
    <w:rsid w:val="00DA562A"/>
    <w:rsid w:val="00DA58AE"/>
    <w:rsid w:val="00DA5EEF"/>
    <w:rsid w:val="00DA73CD"/>
    <w:rsid w:val="00DB089B"/>
    <w:rsid w:val="00DB08D0"/>
    <w:rsid w:val="00DB10D2"/>
    <w:rsid w:val="00DB294F"/>
    <w:rsid w:val="00DB3561"/>
    <w:rsid w:val="00DB3BC1"/>
    <w:rsid w:val="00DB491C"/>
    <w:rsid w:val="00DB54B5"/>
    <w:rsid w:val="00DB5733"/>
    <w:rsid w:val="00DB5BC0"/>
    <w:rsid w:val="00DB60D4"/>
    <w:rsid w:val="00DB682D"/>
    <w:rsid w:val="00DB6932"/>
    <w:rsid w:val="00DB6AE5"/>
    <w:rsid w:val="00DB7867"/>
    <w:rsid w:val="00DB7B59"/>
    <w:rsid w:val="00DC0479"/>
    <w:rsid w:val="00DC0D8D"/>
    <w:rsid w:val="00DC1218"/>
    <w:rsid w:val="00DC1338"/>
    <w:rsid w:val="00DC2EAC"/>
    <w:rsid w:val="00DC35B9"/>
    <w:rsid w:val="00DC42EA"/>
    <w:rsid w:val="00DC51D5"/>
    <w:rsid w:val="00DC553B"/>
    <w:rsid w:val="00DC59F8"/>
    <w:rsid w:val="00DC6096"/>
    <w:rsid w:val="00DC6199"/>
    <w:rsid w:val="00DC7030"/>
    <w:rsid w:val="00DC71B6"/>
    <w:rsid w:val="00DC765B"/>
    <w:rsid w:val="00DD044B"/>
    <w:rsid w:val="00DD05DA"/>
    <w:rsid w:val="00DD08B6"/>
    <w:rsid w:val="00DD150A"/>
    <w:rsid w:val="00DD42AC"/>
    <w:rsid w:val="00DD4329"/>
    <w:rsid w:val="00DD563F"/>
    <w:rsid w:val="00DD5845"/>
    <w:rsid w:val="00DD5B98"/>
    <w:rsid w:val="00DD5B9A"/>
    <w:rsid w:val="00DD6095"/>
    <w:rsid w:val="00DD6F17"/>
    <w:rsid w:val="00DD7150"/>
    <w:rsid w:val="00DD741B"/>
    <w:rsid w:val="00DE09D9"/>
    <w:rsid w:val="00DE0A1D"/>
    <w:rsid w:val="00DE0CB2"/>
    <w:rsid w:val="00DE1307"/>
    <w:rsid w:val="00DE1ABF"/>
    <w:rsid w:val="00DE2B33"/>
    <w:rsid w:val="00DE34E7"/>
    <w:rsid w:val="00DE355B"/>
    <w:rsid w:val="00DE3593"/>
    <w:rsid w:val="00DE4016"/>
    <w:rsid w:val="00DE4405"/>
    <w:rsid w:val="00DE5143"/>
    <w:rsid w:val="00DE54AF"/>
    <w:rsid w:val="00DE5E0B"/>
    <w:rsid w:val="00DE69F8"/>
    <w:rsid w:val="00DE7B00"/>
    <w:rsid w:val="00DE7FC9"/>
    <w:rsid w:val="00DF0904"/>
    <w:rsid w:val="00DF145D"/>
    <w:rsid w:val="00DF1D4B"/>
    <w:rsid w:val="00DF2235"/>
    <w:rsid w:val="00DF2E90"/>
    <w:rsid w:val="00DF507A"/>
    <w:rsid w:val="00DF541F"/>
    <w:rsid w:val="00DF5A16"/>
    <w:rsid w:val="00DF5F5B"/>
    <w:rsid w:val="00DF60EF"/>
    <w:rsid w:val="00DF6140"/>
    <w:rsid w:val="00DF6C58"/>
    <w:rsid w:val="00DF782D"/>
    <w:rsid w:val="00DF7A85"/>
    <w:rsid w:val="00E000B3"/>
    <w:rsid w:val="00E00257"/>
    <w:rsid w:val="00E003ED"/>
    <w:rsid w:val="00E00515"/>
    <w:rsid w:val="00E0289A"/>
    <w:rsid w:val="00E02B13"/>
    <w:rsid w:val="00E0374D"/>
    <w:rsid w:val="00E03ECF"/>
    <w:rsid w:val="00E03FFE"/>
    <w:rsid w:val="00E04988"/>
    <w:rsid w:val="00E04AFC"/>
    <w:rsid w:val="00E07A10"/>
    <w:rsid w:val="00E07AEF"/>
    <w:rsid w:val="00E11793"/>
    <w:rsid w:val="00E11F65"/>
    <w:rsid w:val="00E125A7"/>
    <w:rsid w:val="00E13D83"/>
    <w:rsid w:val="00E150DD"/>
    <w:rsid w:val="00E154BE"/>
    <w:rsid w:val="00E15594"/>
    <w:rsid w:val="00E157E5"/>
    <w:rsid w:val="00E1596C"/>
    <w:rsid w:val="00E16120"/>
    <w:rsid w:val="00E162D8"/>
    <w:rsid w:val="00E17376"/>
    <w:rsid w:val="00E23508"/>
    <w:rsid w:val="00E23744"/>
    <w:rsid w:val="00E26766"/>
    <w:rsid w:val="00E30DB7"/>
    <w:rsid w:val="00E31414"/>
    <w:rsid w:val="00E3182C"/>
    <w:rsid w:val="00E31EAE"/>
    <w:rsid w:val="00E3260B"/>
    <w:rsid w:val="00E32F9B"/>
    <w:rsid w:val="00E33556"/>
    <w:rsid w:val="00E33DB9"/>
    <w:rsid w:val="00E34352"/>
    <w:rsid w:val="00E349D0"/>
    <w:rsid w:val="00E36A40"/>
    <w:rsid w:val="00E3735A"/>
    <w:rsid w:val="00E374EE"/>
    <w:rsid w:val="00E405C9"/>
    <w:rsid w:val="00E40907"/>
    <w:rsid w:val="00E40F56"/>
    <w:rsid w:val="00E42101"/>
    <w:rsid w:val="00E429C6"/>
    <w:rsid w:val="00E42AB6"/>
    <w:rsid w:val="00E42E7D"/>
    <w:rsid w:val="00E431F2"/>
    <w:rsid w:val="00E44597"/>
    <w:rsid w:val="00E44801"/>
    <w:rsid w:val="00E44927"/>
    <w:rsid w:val="00E45901"/>
    <w:rsid w:val="00E466F6"/>
    <w:rsid w:val="00E46B82"/>
    <w:rsid w:val="00E47B9C"/>
    <w:rsid w:val="00E503E2"/>
    <w:rsid w:val="00E50C95"/>
    <w:rsid w:val="00E51B39"/>
    <w:rsid w:val="00E51FD1"/>
    <w:rsid w:val="00E52414"/>
    <w:rsid w:val="00E539B2"/>
    <w:rsid w:val="00E54A1E"/>
    <w:rsid w:val="00E54B79"/>
    <w:rsid w:val="00E557C4"/>
    <w:rsid w:val="00E56162"/>
    <w:rsid w:val="00E56BCF"/>
    <w:rsid w:val="00E56F54"/>
    <w:rsid w:val="00E57C17"/>
    <w:rsid w:val="00E60368"/>
    <w:rsid w:val="00E6164C"/>
    <w:rsid w:val="00E62BFD"/>
    <w:rsid w:val="00E62D8D"/>
    <w:rsid w:val="00E63B70"/>
    <w:rsid w:val="00E648B0"/>
    <w:rsid w:val="00E6504B"/>
    <w:rsid w:val="00E66733"/>
    <w:rsid w:val="00E66E09"/>
    <w:rsid w:val="00E7107F"/>
    <w:rsid w:val="00E71B2B"/>
    <w:rsid w:val="00E7215F"/>
    <w:rsid w:val="00E72235"/>
    <w:rsid w:val="00E725DE"/>
    <w:rsid w:val="00E72B49"/>
    <w:rsid w:val="00E73051"/>
    <w:rsid w:val="00E7374E"/>
    <w:rsid w:val="00E73EA3"/>
    <w:rsid w:val="00E74B94"/>
    <w:rsid w:val="00E7501B"/>
    <w:rsid w:val="00E754D2"/>
    <w:rsid w:val="00E756A7"/>
    <w:rsid w:val="00E75F4F"/>
    <w:rsid w:val="00E7676D"/>
    <w:rsid w:val="00E76B8D"/>
    <w:rsid w:val="00E80367"/>
    <w:rsid w:val="00E803A6"/>
    <w:rsid w:val="00E81C85"/>
    <w:rsid w:val="00E81CA8"/>
    <w:rsid w:val="00E82247"/>
    <w:rsid w:val="00E8247D"/>
    <w:rsid w:val="00E82B63"/>
    <w:rsid w:val="00E83529"/>
    <w:rsid w:val="00E83634"/>
    <w:rsid w:val="00E836CB"/>
    <w:rsid w:val="00E83860"/>
    <w:rsid w:val="00E8470C"/>
    <w:rsid w:val="00E870F3"/>
    <w:rsid w:val="00E8725A"/>
    <w:rsid w:val="00E90C2F"/>
    <w:rsid w:val="00E91274"/>
    <w:rsid w:val="00E92CB6"/>
    <w:rsid w:val="00E9390D"/>
    <w:rsid w:val="00E94960"/>
    <w:rsid w:val="00E953EF"/>
    <w:rsid w:val="00E95864"/>
    <w:rsid w:val="00E959F4"/>
    <w:rsid w:val="00E95CEE"/>
    <w:rsid w:val="00EA0B8C"/>
    <w:rsid w:val="00EA182A"/>
    <w:rsid w:val="00EA1EDF"/>
    <w:rsid w:val="00EA2923"/>
    <w:rsid w:val="00EA517C"/>
    <w:rsid w:val="00EA52D8"/>
    <w:rsid w:val="00EA63F5"/>
    <w:rsid w:val="00EA707F"/>
    <w:rsid w:val="00EA7D1A"/>
    <w:rsid w:val="00EB0B73"/>
    <w:rsid w:val="00EB168E"/>
    <w:rsid w:val="00EB2AE2"/>
    <w:rsid w:val="00EB2DFC"/>
    <w:rsid w:val="00EB530C"/>
    <w:rsid w:val="00EB5803"/>
    <w:rsid w:val="00EB665E"/>
    <w:rsid w:val="00EB6AD3"/>
    <w:rsid w:val="00EB7A02"/>
    <w:rsid w:val="00EB7B79"/>
    <w:rsid w:val="00EB7FF4"/>
    <w:rsid w:val="00EC004C"/>
    <w:rsid w:val="00EC0BAC"/>
    <w:rsid w:val="00EC0EFB"/>
    <w:rsid w:val="00EC16BF"/>
    <w:rsid w:val="00EC35FB"/>
    <w:rsid w:val="00EC3F6B"/>
    <w:rsid w:val="00EC3F9E"/>
    <w:rsid w:val="00EC4ACC"/>
    <w:rsid w:val="00EC55EF"/>
    <w:rsid w:val="00EC5DEA"/>
    <w:rsid w:val="00EC62F7"/>
    <w:rsid w:val="00EC6B76"/>
    <w:rsid w:val="00EC7849"/>
    <w:rsid w:val="00ED1376"/>
    <w:rsid w:val="00ED2FA0"/>
    <w:rsid w:val="00ED3642"/>
    <w:rsid w:val="00ED457B"/>
    <w:rsid w:val="00ED63EE"/>
    <w:rsid w:val="00ED662C"/>
    <w:rsid w:val="00ED6876"/>
    <w:rsid w:val="00ED6A73"/>
    <w:rsid w:val="00ED6C2F"/>
    <w:rsid w:val="00ED7C2C"/>
    <w:rsid w:val="00EE0C47"/>
    <w:rsid w:val="00EE1E51"/>
    <w:rsid w:val="00EE336D"/>
    <w:rsid w:val="00EE34B0"/>
    <w:rsid w:val="00EE37F5"/>
    <w:rsid w:val="00EE3C30"/>
    <w:rsid w:val="00EE5E0A"/>
    <w:rsid w:val="00EE6859"/>
    <w:rsid w:val="00EF1255"/>
    <w:rsid w:val="00EF4A87"/>
    <w:rsid w:val="00EF4E18"/>
    <w:rsid w:val="00EF4F8B"/>
    <w:rsid w:val="00EF532A"/>
    <w:rsid w:val="00EF537B"/>
    <w:rsid w:val="00EF5E31"/>
    <w:rsid w:val="00EF6B21"/>
    <w:rsid w:val="00EF73B7"/>
    <w:rsid w:val="00F003C9"/>
    <w:rsid w:val="00F0110B"/>
    <w:rsid w:val="00F01133"/>
    <w:rsid w:val="00F0159F"/>
    <w:rsid w:val="00F01DE4"/>
    <w:rsid w:val="00F0239C"/>
    <w:rsid w:val="00F02506"/>
    <w:rsid w:val="00F03243"/>
    <w:rsid w:val="00F034C0"/>
    <w:rsid w:val="00F04F07"/>
    <w:rsid w:val="00F05B80"/>
    <w:rsid w:val="00F05CC1"/>
    <w:rsid w:val="00F07015"/>
    <w:rsid w:val="00F100F0"/>
    <w:rsid w:val="00F10718"/>
    <w:rsid w:val="00F107E3"/>
    <w:rsid w:val="00F113F2"/>
    <w:rsid w:val="00F12796"/>
    <w:rsid w:val="00F12F02"/>
    <w:rsid w:val="00F14A3A"/>
    <w:rsid w:val="00F1520A"/>
    <w:rsid w:val="00F15440"/>
    <w:rsid w:val="00F15AD9"/>
    <w:rsid w:val="00F1677C"/>
    <w:rsid w:val="00F16782"/>
    <w:rsid w:val="00F21058"/>
    <w:rsid w:val="00F217C9"/>
    <w:rsid w:val="00F21E75"/>
    <w:rsid w:val="00F23156"/>
    <w:rsid w:val="00F23607"/>
    <w:rsid w:val="00F23794"/>
    <w:rsid w:val="00F245D9"/>
    <w:rsid w:val="00F24A9F"/>
    <w:rsid w:val="00F251EB"/>
    <w:rsid w:val="00F26883"/>
    <w:rsid w:val="00F27396"/>
    <w:rsid w:val="00F2797F"/>
    <w:rsid w:val="00F30143"/>
    <w:rsid w:val="00F30830"/>
    <w:rsid w:val="00F31526"/>
    <w:rsid w:val="00F327F1"/>
    <w:rsid w:val="00F33498"/>
    <w:rsid w:val="00F335A7"/>
    <w:rsid w:val="00F33CCA"/>
    <w:rsid w:val="00F35E89"/>
    <w:rsid w:val="00F36006"/>
    <w:rsid w:val="00F374B4"/>
    <w:rsid w:val="00F37C60"/>
    <w:rsid w:val="00F37DA1"/>
    <w:rsid w:val="00F400DB"/>
    <w:rsid w:val="00F410AD"/>
    <w:rsid w:val="00F41862"/>
    <w:rsid w:val="00F422C3"/>
    <w:rsid w:val="00F428F8"/>
    <w:rsid w:val="00F42A9E"/>
    <w:rsid w:val="00F42C73"/>
    <w:rsid w:val="00F43FB3"/>
    <w:rsid w:val="00F44CD7"/>
    <w:rsid w:val="00F45F2A"/>
    <w:rsid w:val="00F46593"/>
    <w:rsid w:val="00F46B6B"/>
    <w:rsid w:val="00F47244"/>
    <w:rsid w:val="00F51443"/>
    <w:rsid w:val="00F51853"/>
    <w:rsid w:val="00F51B3D"/>
    <w:rsid w:val="00F51ED7"/>
    <w:rsid w:val="00F51F34"/>
    <w:rsid w:val="00F53143"/>
    <w:rsid w:val="00F53542"/>
    <w:rsid w:val="00F53C77"/>
    <w:rsid w:val="00F54F74"/>
    <w:rsid w:val="00F555DF"/>
    <w:rsid w:val="00F56538"/>
    <w:rsid w:val="00F56885"/>
    <w:rsid w:val="00F56A18"/>
    <w:rsid w:val="00F577EC"/>
    <w:rsid w:val="00F578B5"/>
    <w:rsid w:val="00F579C8"/>
    <w:rsid w:val="00F606FF"/>
    <w:rsid w:val="00F60856"/>
    <w:rsid w:val="00F60986"/>
    <w:rsid w:val="00F62261"/>
    <w:rsid w:val="00F628BE"/>
    <w:rsid w:val="00F62D04"/>
    <w:rsid w:val="00F62F0A"/>
    <w:rsid w:val="00F6306B"/>
    <w:rsid w:val="00F63F92"/>
    <w:rsid w:val="00F64CFB"/>
    <w:rsid w:val="00F65D75"/>
    <w:rsid w:val="00F65F9E"/>
    <w:rsid w:val="00F66BFA"/>
    <w:rsid w:val="00F674E5"/>
    <w:rsid w:val="00F67714"/>
    <w:rsid w:val="00F67F8A"/>
    <w:rsid w:val="00F70187"/>
    <w:rsid w:val="00F70651"/>
    <w:rsid w:val="00F71229"/>
    <w:rsid w:val="00F717F8"/>
    <w:rsid w:val="00F71C3C"/>
    <w:rsid w:val="00F71DFF"/>
    <w:rsid w:val="00F72AB7"/>
    <w:rsid w:val="00F72E37"/>
    <w:rsid w:val="00F740F8"/>
    <w:rsid w:val="00F7442C"/>
    <w:rsid w:val="00F74433"/>
    <w:rsid w:val="00F7448C"/>
    <w:rsid w:val="00F74756"/>
    <w:rsid w:val="00F75C0F"/>
    <w:rsid w:val="00F76079"/>
    <w:rsid w:val="00F77739"/>
    <w:rsid w:val="00F77A77"/>
    <w:rsid w:val="00F80843"/>
    <w:rsid w:val="00F80F67"/>
    <w:rsid w:val="00F81471"/>
    <w:rsid w:val="00F817BF"/>
    <w:rsid w:val="00F81F6D"/>
    <w:rsid w:val="00F822F5"/>
    <w:rsid w:val="00F825D9"/>
    <w:rsid w:val="00F830D9"/>
    <w:rsid w:val="00F83A62"/>
    <w:rsid w:val="00F84064"/>
    <w:rsid w:val="00F84B9F"/>
    <w:rsid w:val="00F850EE"/>
    <w:rsid w:val="00F8561E"/>
    <w:rsid w:val="00F85CC9"/>
    <w:rsid w:val="00F85F36"/>
    <w:rsid w:val="00F8609F"/>
    <w:rsid w:val="00F8670C"/>
    <w:rsid w:val="00F86AE6"/>
    <w:rsid w:val="00F87587"/>
    <w:rsid w:val="00F87D8A"/>
    <w:rsid w:val="00F9089C"/>
    <w:rsid w:val="00F90CA1"/>
    <w:rsid w:val="00F90D01"/>
    <w:rsid w:val="00F90D2F"/>
    <w:rsid w:val="00F91F53"/>
    <w:rsid w:val="00F92D5D"/>
    <w:rsid w:val="00F93BBA"/>
    <w:rsid w:val="00F93BC7"/>
    <w:rsid w:val="00F93D0E"/>
    <w:rsid w:val="00F94D53"/>
    <w:rsid w:val="00F960CF"/>
    <w:rsid w:val="00F96558"/>
    <w:rsid w:val="00F9716F"/>
    <w:rsid w:val="00F9744C"/>
    <w:rsid w:val="00F975B7"/>
    <w:rsid w:val="00F979D2"/>
    <w:rsid w:val="00FA07CA"/>
    <w:rsid w:val="00FA2495"/>
    <w:rsid w:val="00FA3093"/>
    <w:rsid w:val="00FA30DF"/>
    <w:rsid w:val="00FA44BF"/>
    <w:rsid w:val="00FA4D03"/>
    <w:rsid w:val="00FA6056"/>
    <w:rsid w:val="00FA7156"/>
    <w:rsid w:val="00FA74F3"/>
    <w:rsid w:val="00FA7968"/>
    <w:rsid w:val="00FB230D"/>
    <w:rsid w:val="00FB232F"/>
    <w:rsid w:val="00FB25AC"/>
    <w:rsid w:val="00FB2F83"/>
    <w:rsid w:val="00FB32EB"/>
    <w:rsid w:val="00FB3C8C"/>
    <w:rsid w:val="00FB44E7"/>
    <w:rsid w:val="00FB4BE5"/>
    <w:rsid w:val="00FB544A"/>
    <w:rsid w:val="00FB7ED1"/>
    <w:rsid w:val="00FB7FA1"/>
    <w:rsid w:val="00FC0371"/>
    <w:rsid w:val="00FC03C3"/>
    <w:rsid w:val="00FC0C40"/>
    <w:rsid w:val="00FC0F45"/>
    <w:rsid w:val="00FC1BC2"/>
    <w:rsid w:val="00FC21E4"/>
    <w:rsid w:val="00FC43B3"/>
    <w:rsid w:val="00FC48DB"/>
    <w:rsid w:val="00FC5DD8"/>
    <w:rsid w:val="00FC61FE"/>
    <w:rsid w:val="00FD01BA"/>
    <w:rsid w:val="00FD14E0"/>
    <w:rsid w:val="00FD24D3"/>
    <w:rsid w:val="00FD38A4"/>
    <w:rsid w:val="00FD3FC0"/>
    <w:rsid w:val="00FD4082"/>
    <w:rsid w:val="00FD445C"/>
    <w:rsid w:val="00FD4ABD"/>
    <w:rsid w:val="00FD546A"/>
    <w:rsid w:val="00FD5AC9"/>
    <w:rsid w:val="00FD64F0"/>
    <w:rsid w:val="00FD73E6"/>
    <w:rsid w:val="00FD7CEA"/>
    <w:rsid w:val="00FE09EF"/>
    <w:rsid w:val="00FE15A4"/>
    <w:rsid w:val="00FE1C84"/>
    <w:rsid w:val="00FE2CE3"/>
    <w:rsid w:val="00FE2FEB"/>
    <w:rsid w:val="00FE3C36"/>
    <w:rsid w:val="00FE3C6D"/>
    <w:rsid w:val="00FE513E"/>
    <w:rsid w:val="00FE5395"/>
    <w:rsid w:val="00FE549E"/>
    <w:rsid w:val="00FE5C63"/>
    <w:rsid w:val="00FE604B"/>
    <w:rsid w:val="00FE6881"/>
    <w:rsid w:val="00FE6A47"/>
    <w:rsid w:val="00FE727E"/>
    <w:rsid w:val="00FE77C4"/>
    <w:rsid w:val="00FF16E3"/>
    <w:rsid w:val="00FF1725"/>
    <w:rsid w:val="00FF1ECF"/>
    <w:rsid w:val="00FF3C08"/>
    <w:rsid w:val="00FF3F45"/>
    <w:rsid w:val="00FF50B6"/>
    <w:rsid w:val="00FF54D2"/>
    <w:rsid w:val="00FF5F2E"/>
    <w:rsid w:val="00FF5F80"/>
    <w:rsid w:val="00FF671C"/>
    <w:rsid w:val="00FF7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79CA1"/>
  <w15:chartTrackingRefBased/>
  <w15:docId w15:val="{2077C7C0-0318-4807-BC17-D51B9D4A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43"/>
  </w:style>
  <w:style w:type="paragraph" w:styleId="Heading1">
    <w:name w:val="heading 1"/>
    <w:basedOn w:val="Normal"/>
    <w:next w:val="Normal"/>
    <w:link w:val="Heading1Char"/>
    <w:uiPriority w:val="9"/>
    <w:qFormat/>
    <w:rsid w:val="00863D5E"/>
    <w:pPr>
      <w:numPr>
        <w:numId w:val="1"/>
      </w:numPr>
      <w:outlineLvl w:val="0"/>
    </w:pPr>
    <w:rPr>
      <w:b/>
      <w:bCs/>
    </w:rPr>
  </w:style>
  <w:style w:type="paragraph" w:styleId="Heading2">
    <w:name w:val="heading 2"/>
    <w:basedOn w:val="Heading1"/>
    <w:next w:val="Normal"/>
    <w:link w:val="Heading2Char"/>
    <w:uiPriority w:val="9"/>
    <w:unhideWhenUsed/>
    <w:qFormat/>
    <w:rsid w:val="00863D5E"/>
    <w:pPr>
      <w:numPr>
        <w:numId w:val="0"/>
      </w:numPr>
      <w:outlineLvl w:val="1"/>
    </w:pPr>
    <w:rPr>
      <w:sz w:val="22"/>
      <w:szCs w:val="22"/>
    </w:rPr>
  </w:style>
  <w:style w:type="paragraph" w:styleId="Heading3">
    <w:name w:val="heading 3"/>
    <w:basedOn w:val="Normal"/>
    <w:next w:val="Normal"/>
    <w:link w:val="Heading3Char"/>
    <w:uiPriority w:val="9"/>
    <w:semiHidden/>
    <w:unhideWhenUsed/>
    <w:qFormat/>
    <w:rsid w:val="002C4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D5E"/>
    <w:rPr>
      <w:b/>
      <w:bCs/>
    </w:rPr>
  </w:style>
  <w:style w:type="character" w:customStyle="1" w:styleId="Heading2Char">
    <w:name w:val="Heading 2 Char"/>
    <w:basedOn w:val="DefaultParagraphFont"/>
    <w:link w:val="Heading2"/>
    <w:uiPriority w:val="9"/>
    <w:rsid w:val="00863D5E"/>
    <w:rPr>
      <w:b/>
      <w:bCs/>
      <w:sz w:val="22"/>
      <w:szCs w:val="22"/>
    </w:rPr>
  </w:style>
  <w:style w:type="character" w:customStyle="1" w:styleId="Heading3Char">
    <w:name w:val="Heading 3 Char"/>
    <w:basedOn w:val="DefaultParagraphFont"/>
    <w:link w:val="Heading3"/>
    <w:uiPriority w:val="9"/>
    <w:semiHidden/>
    <w:rsid w:val="002C4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760"/>
    <w:rPr>
      <w:rFonts w:eastAsiaTheme="majorEastAsia" w:cstheme="majorBidi"/>
      <w:color w:val="272727" w:themeColor="text1" w:themeTint="D8"/>
    </w:rPr>
  </w:style>
  <w:style w:type="paragraph" w:styleId="Title">
    <w:name w:val="Title"/>
    <w:basedOn w:val="Normal"/>
    <w:next w:val="Normal"/>
    <w:link w:val="TitleChar"/>
    <w:uiPriority w:val="10"/>
    <w:qFormat/>
    <w:rsid w:val="002C4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06C"/>
    <w:pPr>
      <w:spacing w:before="160"/>
      <w:jc w:val="center"/>
    </w:pPr>
    <w:rPr>
      <w:i/>
      <w:iCs/>
      <w:color w:val="404040" w:themeColor="text1" w:themeTint="BF"/>
      <w:sz w:val="22"/>
      <w:szCs w:val="22"/>
    </w:rPr>
  </w:style>
  <w:style w:type="character" w:customStyle="1" w:styleId="QuoteChar">
    <w:name w:val="Quote Char"/>
    <w:basedOn w:val="DefaultParagraphFont"/>
    <w:link w:val="Quote"/>
    <w:uiPriority w:val="29"/>
    <w:rsid w:val="0061206C"/>
    <w:rPr>
      <w:i/>
      <w:iCs/>
      <w:color w:val="404040" w:themeColor="text1" w:themeTint="BF"/>
      <w:sz w:val="22"/>
      <w:szCs w:val="22"/>
    </w:rPr>
  </w:style>
  <w:style w:type="paragraph" w:styleId="ListParagraph">
    <w:name w:val="List Paragraph"/>
    <w:basedOn w:val="Normal"/>
    <w:uiPriority w:val="34"/>
    <w:qFormat/>
    <w:rsid w:val="002C4760"/>
    <w:pPr>
      <w:ind w:left="720"/>
      <w:contextualSpacing/>
    </w:pPr>
  </w:style>
  <w:style w:type="character" w:styleId="IntenseEmphasis">
    <w:name w:val="Intense Emphasis"/>
    <w:basedOn w:val="DefaultParagraphFont"/>
    <w:uiPriority w:val="21"/>
    <w:qFormat/>
    <w:rsid w:val="002C4760"/>
    <w:rPr>
      <w:i/>
      <w:iCs/>
      <w:color w:val="0F4761" w:themeColor="accent1" w:themeShade="BF"/>
    </w:rPr>
  </w:style>
  <w:style w:type="paragraph" w:styleId="IntenseQuote">
    <w:name w:val="Intense Quote"/>
    <w:basedOn w:val="Normal"/>
    <w:next w:val="Normal"/>
    <w:link w:val="IntenseQuoteChar"/>
    <w:uiPriority w:val="30"/>
    <w:qFormat/>
    <w:rsid w:val="002C4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760"/>
    <w:rPr>
      <w:i/>
      <w:iCs/>
      <w:color w:val="0F4761" w:themeColor="accent1" w:themeShade="BF"/>
    </w:rPr>
  </w:style>
  <w:style w:type="character" w:styleId="IntenseReference">
    <w:name w:val="Intense Reference"/>
    <w:basedOn w:val="DefaultParagraphFont"/>
    <w:uiPriority w:val="32"/>
    <w:qFormat/>
    <w:rsid w:val="002C4760"/>
    <w:rPr>
      <w:b/>
      <w:bCs/>
      <w:smallCaps/>
      <w:color w:val="0F4761" w:themeColor="accent1" w:themeShade="BF"/>
      <w:spacing w:val="5"/>
    </w:rPr>
  </w:style>
  <w:style w:type="paragraph" w:styleId="Header">
    <w:name w:val="header"/>
    <w:basedOn w:val="Normal"/>
    <w:link w:val="HeaderChar"/>
    <w:uiPriority w:val="99"/>
    <w:unhideWhenUsed/>
    <w:rsid w:val="002C4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60"/>
  </w:style>
  <w:style w:type="paragraph" w:styleId="Footer">
    <w:name w:val="footer"/>
    <w:basedOn w:val="Normal"/>
    <w:link w:val="FooterChar"/>
    <w:uiPriority w:val="99"/>
    <w:unhideWhenUsed/>
    <w:rsid w:val="002C4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60"/>
  </w:style>
  <w:style w:type="table" w:styleId="TableGrid">
    <w:name w:val="Table Grid"/>
    <w:basedOn w:val="TableNormal"/>
    <w:uiPriority w:val="39"/>
    <w:rsid w:val="00C84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6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71C"/>
    <w:rPr>
      <w:sz w:val="20"/>
      <w:szCs w:val="20"/>
    </w:rPr>
  </w:style>
  <w:style w:type="character" w:styleId="FootnoteReference">
    <w:name w:val="footnote reference"/>
    <w:basedOn w:val="DefaultParagraphFont"/>
    <w:uiPriority w:val="99"/>
    <w:semiHidden/>
    <w:unhideWhenUsed/>
    <w:rsid w:val="00FF671C"/>
    <w:rPr>
      <w:vertAlign w:val="superscript"/>
    </w:rPr>
  </w:style>
  <w:style w:type="paragraph" w:styleId="Revision">
    <w:name w:val="Revision"/>
    <w:hidden/>
    <w:uiPriority w:val="99"/>
    <w:semiHidden/>
    <w:rsid w:val="007E5F4B"/>
    <w:pPr>
      <w:spacing w:after="0" w:line="240" w:lineRule="auto"/>
    </w:pPr>
  </w:style>
  <w:style w:type="character" w:styleId="CommentReference">
    <w:name w:val="annotation reference"/>
    <w:basedOn w:val="DefaultParagraphFont"/>
    <w:uiPriority w:val="99"/>
    <w:semiHidden/>
    <w:unhideWhenUsed/>
    <w:rsid w:val="00836E57"/>
    <w:rPr>
      <w:sz w:val="16"/>
      <w:szCs w:val="16"/>
    </w:rPr>
  </w:style>
  <w:style w:type="paragraph" w:styleId="CommentText">
    <w:name w:val="annotation text"/>
    <w:basedOn w:val="Normal"/>
    <w:link w:val="CommentTextChar"/>
    <w:uiPriority w:val="99"/>
    <w:unhideWhenUsed/>
    <w:rsid w:val="00836E57"/>
    <w:pPr>
      <w:spacing w:line="240" w:lineRule="auto"/>
    </w:pPr>
    <w:rPr>
      <w:sz w:val="20"/>
      <w:szCs w:val="20"/>
    </w:rPr>
  </w:style>
  <w:style w:type="character" w:customStyle="1" w:styleId="CommentTextChar">
    <w:name w:val="Comment Text Char"/>
    <w:basedOn w:val="DefaultParagraphFont"/>
    <w:link w:val="CommentText"/>
    <w:uiPriority w:val="99"/>
    <w:rsid w:val="00836E57"/>
    <w:rPr>
      <w:sz w:val="20"/>
      <w:szCs w:val="20"/>
    </w:rPr>
  </w:style>
  <w:style w:type="paragraph" w:styleId="CommentSubject">
    <w:name w:val="annotation subject"/>
    <w:basedOn w:val="CommentText"/>
    <w:next w:val="CommentText"/>
    <w:link w:val="CommentSubjectChar"/>
    <w:uiPriority w:val="99"/>
    <w:semiHidden/>
    <w:unhideWhenUsed/>
    <w:rsid w:val="00836E57"/>
    <w:rPr>
      <w:b/>
      <w:bCs/>
    </w:rPr>
  </w:style>
  <w:style w:type="character" w:customStyle="1" w:styleId="CommentSubjectChar">
    <w:name w:val="Comment Subject Char"/>
    <w:basedOn w:val="CommentTextChar"/>
    <w:link w:val="CommentSubject"/>
    <w:uiPriority w:val="99"/>
    <w:semiHidden/>
    <w:rsid w:val="00836E57"/>
    <w:rPr>
      <w:b/>
      <w:bCs/>
      <w:sz w:val="20"/>
      <w:szCs w:val="20"/>
    </w:rPr>
  </w:style>
  <w:style w:type="paragraph" w:customStyle="1" w:styleId="TabletextsmallHDMES">
    <w:name w:val="Table text small HDMES"/>
    <w:basedOn w:val="Normal"/>
    <w:next w:val="Normal"/>
    <w:qFormat/>
    <w:rsid w:val="00165D74"/>
    <w:pPr>
      <w:spacing w:before="20" w:after="20" w:line="252" w:lineRule="auto"/>
    </w:pPr>
    <w:rPr>
      <w:rFonts w:ascii="Calibri" w:eastAsia="Calibri" w:hAnsi="Calibri" w:cs="Times New Roman"/>
      <w:kern w:val="0"/>
      <w:sz w:val="20"/>
      <w:szCs w:val="22"/>
      <w14:ligatures w14:val="none"/>
    </w:rPr>
  </w:style>
  <w:style w:type="paragraph" w:customStyle="1" w:styleId="StyleguidetextbulletleadHDMES">
    <w:name w:val="Styleguide text bullet lead HDMES"/>
    <w:basedOn w:val="Normal"/>
    <w:next w:val="Normal"/>
    <w:qFormat/>
    <w:rsid w:val="00165D74"/>
    <w:pPr>
      <w:spacing w:after="120" w:line="252" w:lineRule="auto"/>
    </w:pPr>
    <w:rPr>
      <w:rFonts w:ascii="Calibri" w:eastAsia="Calibri" w:hAnsi="Calibri" w:cs="Times New Roman"/>
      <w:kern w:val="0"/>
      <w:sz w:val="22"/>
      <w:szCs w:val="22"/>
      <w14:ligatures w14:val="none"/>
    </w:rPr>
  </w:style>
  <w:style w:type="paragraph" w:customStyle="1" w:styleId="TableheadingsmallreverseHDMES">
    <w:name w:val="Table heading small reverse HDMES"/>
    <w:basedOn w:val="Normal"/>
    <w:qFormat/>
    <w:rsid w:val="00165D74"/>
    <w:pPr>
      <w:spacing w:before="60" w:after="40" w:line="252" w:lineRule="auto"/>
    </w:pPr>
    <w:rPr>
      <w:rFonts w:ascii="Franklin Gothic Demi" w:eastAsia="Calibri" w:hAnsi="Franklin Gothic Demi" w:cs="Times New Roman"/>
      <w:color w:val="F2F2F2"/>
      <w:kern w:val="0"/>
      <w:sz w:val="20"/>
      <w:szCs w:val="22"/>
      <w14:ligatures w14:val="none"/>
    </w:rPr>
  </w:style>
  <w:style w:type="paragraph" w:customStyle="1" w:styleId="TabletextHDMES">
    <w:name w:val="Table text HDMES"/>
    <w:basedOn w:val="Normal"/>
    <w:qFormat/>
    <w:rsid w:val="00E7215F"/>
    <w:pPr>
      <w:spacing w:before="40" w:after="40" w:line="252" w:lineRule="auto"/>
    </w:pPr>
    <w:rPr>
      <w:rFonts w:ascii="Calibri" w:eastAsia="Calibri" w:hAnsi="Calibri" w:cs="Times New Roman"/>
      <w:kern w:val="0"/>
      <w:sz w:val="22"/>
      <w:szCs w:val="22"/>
      <w14:ligatures w14:val="none"/>
    </w:rPr>
  </w:style>
  <w:style w:type="paragraph" w:styleId="TOCHeading">
    <w:name w:val="TOC Heading"/>
    <w:basedOn w:val="Heading1"/>
    <w:next w:val="Normal"/>
    <w:uiPriority w:val="39"/>
    <w:unhideWhenUsed/>
    <w:qFormat/>
    <w:rsid w:val="00DD6095"/>
    <w:pPr>
      <w:keepNext/>
      <w:keepLines/>
      <w:spacing w:before="240" w:after="0" w:line="259" w:lineRule="auto"/>
      <w:outlineLvl w:val="9"/>
    </w:pPr>
    <w:rPr>
      <w:rFonts w:asciiTheme="majorHAnsi" w:eastAsiaTheme="majorEastAsia" w:hAnsiTheme="majorHAnsi" w:cstheme="majorBidi"/>
      <w:b w:val="0"/>
      <w:bCs w:val="0"/>
      <w:color w:val="0F4761" w:themeColor="accent1" w:themeShade="BF"/>
      <w:kern w:val="0"/>
      <w:sz w:val="32"/>
      <w:szCs w:val="32"/>
      <w:lang w:eastAsia="en-AU"/>
      <w14:ligatures w14:val="none"/>
    </w:rPr>
  </w:style>
  <w:style w:type="paragraph" w:styleId="TOC1">
    <w:name w:val="toc 1"/>
    <w:basedOn w:val="Normal"/>
    <w:next w:val="Normal"/>
    <w:autoRedefine/>
    <w:uiPriority w:val="39"/>
    <w:unhideWhenUsed/>
    <w:rsid w:val="00DD6095"/>
    <w:pPr>
      <w:spacing w:after="100"/>
    </w:pPr>
  </w:style>
  <w:style w:type="character" w:styleId="Hyperlink">
    <w:name w:val="Hyperlink"/>
    <w:basedOn w:val="DefaultParagraphFont"/>
    <w:uiPriority w:val="99"/>
    <w:unhideWhenUsed/>
    <w:rsid w:val="00DD6095"/>
    <w:rPr>
      <w:color w:val="467886" w:themeColor="hyperlink"/>
      <w:u w:val="single"/>
    </w:rPr>
  </w:style>
  <w:style w:type="paragraph" w:styleId="TOC2">
    <w:name w:val="toc 2"/>
    <w:basedOn w:val="Normal"/>
    <w:next w:val="Normal"/>
    <w:autoRedefine/>
    <w:uiPriority w:val="39"/>
    <w:unhideWhenUsed/>
    <w:rsid w:val="00C141E9"/>
    <w:pPr>
      <w:spacing w:after="100"/>
      <w:ind w:left="240"/>
    </w:pPr>
  </w:style>
  <w:style w:type="paragraph" w:customStyle="1" w:styleId="TableParagraph">
    <w:name w:val="Table Paragraph"/>
    <w:basedOn w:val="Normal"/>
    <w:uiPriority w:val="1"/>
    <w:qFormat/>
    <w:rsid w:val="008F5D80"/>
    <w:pPr>
      <w:widowControl w:val="0"/>
      <w:autoSpaceDE w:val="0"/>
      <w:autoSpaceDN w:val="0"/>
      <w:adjustRightInd w:val="0"/>
      <w:spacing w:after="0" w:line="240" w:lineRule="auto"/>
      <w:ind w:left="827" w:hanging="360"/>
    </w:pPr>
    <w:rPr>
      <w:rFonts w:ascii="Arial" w:eastAsia="Times New Roman" w:hAnsi="Arial" w:cs="Arial"/>
      <w:kern w:val="0"/>
      <w:lang w:eastAsia="en-AU"/>
      <w14:ligatures w14:val="none"/>
    </w:rPr>
  </w:style>
  <w:style w:type="paragraph" w:styleId="Caption">
    <w:name w:val="caption"/>
    <w:basedOn w:val="Normal"/>
    <w:next w:val="Normal"/>
    <w:uiPriority w:val="35"/>
    <w:unhideWhenUsed/>
    <w:qFormat/>
    <w:rsid w:val="00C72885"/>
    <w:pPr>
      <w:spacing w:after="200" w:line="240" w:lineRule="auto"/>
    </w:pPr>
    <w:rPr>
      <w:i/>
      <w:iCs/>
      <w:color w:val="0E2841" w:themeColor="text2"/>
      <w:sz w:val="18"/>
      <w:szCs w:val="18"/>
    </w:rPr>
  </w:style>
  <w:style w:type="paragraph" w:customStyle="1" w:styleId="BodyCopyBullets">
    <w:name w:val="Body Copy Bullets"/>
    <w:basedOn w:val="Normal"/>
    <w:qFormat/>
    <w:rsid w:val="00830484"/>
    <w:pPr>
      <w:spacing w:before="40" w:after="120" w:line="240" w:lineRule="auto"/>
    </w:pPr>
    <w:rPr>
      <w:rFonts w:ascii="Calibri Light" w:eastAsia="Calibri" w:hAnsi="Calibri Light" w:cs="Calibri Light"/>
      <w:color w:val="313E48"/>
      <w:kern w:val="0"/>
      <w:sz w:val="22"/>
      <w:szCs w:val="21"/>
      <w14:ligatures w14:val="none"/>
    </w:rPr>
  </w:style>
  <w:style w:type="paragraph" w:customStyle="1" w:styleId="TableBodyCopy">
    <w:name w:val="Table Body Copy"/>
    <w:basedOn w:val="Normal"/>
    <w:qFormat/>
    <w:rsid w:val="002D2A6C"/>
    <w:pPr>
      <w:spacing w:before="40" w:after="40" w:line="240" w:lineRule="auto"/>
    </w:pPr>
    <w:rPr>
      <w:rFonts w:ascii="Calibri Light" w:eastAsia="Calibri" w:hAnsi="Calibri Light" w:cs="Calibri Light"/>
      <w:color w:val="313E48"/>
      <w:kern w:val="0"/>
      <w:sz w:val="22"/>
      <w:szCs w:val="21"/>
      <w14:ligatures w14:val="none"/>
    </w:rPr>
  </w:style>
  <w:style w:type="paragraph" w:styleId="EndnoteText">
    <w:name w:val="endnote text"/>
    <w:basedOn w:val="Normal"/>
    <w:link w:val="EndnoteTextChar"/>
    <w:uiPriority w:val="99"/>
    <w:semiHidden/>
    <w:unhideWhenUsed/>
    <w:rsid w:val="00B227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2791"/>
    <w:rPr>
      <w:sz w:val="20"/>
      <w:szCs w:val="20"/>
    </w:rPr>
  </w:style>
  <w:style w:type="character" w:styleId="EndnoteReference">
    <w:name w:val="endnote reference"/>
    <w:basedOn w:val="DefaultParagraphFont"/>
    <w:uiPriority w:val="99"/>
    <w:semiHidden/>
    <w:unhideWhenUsed/>
    <w:rsid w:val="00B22791"/>
    <w:rPr>
      <w:vertAlign w:val="superscript"/>
    </w:rPr>
  </w:style>
  <w:style w:type="paragraph" w:customStyle="1" w:styleId="Pa2">
    <w:name w:val="Pa2"/>
    <w:basedOn w:val="Normal"/>
    <w:next w:val="Normal"/>
    <w:uiPriority w:val="99"/>
    <w:rsid w:val="004C7CCE"/>
    <w:pPr>
      <w:autoSpaceDE w:val="0"/>
      <w:autoSpaceDN w:val="0"/>
      <w:adjustRightInd w:val="0"/>
      <w:spacing w:after="0" w:line="240" w:lineRule="atLeast"/>
    </w:pPr>
    <w:rPr>
      <w:rFonts w:ascii="MrEavesXLModOT" w:hAnsi="MrEavesXLModOT"/>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027">
      <w:bodyDiv w:val="1"/>
      <w:marLeft w:val="0"/>
      <w:marRight w:val="0"/>
      <w:marTop w:val="0"/>
      <w:marBottom w:val="0"/>
      <w:divBdr>
        <w:top w:val="none" w:sz="0" w:space="0" w:color="auto"/>
        <w:left w:val="none" w:sz="0" w:space="0" w:color="auto"/>
        <w:bottom w:val="none" w:sz="0" w:space="0" w:color="auto"/>
        <w:right w:val="none" w:sz="0" w:space="0" w:color="auto"/>
      </w:divBdr>
    </w:div>
    <w:div w:id="283539106">
      <w:bodyDiv w:val="1"/>
      <w:marLeft w:val="0"/>
      <w:marRight w:val="0"/>
      <w:marTop w:val="0"/>
      <w:marBottom w:val="0"/>
      <w:divBdr>
        <w:top w:val="none" w:sz="0" w:space="0" w:color="auto"/>
        <w:left w:val="none" w:sz="0" w:space="0" w:color="auto"/>
        <w:bottom w:val="none" w:sz="0" w:space="0" w:color="auto"/>
        <w:right w:val="none" w:sz="0" w:space="0" w:color="auto"/>
      </w:divBdr>
    </w:div>
    <w:div w:id="436214912">
      <w:bodyDiv w:val="1"/>
      <w:marLeft w:val="0"/>
      <w:marRight w:val="0"/>
      <w:marTop w:val="0"/>
      <w:marBottom w:val="0"/>
      <w:divBdr>
        <w:top w:val="none" w:sz="0" w:space="0" w:color="auto"/>
        <w:left w:val="none" w:sz="0" w:space="0" w:color="auto"/>
        <w:bottom w:val="none" w:sz="0" w:space="0" w:color="auto"/>
        <w:right w:val="none" w:sz="0" w:space="0" w:color="auto"/>
      </w:divBdr>
    </w:div>
    <w:div w:id="669334547">
      <w:bodyDiv w:val="1"/>
      <w:marLeft w:val="0"/>
      <w:marRight w:val="0"/>
      <w:marTop w:val="0"/>
      <w:marBottom w:val="0"/>
      <w:divBdr>
        <w:top w:val="none" w:sz="0" w:space="0" w:color="auto"/>
        <w:left w:val="none" w:sz="0" w:space="0" w:color="auto"/>
        <w:bottom w:val="none" w:sz="0" w:space="0" w:color="auto"/>
        <w:right w:val="none" w:sz="0" w:space="0" w:color="auto"/>
      </w:divBdr>
    </w:div>
    <w:div w:id="842280515">
      <w:bodyDiv w:val="1"/>
      <w:marLeft w:val="0"/>
      <w:marRight w:val="0"/>
      <w:marTop w:val="0"/>
      <w:marBottom w:val="0"/>
      <w:divBdr>
        <w:top w:val="none" w:sz="0" w:space="0" w:color="auto"/>
        <w:left w:val="none" w:sz="0" w:space="0" w:color="auto"/>
        <w:bottom w:val="none" w:sz="0" w:space="0" w:color="auto"/>
        <w:right w:val="none" w:sz="0" w:space="0" w:color="auto"/>
      </w:divBdr>
    </w:div>
    <w:div w:id="847867450">
      <w:bodyDiv w:val="1"/>
      <w:marLeft w:val="0"/>
      <w:marRight w:val="0"/>
      <w:marTop w:val="0"/>
      <w:marBottom w:val="0"/>
      <w:divBdr>
        <w:top w:val="none" w:sz="0" w:space="0" w:color="auto"/>
        <w:left w:val="none" w:sz="0" w:space="0" w:color="auto"/>
        <w:bottom w:val="none" w:sz="0" w:space="0" w:color="auto"/>
        <w:right w:val="none" w:sz="0" w:space="0" w:color="auto"/>
      </w:divBdr>
    </w:div>
    <w:div w:id="1028725037">
      <w:bodyDiv w:val="1"/>
      <w:marLeft w:val="0"/>
      <w:marRight w:val="0"/>
      <w:marTop w:val="0"/>
      <w:marBottom w:val="0"/>
      <w:divBdr>
        <w:top w:val="none" w:sz="0" w:space="0" w:color="auto"/>
        <w:left w:val="none" w:sz="0" w:space="0" w:color="auto"/>
        <w:bottom w:val="none" w:sz="0" w:space="0" w:color="auto"/>
        <w:right w:val="none" w:sz="0" w:space="0" w:color="auto"/>
      </w:divBdr>
    </w:div>
    <w:div w:id="1116214233">
      <w:bodyDiv w:val="1"/>
      <w:marLeft w:val="0"/>
      <w:marRight w:val="0"/>
      <w:marTop w:val="0"/>
      <w:marBottom w:val="0"/>
      <w:divBdr>
        <w:top w:val="none" w:sz="0" w:space="0" w:color="auto"/>
        <w:left w:val="none" w:sz="0" w:space="0" w:color="auto"/>
        <w:bottom w:val="none" w:sz="0" w:space="0" w:color="auto"/>
        <w:right w:val="none" w:sz="0" w:space="0" w:color="auto"/>
      </w:divBdr>
    </w:div>
    <w:div w:id="1244031135">
      <w:bodyDiv w:val="1"/>
      <w:marLeft w:val="0"/>
      <w:marRight w:val="0"/>
      <w:marTop w:val="0"/>
      <w:marBottom w:val="0"/>
      <w:divBdr>
        <w:top w:val="none" w:sz="0" w:space="0" w:color="auto"/>
        <w:left w:val="none" w:sz="0" w:space="0" w:color="auto"/>
        <w:bottom w:val="none" w:sz="0" w:space="0" w:color="auto"/>
        <w:right w:val="none" w:sz="0" w:space="0" w:color="auto"/>
      </w:divBdr>
    </w:div>
    <w:div w:id="1262568439">
      <w:bodyDiv w:val="1"/>
      <w:marLeft w:val="0"/>
      <w:marRight w:val="0"/>
      <w:marTop w:val="0"/>
      <w:marBottom w:val="0"/>
      <w:divBdr>
        <w:top w:val="none" w:sz="0" w:space="0" w:color="auto"/>
        <w:left w:val="none" w:sz="0" w:space="0" w:color="auto"/>
        <w:bottom w:val="none" w:sz="0" w:space="0" w:color="auto"/>
        <w:right w:val="none" w:sz="0" w:space="0" w:color="auto"/>
      </w:divBdr>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
    <w:div w:id="20326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B8532-67AE-404C-B09D-0EFBADBE8CAC}">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12006</Words>
  <Characters>67957</Characters>
  <Application>Microsoft Office Word</Application>
  <DocSecurity>0</DocSecurity>
  <Lines>1445</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79223</CharactersWithSpaces>
  <SharedDoc>false</SharedDoc>
  <HLinks>
    <vt:vector size="126" baseType="variant">
      <vt:variant>
        <vt:i4>1835061</vt:i4>
      </vt:variant>
      <vt:variant>
        <vt:i4>122</vt:i4>
      </vt:variant>
      <vt:variant>
        <vt:i4>0</vt:i4>
      </vt:variant>
      <vt:variant>
        <vt:i4>5</vt:i4>
      </vt:variant>
      <vt:variant>
        <vt:lpwstr/>
      </vt:variant>
      <vt:variant>
        <vt:lpwstr>_Toc175642585</vt:lpwstr>
      </vt:variant>
      <vt:variant>
        <vt:i4>1835061</vt:i4>
      </vt:variant>
      <vt:variant>
        <vt:i4>116</vt:i4>
      </vt:variant>
      <vt:variant>
        <vt:i4>0</vt:i4>
      </vt:variant>
      <vt:variant>
        <vt:i4>5</vt:i4>
      </vt:variant>
      <vt:variant>
        <vt:lpwstr/>
      </vt:variant>
      <vt:variant>
        <vt:lpwstr>_Toc175642584</vt:lpwstr>
      </vt:variant>
      <vt:variant>
        <vt:i4>1835061</vt:i4>
      </vt:variant>
      <vt:variant>
        <vt:i4>110</vt:i4>
      </vt:variant>
      <vt:variant>
        <vt:i4>0</vt:i4>
      </vt:variant>
      <vt:variant>
        <vt:i4>5</vt:i4>
      </vt:variant>
      <vt:variant>
        <vt:lpwstr/>
      </vt:variant>
      <vt:variant>
        <vt:lpwstr>_Toc175642583</vt:lpwstr>
      </vt:variant>
      <vt:variant>
        <vt:i4>1835061</vt:i4>
      </vt:variant>
      <vt:variant>
        <vt:i4>104</vt:i4>
      </vt:variant>
      <vt:variant>
        <vt:i4>0</vt:i4>
      </vt:variant>
      <vt:variant>
        <vt:i4>5</vt:i4>
      </vt:variant>
      <vt:variant>
        <vt:lpwstr/>
      </vt:variant>
      <vt:variant>
        <vt:lpwstr>_Toc175642582</vt:lpwstr>
      </vt:variant>
      <vt:variant>
        <vt:i4>1835061</vt:i4>
      </vt:variant>
      <vt:variant>
        <vt:i4>98</vt:i4>
      </vt:variant>
      <vt:variant>
        <vt:i4>0</vt:i4>
      </vt:variant>
      <vt:variant>
        <vt:i4>5</vt:i4>
      </vt:variant>
      <vt:variant>
        <vt:lpwstr/>
      </vt:variant>
      <vt:variant>
        <vt:lpwstr>_Toc175642581</vt:lpwstr>
      </vt:variant>
      <vt:variant>
        <vt:i4>1835061</vt:i4>
      </vt:variant>
      <vt:variant>
        <vt:i4>92</vt:i4>
      </vt:variant>
      <vt:variant>
        <vt:i4>0</vt:i4>
      </vt:variant>
      <vt:variant>
        <vt:i4>5</vt:i4>
      </vt:variant>
      <vt:variant>
        <vt:lpwstr/>
      </vt:variant>
      <vt:variant>
        <vt:lpwstr>_Toc175642580</vt:lpwstr>
      </vt:variant>
      <vt:variant>
        <vt:i4>1245237</vt:i4>
      </vt:variant>
      <vt:variant>
        <vt:i4>86</vt:i4>
      </vt:variant>
      <vt:variant>
        <vt:i4>0</vt:i4>
      </vt:variant>
      <vt:variant>
        <vt:i4>5</vt:i4>
      </vt:variant>
      <vt:variant>
        <vt:lpwstr/>
      </vt:variant>
      <vt:variant>
        <vt:lpwstr>_Toc175642579</vt:lpwstr>
      </vt:variant>
      <vt:variant>
        <vt:i4>1245237</vt:i4>
      </vt:variant>
      <vt:variant>
        <vt:i4>80</vt:i4>
      </vt:variant>
      <vt:variant>
        <vt:i4>0</vt:i4>
      </vt:variant>
      <vt:variant>
        <vt:i4>5</vt:i4>
      </vt:variant>
      <vt:variant>
        <vt:lpwstr/>
      </vt:variant>
      <vt:variant>
        <vt:lpwstr>_Toc175642578</vt:lpwstr>
      </vt:variant>
      <vt:variant>
        <vt:i4>1245237</vt:i4>
      </vt:variant>
      <vt:variant>
        <vt:i4>74</vt:i4>
      </vt:variant>
      <vt:variant>
        <vt:i4>0</vt:i4>
      </vt:variant>
      <vt:variant>
        <vt:i4>5</vt:i4>
      </vt:variant>
      <vt:variant>
        <vt:lpwstr/>
      </vt:variant>
      <vt:variant>
        <vt:lpwstr>_Toc175642577</vt:lpwstr>
      </vt:variant>
      <vt:variant>
        <vt:i4>1245237</vt:i4>
      </vt:variant>
      <vt:variant>
        <vt:i4>68</vt:i4>
      </vt:variant>
      <vt:variant>
        <vt:i4>0</vt:i4>
      </vt:variant>
      <vt:variant>
        <vt:i4>5</vt:i4>
      </vt:variant>
      <vt:variant>
        <vt:lpwstr/>
      </vt:variant>
      <vt:variant>
        <vt:lpwstr>_Toc175642576</vt:lpwstr>
      </vt:variant>
      <vt:variant>
        <vt:i4>1245237</vt:i4>
      </vt:variant>
      <vt:variant>
        <vt:i4>62</vt:i4>
      </vt:variant>
      <vt:variant>
        <vt:i4>0</vt:i4>
      </vt:variant>
      <vt:variant>
        <vt:i4>5</vt:i4>
      </vt:variant>
      <vt:variant>
        <vt:lpwstr/>
      </vt:variant>
      <vt:variant>
        <vt:lpwstr>_Toc175642575</vt:lpwstr>
      </vt:variant>
      <vt:variant>
        <vt:i4>1245237</vt:i4>
      </vt:variant>
      <vt:variant>
        <vt:i4>56</vt:i4>
      </vt:variant>
      <vt:variant>
        <vt:i4>0</vt:i4>
      </vt:variant>
      <vt:variant>
        <vt:i4>5</vt:i4>
      </vt:variant>
      <vt:variant>
        <vt:lpwstr/>
      </vt:variant>
      <vt:variant>
        <vt:lpwstr>_Toc175642574</vt:lpwstr>
      </vt:variant>
      <vt:variant>
        <vt:i4>1245237</vt:i4>
      </vt:variant>
      <vt:variant>
        <vt:i4>50</vt:i4>
      </vt:variant>
      <vt:variant>
        <vt:i4>0</vt:i4>
      </vt:variant>
      <vt:variant>
        <vt:i4>5</vt:i4>
      </vt:variant>
      <vt:variant>
        <vt:lpwstr/>
      </vt:variant>
      <vt:variant>
        <vt:lpwstr>_Toc175642573</vt:lpwstr>
      </vt:variant>
      <vt:variant>
        <vt:i4>1245237</vt:i4>
      </vt:variant>
      <vt:variant>
        <vt:i4>44</vt:i4>
      </vt:variant>
      <vt:variant>
        <vt:i4>0</vt:i4>
      </vt:variant>
      <vt:variant>
        <vt:i4>5</vt:i4>
      </vt:variant>
      <vt:variant>
        <vt:lpwstr/>
      </vt:variant>
      <vt:variant>
        <vt:lpwstr>_Toc175642572</vt:lpwstr>
      </vt:variant>
      <vt:variant>
        <vt:i4>1245237</vt:i4>
      </vt:variant>
      <vt:variant>
        <vt:i4>38</vt:i4>
      </vt:variant>
      <vt:variant>
        <vt:i4>0</vt:i4>
      </vt:variant>
      <vt:variant>
        <vt:i4>5</vt:i4>
      </vt:variant>
      <vt:variant>
        <vt:lpwstr/>
      </vt:variant>
      <vt:variant>
        <vt:lpwstr>_Toc175642571</vt:lpwstr>
      </vt:variant>
      <vt:variant>
        <vt:i4>1245237</vt:i4>
      </vt:variant>
      <vt:variant>
        <vt:i4>32</vt:i4>
      </vt:variant>
      <vt:variant>
        <vt:i4>0</vt:i4>
      </vt:variant>
      <vt:variant>
        <vt:i4>5</vt:i4>
      </vt:variant>
      <vt:variant>
        <vt:lpwstr/>
      </vt:variant>
      <vt:variant>
        <vt:lpwstr>_Toc175642570</vt:lpwstr>
      </vt:variant>
      <vt:variant>
        <vt:i4>1179701</vt:i4>
      </vt:variant>
      <vt:variant>
        <vt:i4>26</vt:i4>
      </vt:variant>
      <vt:variant>
        <vt:i4>0</vt:i4>
      </vt:variant>
      <vt:variant>
        <vt:i4>5</vt:i4>
      </vt:variant>
      <vt:variant>
        <vt:lpwstr/>
      </vt:variant>
      <vt:variant>
        <vt:lpwstr>_Toc175642569</vt:lpwstr>
      </vt:variant>
      <vt:variant>
        <vt:i4>1179701</vt:i4>
      </vt:variant>
      <vt:variant>
        <vt:i4>20</vt:i4>
      </vt:variant>
      <vt:variant>
        <vt:i4>0</vt:i4>
      </vt:variant>
      <vt:variant>
        <vt:i4>5</vt:i4>
      </vt:variant>
      <vt:variant>
        <vt:lpwstr/>
      </vt:variant>
      <vt:variant>
        <vt:lpwstr>_Toc175642568</vt:lpwstr>
      </vt:variant>
      <vt:variant>
        <vt:i4>1179701</vt:i4>
      </vt:variant>
      <vt:variant>
        <vt:i4>14</vt:i4>
      </vt:variant>
      <vt:variant>
        <vt:i4>0</vt:i4>
      </vt:variant>
      <vt:variant>
        <vt:i4>5</vt:i4>
      </vt:variant>
      <vt:variant>
        <vt:lpwstr/>
      </vt:variant>
      <vt:variant>
        <vt:lpwstr>_Toc175642567</vt:lpwstr>
      </vt:variant>
      <vt:variant>
        <vt:i4>1179701</vt:i4>
      </vt:variant>
      <vt:variant>
        <vt:i4>8</vt:i4>
      </vt:variant>
      <vt:variant>
        <vt:i4>0</vt:i4>
      </vt:variant>
      <vt:variant>
        <vt:i4>5</vt:i4>
      </vt:variant>
      <vt:variant>
        <vt:lpwstr/>
      </vt:variant>
      <vt:variant>
        <vt:lpwstr>_Toc175642566</vt:lpwstr>
      </vt:variant>
      <vt:variant>
        <vt:i4>1179701</vt:i4>
      </vt:variant>
      <vt:variant>
        <vt:i4>2</vt:i4>
      </vt:variant>
      <vt:variant>
        <vt:i4>0</vt:i4>
      </vt:variant>
      <vt:variant>
        <vt:i4>5</vt:i4>
      </vt:variant>
      <vt:variant>
        <vt:lpwstr/>
      </vt:variant>
      <vt:variant>
        <vt:lpwstr>_Toc175642565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Randall</dc:creator>
  <cp:keywords>[SEC=OFFICIAL]</cp:keywords>
  <dc:description/>
  <cp:lastModifiedBy>David Ear</cp:lastModifiedBy>
  <cp:revision>3</cp:revision>
  <cp:lastPrinted>2026-01-15T22:41:00Z</cp:lastPrinted>
  <dcterms:created xsi:type="dcterms:W3CDTF">2026-01-15T22:39:00Z</dcterms:created>
  <dcterms:modified xsi:type="dcterms:W3CDTF">2026-01-15T22:41:00Z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v=2022.1;a=SHA256;h=7A31A577ADC5A4AD8E68030EB4D4299A29E8A33ED0FF9DF67AFF82710543E646</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2024-07-23T07:57:41Z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D1CF2A7462E3FC74F60D439DF7DB42620EA689C1</vt:lpwstr>
  </property>
  <property fmtid="{D5CDD505-2E9C-101B-9397-08002B2CF9AE}" pid="14" name="PM_DisplayValueSecClassificationWithQualifier">
    <vt:lpwstr>OFFICIAL</vt:lpwstr>
  </property>
  <property fmtid="{D5CDD505-2E9C-101B-9397-08002B2CF9AE}" pid="15" name="PM_Originating_FileId">
    <vt:lpwstr>F57D98118BF247328C920DC3EE7D217B</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A80538C9D3A0612BA5EEE6DBA3907292A4354F821F86BFCD3B49C159D2C527B9</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19F3D3B29383009CB367AF0A57C049EB</vt:lpwstr>
  </property>
  <property fmtid="{D5CDD505-2E9C-101B-9397-08002B2CF9AE}" pid="25" name="PM_Hash_Salt">
    <vt:lpwstr>AEB510192AD313F1811AA98DBF009AAD</vt:lpwstr>
  </property>
  <property fmtid="{D5CDD505-2E9C-101B-9397-08002B2CF9AE}" pid="26" name="PM_Hash_SHA1">
    <vt:lpwstr>65431B538C03B7E109574ABF6E1CCBA5ACA88269</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ies>
</file>