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F9F98" w14:textId="0ACB46F4" w:rsidR="00A932F2" w:rsidRPr="00060D11" w:rsidRDefault="00B96393">
      <w:r w:rsidRPr="00060D11">
        <w:rPr>
          <w:noProof/>
        </w:rPr>
        <mc:AlternateContent>
          <mc:Choice Requires="wpg">
            <w:drawing>
              <wp:anchor distT="0" distB="0" distL="114300" distR="114300" simplePos="0" relativeHeight="251764736" behindDoc="0" locked="0" layoutInCell="1" allowOverlap="1" wp14:anchorId="2EBB36B2" wp14:editId="1F766176">
                <wp:simplePos x="0" y="0"/>
                <wp:positionH relativeFrom="column">
                  <wp:posOffset>0</wp:posOffset>
                </wp:positionH>
                <wp:positionV relativeFrom="paragraph">
                  <wp:posOffset>0</wp:posOffset>
                </wp:positionV>
                <wp:extent cx="6264000" cy="7740015"/>
                <wp:effectExtent l="0" t="0" r="0" b="0"/>
                <wp:wrapNone/>
                <wp:docPr id="493" name="Group 4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4000" cy="7740015"/>
                          <a:chOff x="106326" y="21265"/>
                          <a:chExt cx="5741581" cy="7740015"/>
                        </a:xfrm>
                      </wpg:grpSpPr>
                      <wps:wsp>
                        <wps:cNvPr id="466" name="Rectangle 466"/>
                        <wps:cNvSpPr>
                          <a:spLocks/>
                        </wps:cNvSpPr>
                        <wps:spPr>
                          <a:xfrm>
                            <a:off x="106326" y="21265"/>
                            <a:ext cx="5741581" cy="7740015"/>
                          </a:xfrm>
                          <a:prstGeom prst="rect">
                            <a:avLst/>
                          </a:prstGeom>
                          <a:gradFill flip="none" rotWithShape="1">
                            <a:gsLst>
                              <a:gs pos="0">
                                <a:srgbClr val="007C89">
                                  <a:tint val="66000"/>
                                  <a:satMod val="160000"/>
                                </a:srgbClr>
                              </a:gs>
                              <a:gs pos="50000">
                                <a:srgbClr val="007C89">
                                  <a:tint val="44500"/>
                                  <a:satMod val="160000"/>
                                </a:srgbClr>
                              </a:gs>
                              <a:gs pos="100000">
                                <a:srgbClr val="007C89">
                                  <a:tint val="23500"/>
                                  <a:satMod val="160000"/>
                                </a:srgbClr>
                              </a:gs>
                            </a:gsLst>
                            <a:lin ang="0" scaled="1"/>
                            <a:tileRec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8432C09" w14:textId="77777777" w:rsidR="00F96637" w:rsidRDefault="00F96637" w:rsidP="00B96393"/>
                            <w:p w14:paraId="23FD498F" w14:textId="77777777" w:rsidR="00F96637" w:rsidRDefault="00F96637" w:rsidP="00B96393"/>
                            <w:p w14:paraId="46FBC931" w14:textId="77777777" w:rsidR="00F96637" w:rsidRDefault="00F96637" w:rsidP="00B96393"/>
                            <w:p w14:paraId="44623943" w14:textId="77777777" w:rsidR="00F96637" w:rsidRDefault="00F96637" w:rsidP="00B96393"/>
                            <w:p w14:paraId="073B9EBA" w14:textId="77777777" w:rsidR="00F96637" w:rsidRDefault="00F96637" w:rsidP="00B96393"/>
                            <w:p w14:paraId="154501D1" w14:textId="77777777" w:rsidR="00F96637" w:rsidRDefault="00F96637" w:rsidP="00B96393"/>
                            <w:p w14:paraId="136363E7" w14:textId="77777777" w:rsidR="00F96637" w:rsidRDefault="00F96637" w:rsidP="00B96393"/>
                            <w:p w14:paraId="66FC5880" w14:textId="77777777" w:rsidR="00F96637" w:rsidRDefault="00F96637" w:rsidP="00B96393"/>
                            <w:p w14:paraId="79DC208E" w14:textId="77777777" w:rsidR="00F96637" w:rsidRDefault="00F96637" w:rsidP="00B96393"/>
                            <w:p w14:paraId="0CD9E3AC" w14:textId="77777777" w:rsidR="00F96637" w:rsidRDefault="00F96637" w:rsidP="00B96393"/>
                            <w:p w14:paraId="1DFFE92C" w14:textId="77777777" w:rsidR="00F96637" w:rsidRDefault="00F96637" w:rsidP="00B96393"/>
                            <w:p w14:paraId="7DA0EC7C" w14:textId="77777777" w:rsidR="00F96637" w:rsidRDefault="00F96637" w:rsidP="00B96393"/>
                            <w:p w14:paraId="219D5765" w14:textId="77777777" w:rsidR="00F96637" w:rsidRDefault="00F96637" w:rsidP="00B96393"/>
                            <w:p w14:paraId="2C2E8B65" w14:textId="77777777" w:rsidR="00F96637" w:rsidRDefault="00F96637" w:rsidP="00B96393"/>
                            <w:p w14:paraId="10A66308" w14:textId="77777777" w:rsidR="00F96637" w:rsidRDefault="00F96637" w:rsidP="00B96393"/>
                            <w:p w14:paraId="5A31EC5E" w14:textId="77777777" w:rsidR="00F96637" w:rsidRDefault="00F96637" w:rsidP="00B96393"/>
                            <w:p w14:paraId="4845B068" w14:textId="77777777" w:rsidR="00F96637" w:rsidRDefault="00F96637" w:rsidP="00B96393"/>
                            <w:p w14:paraId="348D72F4" w14:textId="77777777" w:rsidR="00F96637" w:rsidRDefault="00F96637" w:rsidP="00B96393"/>
                            <w:p w14:paraId="317FC712" w14:textId="77777777" w:rsidR="00F96637" w:rsidRDefault="00F96637" w:rsidP="00B96393"/>
                            <w:p w14:paraId="0E04BB82" w14:textId="77777777" w:rsidR="00F96637" w:rsidRDefault="00F96637" w:rsidP="00B96393"/>
                            <w:p w14:paraId="669A2604" w14:textId="77777777" w:rsidR="00F96637" w:rsidRDefault="00F96637" w:rsidP="00B96393"/>
                            <w:p w14:paraId="42B165B5" w14:textId="77777777" w:rsidR="00F96637" w:rsidRDefault="00F96637" w:rsidP="00B96393"/>
                            <w:p w14:paraId="2A97AD11" w14:textId="77777777" w:rsidR="00F96637" w:rsidRDefault="00F96637" w:rsidP="00B96393"/>
                            <w:p w14:paraId="17D736A0" w14:textId="77777777" w:rsidR="00F96637" w:rsidRDefault="00F96637" w:rsidP="00B96393"/>
                            <w:p w14:paraId="36575C9C" w14:textId="77777777" w:rsidR="00F96637" w:rsidRDefault="00F96637" w:rsidP="00B96393"/>
                            <w:p w14:paraId="5088A742" w14:textId="77777777" w:rsidR="00F96637" w:rsidRDefault="00F96637" w:rsidP="00B96393"/>
                            <w:p w14:paraId="25857FF8" w14:textId="77777777" w:rsidR="00F96637" w:rsidRDefault="00F96637" w:rsidP="00B96393"/>
                            <w:p w14:paraId="0D8B23A4" w14:textId="77777777" w:rsidR="00F96637" w:rsidRDefault="00F96637" w:rsidP="00B96393"/>
                            <w:p w14:paraId="2DE2F630" w14:textId="77777777" w:rsidR="00F96637" w:rsidRDefault="00F96637" w:rsidP="00B96393"/>
                            <w:p w14:paraId="770B5E55" w14:textId="77777777" w:rsidR="00F96637" w:rsidRDefault="00F96637" w:rsidP="00B96393"/>
                            <w:p w14:paraId="0A2EED5A" w14:textId="77777777" w:rsidR="00F96637" w:rsidRDefault="00F96637" w:rsidP="00B96393"/>
                            <w:p w14:paraId="45543C95" w14:textId="77777777" w:rsidR="00F96637" w:rsidRDefault="00F96637" w:rsidP="00B96393"/>
                            <w:p w14:paraId="4BA50462" w14:textId="77777777" w:rsidR="00F96637" w:rsidRDefault="00F96637" w:rsidP="00B96393"/>
                            <w:p w14:paraId="14A5FECB" w14:textId="77777777" w:rsidR="00F96637" w:rsidRDefault="00F96637" w:rsidP="00B96393"/>
                            <w:p w14:paraId="3F2C6765" w14:textId="77777777" w:rsidR="00F96637" w:rsidRDefault="00F96637" w:rsidP="00B96393"/>
                            <w:p w14:paraId="258769A1" w14:textId="77777777" w:rsidR="00F96637" w:rsidRDefault="00F96637" w:rsidP="00B96393"/>
                            <w:p w14:paraId="56EC1A75" w14:textId="77777777" w:rsidR="00F96637" w:rsidRDefault="00F96637" w:rsidP="00B96393"/>
                            <w:p w14:paraId="3ABFD398" w14:textId="77777777" w:rsidR="00F96637" w:rsidRDefault="00F96637" w:rsidP="00B96393"/>
                            <w:p w14:paraId="6C2546EE" w14:textId="77777777" w:rsidR="00F96637" w:rsidRDefault="00F96637" w:rsidP="00B96393"/>
                            <w:p w14:paraId="6D1F1B0F" w14:textId="77777777" w:rsidR="00F96637" w:rsidRDefault="00F96637" w:rsidP="00B96393"/>
                            <w:p w14:paraId="5D5DFF5D" w14:textId="77777777" w:rsidR="00F96637" w:rsidRDefault="00F96637" w:rsidP="00B96393"/>
                            <w:p w14:paraId="7A1A88CB" w14:textId="77777777" w:rsidR="00F96637" w:rsidRDefault="00F96637" w:rsidP="00B96393"/>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wpg:grpSp>
                        <wpg:cNvPr id="49" name="Group 49"/>
                        <wpg:cNvGrpSpPr/>
                        <wpg:grpSpPr>
                          <a:xfrm>
                            <a:off x="2112578" y="106326"/>
                            <a:ext cx="2798795" cy="7547964"/>
                            <a:chOff x="435269" y="0"/>
                            <a:chExt cx="2563798" cy="9593580"/>
                          </a:xfrm>
                        </wpg:grpSpPr>
                        <wps:wsp>
                          <wps:cNvPr id="468" name="Rectangle 468"/>
                          <wps:cNvSpPr/>
                          <wps:spPr>
                            <a:xfrm>
                              <a:off x="435269" y="0"/>
                              <a:ext cx="2563798" cy="95935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ED72B" w14:textId="77777777" w:rsidR="00F96637" w:rsidRDefault="00F96637" w:rsidP="00B96393">
                                <w:pPr>
                                  <w:jc w:val="center"/>
                                  <w:rPr>
                                    <w:rFonts w:asciiTheme="majorHAnsi" w:hAnsiTheme="majorHAnsi" w:cstheme="majorHAnsi"/>
                                    <w:noProof/>
                                    <w:sz w:val="72"/>
                                    <w:szCs w:val="72"/>
                                  </w:rPr>
                                </w:pPr>
                              </w:p>
                              <w:p w14:paraId="59917D89" w14:textId="77777777" w:rsidR="00F96637" w:rsidRDefault="00F96637" w:rsidP="00B96393">
                                <w:pPr>
                                  <w:jc w:val="center"/>
                                  <w:rPr>
                                    <w:rFonts w:asciiTheme="majorHAnsi" w:hAnsiTheme="majorHAnsi" w:cstheme="majorHAnsi"/>
                                    <w:noProof/>
                                    <w:sz w:val="72"/>
                                    <w:szCs w:val="72"/>
                                  </w:rPr>
                                </w:pPr>
                              </w:p>
                              <w:p w14:paraId="3D89E6B5" w14:textId="77777777" w:rsidR="00F96637" w:rsidRDefault="00F96637" w:rsidP="00B96393">
                                <w:pPr>
                                  <w:jc w:val="center"/>
                                  <w:rPr>
                                    <w:rFonts w:asciiTheme="majorHAnsi" w:hAnsiTheme="majorHAnsi" w:cstheme="majorHAnsi"/>
                                    <w:noProof/>
                                    <w:sz w:val="72"/>
                                    <w:szCs w:val="72"/>
                                  </w:rPr>
                                </w:pPr>
                              </w:p>
                              <w:p w14:paraId="6E6483D8" w14:textId="5379135B" w:rsidR="00F96637" w:rsidRPr="00C06536" w:rsidRDefault="00F96637" w:rsidP="00B96393">
                                <w:pPr>
                                  <w:jc w:val="center"/>
                                  <w:rPr>
                                    <w:rFonts w:asciiTheme="majorHAnsi" w:hAnsiTheme="majorHAnsi" w:cstheme="majorHAnsi"/>
                                    <w:noProof/>
                                    <w:color w:val="007C89"/>
                                    <w:sz w:val="64"/>
                                    <w:szCs w:val="64"/>
                                  </w:rPr>
                                </w:pPr>
                                <w:r w:rsidRPr="00C06536">
                                  <w:rPr>
                                    <w:rFonts w:asciiTheme="majorHAnsi" w:hAnsiTheme="majorHAnsi" w:cstheme="majorHAnsi"/>
                                    <w:noProof/>
                                    <w:color w:val="007C89"/>
                                    <w:sz w:val="64"/>
                                    <w:szCs w:val="64"/>
                                  </w:rPr>
                                  <w:t>WOK WANTAIM LONG STRONGEM EDUKEISEN</w:t>
                                </w:r>
                              </w:p>
                              <w:p w14:paraId="2122EA5C" w14:textId="77777777" w:rsidR="00F96637" w:rsidRDefault="00F96637" w:rsidP="00B96393">
                                <w:pPr>
                                  <w:rPr>
                                    <w:rFonts w:asciiTheme="majorHAnsi" w:hAnsiTheme="majorHAnsi" w:cstheme="majorHAnsi"/>
                                    <w:noProof/>
                                    <w:sz w:val="24"/>
                                    <w:szCs w:val="24"/>
                                  </w:rPr>
                                </w:pPr>
                              </w:p>
                              <w:p w14:paraId="53858CAF" w14:textId="77777777" w:rsidR="00F96637" w:rsidRDefault="00F96637" w:rsidP="00B96393">
                                <w:pPr>
                                  <w:rPr>
                                    <w:rFonts w:asciiTheme="majorHAnsi" w:hAnsiTheme="majorHAnsi" w:cstheme="majorHAnsi"/>
                                    <w:noProof/>
                                    <w:sz w:val="24"/>
                                    <w:szCs w:val="24"/>
                                  </w:rPr>
                                </w:pPr>
                              </w:p>
                              <w:p w14:paraId="4572F76E" w14:textId="77777777" w:rsidR="00F96637" w:rsidRDefault="00F96637" w:rsidP="00B96393">
                                <w:pPr>
                                  <w:rPr>
                                    <w:rFonts w:asciiTheme="majorHAnsi" w:hAnsiTheme="majorHAnsi" w:cstheme="majorHAnsi"/>
                                    <w:noProof/>
                                    <w:sz w:val="24"/>
                                    <w:szCs w:val="24"/>
                                  </w:rPr>
                                </w:pPr>
                              </w:p>
                              <w:p w14:paraId="668B1957" w14:textId="77777777" w:rsidR="00F96637" w:rsidRPr="005C64DB" w:rsidRDefault="00F96637" w:rsidP="00B96393">
                                <w:pPr>
                                  <w:rPr>
                                    <w:rFonts w:asciiTheme="majorHAnsi" w:hAnsiTheme="majorHAnsi" w:cstheme="majorHAnsi"/>
                                    <w:noProof/>
                                    <w:sz w:val="24"/>
                                    <w:szCs w:val="24"/>
                                  </w:rPr>
                                </w:pPr>
                              </w:p>
                              <w:p w14:paraId="01580B68" w14:textId="77777777" w:rsidR="00F96637" w:rsidRDefault="00F96637" w:rsidP="00B963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tangle 467"/>
                          <wps:cNvSpPr/>
                          <wps:spPr>
                            <a:xfrm>
                              <a:off x="531997" y="0"/>
                              <a:ext cx="2374178" cy="3369385"/>
                            </a:xfrm>
                            <a:prstGeom prst="rect">
                              <a:avLst/>
                            </a:prstGeom>
                            <a:solidFill>
                              <a:srgbClr val="007C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BA3E5E" w14:textId="77777777" w:rsidR="00F96637" w:rsidRDefault="00F96637" w:rsidP="00B96393">
                                <w:pPr>
                                  <w:shd w:val="clear" w:color="auto" w:fill="007C89"/>
                                  <w:spacing w:before="240"/>
                                  <w:jc w:val="center"/>
                                  <w:rPr>
                                    <w:color w:val="FFFFFF" w:themeColor="background1"/>
                                  </w:rPr>
                                </w:pPr>
                              </w:p>
                              <w:p w14:paraId="68F76EB8" w14:textId="77777777" w:rsidR="00F96637" w:rsidRDefault="00F96637" w:rsidP="00B96393">
                                <w:pPr>
                                  <w:shd w:val="clear" w:color="auto" w:fill="007C89"/>
                                  <w:spacing w:before="240"/>
                                  <w:jc w:val="center"/>
                                  <w:rPr>
                                    <w:color w:val="FFFFFF" w:themeColor="background1"/>
                                  </w:rPr>
                                </w:pPr>
                              </w:p>
                              <w:p w14:paraId="775F74A0" w14:textId="77777777" w:rsidR="00F96637" w:rsidRDefault="00F96637" w:rsidP="00B96393">
                                <w:pPr>
                                  <w:shd w:val="clear" w:color="auto" w:fill="007C89"/>
                                  <w:spacing w:before="240"/>
                                  <w:jc w:val="center"/>
                                  <w:rPr>
                                    <w:color w:val="FFFFFF" w:themeColor="background1"/>
                                  </w:rPr>
                                </w:pPr>
                              </w:p>
                              <w:p w14:paraId="240A1650" w14:textId="77777777" w:rsidR="00F96637" w:rsidRDefault="00F96637" w:rsidP="00B96393">
                                <w:pPr>
                                  <w:shd w:val="clear" w:color="auto" w:fill="007C89"/>
                                  <w:spacing w:before="240"/>
                                  <w:jc w:val="center"/>
                                  <w:rPr>
                                    <w:color w:val="FFFFFF" w:themeColor="background1"/>
                                  </w:rPr>
                                </w:pPr>
                              </w:p>
                              <w:p w14:paraId="3206BC07" w14:textId="77777777" w:rsidR="00F96637" w:rsidRDefault="00F96637" w:rsidP="00B96393">
                                <w:pPr>
                                  <w:shd w:val="clear" w:color="auto" w:fill="007C89"/>
                                  <w:spacing w:before="240"/>
                                  <w:jc w:val="center"/>
                                  <w:rPr>
                                    <w:color w:val="FFFFFF" w:themeColor="background1"/>
                                  </w:rPr>
                                </w:pPr>
                              </w:p>
                              <w:p w14:paraId="47681E87" w14:textId="77777777" w:rsidR="00F96637" w:rsidRDefault="00F96637" w:rsidP="00B96393">
                                <w:pPr>
                                  <w:shd w:val="clear" w:color="auto" w:fill="007C89"/>
                                  <w:spacing w:before="240"/>
                                  <w:jc w:val="center"/>
                                  <w:rPr>
                                    <w:color w:val="FFFFFF" w:themeColor="background1"/>
                                  </w:rPr>
                                </w:pPr>
                              </w:p>
                              <w:p w14:paraId="0067ED8D" w14:textId="77777777" w:rsidR="00F96637" w:rsidRDefault="00F96637" w:rsidP="00B96393">
                                <w:pPr>
                                  <w:shd w:val="clear" w:color="auto" w:fill="007C89"/>
                                  <w:spacing w:before="240"/>
                                  <w:jc w:val="center"/>
                                  <w:rPr>
                                    <w:color w:val="FFFFFF" w:themeColor="background1"/>
                                  </w:rPr>
                                </w:pPr>
                              </w:p>
                              <w:p w14:paraId="2E10D8CB" w14:textId="77777777" w:rsidR="00F96637" w:rsidRDefault="00F96637" w:rsidP="00B96393">
                                <w:pPr>
                                  <w:shd w:val="clear" w:color="auto" w:fill="007C89"/>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EBB36B2" id="Group 493" o:spid="_x0000_s1026" alt="&quot;&quot;" style="position:absolute;margin-left:0;margin-top:0;width:493.25pt;height:609.45pt;z-index:251764736;mso-width-relative:margin" coordorigin="1063,212" coordsize="57415,7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">
                <v:rect id="Rectangle 466" o:spid="_x0000_s1027" style="position:absolute;left:1063;top:212;width:57416;height:77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" fillcolor="#94bdc6" stroked="f" strokeweight="1pt">
                  <v:fill color2="#e0eaec" rotate="t" angle="90" colors="0 #94bdc6;.5 #bfd5da;1 #e0eaec" focus="100%" type="gradient"/>
                  <v:textbox inset="21.6pt,,21.6pt">
                    <w:txbxContent>
                      <w:p w14:paraId="58432C09" w14:textId="77777777" w:rsidR="00F96637" w:rsidRDefault="00F96637" w:rsidP="00B96393"/>
                      <w:p w14:paraId="23FD498F" w14:textId="77777777" w:rsidR="00F96637" w:rsidRDefault="00F96637" w:rsidP="00B96393"/>
                      <w:p w14:paraId="46FBC931" w14:textId="77777777" w:rsidR="00F96637" w:rsidRDefault="00F96637" w:rsidP="00B96393"/>
                      <w:p w14:paraId="44623943" w14:textId="77777777" w:rsidR="00F96637" w:rsidRDefault="00F96637" w:rsidP="00B96393"/>
                      <w:p w14:paraId="073B9EBA" w14:textId="77777777" w:rsidR="00F96637" w:rsidRDefault="00F96637" w:rsidP="00B96393"/>
                      <w:p w14:paraId="154501D1" w14:textId="77777777" w:rsidR="00F96637" w:rsidRDefault="00F96637" w:rsidP="00B96393"/>
                      <w:p w14:paraId="136363E7" w14:textId="77777777" w:rsidR="00F96637" w:rsidRDefault="00F96637" w:rsidP="00B96393"/>
                      <w:p w14:paraId="66FC5880" w14:textId="77777777" w:rsidR="00F96637" w:rsidRDefault="00F96637" w:rsidP="00B96393"/>
                      <w:p w14:paraId="79DC208E" w14:textId="77777777" w:rsidR="00F96637" w:rsidRDefault="00F96637" w:rsidP="00B96393"/>
                      <w:p w14:paraId="0CD9E3AC" w14:textId="77777777" w:rsidR="00F96637" w:rsidRDefault="00F96637" w:rsidP="00B96393"/>
                      <w:p w14:paraId="1DFFE92C" w14:textId="77777777" w:rsidR="00F96637" w:rsidRDefault="00F96637" w:rsidP="00B96393"/>
                      <w:p w14:paraId="7DA0EC7C" w14:textId="77777777" w:rsidR="00F96637" w:rsidRDefault="00F96637" w:rsidP="00B96393"/>
                      <w:p w14:paraId="219D5765" w14:textId="77777777" w:rsidR="00F96637" w:rsidRDefault="00F96637" w:rsidP="00B96393"/>
                      <w:p w14:paraId="2C2E8B65" w14:textId="77777777" w:rsidR="00F96637" w:rsidRDefault="00F96637" w:rsidP="00B96393"/>
                      <w:p w14:paraId="10A66308" w14:textId="77777777" w:rsidR="00F96637" w:rsidRDefault="00F96637" w:rsidP="00B96393"/>
                      <w:p w14:paraId="5A31EC5E" w14:textId="77777777" w:rsidR="00F96637" w:rsidRDefault="00F96637" w:rsidP="00B96393"/>
                      <w:p w14:paraId="4845B068" w14:textId="77777777" w:rsidR="00F96637" w:rsidRDefault="00F96637" w:rsidP="00B96393"/>
                      <w:p w14:paraId="348D72F4" w14:textId="77777777" w:rsidR="00F96637" w:rsidRDefault="00F96637" w:rsidP="00B96393"/>
                      <w:p w14:paraId="317FC712" w14:textId="77777777" w:rsidR="00F96637" w:rsidRDefault="00F96637" w:rsidP="00B96393"/>
                      <w:p w14:paraId="0E04BB82" w14:textId="77777777" w:rsidR="00F96637" w:rsidRDefault="00F96637" w:rsidP="00B96393"/>
                      <w:p w14:paraId="669A2604" w14:textId="77777777" w:rsidR="00F96637" w:rsidRDefault="00F96637" w:rsidP="00B96393"/>
                      <w:p w14:paraId="42B165B5" w14:textId="77777777" w:rsidR="00F96637" w:rsidRDefault="00F96637" w:rsidP="00B96393"/>
                      <w:p w14:paraId="2A97AD11" w14:textId="77777777" w:rsidR="00F96637" w:rsidRDefault="00F96637" w:rsidP="00B96393"/>
                      <w:p w14:paraId="17D736A0" w14:textId="77777777" w:rsidR="00F96637" w:rsidRDefault="00F96637" w:rsidP="00B96393"/>
                      <w:p w14:paraId="36575C9C" w14:textId="77777777" w:rsidR="00F96637" w:rsidRDefault="00F96637" w:rsidP="00B96393"/>
                      <w:p w14:paraId="5088A742" w14:textId="77777777" w:rsidR="00F96637" w:rsidRDefault="00F96637" w:rsidP="00B96393"/>
                      <w:p w14:paraId="25857FF8" w14:textId="77777777" w:rsidR="00F96637" w:rsidRDefault="00F96637" w:rsidP="00B96393"/>
                      <w:p w14:paraId="0D8B23A4" w14:textId="77777777" w:rsidR="00F96637" w:rsidRDefault="00F96637" w:rsidP="00B96393"/>
                      <w:p w14:paraId="2DE2F630" w14:textId="77777777" w:rsidR="00F96637" w:rsidRDefault="00F96637" w:rsidP="00B96393"/>
                      <w:p w14:paraId="770B5E55" w14:textId="77777777" w:rsidR="00F96637" w:rsidRDefault="00F96637" w:rsidP="00B96393"/>
                      <w:p w14:paraId="0A2EED5A" w14:textId="77777777" w:rsidR="00F96637" w:rsidRDefault="00F96637" w:rsidP="00B96393"/>
                      <w:p w14:paraId="45543C95" w14:textId="77777777" w:rsidR="00F96637" w:rsidRDefault="00F96637" w:rsidP="00B96393"/>
                      <w:p w14:paraId="4BA50462" w14:textId="77777777" w:rsidR="00F96637" w:rsidRDefault="00F96637" w:rsidP="00B96393"/>
                      <w:p w14:paraId="14A5FECB" w14:textId="77777777" w:rsidR="00F96637" w:rsidRDefault="00F96637" w:rsidP="00B96393"/>
                      <w:p w14:paraId="3F2C6765" w14:textId="77777777" w:rsidR="00F96637" w:rsidRDefault="00F96637" w:rsidP="00B96393"/>
                      <w:p w14:paraId="258769A1" w14:textId="77777777" w:rsidR="00F96637" w:rsidRDefault="00F96637" w:rsidP="00B96393"/>
                      <w:p w14:paraId="56EC1A75" w14:textId="77777777" w:rsidR="00F96637" w:rsidRDefault="00F96637" w:rsidP="00B96393"/>
                      <w:p w14:paraId="3ABFD398" w14:textId="77777777" w:rsidR="00F96637" w:rsidRDefault="00F96637" w:rsidP="00B96393"/>
                      <w:p w14:paraId="6C2546EE" w14:textId="77777777" w:rsidR="00F96637" w:rsidRDefault="00F96637" w:rsidP="00B96393"/>
                      <w:p w14:paraId="6D1F1B0F" w14:textId="77777777" w:rsidR="00F96637" w:rsidRDefault="00F96637" w:rsidP="00B96393"/>
                      <w:p w14:paraId="5D5DFF5D" w14:textId="77777777" w:rsidR="00F96637" w:rsidRDefault="00F96637" w:rsidP="00B96393"/>
                      <w:p w14:paraId="7A1A88CB" w14:textId="77777777" w:rsidR="00F96637" w:rsidRDefault="00F96637" w:rsidP="00B96393"/>
                    </w:txbxContent>
                  </v:textbox>
                </v:rect>
                <v:group id="Group 49" o:spid="_x0000_s1028" style="position:absolute;left:21125;top:1063;width:27988;height:75479" coordorigin="4352" coordsize="25637,95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468" o:spid="_x0000_s1029" style="position:absolute;left:4352;width:25638;height:95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" fillcolor="white [3212]" strokecolor="#747070 [1614]" strokeweight="1.25pt">
                    <v:textbox>
                      <w:txbxContent>
                        <w:p w14:paraId="66FED72B" w14:textId="77777777" w:rsidR="00F96637" w:rsidRDefault="00F96637" w:rsidP="00B96393">
                          <w:pPr>
                            <w:jc w:val="center"/>
                            <w:rPr>
                              <w:rFonts w:asciiTheme="majorHAnsi" w:hAnsiTheme="majorHAnsi" w:cstheme="majorHAnsi"/>
                              <w:noProof/>
                              <w:sz w:val="72"/>
                              <w:szCs w:val="72"/>
                            </w:rPr>
                          </w:pPr>
                        </w:p>
                        <w:p w14:paraId="59917D89" w14:textId="77777777" w:rsidR="00F96637" w:rsidRDefault="00F96637" w:rsidP="00B96393">
                          <w:pPr>
                            <w:jc w:val="center"/>
                            <w:rPr>
                              <w:rFonts w:asciiTheme="majorHAnsi" w:hAnsiTheme="majorHAnsi" w:cstheme="majorHAnsi"/>
                              <w:noProof/>
                              <w:sz w:val="72"/>
                              <w:szCs w:val="72"/>
                            </w:rPr>
                          </w:pPr>
                        </w:p>
                        <w:p w14:paraId="3D89E6B5" w14:textId="77777777" w:rsidR="00F96637" w:rsidRDefault="00F96637" w:rsidP="00B96393">
                          <w:pPr>
                            <w:jc w:val="center"/>
                            <w:rPr>
                              <w:rFonts w:asciiTheme="majorHAnsi" w:hAnsiTheme="majorHAnsi" w:cstheme="majorHAnsi"/>
                              <w:noProof/>
                              <w:sz w:val="72"/>
                              <w:szCs w:val="72"/>
                            </w:rPr>
                          </w:pPr>
                        </w:p>
                        <w:p w14:paraId="6E6483D8" w14:textId="5379135B" w:rsidR="00F96637" w:rsidRPr="00C06536" w:rsidRDefault="00F96637" w:rsidP="00B96393">
                          <w:pPr>
                            <w:jc w:val="center"/>
                            <w:rPr>
                              <w:rFonts w:asciiTheme="majorHAnsi" w:hAnsiTheme="majorHAnsi" w:cstheme="majorHAnsi"/>
                              <w:noProof/>
                              <w:color w:val="007C89"/>
                              <w:sz w:val="64"/>
                              <w:szCs w:val="64"/>
                            </w:rPr>
                          </w:pPr>
                          <w:r w:rsidRPr="00C06536">
                            <w:rPr>
                              <w:rFonts w:asciiTheme="majorHAnsi" w:hAnsiTheme="majorHAnsi" w:cstheme="majorHAnsi"/>
                              <w:noProof/>
                              <w:color w:val="007C89"/>
                              <w:sz w:val="64"/>
                              <w:szCs w:val="64"/>
                            </w:rPr>
                            <w:t>WOK WANTAIM LONG STRONGEM EDUKEISEN</w:t>
                          </w:r>
                        </w:p>
                        <w:p w14:paraId="2122EA5C" w14:textId="77777777" w:rsidR="00F96637" w:rsidRDefault="00F96637" w:rsidP="00B96393">
                          <w:pPr>
                            <w:rPr>
                              <w:rFonts w:asciiTheme="majorHAnsi" w:hAnsiTheme="majorHAnsi" w:cstheme="majorHAnsi"/>
                              <w:noProof/>
                              <w:sz w:val="24"/>
                              <w:szCs w:val="24"/>
                            </w:rPr>
                          </w:pPr>
                        </w:p>
                        <w:p w14:paraId="53858CAF" w14:textId="77777777" w:rsidR="00F96637" w:rsidRDefault="00F96637" w:rsidP="00B96393">
                          <w:pPr>
                            <w:rPr>
                              <w:rFonts w:asciiTheme="majorHAnsi" w:hAnsiTheme="majorHAnsi" w:cstheme="majorHAnsi"/>
                              <w:noProof/>
                              <w:sz w:val="24"/>
                              <w:szCs w:val="24"/>
                            </w:rPr>
                          </w:pPr>
                        </w:p>
                        <w:p w14:paraId="4572F76E" w14:textId="77777777" w:rsidR="00F96637" w:rsidRDefault="00F96637" w:rsidP="00B96393">
                          <w:pPr>
                            <w:rPr>
                              <w:rFonts w:asciiTheme="majorHAnsi" w:hAnsiTheme="majorHAnsi" w:cstheme="majorHAnsi"/>
                              <w:noProof/>
                              <w:sz w:val="24"/>
                              <w:szCs w:val="24"/>
                            </w:rPr>
                          </w:pPr>
                        </w:p>
                        <w:p w14:paraId="668B1957" w14:textId="77777777" w:rsidR="00F96637" w:rsidRPr="005C64DB" w:rsidRDefault="00F96637" w:rsidP="00B96393">
                          <w:pPr>
                            <w:rPr>
                              <w:rFonts w:asciiTheme="majorHAnsi" w:hAnsiTheme="majorHAnsi" w:cstheme="majorHAnsi"/>
                              <w:noProof/>
                              <w:sz w:val="24"/>
                              <w:szCs w:val="24"/>
                            </w:rPr>
                          </w:pPr>
                        </w:p>
                        <w:p w14:paraId="01580B68" w14:textId="77777777" w:rsidR="00F96637" w:rsidRDefault="00F96637" w:rsidP="00B96393">
                          <w:pPr>
                            <w:jc w:val="center"/>
                          </w:pPr>
                        </w:p>
                      </w:txbxContent>
                    </v:textbox>
                  </v:rect>
                  <v:rect id="Rectangle 467" o:spid="_x0000_s1030" style="position:absolute;left:5319;width:23742;height:3369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" fillcolor="#007c89" stroked="f" strokeweight="1pt">
                    <v:textbox inset="14.4pt,14.4pt,14.4pt,28.8pt">
                      <w:txbxContent>
                        <w:p w14:paraId="29BA3E5E" w14:textId="77777777" w:rsidR="00F96637" w:rsidRDefault="00F96637" w:rsidP="00B96393">
                          <w:pPr>
                            <w:shd w:val="clear" w:color="auto" w:fill="007C89"/>
                            <w:spacing w:before="240"/>
                            <w:jc w:val="center"/>
                            <w:rPr>
                              <w:color w:val="FFFFFF" w:themeColor="background1"/>
                            </w:rPr>
                          </w:pPr>
                        </w:p>
                        <w:p w14:paraId="68F76EB8" w14:textId="77777777" w:rsidR="00F96637" w:rsidRDefault="00F96637" w:rsidP="00B96393">
                          <w:pPr>
                            <w:shd w:val="clear" w:color="auto" w:fill="007C89"/>
                            <w:spacing w:before="240"/>
                            <w:jc w:val="center"/>
                            <w:rPr>
                              <w:color w:val="FFFFFF" w:themeColor="background1"/>
                            </w:rPr>
                          </w:pPr>
                        </w:p>
                        <w:p w14:paraId="775F74A0" w14:textId="77777777" w:rsidR="00F96637" w:rsidRDefault="00F96637" w:rsidP="00B96393">
                          <w:pPr>
                            <w:shd w:val="clear" w:color="auto" w:fill="007C89"/>
                            <w:spacing w:before="240"/>
                            <w:jc w:val="center"/>
                            <w:rPr>
                              <w:color w:val="FFFFFF" w:themeColor="background1"/>
                            </w:rPr>
                          </w:pPr>
                        </w:p>
                        <w:p w14:paraId="240A1650" w14:textId="77777777" w:rsidR="00F96637" w:rsidRDefault="00F96637" w:rsidP="00B96393">
                          <w:pPr>
                            <w:shd w:val="clear" w:color="auto" w:fill="007C89"/>
                            <w:spacing w:before="240"/>
                            <w:jc w:val="center"/>
                            <w:rPr>
                              <w:color w:val="FFFFFF" w:themeColor="background1"/>
                            </w:rPr>
                          </w:pPr>
                        </w:p>
                        <w:p w14:paraId="3206BC07" w14:textId="77777777" w:rsidR="00F96637" w:rsidRDefault="00F96637" w:rsidP="00B96393">
                          <w:pPr>
                            <w:shd w:val="clear" w:color="auto" w:fill="007C89"/>
                            <w:spacing w:before="240"/>
                            <w:jc w:val="center"/>
                            <w:rPr>
                              <w:color w:val="FFFFFF" w:themeColor="background1"/>
                            </w:rPr>
                          </w:pPr>
                        </w:p>
                        <w:p w14:paraId="47681E87" w14:textId="77777777" w:rsidR="00F96637" w:rsidRDefault="00F96637" w:rsidP="00B96393">
                          <w:pPr>
                            <w:shd w:val="clear" w:color="auto" w:fill="007C89"/>
                            <w:spacing w:before="240"/>
                            <w:jc w:val="center"/>
                            <w:rPr>
                              <w:color w:val="FFFFFF" w:themeColor="background1"/>
                            </w:rPr>
                          </w:pPr>
                        </w:p>
                        <w:p w14:paraId="0067ED8D" w14:textId="77777777" w:rsidR="00F96637" w:rsidRDefault="00F96637" w:rsidP="00B96393">
                          <w:pPr>
                            <w:shd w:val="clear" w:color="auto" w:fill="007C89"/>
                            <w:spacing w:before="240"/>
                            <w:jc w:val="center"/>
                            <w:rPr>
                              <w:color w:val="FFFFFF" w:themeColor="background1"/>
                            </w:rPr>
                          </w:pPr>
                        </w:p>
                        <w:p w14:paraId="2E10D8CB" w14:textId="77777777" w:rsidR="00F96637" w:rsidRDefault="00F96637" w:rsidP="00B96393">
                          <w:pPr>
                            <w:shd w:val="clear" w:color="auto" w:fill="007C89"/>
                            <w:spacing w:before="240"/>
                            <w:jc w:val="center"/>
                            <w:rPr>
                              <w:color w:val="FFFFFF" w:themeColor="background1"/>
                            </w:rPr>
                          </w:pPr>
                        </w:p>
                      </w:txbxContent>
                    </v:textbox>
                  </v:rect>
                </v:group>
              </v:group>
            </w:pict>
          </mc:Fallback>
        </mc:AlternateContent>
      </w:r>
    </w:p>
    <w:p w14:paraId="51BF8A2B" w14:textId="3CE12BEE" w:rsidR="00E47030" w:rsidRPr="00060D11" w:rsidRDefault="00A15A41">
      <w:r w:rsidRPr="00060D11">
        <w:rPr>
          <w:noProof/>
        </w:rPr>
        <mc:AlternateContent>
          <mc:Choice Requires="wps">
            <w:drawing>
              <wp:anchor distT="0" distB="0" distL="114300" distR="114300" simplePos="0" relativeHeight="251768832" behindDoc="0" locked="0" layoutInCell="1" allowOverlap="1" wp14:anchorId="2C33A455" wp14:editId="1B85A7F6">
                <wp:simplePos x="0" y="0"/>
                <wp:positionH relativeFrom="column">
                  <wp:posOffset>2302998</wp:posOffset>
                </wp:positionH>
                <wp:positionV relativeFrom="paragraph">
                  <wp:posOffset>6682995</wp:posOffset>
                </wp:positionV>
                <wp:extent cx="2785731" cy="540000"/>
                <wp:effectExtent l="0" t="0" r="8890" b="1905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85731" cy="540000"/>
                        </a:xfrm>
                        <a:prstGeom prst="rect">
                          <a:avLst/>
                        </a:prstGeom>
                        <a:solidFill>
                          <a:srgbClr val="007C89"/>
                        </a:solidFill>
                        <a:ln w="6350">
                          <a:solidFill>
                            <a:prstClr val="black"/>
                          </a:solidFill>
                        </a:ln>
                      </wps:spPr>
                      <wps:txbx>
                        <w:txbxContent>
                          <w:p w14:paraId="41473BAB" w14:textId="77777777" w:rsidR="00F96637" w:rsidRPr="005C64DB" w:rsidRDefault="00F96637" w:rsidP="004E780D">
                            <w:pPr>
                              <w:rPr>
                                <w:rFonts w:asciiTheme="majorHAnsi" w:hAnsiTheme="majorHAnsi" w:cstheme="majorHAnsi"/>
                                <w:b/>
                                <w:bCs/>
                                <w:color w:val="FFFFFF" w:themeColor="background1"/>
                                <w:sz w:val="40"/>
                                <w:szCs w:val="40"/>
                                <w:lang w:val="en-AU"/>
                              </w:rPr>
                            </w:pPr>
                            <w:r>
                              <w:rPr>
                                <w:rFonts w:asciiTheme="majorHAnsi" w:hAnsiTheme="majorHAnsi" w:cstheme="majorHAnsi"/>
                                <w:b/>
                                <w:bCs/>
                                <w:color w:val="FFFFFF" w:themeColor="background1"/>
                                <w:sz w:val="40"/>
                                <w:szCs w:val="40"/>
                                <w:lang w:val="en-AU"/>
                              </w:rPr>
                              <w:t>VOLUME 1 - NARRATIVE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3A455" id="_x0000_t202" coordsize="21600,21600" o:spt="202" path="m,l,21600r21600,l21600,xe">
                <v:stroke joinstyle="miter"/>
                <v:path gradientshapeok="t" o:connecttype="rect"/>
              </v:shapetype>
              <v:shape id="Text Box 16" o:spid="_x0000_s1031" type="#_x0000_t202" alt="&quot;&quot;" style="position:absolute;margin-left:181.35pt;margin-top:526.2pt;width:219.35pt;height:4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" fillcolor="#007c89" strokeweight=".5pt">
                <v:textbox>
                  <w:txbxContent>
                    <w:p w14:paraId="41473BAB" w14:textId="77777777" w:rsidR="00F96637" w:rsidRPr="005C64DB" w:rsidRDefault="00F96637" w:rsidP="004E780D">
                      <w:pPr>
                        <w:rPr>
                          <w:rFonts w:asciiTheme="majorHAnsi" w:hAnsiTheme="majorHAnsi" w:cstheme="majorHAnsi"/>
                          <w:b/>
                          <w:bCs/>
                          <w:color w:val="FFFFFF" w:themeColor="background1"/>
                          <w:sz w:val="40"/>
                          <w:szCs w:val="40"/>
                          <w:lang w:val="en-AU"/>
                        </w:rPr>
                      </w:pPr>
                      <w:r>
                        <w:rPr>
                          <w:rFonts w:asciiTheme="majorHAnsi" w:hAnsiTheme="majorHAnsi" w:cstheme="majorHAnsi"/>
                          <w:b/>
                          <w:bCs/>
                          <w:color w:val="FFFFFF" w:themeColor="background1"/>
                          <w:sz w:val="40"/>
                          <w:szCs w:val="40"/>
                          <w:lang w:val="en-AU"/>
                        </w:rPr>
                        <w:t>VOLUME 1 - NARRATIVE</w:t>
                      </w:r>
                    </w:p>
                  </w:txbxContent>
                </v:textbox>
              </v:shape>
            </w:pict>
          </mc:Fallback>
        </mc:AlternateContent>
      </w:r>
      <w:r w:rsidR="00D173CB" w:rsidRPr="00060D11">
        <w:rPr>
          <w:noProof/>
        </w:rPr>
        <mc:AlternateContent>
          <mc:Choice Requires="wps">
            <w:drawing>
              <wp:anchor distT="0" distB="0" distL="114300" distR="114300" simplePos="0" relativeHeight="251766784" behindDoc="0" locked="0" layoutInCell="1" allowOverlap="1" wp14:anchorId="02455B3E" wp14:editId="718955C4">
                <wp:simplePos x="0" y="0"/>
                <wp:positionH relativeFrom="column">
                  <wp:posOffset>2548015</wp:posOffset>
                </wp:positionH>
                <wp:positionV relativeFrom="paragraph">
                  <wp:posOffset>5063490</wp:posOffset>
                </wp:positionV>
                <wp:extent cx="2253615" cy="152637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53615" cy="1526375"/>
                        </a:xfrm>
                        <a:prstGeom prst="rect">
                          <a:avLst/>
                        </a:prstGeom>
                        <a:solidFill>
                          <a:schemeClr val="lt1"/>
                        </a:solidFill>
                        <a:ln w="6350">
                          <a:noFill/>
                        </a:ln>
                      </wps:spPr>
                      <wps:txbx>
                        <w:txbxContent>
                          <w:p w14:paraId="25795278" w14:textId="77777777" w:rsidR="00F96637" w:rsidRDefault="00F96637" w:rsidP="0002748F">
                            <w:pPr>
                              <w:jc w:val="center"/>
                              <w:rPr>
                                <w:color w:val="auto"/>
                                <w:sz w:val="44"/>
                                <w:szCs w:val="44"/>
                                <w:lang w:val="en-AU"/>
                              </w:rPr>
                            </w:pPr>
                            <w:r>
                              <w:rPr>
                                <w:color w:val="auto"/>
                                <w:sz w:val="44"/>
                                <w:szCs w:val="44"/>
                                <w:lang w:val="en-AU"/>
                              </w:rPr>
                              <w:t>PNG</w:t>
                            </w:r>
                          </w:p>
                          <w:p w14:paraId="17ABEB6B" w14:textId="0EC48D9C" w:rsidR="00F96637" w:rsidRDefault="00F96637" w:rsidP="0002748F">
                            <w:pPr>
                              <w:jc w:val="center"/>
                              <w:rPr>
                                <w:color w:val="auto"/>
                                <w:sz w:val="44"/>
                                <w:szCs w:val="44"/>
                                <w:lang w:val="en-AU"/>
                              </w:rPr>
                            </w:pPr>
                            <w:r w:rsidRPr="00512242">
                              <w:rPr>
                                <w:color w:val="auto"/>
                                <w:sz w:val="44"/>
                                <w:szCs w:val="44"/>
                                <w:lang w:val="en-AU"/>
                              </w:rPr>
                              <w:t>PARTNERSHIPS FOR IMPROVING EDUCATION (PIE)</w:t>
                            </w:r>
                          </w:p>
                          <w:p w14:paraId="0DE90ED5" w14:textId="4EAEFA1E" w:rsidR="00F96637" w:rsidRPr="00512242" w:rsidRDefault="00F96637" w:rsidP="0002748F">
                            <w:pPr>
                              <w:jc w:val="center"/>
                              <w:rPr>
                                <w:color w:val="auto"/>
                                <w:sz w:val="44"/>
                                <w:szCs w:val="44"/>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55B3E" id="Text Box 4" o:spid="_x0000_s1032" type="#_x0000_t202" alt="&quot;&quot;" style="position:absolute;margin-left:200.65pt;margin-top:398.7pt;width:177.45pt;height:120.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" fillcolor="white [3201]" stroked="f" strokeweight=".5pt">
                <v:textbox>
                  <w:txbxContent>
                    <w:p w14:paraId="25795278" w14:textId="77777777" w:rsidR="00F96637" w:rsidRDefault="00F96637" w:rsidP="0002748F">
                      <w:pPr>
                        <w:jc w:val="center"/>
                        <w:rPr>
                          <w:color w:val="auto"/>
                          <w:sz w:val="44"/>
                          <w:szCs w:val="44"/>
                          <w:lang w:val="en-AU"/>
                        </w:rPr>
                      </w:pPr>
                      <w:r>
                        <w:rPr>
                          <w:color w:val="auto"/>
                          <w:sz w:val="44"/>
                          <w:szCs w:val="44"/>
                          <w:lang w:val="en-AU"/>
                        </w:rPr>
                        <w:t>PNG</w:t>
                      </w:r>
                    </w:p>
                    <w:p w14:paraId="17ABEB6B" w14:textId="0EC48D9C" w:rsidR="00F96637" w:rsidRDefault="00F96637" w:rsidP="0002748F">
                      <w:pPr>
                        <w:jc w:val="center"/>
                        <w:rPr>
                          <w:color w:val="auto"/>
                          <w:sz w:val="44"/>
                          <w:szCs w:val="44"/>
                          <w:lang w:val="en-AU"/>
                        </w:rPr>
                      </w:pPr>
                      <w:r w:rsidRPr="00512242">
                        <w:rPr>
                          <w:color w:val="auto"/>
                          <w:sz w:val="44"/>
                          <w:szCs w:val="44"/>
                          <w:lang w:val="en-AU"/>
                        </w:rPr>
                        <w:t>PARTNERSHIPS FOR IMPROVING EDUCATION (PIE)</w:t>
                      </w:r>
                    </w:p>
                    <w:p w14:paraId="0DE90ED5" w14:textId="4EAEFA1E" w:rsidR="00F96637" w:rsidRPr="00512242" w:rsidRDefault="00F96637" w:rsidP="0002748F">
                      <w:pPr>
                        <w:jc w:val="center"/>
                        <w:rPr>
                          <w:color w:val="auto"/>
                          <w:sz w:val="44"/>
                          <w:szCs w:val="44"/>
                          <w:lang w:val="en-AU"/>
                        </w:rPr>
                      </w:pPr>
                    </w:p>
                  </w:txbxContent>
                </v:textbox>
              </v:shape>
            </w:pict>
          </mc:Fallback>
        </mc:AlternateContent>
      </w:r>
      <w:r w:rsidR="00E47030" w:rsidRPr="00060D11">
        <w:br w:type="page"/>
      </w:r>
    </w:p>
    <w:p w14:paraId="770BC9E6" w14:textId="77777777" w:rsidR="00E47030" w:rsidRPr="00060D11" w:rsidRDefault="00E47030"/>
    <w:p w14:paraId="57F1BB43" w14:textId="5E8EF956" w:rsidR="00A932F2" w:rsidRPr="00060D11" w:rsidRDefault="000A13AD">
      <w:pPr>
        <w:spacing w:line="276" w:lineRule="auto"/>
        <w:rPr>
          <w:rFonts w:cstheme="minorHAnsi"/>
          <w:sz w:val="16"/>
          <w:szCs w:val="16"/>
        </w:rPr>
      </w:pPr>
      <w:bookmarkStart w:id="0" w:name="_Toc378597240"/>
      <w:bookmarkStart w:id="1" w:name="_Hlk68587518"/>
      <w:r w:rsidRPr="00060D11">
        <w:rPr>
          <w:noProof/>
        </w:rPr>
        <mc:AlternateContent>
          <mc:Choice Requires="wps">
            <w:drawing>
              <wp:inline distT="0" distB="0" distL="0" distR="0" wp14:anchorId="64F64740" wp14:editId="1DA4FEA3">
                <wp:extent cx="5730240" cy="2228850"/>
                <wp:effectExtent l="0" t="0" r="22860" b="19050"/>
                <wp:docPr id="456" name="Rectangle 456"/>
                <wp:cNvGraphicFramePr/>
                <a:graphic xmlns:a="http://schemas.openxmlformats.org/drawingml/2006/main">
                  <a:graphicData uri="http://schemas.microsoft.com/office/word/2010/wordprocessingShape">
                    <wps:wsp>
                      <wps:cNvSpPr/>
                      <wps:spPr>
                        <a:xfrm>
                          <a:off x="0" y="0"/>
                          <a:ext cx="5730240" cy="2228850"/>
                        </a:xfrm>
                        <a:prstGeom prst="rect">
                          <a:avLst/>
                        </a:prstGeom>
                        <a:gradFill flip="none" rotWithShape="1">
                          <a:gsLst>
                            <a:gs pos="0">
                              <a:srgbClr val="007C89">
                                <a:tint val="66000"/>
                                <a:satMod val="160000"/>
                              </a:srgbClr>
                            </a:gs>
                            <a:gs pos="50000">
                              <a:srgbClr val="007C89">
                                <a:tint val="44500"/>
                                <a:satMod val="160000"/>
                              </a:srgbClr>
                            </a:gs>
                            <a:gs pos="100000">
                              <a:srgbClr val="007C89">
                                <a:tint val="23500"/>
                                <a:satMod val="160000"/>
                              </a:srgb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2E0031C8" w14:textId="77777777" w:rsidR="00F96637" w:rsidRDefault="00F96637"/>
                          <w:tbl>
                            <w:tblPr>
                              <w:tblStyle w:val="TableGrid"/>
                              <w:tblW w:w="0" w:type="auto"/>
                              <w:tblLook w:val="04A0" w:firstRow="1" w:lastRow="0" w:firstColumn="1" w:lastColumn="0" w:noHBand="0" w:noVBand="1"/>
                            </w:tblPr>
                            <w:tblGrid>
                              <w:gridCol w:w="4351"/>
                              <w:gridCol w:w="4355"/>
                            </w:tblGrid>
                            <w:tr w:rsidR="00F96637" w14:paraId="4E7F292F" w14:textId="77777777" w:rsidTr="000A13AD">
                              <w:trPr>
                                <w:trHeight w:val="370"/>
                              </w:trPr>
                              <w:tc>
                                <w:tcPr>
                                  <w:tcW w:w="8706" w:type="dxa"/>
                                  <w:gridSpan w:val="2"/>
                                </w:tcPr>
                                <w:p w14:paraId="7435C979" w14:textId="1D9CD2FB" w:rsidR="00F96637" w:rsidRPr="00893997" w:rsidRDefault="00F96637" w:rsidP="00A932F2">
                                  <w:pPr>
                                    <w:spacing w:line="276" w:lineRule="auto"/>
                                    <w:rPr>
                                      <w:b/>
                                    </w:rPr>
                                  </w:pPr>
                                  <w:r w:rsidRPr="00512242">
                                    <w:rPr>
                                      <w:b/>
                                      <w:sz w:val="21"/>
                                      <w:szCs w:val="21"/>
                                    </w:rPr>
                                    <w:t>Partnerships for Improving Education (PIE)</w:t>
                                  </w:r>
                                  <w:r>
                                    <w:rPr>
                                      <w:b/>
                                      <w:sz w:val="21"/>
                                      <w:szCs w:val="21"/>
                                    </w:rPr>
                                    <w:t xml:space="preserve"> Investment Design Document – published version</w:t>
                                  </w:r>
                                </w:p>
                              </w:tc>
                            </w:tr>
                            <w:tr w:rsidR="00F96637" w14:paraId="1DA550CF" w14:textId="77777777" w:rsidTr="000A13AD">
                              <w:tc>
                                <w:tcPr>
                                  <w:tcW w:w="4351" w:type="dxa"/>
                                </w:tcPr>
                                <w:p w14:paraId="7F5BBE39" w14:textId="6407B799" w:rsidR="00F96637" w:rsidRDefault="00F96637" w:rsidP="00A932F2">
                                  <w:pPr>
                                    <w:spacing w:line="276" w:lineRule="auto"/>
                                  </w:pPr>
                                  <w:r w:rsidRPr="00A32858">
                                    <w:rPr>
                                      <w:b/>
                                      <w:sz w:val="21"/>
                                      <w:szCs w:val="21"/>
                                    </w:rPr>
                                    <w:t>Start date:</w:t>
                                  </w:r>
                                  <w:r>
                                    <w:rPr>
                                      <w:b/>
                                      <w:sz w:val="21"/>
                                      <w:szCs w:val="21"/>
                                    </w:rPr>
                                    <w:t xml:space="preserve"> </w:t>
                                  </w:r>
                                  <w:r w:rsidRPr="00662C8F">
                                    <w:rPr>
                                      <w:bCs/>
                                      <w:sz w:val="21"/>
                                      <w:szCs w:val="21"/>
                                    </w:rPr>
                                    <w:t>1 July 2022</w:t>
                                  </w:r>
                                  <w:r w:rsidRPr="00662C8F">
                                    <w:rPr>
                                      <w:bCs/>
                                      <w:sz w:val="21"/>
                                      <w:szCs w:val="21"/>
                                    </w:rPr>
                                    <w:tab/>
                                  </w:r>
                                </w:p>
                              </w:tc>
                              <w:tc>
                                <w:tcPr>
                                  <w:tcW w:w="4355" w:type="dxa"/>
                                </w:tcPr>
                                <w:p w14:paraId="7D9D7BDA" w14:textId="3BC8B6E3" w:rsidR="00F96637" w:rsidRDefault="00F96637" w:rsidP="00A932F2">
                                  <w:pPr>
                                    <w:spacing w:line="276" w:lineRule="auto"/>
                                  </w:pPr>
                                  <w:r w:rsidRPr="00A32858">
                                    <w:rPr>
                                      <w:b/>
                                      <w:sz w:val="21"/>
                                      <w:szCs w:val="21"/>
                                    </w:rPr>
                                    <w:t>End date:</w:t>
                                  </w:r>
                                  <w:r>
                                    <w:rPr>
                                      <w:b/>
                                      <w:sz w:val="21"/>
                                      <w:szCs w:val="21"/>
                                    </w:rPr>
                                    <w:t xml:space="preserve"> </w:t>
                                  </w:r>
                                  <w:r w:rsidRPr="00662C8F">
                                    <w:rPr>
                                      <w:bCs/>
                                      <w:sz w:val="21"/>
                                      <w:szCs w:val="21"/>
                                    </w:rPr>
                                    <w:t>30 June 2030</w:t>
                                  </w:r>
                                </w:p>
                              </w:tc>
                            </w:tr>
                            <w:tr w:rsidR="00F96637" w14:paraId="2B37FF88" w14:textId="77777777" w:rsidTr="000A13AD">
                              <w:trPr>
                                <w:trHeight w:val="436"/>
                              </w:trPr>
                              <w:tc>
                                <w:tcPr>
                                  <w:tcW w:w="4351" w:type="dxa"/>
                                </w:tcPr>
                                <w:p w14:paraId="6A19DD5A" w14:textId="77777777" w:rsidR="00F96637" w:rsidRDefault="00F96637" w:rsidP="00A932F2">
                                  <w:pPr>
                                    <w:spacing w:line="276" w:lineRule="auto"/>
                                  </w:pPr>
                                  <w:r w:rsidRPr="00A32858">
                                    <w:rPr>
                                      <w:b/>
                                      <w:sz w:val="21"/>
                                      <w:szCs w:val="21"/>
                                    </w:rPr>
                                    <w:t xml:space="preserve">Total proposed DFAT funding: </w:t>
                                  </w:r>
                                  <w:r w:rsidRPr="00A32858">
                                    <w:rPr>
                                      <w:sz w:val="21"/>
                                      <w:szCs w:val="21"/>
                                    </w:rPr>
                                    <w:t>AUD</w:t>
                                  </w:r>
                                  <w:r>
                                    <w:rPr>
                                      <w:sz w:val="21"/>
                                      <w:szCs w:val="21"/>
                                    </w:rPr>
                                    <w:t xml:space="preserve"> 75 million</w:t>
                                  </w:r>
                                </w:p>
                              </w:tc>
                              <w:tc>
                                <w:tcPr>
                                  <w:tcW w:w="4355" w:type="dxa"/>
                                </w:tcPr>
                                <w:p w14:paraId="7D4DC2D2" w14:textId="2EB9E1D5" w:rsidR="00F96637" w:rsidRDefault="00F96637" w:rsidP="00A932F2">
                                  <w:pPr>
                                    <w:spacing w:line="276" w:lineRule="auto"/>
                                  </w:pPr>
                                  <w:r w:rsidRPr="00A32858">
                                    <w:rPr>
                                      <w:b/>
                                      <w:sz w:val="21"/>
                                      <w:szCs w:val="21"/>
                                    </w:rPr>
                                    <w:t xml:space="preserve">Total proposed funding from all donor/s: </w:t>
                                  </w:r>
                                  <w:r w:rsidRPr="00A32858">
                                    <w:rPr>
                                      <w:sz w:val="21"/>
                                      <w:szCs w:val="21"/>
                                    </w:rPr>
                                    <w:t>A</w:t>
                                  </w:r>
                                  <w:r>
                                    <w:rPr>
                                      <w:sz w:val="21"/>
                                      <w:szCs w:val="21"/>
                                    </w:rPr>
                                    <w:t>UD75 million</w:t>
                                  </w:r>
                                </w:p>
                              </w:tc>
                            </w:tr>
                            <w:tr w:rsidR="00F96637" w14:paraId="55B6553B" w14:textId="77777777" w:rsidTr="000A13AD">
                              <w:tc>
                                <w:tcPr>
                                  <w:tcW w:w="4351" w:type="dxa"/>
                                </w:tcPr>
                                <w:p w14:paraId="1E52C705" w14:textId="2FD4FE63" w:rsidR="00F96637" w:rsidRPr="009254C1" w:rsidRDefault="00F96637" w:rsidP="00A932F2">
                                  <w:pPr>
                                    <w:spacing w:line="276" w:lineRule="auto"/>
                                  </w:pPr>
                                  <w:r w:rsidRPr="009254C1">
                                    <w:rPr>
                                      <w:rFonts w:cs="Arial"/>
                                      <w:b/>
                                      <w:sz w:val="21"/>
                                      <w:szCs w:val="21"/>
                                    </w:rPr>
                                    <w:t xml:space="preserve">Current program fund annual allocation: </w:t>
                                  </w:r>
                                </w:p>
                              </w:tc>
                              <w:tc>
                                <w:tcPr>
                                  <w:tcW w:w="4355" w:type="dxa"/>
                                </w:tcPr>
                                <w:p w14:paraId="68A9D0A6" w14:textId="25F62DC3" w:rsidR="00F96637" w:rsidRPr="009254C1" w:rsidRDefault="00F96637" w:rsidP="00A932F2">
                                  <w:pPr>
                                    <w:spacing w:line="276" w:lineRule="auto"/>
                                  </w:pPr>
                                  <w:r w:rsidRPr="009254C1">
                                    <w:rPr>
                                      <w:b/>
                                      <w:sz w:val="21"/>
                                      <w:szCs w:val="21"/>
                                    </w:rPr>
                                    <w:t>AidWorks investment number:</w:t>
                                  </w:r>
                                  <w:r w:rsidRPr="00893997">
                                    <w:rPr>
                                      <w:bCs/>
                                      <w:sz w:val="21"/>
                                      <w:szCs w:val="21"/>
                                    </w:rPr>
                                    <w:t xml:space="preserve"> </w:t>
                                  </w:r>
                                </w:p>
                              </w:tc>
                            </w:tr>
                            <w:tr w:rsidR="00F96637" w14:paraId="2D46F455" w14:textId="77777777" w:rsidTr="000A13AD">
                              <w:tc>
                                <w:tcPr>
                                  <w:tcW w:w="4351" w:type="dxa"/>
                                </w:tcPr>
                                <w:p w14:paraId="4EF0ABF9" w14:textId="53A05B62" w:rsidR="00F96637" w:rsidRPr="009254C1" w:rsidRDefault="00F96637" w:rsidP="00A932F2">
                                  <w:pPr>
                                    <w:spacing w:line="276" w:lineRule="auto"/>
                                  </w:pPr>
                                  <w:r w:rsidRPr="009254C1">
                                    <w:rPr>
                                      <w:b/>
                                      <w:sz w:val="21"/>
                                      <w:szCs w:val="21"/>
                                    </w:rPr>
                                    <w:t>Overall Risk Profile</w:t>
                                  </w:r>
                                  <w:r w:rsidRPr="009254C1">
                                    <w:rPr>
                                      <w:sz w:val="21"/>
                                      <w:szCs w:val="21"/>
                                    </w:rPr>
                                    <w:t xml:space="preserve">: </w:t>
                                  </w:r>
                                </w:p>
                              </w:tc>
                              <w:tc>
                                <w:tcPr>
                                  <w:tcW w:w="4355" w:type="dxa"/>
                                </w:tcPr>
                                <w:p w14:paraId="02024CBF" w14:textId="543014F2" w:rsidR="00F96637" w:rsidRPr="009254C1" w:rsidRDefault="00F96637" w:rsidP="00A932F2">
                                  <w:pPr>
                                    <w:spacing w:line="276" w:lineRule="auto"/>
                                  </w:pPr>
                                  <w:r w:rsidRPr="009254C1">
                                    <w:rPr>
                                      <w:b/>
                                      <w:sz w:val="21"/>
                                      <w:szCs w:val="21"/>
                                    </w:rPr>
                                    <w:t>Risk</w:t>
                                  </w:r>
                                  <w:r>
                                    <w:rPr>
                                      <w:b/>
                                      <w:sz w:val="21"/>
                                      <w:szCs w:val="21"/>
                                    </w:rPr>
                                    <w:t>:</w:t>
                                  </w:r>
                                  <w:r w:rsidRPr="009254C1">
                                    <w:rPr>
                                      <w:b/>
                                      <w:sz w:val="21"/>
                                      <w:szCs w:val="21"/>
                                    </w:rPr>
                                    <w:t xml:space="preserve"> </w:t>
                                  </w:r>
                                  <w:r w:rsidRPr="009254C1">
                                    <w:rPr>
                                      <w:i/>
                                      <w:sz w:val="21"/>
                                      <w:szCs w:val="21"/>
                                    </w:rPr>
                                    <w:t xml:space="preserve"> </w:t>
                                  </w:r>
                                  <w:r w:rsidRPr="009254C1">
                                    <w:rPr>
                                      <w:b/>
                                      <w:sz w:val="21"/>
                                      <w:szCs w:val="21"/>
                                    </w:rPr>
                                    <w:t xml:space="preserve">  Value</w:t>
                                  </w:r>
                                  <w:r>
                                    <w:rPr>
                                      <w:b/>
                                      <w:sz w:val="21"/>
                                      <w:szCs w:val="21"/>
                                    </w:rPr>
                                    <w:t xml:space="preserve">: </w:t>
                                  </w:r>
                                  <w:r w:rsidRPr="00662C8F">
                                    <w:rPr>
                                      <w:bCs/>
                                      <w:sz w:val="21"/>
                                      <w:szCs w:val="21"/>
                                    </w:rPr>
                                    <w:t>$75m</w:t>
                                  </w:r>
                                </w:p>
                              </w:tc>
                            </w:tr>
                            <w:tr w:rsidR="00F96637" w14:paraId="7054A605" w14:textId="77777777" w:rsidTr="000A13AD">
                              <w:tc>
                                <w:tcPr>
                                  <w:tcW w:w="8706" w:type="dxa"/>
                                  <w:gridSpan w:val="2"/>
                                </w:tcPr>
                                <w:p w14:paraId="45C6A27E" w14:textId="435D79A7" w:rsidR="00F96637" w:rsidRPr="009254C1" w:rsidRDefault="00F96637" w:rsidP="00A932F2">
                                  <w:pPr>
                                    <w:spacing w:line="276" w:lineRule="auto"/>
                                  </w:pPr>
                                  <w:r w:rsidRPr="009254C1">
                                    <w:rPr>
                                      <w:b/>
                                      <w:sz w:val="21"/>
                                      <w:szCs w:val="21"/>
                                    </w:rPr>
                                    <w:t xml:space="preserve">Quality Assurance completed: </w:t>
                                  </w:r>
                                  <w:r w:rsidRPr="009254C1">
                                    <w:rPr>
                                      <w:i/>
                                      <w:sz w:val="21"/>
                                      <w:szCs w:val="21"/>
                                    </w:rPr>
                                    <w:t>Peer Review</w:t>
                                  </w:r>
                                </w:p>
                              </w:tc>
                            </w:tr>
                            <w:tr w:rsidR="00F96637" w14:paraId="1B694C05" w14:textId="77777777" w:rsidTr="000A13AD">
                              <w:trPr>
                                <w:trHeight w:val="393"/>
                              </w:trPr>
                              <w:tc>
                                <w:tcPr>
                                  <w:tcW w:w="4351" w:type="dxa"/>
                                </w:tcPr>
                                <w:p w14:paraId="7A71FD62" w14:textId="56FFD681" w:rsidR="00F96637" w:rsidRPr="009254C1" w:rsidRDefault="00F96637" w:rsidP="00A932F2">
                                  <w:pPr>
                                    <w:spacing w:line="276" w:lineRule="auto"/>
                                  </w:pPr>
                                  <w:r w:rsidRPr="009254C1">
                                    <w:rPr>
                                      <w:b/>
                                      <w:sz w:val="21"/>
                                      <w:szCs w:val="21"/>
                                    </w:rPr>
                                    <w:t xml:space="preserve">Approval: Delegate at Post: </w:t>
                                  </w:r>
                                </w:p>
                              </w:tc>
                              <w:tc>
                                <w:tcPr>
                                  <w:tcW w:w="4355" w:type="dxa"/>
                                </w:tcPr>
                                <w:p w14:paraId="02128447" w14:textId="704660E3" w:rsidR="00F96637" w:rsidRPr="009254C1" w:rsidRDefault="00F96637" w:rsidP="00A932F2">
                                  <w:pPr>
                                    <w:spacing w:line="276" w:lineRule="auto"/>
                                  </w:pPr>
                                  <w:r w:rsidRPr="009254C1">
                                    <w:rPr>
                                      <w:b/>
                                      <w:sz w:val="21"/>
                                      <w:szCs w:val="21"/>
                                    </w:rPr>
                                    <w:t xml:space="preserve">Delegate in Canberra: </w:t>
                                  </w:r>
                                </w:p>
                              </w:tc>
                            </w:tr>
                          </w:tbl>
                          <w:p w14:paraId="6DEA4CFA" w14:textId="77777777" w:rsidR="00F96637" w:rsidRDefault="00F96637" w:rsidP="00A932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F64740" id="Rectangle 456" o:spid="_x0000_s1033" style="width:451.2pt;height:1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" fillcolor="#94bdc6" strokecolor="#1f3763 [1604]" strokeweight="1pt">
                <v:fill color2="#e0eaec" rotate="t" angle="90" colors="0 #94bdc6;.5 #bfd5da;1 #e0eaec" focus="100%" type="gradient"/>
                <v:textbox>
                  <w:txbxContent>
                    <w:p w14:paraId="2E0031C8" w14:textId="77777777" w:rsidR="00F96637" w:rsidRDefault="00F96637"/>
                    <w:tbl>
                      <w:tblPr>
                        <w:tblStyle w:val="TableGrid"/>
                        <w:tblW w:w="0" w:type="auto"/>
                        <w:tblLook w:val="04A0" w:firstRow="1" w:lastRow="0" w:firstColumn="1" w:lastColumn="0" w:noHBand="0" w:noVBand="1"/>
                      </w:tblPr>
                      <w:tblGrid>
                        <w:gridCol w:w="4351"/>
                        <w:gridCol w:w="4355"/>
                      </w:tblGrid>
                      <w:tr w:rsidR="00F96637" w14:paraId="4E7F292F" w14:textId="77777777" w:rsidTr="000A13AD">
                        <w:trPr>
                          <w:trHeight w:val="370"/>
                        </w:trPr>
                        <w:tc>
                          <w:tcPr>
                            <w:tcW w:w="8706" w:type="dxa"/>
                            <w:gridSpan w:val="2"/>
                          </w:tcPr>
                          <w:p w14:paraId="7435C979" w14:textId="1D9CD2FB" w:rsidR="00F96637" w:rsidRPr="00893997" w:rsidRDefault="00F96637" w:rsidP="00A932F2">
                            <w:pPr>
                              <w:spacing w:line="276" w:lineRule="auto"/>
                              <w:rPr>
                                <w:b/>
                              </w:rPr>
                            </w:pPr>
                            <w:r w:rsidRPr="00512242">
                              <w:rPr>
                                <w:b/>
                                <w:sz w:val="21"/>
                                <w:szCs w:val="21"/>
                              </w:rPr>
                              <w:t>Partnerships for Improving Education (PIE)</w:t>
                            </w:r>
                            <w:r>
                              <w:rPr>
                                <w:b/>
                                <w:sz w:val="21"/>
                                <w:szCs w:val="21"/>
                              </w:rPr>
                              <w:t xml:space="preserve"> Investment Design Document – published version</w:t>
                            </w:r>
                          </w:p>
                        </w:tc>
                      </w:tr>
                      <w:tr w:rsidR="00F96637" w14:paraId="1DA550CF" w14:textId="77777777" w:rsidTr="000A13AD">
                        <w:tc>
                          <w:tcPr>
                            <w:tcW w:w="4351" w:type="dxa"/>
                          </w:tcPr>
                          <w:p w14:paraId="7F5BBE39" w14:textId="6407B799" w:rsidR="00F96637" w:rsidRDefault="00F96637" w:rsidP="00A932F2">
                            <w:pPr>
                              <w:spacing w:line="276" w:lineRule="auto"/>
                            </w:pPr>
                            <w:r w:rsidRPr="00A32858">
                              <w:rPr>
                                <w:b/>
                                <w:sz w:val="21"/>
                                <w:szCs w:val="21"/>
                              </w:rPr>
                              <w:t>Start date:</w:t>
                            </w:r>
                            <w:r>
                              <w:rPr>
                                <w:b/>
                                <w:sz w:val="21"/>
                                <w:szCs w:val="21"/>
                              </w:rPr>
                              <w:t xml:space="preserve"> </w:t>
                            </w:r>
                            <w:r w:rsidRPr="00662C8F">
                              <w:rPr>
                                <w:bCs/>
                                <w:sz w:val="21"/>
                                <w:szCs w:val="21"/>
                              </w:rPr>
                              <w:t>1 July 2022</w:t>
                            </w:r>
                            <w:r w:rsidRPr="00662C8F">
                              <w:rPr>
                                <w:bCs/>
                                <w:sz w:val="21"/>
                                <w:szCs w:val="21"/>
                              </w:rPr>
                              <w:tab/>
                            </w:r>
                          </w:p>
                        </w:tc>
                        <w:tc>
                          <w:tcPr>
                            <w:tcW w:w="4355" w:type="dxa"/>
                          </w:tcPr>
                          <w:p w14:paraId="7D9D7BDA" w14:textId="3BC8B6E3" w:rsidR="00F96637" w:rsidRDefault="00F96637" w:rsidP="00A932F2">
                            <w:pPr>
                              <w:spacing w:line="276" w:lineRule="auto"/>
                            </w:pPr>
                            <w:r w:rsidRPr="00A32858">
                              <w:rPr>
                                <w:b/>
                                <w:sz w:val="21"/>
                                <w:szCs w:val="21"/>
                              </w:rPr>
                              <w:t>End date:</w:t>
                            </w:r>
                            <w:r>
                              <w:rPr>
                                <w:b/>
                                <w:sz w:val="21"/>
                                <w:szCs w:val="21"/>
                              </w:rPr>
                              <w:t xml:space="preserve"> </w:t>
                            </w:r>
                            <w:r w:rsidRPr="00662C8F">
                              <w:rPr>
                                <w:bCs/>
                                <w:sz w:val="21"/>
                                <w:szCs w:val="21"/>
                              </w:rPr>
                              <w:t>30 June 2030</w:t>
                            </w:r>
                          </w:p>
                        </w:tc>
                      </w:tr>
                      <w:tr w:rsidR="00F96637" w14:paraId="2B37FF88" w14:textId="77777777" w:rsidTr="000A13AD">
                        <w:trPr>
                          <w:trHeight w:val="436"/>
                        </w:trPr>
                        <w:tc>
                          <w:tcPr>
                            <w:tcW w:w="4351" w:type="dxa"/>
                          </w:tcPr>
                          <w:p w14:paraId="6A19DD5A" w14:textId="77777777" w:rsidR="00F96637" w:rsidRDefault="00F96637" w:rsidP="00A932F2">
                            <w:pPr>
                              <w:spacing w:line="276" w:lineRule="auto"/>
                            </w:pPr>
                            <w:r w:rsidRPr="00A32858">
                              <w:rPr>
                                <w:b/>
                                <w:sz w:val="21"/>
                                <w:szCs w:val="21"/>
                              </w:rPr>
                              <w:t xml:space="preserve">Total proposed DFAT funding: </w:t>
                            </w:r>
                            <w:r w:rsidRPr="00A32858">
                              <w:rPr>
                                <w:sz w:val="21"/>
                                <w:szCs w:val="21"/>
                              </w:rPr>
                              <w:t>AUD</w:t>
                            </w:r>
                            <w:r>
                              <w:rPr>
                                <w:sz w:val="21"/>
                                <w:szCs w:val="21"/>
                              </w:rPr>
                              <w:t xml:space="preserve"> 75 million</w:t>
                            </w:r>
                          </w:p>
                        </w:tc>
                        <w:tc>
                          <w:tcPr>
                            <w:tcW w:w="4355" w:type="dxa"/>
                          </w:tcPr>
                          <w:p w14:paraId="7D4DC2D2" w14:textId="2EB9E1D5" w:rsidR="00F96637" w:rsidRDefault="00F96637" w:rsidP="00A932F2">
                            <w:pPr>
                              <w:spacing w:line="276" w:lineRule="auto"/>
                            </w:pPr>
                            <w:r w:rsidRPr="00A32858">
                              <w:rPr>
                                <w:b/>
                                <w:sz w:val="21"/>
                                <w:szCs w:val="21"/>
                              </w:rPr>
                              <w:t xml:space="preserve">Total proposed funding from all donor/s: </w:t>
                            </w:r>
                            <w:r w:rsidRPr="00A32858">
                              <w:rPr>
                                <w:sz w:val="21"/>
                                <w:szCs w:val="21"/>
                              </w:rPr>
                              <w:t>A</w:t>
                            </w:r>
                            <w:r>
                              <w:rPr>
                                <w:sz w:val="21"/>
                                <w:szCs w:val="21"/>
                              </w:rPr>
                              <w:t>UD75 million</w:t>
                            </w:r>
                          </w:p>
                        </w:tc>
                      </w:tr>
                      <w:tr w:rsidR="00F96637" w14:paraId="55B6553B" w14:textId="77777777" w:rsidTr="000A13AD">
                        <w:tc>
                          <w:tcPr>
                            <w:tcW w:w="4351" w:type="dxa"/>
                          </w:tcPr>
                          <w:p w14:paraId="1E52C705" w14:textId="2FD4FE63" w:rsidR="00F96637" w:rsidRPr="009254C1" w:rsidRDefault="00F96637" w:rsidP="00A932F2">
                            <w:pPr>
                              <w:spacing w:line="276" w:lineRule="auto"/>
                            </w:pPr>
                            <w:r w:rsidRPr="009254C1">
                              <w:rPr>
                                <w:rFonts w:cs="Arial"/>
                                <w:b/>
                                <w:sz w:val="21"/>
                                <w:szCs w:val="21"/>
                              </w:rPr>
                              <w:t xml:space="preserve">Current program fund annual allocation: </w:t>
                            </w:r>
                          </w:p>
                        </w:tc>
                        <w:tc>
                          <w:tcPr>
                            <w:tcW w:w="4355" w:type="dxa"/>
                          </w:tcPr>
                          <w:p w14:paraId="68A9D0A6" w14:textId="25F62DC3" w:rsidR="00F96637" w:rsidRPr="009254C1" w:rsidRDefault="00F96637" w:rsidP="00A932F2">
                            <w:pPr>
                              <w:spacing w:line="276" w:lineRule="auto"/>
                            </w:pPr>
                            <w:r w:rsidRPr="009254C1">
                              <w:rPr>
                                <w:b/>
                                <w:sz w:val="21"/>
                                <w:szCs w:val="21"/>
                              </w:rPr>
                              <w:t>AidWorks investment number:</w:t>
                            </w:r>
                            <w:r w:rsidRPr="00893997">
                              <w:rPr>
                                <w:bCs/>
                                <w:sz w:val="21"/>
                                <w:szCs w:val="21"/>
                              </w:rPr>
                              <w:t xml:space="preserve"> </w:t>
                            </w:r>
                          </w:p>
                        </w:tc>
                      </w:tr>
                      <w:tr w:rsidR="00F96637" w14:paraId="2D46F455" w14:textId="77777777" w:rsidTr="000A13AD">
                        <w:tc>
                          <w:tcPr>
                            <w:tcW w:w="4351" w:type="dxa"/>
                          </w:tcPr>
                          <w:p w14:paraId="4EF0ABF9" w14:textId="53A05B62" w:rsidR="00F96637" w:rsidRPr="009254C1" w:rsidRDefault="00F96637" w:rsidP="00A932F2">
                            <w:pPr>
                              <w:spacing w:line="276" w:lineRule="auto"/>
                            </w:pPr>
                            <w:r w:rsidRPr="009254C1">
                              <w:rPr>
                                <w:b/>
                                <w:sz w:val="21"/>
                                <w:szCs w:val="21"/>
                              </w:rPr>
                              <w:t>Overall Risk Profile</w:t>
                            </w:r>
                            <w:r w:rsidRPr="009254C1">
                              <w:rPr>
                                <w:sz w:val="21"/>
                                <w:szCs w:val="21"/>
                              </w:rPr>
                              <w:t xml:space="preserve">: </w:t>
                            </w:r>
                          </w:p>
                        </w:tc>
                        <w:tc>
                          <w:tcPr>
                            <w:tcW w:w="4355" w:type="dxa"/>
                          </w:tcPr>
                          <w:p w14:paraId="02024CBF" w14:textId="543014F2" w:rsidR="00F96637" w:rsidRPr="009254C1" w:rsidRDefault="00F96637" w:rsidP="00A932F2">
                            <w:pPr>
                              <w:spacing w:line="276" w:lineRule="auto"/>
                            </w:pPr>
                            <w:r w:rsidRPr="009254C1">
                              <w:rPr>
                                <w:b/>
                                <w:sz w:val="21"/>
                                <w:szCs w:val="21"/>
                              </w:rPr>
                              <w:t>Risk</w:t>
                            </w:r>
                            <w:r>
                              <w:rPr>
                                <w:b/>
                                <w:sz w:val="21"/>
                                <w:szCs w:val="21"/>
                              </w:rPr>
                              <w:t>:</w:t>
                            </w:r>
                            <w:r w:rsidRPr="009254C1">
                              <w:rPr>
                                <w:b/>
                                <w:sz w:val="21"/>
                                <w:szCs w:val="21"/>
                              </w:rPr>
                              <w:t xml:space="preserve"> </w:t>
                            </w:r>
                            <w:r w:rsidRPr="009254C1">
                              <w:rPr>
                                <w:i/>
                                <w:sz w:val="21"/>
                                <w:szCs w:val="21"/>
                              </w:rPr>
                              <w:t xml:space="preserve"> </w:t>
                            </w:r>
                            <w:r w:rsidRPr="009254C1">
                              <w:rPr>
                                <w:b/>
                                <w:sz w:val="21"/>
                                <w:szCs w:val="21"/>
                              </w:rPr>
                              <w:t xml:space="preserve">  Value</w:t>
                            </w:r>
                            <w:r>
                              <w:rPr>
                                <w:b/>
                                <w:sz w:val="21"/>
                                <w:szCs w:val="21"/>
                              </w:rPr>
                              <w:t xml:space="preserve">: </w:t>
                            </w:r>
                            <w:r w:rsidRPr="00662C8F">
                              <w:rPr>
                                <w:bCs/>
                                <w:sz w:val="21"/>
                                <w:szCs w:val="21"/>
                              </w:rPr>
                              <w:t>$75m</w:t>
                            </w:r>
                          </w:p>
                        </w:tc>
                      </w:tr>
                      <w:tr w:rsidR="00F96637" w14:paraId="7054A605" w14:textId="77777777" w:rsidTr="000A13AD">
                        <w:tc>
                          <w:tcPr>
                            <w:tcW w:w="8706" w:type="dxa"/>
                            <w:gridSpan w:val="2"/>
                          </w:tcPr>
                          <w:p w14:paraId="45C6A27E" w14:textId="435D79A7" w:rsidR="00F96637" w:rsidRPr="009254C1" w:rsidRDefault="00F96637" w:rsidP="00A932F2">
                            <w:pPr>
                              <w:spacing w:line="276" w:lineRule="auto"/>
                            </w:pPr>
                            <w:r w:rsidRPr="009254C1">
                              <w:rPr>
                                <w:b/>
                                <w:sz w:val="21"/>
                                <w:szCs w:val="21"/>
                              </w:rPr>
                              <w:t xml:space="preserve">Quality Assurance completed: </w:t>
                            </w:r>
                            <w:r w:rsidRPr="009254C1">
                              <w:rPr>
                                <w:i/>
                                <w:sz w:val="21"/>
                                <w:szCs w:val="21"/>
                              </w:rPr>
                              <w:t>Peer Review</w:t>
                            </w:r>
                          </w:p>
                        </w:tc>
                      </w:tr>
                      <w:tr w:rsidR="00F96637" w14:paraId="1B694C05" w14:textId="77777777" w:rsidTr="000A13AD">
                        <w:trPr>
                          <w:trHeight w:val="393"/>
                        </w:trPr>
                        <w:tc>
                          <w:tcPr>
                            <w:tcW w:w="4351" w:type="dxa"/>
                          </w:tcPr>
                          <w:p w14:paraId="7A71FD62" w14:textId="56FFD681" w:rsidR="00F96637" w:rsidRPr="009254C1" w:rsidRDefault="00F96637" w:rsidP="00A932F2">
                            <w:pPr>
                              <w:spacing w:line="276" w:lineRule="auto"/>
                            </w:pPr>
                            <w:r w:rsidRPr="009254C1">
                              <w:rPr>
                                <w:b/>
                                <w:sz w:val="21"/>
                                <w:szCs w:val="21"/>
                              </w:rPr>
                              <w:t xml:space="preserve">Approval: Delegate at Post: </w:t>
                            </w:r>
                          </w:p>
                        </w:tc>
                        <w:tc>
                          <w:tcPr>
                            <w:tcW w:w="4355" w:type="dxa"/>
                          </w:tcPr>
                          <w:p w14:paraId="02128447" w14:textId="704660E3" w:rsidR="00F96637" w:rsidRPr="009254C1" w:rsidRDefault="00F96637" w:rsidP="00A932F2">
                            <w:pPr>
                              <w:spacing w:line="276" w:lineRule="auto"/>
                            </w:pPr>
                            <w:r w:rsidRPr="009254C1">
                              <w:rPr>
                                <w:b/>
                                <w:sz w:val="21"/>
                                <w:szCs w:val="21"/>
                              </w:rPr>
                              <w:t xml:space="preserve">Delegate in Canberra: </w:t>
                            </w:r>
                          </w:p>
                        </w:tc>
                      </w:tr>
                    </w:tbl>
                    <w:p w14:paraId="6DEA4CFA" w14:textId="77777777" w:rsidR="00F96637" w:rsidRDefault="00F96637" w:rsidP="00A932F2">
                      <w:pPr>
                        <w:jc w:val="center"/>
                      </w:pPr>
                    </w:p>
                  </w:txbxContent>
                </v:textbox>
                <w10:anchorlock/>
              </v:rect>
            </w:pict>
          </mc:Fallback>
        </mc:AlternateContent>
      </w:r>
    </w:p>
    <w:p w14:paraId="43ED769C" w14:textId="388B9990" w:rsidR="001F26A6" w:rsidRPr="00060D11" w:rsidRDefault="001F26A6" w:rsidP="004E780D">
      <w:pPr>
        <w:spacing w:line="276" w:lineRule="auto"/>
        <w:rPr>
          <w:rFonts w:cstheme="minorHAnsi"/>
          <w:sz w:val="16"/>
          <w:szCs w:val="16"/>
        </w:rPr>
      </w:pPr>
    </w:p>
    <w:p w14:paraId="4300A6CF" w14:textId="5DC96989" w:rsidR="008B099B" w:rsidRPr="00060D11" w:rsidRDefault="00387E6B" w:rsidP="00662C8F">
      <w:pPr>
        <w:tabs>
          <w:tab w:val="left" w:pos="3252"/>
        </w:tabs>
        <w:spacing w:line="276" w:lineRule="auto"/>
        <w:rPr>
          <w:rFonts w:cstheme="minorHAnsi"/>
          <w:b/>
          <w:bCs/>
          <w:sz w:val="32"/>
          <w:szCs w:val="32"/>
        </w:rPr>
      </w:pPr>
      <w:r>
        <w:rPr>
          <w:rFonts w:cstheme="minorHAnsi"/>
          <w:b/>
          <w:bCs/>
          <w:sz w:val="32"/>
          <w:szCs w:val="32"/>
        </w:rPr>
        <w:tab/>
      </w:r>
    </w:p>
    <w:p w14:paraId="07EC0F99" w14:textId="5F42D5C6" w:rsidR="001F26A6" w:rsidRPr="00060D11" w:rsidRDefault="001F26A6" w:rsidP="004E780D">
      <w:pPr>
        <w:spacing w:line="276" w:lineRule="auto"/>
        <w:rPr>
          <w:rFonts w:cstheme="minorHAnsi"/>
          <w:b/>
          <w:bCs/>
          <w:sz w:val="32"/>
          <w:szCs w:val="32"/>
        </w:rPr>
      </w:pPr>
      <w:r w:rsidRPr="00060D11">
        <w:rPr>
          <w:rFonts w:cstheme="minorHAnsi"/>
          <w:b/>
          <w:bCs/>
          <w:sz w:val="32"/>
          <w:szCs w:val="32"/>
        </w:rPr>
        <w:t>Acknowledgments</w:t>
      </w:r>
      <w:bookmarkEnd w:id="0"/>
    </w:p>
    <w:bookmarkEnd w:id="1"/>
    <w:p w14:paraId="13647A96" w14:textId="2B3D5266" w:rsidR="00EE4A6F" w:rsidRDefault="00EE4A6F" w:rsidP="004E780D">
      <w:pPr>
        <w:spacing w:after="120" w:line="276" w:lineRule="auto"/>
        <w:rPr>
          <w:sz w:val="21"/>
          <w:szCs w:val="21"/>
        </w:rPr>
      </w:pPr>
      <w:r>
        <w:rPr>
          <w:sz w:val="21"/>
          <w:szCs w:val="21"/>
        </w:rPr>
        <w:t xml:space="preserve">The Australian Government would like to thank all those that contributed to the production of this design, particularly </w:t>
      </w:r>
      <w:r w:rsidR="00143BAA">
        <w:rPr>
          <w:sz w:val="21"/>
          <w:szCs w:val="21"/>
        </w:rPr>
        <w:t>those representing</w:t>
      </w:r>
      <w:r>
        <w:rPr>
          <w:sz w:val="21"/>
          <w:szCs w:val="21"/>
        </w:rPr>
        <w:t xml:space="preserve"> the National Department of Education and the provinces of Sandaun</w:t>
      </w:r>
      <w:r w:rsidR="004D4274">
        <w:rPr>
          <w:sz w:val="21"/>
          <w:szCs w:val="21"/>
        </w:rPr>
        <w:t>,</w:t>
      </w:r>
      <w:r w:rsidR="00F841F0">
        <w:rPr>
          <w:sz w:val="21"/>
          <w:szCs w:val="21"/>
        </w:rPr>
        <w:t xml:space="preserve"> </w:t>
      </w:r>
      <w:proofErr w:type="spellStart"/>
      <w:r>
        <w:rPr>
          <w:sz w:val="21"/>
          <w:szCs w:val="21"/>
        </w:rPr>
        <w:t>Enga</w:t>
      </w:r>
      <w:proofErr w:type="spellEnd"/>
      <w:r w:rsidR="004D4274">
        <w:rPr>
          <w:sz w:val="21"/>
          <w:szCs w:val="21"/>
        </w:rPr>
        <w:t>, Western, East Sepik and Central</w:t>
      </w:r>
      <w:r w:rsidR="00F841F0">
        <w:rPr>
          <w:sz w:val="21"/>
          <w:szCs w:val="21"/>
        </w:rPr>
        <w:t>.</w:t>
      </w:r>
    </w:p>
    <w:p w14:paraId="406FC608" w14:textId="1EA3D33D" w:rsidR="001F26A6" w:rsidRPr="00060D11" w:rsidRDefault="001F26A6" w:rsidP="004E780D">
      <w:pPr>
        <w:spacing w:line="276" w:lineRule="auto"/>
        <w:rPr>
          <w:sz w:val="21"/>
          <w:szCs w:val="21"/>
        </w:rPr>
      </w:pPr>
    </w:p>
    <w:p w14:paraId="1B0CE9D0" w14:textId="77777777" w:rsidR="001F26A6" w:rsidRPr="00060D11" w:rsidRDefault="001F26A6" w:rsidP="001F26A6">
      <w:pPr>
        <w:spacing w:line="259" w:lineRule="auto"/>
        <w:sectPr w:rsidR="001F26A6" w:rsidRPr="00060D11">
          <w:footerReference w:type="even" r:id="rId8"/>
          <w:footerReference w:type="default" r:id="rId9"/>
          <w:pgSz w:w="11906" w:h="16838"/>
          <w:pgMar w:top="1440" w:right="1440" w:bottom="1440" w:left="1440" w:header="708" w:footer="708" w:gutter="0"/>
          <w:cols w:space="708"/>
          <w:docGrid w:linePitch="360"/>
        </w:sectPr>
      </w:pPr>
    </w:p>
    <w:p w14:paraId="5972A049" w14:textId="77777777" w:rsidR="001F26A6" w:rsidRPr="00060D11" w:rsidRDefault="001F26A6" w:rsidP="001F26A6">
      <w:pPr>
        <w:rPr>
          <w:rFonts w:asciiTheme="majorHAnsi" w:hAnsiTheme="majorHAnsi" w:cstheme="majorHAnsi"/>
          <w:b/>
          <w:bCs/>
          <w:sz w:val="38"/>
          <w:szCs w:val="38"/>
        </w:rPr>
      </w:pPr>
      <w:r w:rsidRPr="00060D11">
        <w:rPr>
          <w:rFonts w:asciiTheme="majorHAnsi" w:hAnsiTheme="majorHAnsi" w:cstheme="majorHAnsi"/>
          <w:noProof/>
          <w:sz w:val="38"/>
          <w:szCs w:val="38"/>
        </w:rPr>
        <w:lastRenderedPageBreak/>
        <w:drawing>
          <wp:anchor distT="0" distB="0" distL="114300" distR="114300" simplePos="0" relativeHeight="251743232" behindDoc="1" locked="1" layoutInCell="1" allowOverlap="1" wp14:anchorId="5D57CFE1" wp14:editId="0FB29B31">
            <wp:simplePos x="0" y="0"/>
            <wp:positionH relativeFrom="page">
              <wp:posOffset>30480</wp:posOffset>
            </wp:positionH>
            <wp:positionV relativeFrom="page">
              <wp:posOffset>37465</wp:posOffset>
            </wp:positionV>
            <wp:extent cx="7559675" cy="2519680"/>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10" cstate="print">
                      <a:duotone>
                        <a:prstClr val="black"/>
                        <a:srgbClr val="0098A8">
                          <a:tint val="45000"/>
                          <a:satMod val="400000"/>
                        </a:srgbClr>
                      </a:duotone>
                      <a:extLst>
                        <a:ext uri="{BEBA8EAE-BF5A-486C-A8C5-ECC9F3942E4B}">
                          <a14:imgProps xmlns:a14="http://schemas.microsoft.com/office/drawing/2010/main">
                            <a14:imgLayer r:embed="rId11">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7559675" cy="2519680"/>
                    </a:xfrm>
                    <a:prstGeom prst="rect">
                      <a:avLst/>
                    </a:prstGeom>
                  </pic:spPr>
                </pic:pic>
              </a:graphicData>
            </a:graphic>
            <wp14:sizeRelH relativeFrom="margin">
              <wp14:pctWidth>0</wp14:pctWidth>
            </wp14:sizeRelH>
            <wp14:sizeRelV relativeFrom="margin">
              <wp14:pctHeight>0</wp14:pctHeight>
            </wp14:sizeRelV>
          </wp:anchor>
        </w:drawing>
      </w:r>
      <w:r w:rsidRPr="00060D11">
        <w:rPr>
          <w:rFonts w:asciiTheme="majorHAnsi" w:hAnsiTheme="majorHAnsi" w:cstheme="majorHAnsi"/>
          <w:b/>
          <w:bCs/>
          <w:sz w:val="38"/>
          <w:szCs w:val="38"/>
        </w:rPr>
        <w:t>ACRONYMS</w:t>
      </w:r>
    </w:p>
    <w:p w14:paraId="1D7BF48D" w14:textId="77777777" w:rsidR="001F26A6" w:rsidRPr="00060D11" w:rsidRDefault="001F26A6" w:rsidP="001F26A6">
      <w:pPr>
        <w:rPr>
          <w:lang w:eastAsia="en-AU"/>
        </w:rPr>
      </w:pPr>
    </w:p>
    <w:p w14:paraId="37618B82" w14:textId="77777777" w:rsidR="001F26A6" w:rsidRPr="00060D11" w:rsidRDefault="001F26A6" w:rsidP="001F26A6">
      <w:pPr>
        <w:rPr>
          <w:lang w:eastAsia="en-AU"/>
        </w:rPr>
      </w:pPr>
    </w:p>
    <w:p w14:paraId="3431BC3D" w14:textId="77777777" w:rsidR="001F26A6" w:rsidRPr="00060D11" w:rsidRDefault="001F26A6" w:rsidP="001F26A6">
      <w:pPr>
        <w:rPr>
          <w:lang w:eastAsia="en-AU"/>
        </w:rPr>
      </w:pPr>
    </w:p>
    <w:p w14:paraId="730F4AF8" w14:textId="4CE9DC28" w:rsidR="001F26A6" w:rsidRPr="00060D11" w:rsidRDefault="001F26A6" w:rsidP="001F26A6">
      <w:pPr>
        <w:rPr>
          <w:lang w:eastAsia="en-AU"/>
        </w:rPr>
      </w:pPr>
    </w:p>
    <w:p w14:paraId="42AFC50B" w14:textId="7788C677" w:rsidR="00CB40AB" w:rsidRPr="00060D11" w:rsidRDefault="00CB40AB" w:rsidP="001F26A6">
      <w:pPr>
        <w:rPr>
          <w:lang w:eastAsia="en-AU"/>
        </w:rPr>
      </w:pPr>
    </w:p>
    <w:p w14:paraId="5532C215" w14:textId="77777777" w:rsidR="00CB40AB" w:rsidRPr="00060D11" w:rsidRDefault="00CB40AB" w:rsidP="001F26A6">
      <w:pPr>
        <w:rPr>
          <w:lang w:eastAsia="en-AU"/>
        </w:rPr>
      </w:pPr>
    </w:p>
    <w:tbl>
      <w:tblPr>
        <w:tblStyle w:val="TableGrid"/>
        <w:tblW w:w="0" w:type="auto"/>
        <w:tblLook w:val="04A0" w:firstRow="1" w:lastRow="0" w:firstColumn="1" w:lastColumn="0" w:noHBand="0" w:noVBand="1"/>
      </w:tblPr>
      <w:tblGrid>
        <w:gridCol w:w="1413"/>
        <w:gridCol w:w="7603"/>
      </w:tblGrid>
      <w:tr w:rsidR="001F26A6" w:rsidRPr="00060D11" w14:paraId="302CA01C"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2CBC11FE" w14:textId="77777777" w:rsidR="001F26A6" w:rsidRPr="00060D11" w:rsidRDefault="001F26A6" w:rsidP="006561AD">
            <w:pPr>
              <w:rPr>
                <w:color w:val="auto"/>
              </w:rPr>
            </w:pPr>
            <w:r w:rsidRPr="00060D11">
              <w:t>AAP</w:t>
            </w:r>
          </w:p>
        </w:tc>
        <w:tc>
          <w:tcPr>
            <w:tcW w:w="7603" w:type="dxa"/>
            <w:tcBorders>
              <w:top w:val="single" w:sz="4" w:space="0" w:color="auto"/>
              <w:left w:val="single" w:sz="4" w:space="0" w:color="auto"/>
              <w:bottom w:val="single" w:sz="4" w:space="0" w:color="auto"/>
              <w:right w:val="single" w:sz="4" w:space="0" w:color="auto"/>
            </w:tcBorders>
          </w:tcPr>
          <w:p w14:paraId="460B0787" w14:textId="77777777" w:rsidR="001F26A6" w:rsidRPr="00060D11" w:rsidRDefault="001F26A6" w:rsidP="006561AD">
            <w:r w:rsidRPr="00060D11">
              <w:t>Annual Action Plan</w:t>
            </w:r>
          </w:p>
        </w:tc>
      </w:tr>
      <w:tr w:rsidR="001F26A6" w:rsidRPr="00060D11" w14:paraId="3BBE85C8"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1A394A51" w14:textId="77777777" w:rsidR="001F26A6" w:rsidRPr="00060D11" w:rsidRDefault="001F26A6" w:rsidP="006561AD">
            <w:r w:rsidRPr="00060D11">
              <w:t>AHC</w:t>
            </w:r>
          </w:p>
        </w:tc>
        <w:tc>
          <w:tcPr>
            <w:tcW w:w="7603" w:type="dxa"/>
            <w:tcBorders>
              <w:top w:val="single" w:sz="4" w:space="0" w:color="auto"/>
              <w:left w:val="single" w:sz="4" w:space="0" w:color="auto"/>
              <w:bottom w:val="single" w:sz="4" w:space="0" w:color="auto"/>
              <w:right w:val="single" w:sz="4" w:space="0" w:color="auto"/>
            </w:tcBorders>
          </w:tcPr>
          <w:p w14:paraId="22E4B9F4" w14:textId="77777777" w:rsidR="001F26A6" w:rsidRPr="00060D11" w:rsidRDefault="001F26A6" w:rsidP="006561AD">
            <w:r w:rsidRPr="00060D11">
              <w:t>Australian High Commission</w:t>
            </w:r>
          </w:p>
        </w:tc>
      </w:tr>
      <w:tr w:rsidR="004931D6" w:rsidRPr="00060D11" w14:paraId="67B28130"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tcPr>
          <w:p w14:paraId="66889BF7" w14:textId="4E6C659F" w:rsidR="004931D6" w:rsidRPr="00060D11" w:rsidRDefault="004931D6" w:rsidP="006561AD">
            <w:r w:rsidRPr="00060D11">
              <w:t>AQEFA</w:t>
            </w:r>
          </w:p>
        </w:tc>
        <w:tc>
          <w:tcPr>
            <w:tcW w:w="7603" w:type="dxa"/>
            <w:tcBorders>
              <w:top w:val="single" w:sz="4" w:space="0" w:color="auto"/>
              <w:left w:val="single" w:sz="4" w:space="0" w:color="auto"/>
              <w:bottom w:val="single" w:sz="4" w:space="0" w:color="auto"/>
              <w:right w:val="single" w:sz="4" w:space="0" w:color="auto"/>
            </w:tcBorders>
          </w:tcPr>
          <w:p w14:paraId="21D446F2" w14:textId="5C8AFB55" w:rsidR="004931D6" w:rsidRPr="00060D11" w:rsidRDefault="004931D6" w:rsidP="006561AD">
            <w:r w:rsidRPr="00060D11">
              <w:rPr>
                <w:rFonts w:cstheme="minorHAnsi"/>
                <w:sz w:val="21"/>
                <w:szCs w:val="21"/>
              </w:rPr>
              <w:t>Achieving Quality Education for All</w:t>
            </w:r>
          </w:p>
        </w:tc>
      </w:tr>
      <w:tr w:rsidR="001F26A6" w:rsidRPr="00060D11" w14:paraId="5A3994F2"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724C66BD" w14:textId="77777777" w:rsidR="001F26A6" w:rsidRPr="00060D11" w:rsidRDefault="001F26A6" w:rsidP="006561AD">
            <w:r w:rsidRPr="00060D11">
              <w:t>CIEI</w:t>
            </w:r>
          </w:p>
        </w:tc>
        <w:tc>
          <w:tcPr>
            <w:tcW w:w="7603" w:type="dxa"/>
            <w:tcBorders>
              <w:top w:val="single" w:sz="4" w:space="0" w:color="auto"/>
              <w:left w:val="single" w:sz="4" w:space="0" w:color="auto"/>
              <w:bottom w:val="single" w:sz="4" w:space="0" w:color="auto"/>
              <w:right w:val="single" w:sz="4" w:space="0" w:color="auto"/>
            </w:tcBorders>
          </w:tcPr>
          <w:p w14:paraId="780E5E03" w14:textId="77777777" w:rsidR="001F26A6" w:rsidRPr="00060D11" w:rsidRDefault="001F26A6" w:rsidP="006561AD">
            <w:r w:rsidRPr="00060D11">
              <w:t>Callan Inclusive Education Institute</w:t>
            </w:r>
          </w:p>
        </w:tc>
      </w:tr>
      <w:tr w:rsidR="00686208" w:rsidRPr="00060D11" w14:paraId="695468A3"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tcPr>
          <w:p w14:paraId="41F04F40" w14:textId="1A4C3AE8" w:rsidR="00686208" w:rsidRPr="00060D11" w:rsidRDefault="00686208" w:rsidP="006561AD">
            <w:r w:rsidRPr="00060D11">
              <w:t>CSPD</w:t>
            </w:r>
          </w:p>
        </w:tc>
        <w:tc>
          <w:tcPr>
            <w:tcW w:w="7603" w:type="dxa"/>
            <w:tcBorders>
              <w:top w:val="single" w:sz="4" w:space="0" w:color="auto"/>
              <w:left w:val="single" w:sz="4" w:space="0" w:color="auto"/>
              <w:bottom w:val="single" w:sz="4" w:space="0" w:color="auto"/>
              <w:right w:val="single" w:sz="4" w:space="0" w:color="auto"/>
            </w:tcBorders>
          </w:tcPr>
          <w:p w14:paraId="3B1D2D02" w14:textId="50A2824B" w:rsidR="00686208" w:rsidRPr="00060D11" w:rsidRDefault="00686208" w:rsidP="006561AD">
            <w:r w:rsidRPr="00060D11">
              <w:rPr>
                <w:lang w:eastAsia="en-AU"/>
              </w:rPr>
              <w:t>Callan Services for Persons with Disabilities</w:t>
            </w:r>
          </w:p>
        </w:tc>
      </w:tr>
      <w:tr w:rsidR="001F26A6" w:rsidRPr="00060D11" w14:paraId="24DD1032"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6E13EB7E" w14:textId="77777777" w:rsidR="001F26A6" w:rsidRPr="00060D11" w:rsidRDefault="001F26A6" w:rsidP="006561AD">
            <w:r w:rsidRPr="00060D11">
              <w:t>CEC</w:t>
            </w:r>
          </w:p>
        </w:tc>
        <w:tc>
          <w:tcPr>
            <w:tcW w:w="7603" w:type="dxa"/>
            <w:tcBorders>
              <w:top w:val="single" w:sz="4" w:space="0" w:color="auto"/>
              <w:left w:val="single" w:sz="4" w:space="0" w:color="auto"/>
              <w:bottom w:val="single" w:sz="4" w:space="0" w:color="auto"/>
              <w:right w:val="single" w:sz="4" w:space="0" w:color="auto"/>
            </w:tcBorders>
            <w:hideMark/>
          </w:tcPr>
          <w:p w14:paraId="0D3E29FA" w14:textId="77777777" w:rsidR="001F26A6" w:rsidRPr="00060D11" w:rsidRDefault="001F26A6" w:rsidP="006561AD">
            <w:r w:rsidRPr="00060D11">
              <w:t>Church Education Council</w:t>
            </w:r>
          </w:p>
        </w:tc>
      </w:tr>
      <w:tr w:rsidR="001F26A6" w:rsidRPr="00060D11" w14:paraId="15A9AA85"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4FC326BB" w14:textId="77777777" w:rsidR="001F26A6" w:rsidRPr="00060D11" w:rsidRDefault="001F26A6" w:rsidP="006561AD">
            <w:r w:rsidRPr="00060D11">
              <w:t>CRP</w:t>
            </w:r>
          </w:p>
        </w:tc>
        <w:tc>
          <w:tcPr>
            <w:tcW w:w="7603" w:type="dxa"/>
            <w:tcBorders>
              <w:top w:val="single" w:sz="4" w:space="0" w:color="auto"/>
              <w:left w:val="single" w:sz="4" w:space="0" w:color="auto"/>
              <w:bottom w:val="single" w:sz="4" w:space="0" w:color="auto"/>
              <w:right w:val="single" w:sz="4" w:space="0" w:color="auto"/>
            </w:tcBorders>
          </w:tcPr>
          <w:p w14:paraId="0CB1A23D" w14:textId="77777777" w:rsidR="001F26A6" w:rsidRPr="00060D11" w:rsidRDefault="001F26A6" w:rsidP="006561AD">
            <w:r w:rsidRPr="00060D11">
              <w:t>COVID-19 Response Plan</w:t>
            </w:r>
          </w:p>
        </w:tc>
      </w:tr>
      <w:tr w:rsidR="001F26A6" w:rsidRPr="00060D11" w14:paraId="294C4886"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28FF782D" w14:textId="77777777" w:rsidR="001F26A6" w:rsidRPr="00060D11" w:rsidRDefault="001F26A6" w:rsidP="006561AD">
            <w:r w:rsidRPr="00060D11">
              <w:t>CSEP</w:t>
            </w:r>
          </w:p>
        </w:tc>
        <w:tc>
          <w:tcPr>
            <w:tcW w:w="7603" w:type="dxa"/>
            <w:tcBorders>
              <w:top w:val="single" w:sz="4" w:space="0" w:color="auto"/>
              <w:left w:val="single" w:sz="4" w:space="0" w:color="auto"/>
              <w:bottom w:val="single" w:sz="4" w:space="0" w:color="auto"/>
              <w:right w:val="single" w:sz="4" w:space="0" w:color="auto"/>
            </w:tcBorders>
            <w:hideMark/>
          </w:tcPr>
          <w:p w14:paraId="6BB2113D" w14:textId="77777777" w:rsidR="001F26A6" w:rsidRPr="00060D11" w:rsidRDefault="001F26A6" w:rsidP="006561AD">
            <w:r w:rsidRPr="00060D11">
              <w:t>Papua New Guinea-Australia Comprehensive Strategic and Economic Partnership</w:t>
            </w:r>
          </w:p>
        </w:tc>
      </w:tr>
      <w:tr w:rsidR="001F26A6" w:rsidRPr="00060D11" w14:paraId="24893B03"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13A8314A" w14:textId="77777777" w:rsidR="001F26A6" w:rsidRPr="00060D11" w:rsidRDefault="001F26A6" w:rsidP="006561AD">
            <w:r w:rsidRPr="00060D11">
              <w:t>CWD</w:t>
            </w:r>
          </w:p>
        </w:tc>
        <w:tc>
          <w:tcPr>
            <w:tcW w:w="7603" w:type="dxa"/>
            <w:tcBorders>
              <w:top w:val="single" w:sz="4" w:space="0" w:color="auto"/>
              <w:left w:val="single" w:sz="4" w:space="0" w:color="auto"/>
              <w:bottom w:val="single" w:sz="4" w:space="0" w:color="auto"/>
              <w:right w:val="single" w:sz="4" w:space="0" w:color="auto"/>
            </w:tcBorders>
            <w:hideMark/>
          </w:tcPr>
          <w:p w14:paraId="36779483" w14:textId="77777777" w:rsidR="001F26A6" w:rsidRPr="00060D11" w:rsidRDefault="001F26A6" w:rsidP="006561AD">
            <w:r w:rsidRPr="00060D11">
              <w:t>Children with Disabilities</w:t>
            </w:r>
          </w:p>
        </w:tc>
      </w:tr>
      <w:tr w:rsidR="001F26A6" w:rsidRPr="00060D11" w14:paraId="737CECC8"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3FA99843" w14:textId="77777777" w:rsidR="001F26A6" w:rsidRPr="00060D11" w:rsidRDefault="001F26A6" w:rsidP="006561AD">
            <w:r w:rsidRPr="00060D11">
              <w:t>DFAT</w:t>
            </w:r>
          </w:p>
        </w:tc>
        <w:tc>
          <w:tcPr>
            <w:tcW w:w="7603" w:type="dxa"/>
            <w:tcBorders>
              <w:top w:val="single" w:sz="4" w:space="0" w:color="auto"/>
              <w:left w:val="single" w:sz="4" w:space="0" w:color="auto"/>
              <w:bottom w:val="single" w:sz="4" w:space="0" w:color="auto"/>
              <w:right w:val="single" w:sz="4" w:space="0" w:color="auto"/>
            </w:tcBorders>
            <w:hideMark/>
          </w:tcPr>
          <w:p w14:paraId="684328B1" w14:textId="77777777" w:rsidR="001F26A6" w:rsidRPr="00060D11" w:rsidRDefault="001F26A6" w:rsidP="006561AD">
            <w:r w:rsidRPr="00060D11">
              <w:t>Department of Foreign Affairs and Trade</w:t>
            </w:r>
          </w:p>
        </w:tc>
      </w:tr>
      <w:tr w:rsidR="001F26A6" w:rsidRPr="00060D11" w14:paraId="7F2150DF"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1A94B6BC" w14:textId="77777777" w:rsidR="001F26A6" w:rsidRPr="00060D11" w:rsidRDefault="001F26A6" w:rsidP="006561AD">
            <w:r w:rsidRPr="00060D11">
              <w:t>DHERST</w:t>
            </w:r>
          </w:p>
        </w:tc>
        <w:tc>
          <w:tcPr>
            <w:tcW w:w="7603" w:type="dxa"/>
            <w:tcBorders>
              <w:top w:val="single" w:sz="4" w:space="0" w:color="auto"/>
              <w:left w:val="single" w:sz="4" w:space="0" w:color="auto"/>
              <w:bottom w:val="single" w:sz="4" w:space="0" w:color="auto"/>
              <w:right w:val="single" w:sz="4" w:space="0" w:color="auto"/>
            </w:tcBorders>
          </w:tcPr>
          <w:p w14:paraId="56330A5C" w14:textId="77777777" w:rsidR="001F26A6" w:rsidRPr="00060D11" w:rsidRDefault="001F26A6" w:rsidP="006561AD">
            <w:r w:rsidRPr="00060D11">
              <w:t>Department of Higher Education, Research, Science and Technology</w:t>
            </w:r>
          </w:p>
        </w:tc>
      </w:tr>
      <w:tr w:rsidR="001F26A6" w:rsidRPr="00060D11" w14:paraId="09605D36" w14:textId="4A4F7E93"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3C2878F7" w14:textId="7255D005" w:rsidR="001F26A6" w:rsidRPr="00060D11" w:rsidRDefault="001F26A6" w:rsidP="006561AD">
            <w:r w:rsidRPr="00060D11">
              <w:t>DHOM</w:t>
            </w:r>
          </w:p>
        </w:tc>
        <w:tc>
          <w:tcPr>
            <w:tcW w:w="7603" w:type="dxa"/>
            <w:tcBorders>
              <w:top w:val="single" w:sz="4" w:space="0" w:color="auto"/>
              <w:left w:val="single" w:sz="4" w:space="0" w:color="auto"/>
              <w:bottom w:val="single" w:sz="4" w:space="0" w:color="auto"/>
              <w:right w:val="single" w:sz="4" w:space="0" w:color="auto"/>
            </w:tcBorders>
          </w:tcPr>
          <w:p w14:paraId="77B5829B" w14:textId="60F24BB6" w:rsidR="001F26A6" w:rsidRPr="00060D11" w:rsidRDefault="001F26A6" w:rsidP="006561AD">
            <w:r w:rsidRPr="00060D11">
              <w:t>Deputy Head of Mission</w:t>
            </w:r>
          </w:p>
        </w:tc>
      </w:tr>
      <w:tr w:rsidR="001F26A6" w:rsidRPr="00060D11" w14:paraId="0A596B1A"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50E49F7B" w14:textId="77777777" w:rsidR="001F26A6" w:rsidRPr="00060D11" w:rsidRDefault="001F26A6" w:rsidP="006561AD">
            <w:r w:rsidRPr="00060D11">
              <w:t>DPO</w:t>
            </w:r>
          </w:p>
        </w:tc>
        <w:tc>
          <w:tcPr>
            <w:tcW w:w="7603" w:type="dxa"/>
            <w:tcBorders>
              <w:top w:val="single" w:sz="4" w:space="0" w:color="auto"/>
              <w:left w:val="single" w:sz="4" w:space="0" w:color="auto"/>
              <w:bottom w:val="single" w:sz="4" w:space="0" w:color="auto"/>
              <w:right w:val="single" w:sz="4" w:space="0" w:color="auto"/>
            </w:tcBorders>
            <w:hideMark/>
          </w:tcPr>
          <w:p w14:paraId="6DC71ABB" w14:textId="77777777" w:rsidR="001F26A6" w:rsidRPr="00060D11" w:rsidRDefault="001F26A6" w:rsidP="006561AD">
            <w:r w:rsidRPr="00060D11">
              <w:t>Disabled People’s Organisations</w:t>
            </w:r>
          </w:p>
        </w:tc>
      </w:tr>
      <w:tr w:rsidR="001F26A6" w:rsidRPr="00060D11" w14:paraId="4EA6DBC5"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728F6644" w14:textId="77777777" w:rsidR="001F26A6" w:rsidRPr="00060D11" w:rsidRDefault="001F26A6" w:rsidP="006561AD">
            <w:r w:rsidRPr="00060D11">
              <w:t>ECBP</w:t>
            </w:r>
          </w:p>
        </w:tc>
        <w:tc>
          <w:tcPr>
            <w:tcW w:w="7603" w:type="dxa"/>
            <w:tcBorders>
              <w:top w:val="single" w:sz="4" w:space="0" w:color="auto"/>
              <w:left w:val="single" w:sz="4" w:space="0" w:color="auto"/>
              <w:bottom w:val="single" w:sz="4" w:space="0" w:color="auto"/>
              <w:right w:val="single" w:sz="4" w:space="0" w:color="auto"/>
            </w:tcBorders>
          </w:tcPr>
          <w:p w14:paraId="02533F0F" w14:textId="77777777" w:rsidR="001F26A6" w:rsidRPr="00060D11" w:rsidRDefault="001F26A6" w:rsidP="006561AD">
            <w:r w:rsidRPr="00060D11">
              <w:t>Education Capacity Building Program</w:t>
            </w:r>
          </w:p>
        </w:tc>
      </w:tr>
      <w:tr w:rsidR="001F26A6" w:rsidRPr="00060D11" w14:paraId="299A797E"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7249ECAF" w14:textId="77777777" w:rsidR="001F26A6" w:rsidRPr="00060D11" w:rsidRDefault="001F26A6" w:rsidP="006561AD">
            <w:r w:rsidRPr="00060D11">
              <w:t>ECDF</w:t>
            </w:r>
          </w:p>
        </w:tc>
        <w:tc>
          <w:tcPr>
            <w:tcW w:w="7603" w:type="dxa"/>
            <w:tcBorders>
              <w:top w:val="single" w:sz="4" w:space="0" w:color="auto"/>
              <w:left w:val="single" w:sz="4" w:space="0" w:color="auto"/>
              <w:bottom w:val="single" w:sz="4" w:space="0" w:color="auto"/>
              <w:right w:val="single" w:sz="4" w:space="0" w:color="auto"/>
            </w:tcBorders>
          </w:tcPr>
          <w:p w14:paraId="1909D76F" w14:textId="77777777" w:rsidR="001F26A6" w:rsidRPr="00060D11" w:rsidRDefault="001F26A6" w:rsidP="006561AD">
            <w:r w:rsidRPr="00060D11">
              <w:t>Education Capacity Development Facility</w:t>
            </w:r>
          </w:p>
        </w:tc>
      </w:tr>
      <w:tr w:rsidR="001F26A6" w:rsidRPr="00060D11" w14:paraId="61DCEF20"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2633AB25" w14:textId="77777777" w:rsidR="001F26A6" w:rsidRPr="00060D11" w:rsidRDefault="001F26A6" w:rsidP="006561AD">
            <w:r w:rsidRPr="00060D11">
              <w:t>ECE</w:t>
            </w:r>
          </w:p>
        </w:tc>
        <w:tc>
          <w:tcPr>
            <w:tcW w:w="7603" w:type="dxa"/>
            <w:tcBorders>
              <w:top w:val="single" w:sz="4" w:space="0" w:color="auto"/>
              <w:left w:val="single" w:sz="4" w:space="0" w:color="auto"/>
              <w:bottom w:val="single" w:sz="4" w:space="0" w:color="auto"/>
              <w:right w:val="single" w:sz="4" w:space="0" w:color="auto"/>
            </w:tcBorders>
            <w:hideMark/>
          </w:tcPr>
          <w:p w14:paraId="27397226" w14:textId="77777777" w:rsidR="001F26A6" w:rsidRPr="00060D11" w:rsidRDefault="001F26A6" w:rsidP="006561AD">
            <w:r w:rsidRPr="00060D11">
              <w:t>Early Childhood Education</w:t>
            </w:r>
          </w:p>
        </w:tc>
      </w:tr>
      <w:tr w:rsidR="001F26A6" w:rsidRPr="00060D11" w14:paraId="7376AE54"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73CE77DD" w14:textId="77777777" w:rsidR="001F26A6" w:rsidRPr="00060D11" w:rsidRDefault="001F26A6" w:rsidP="006561AD">
            <w:r w:rsidRPr="00060D11">
              <w:t>EMIS</w:t>
            </w:r>
          </w:p>
        </w:tc>
        <w:tc>
          <w:tcPr>
            <w:tcW w:w="7603" w:type="dxa"/>
            <w:tcBorders>
              <w:top w:val="single" w:sz="4" w:space="0" w:color="auto"/>
              <w:left w:val="single" w:sz="4" w:space="0" w:color="auto"/>
              <w:bottom w:val="single" w:sz="4" w:space="0" w:color="auto"/>
              <w:right w:val="single" w:sz="4" w:space="0" w:color="auto"/>
            </w:tcBorders>
            <w:hideMark/>
          </w:tcPr>
          <w:p w14:paraId="52D93FF0" w14:textId="77777777" w:rsidR="001F26A6" w:rsidRPr="00060D11" w:rsidRDefault="001F26A6" w:rsidP="006561AD">
            <w:r w:rsidRPr="00060D11">
              <w:t>Education Management Information System</w:t>
            </w:r>
          </w:p>
        </w:tc>
      </w:tr>
      <w:tr w:rsidR="001F26A6" w:rsidRPr="00060D11" w14:paraId="036BEFEF"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37D8FD27" w14:textId="77777777" w:rsidR="001F26A6" w:rsidRPr="00060D11" w:rsidRDefault="001F26A6" w:rsidP="006561AD">
            <w:r w:rsidRPr="00060D11">
              <w:t>EOIO</w:t>
            </w:r>
          </w:p>
        </w:tc>
        <w:tc>
          <w:tcPr>
            <w:tcW w:w="7603" w:type="dxa"/>
            <w:tcBorders>
              <w:top w:val="single" w:sz="4" w:space="0" w:color="auto"/>
              <w:left w:val="single" w:sz="4" w:space="0" w:color="auto"/>
              <w:bottom w:val="single" w:sz="4" w:space="0" w:color="auto"/>
              <w:right w:val="single" w:sz="4" w:space="0" w:color="auto"/>
            </w:tcBorders>
          </w:tcPr>
          <w:p w14:paraId="1A748701" w14:textId="77777777" w:rsidR="001F26A6" w:rsidRPr="00060D11" w:rsidRDefault="001F26A6" w:rsidP="006561AD">
            <w:r w:rsidRPr="00060D11">
              <w:t>End of Investment Outcomes</w:t>
            </w:r>
          </w:p>
        </w:tc>
      </w:tr>
      <w:tr w:rsidR="001F26A6" w:rsidRPr="00060D11" w14:paraId="7A3BF004"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2CF844AA" w14:textId="77777777" w:rsidR="001F26A6" w:rsidRPr="00060D11" w:rsidRDefault="001F26A6" w:rsidP="006561AD">
            <w:r w:rsidRPr="00060D11">
              <w:t>GDP</w:t>
            </w:r>
          </w:p>
        </w:tc>
        <w:tc>
          <w:tcPr>
            <w:tcW w:w="7603" w:type="dxa"/>
            <w:tcBorders>
              <w:top w:val="single" w:sz="4" w:space="0" w:color="auto"/>
              <w:left w:val="single" w:sz="4" w:space="0" w:color="auto"/>
              <w:bottom w:val="single" w:sz="4" w:space="0" w:color="auto"/>
              <w:right w:val="single" w:sz="4" w:space="0" w:color="auto"/>
            </w:tcBorders>
          </w:tcPr>
          <w:p w14:paraId="4B6EF1B8" w14:textId="77777777" w:rsidR="001F26A6" w:rsidRPr="00060D11" w:rsidRDefault="001F26A6" w:rsidP="006561AD">
            <w:r w:rsidRPr="00060D11">
              <w:t>Gross Domestic Product</w:t>
            </w:r>
          </w:p>
        </w:tc>
      </w:tr>
      <w:tr w:rsidR="001F26A6" w:rsidRPr="00060D11" w14:paraId="6A3549BB"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6873B0ED" w14:textId="77777777" w:rsidR="001F26A6" w:rsidRPr="00060D11" w:rsidRDefault="001F26A6" w:rsidP="006561AD">
            <w:r w:rsidRPr="00060D11">
              <w:t>GER</w:t>
            </w:r>
          </w:p>
        </w:tc>
        <w:tc>
          <w:tcPr>
            <w:tcW w:w="7603" w:type="dxa"/>
            <w:tcBorders>
              <w:top w:val="single" w:sz="4" w:space="0" w:color="auto"/>
              <w:left w:val="single" w:sz="4" w:space="0" w:color="auto"/>
              <w:bottom w:val="single" w:sz="4" w:space="0" w:color="auto"/>
              <w:right w:val="single" w:sz="4" w:space="0" w:color="auto"/>
            </w:tcBorders>
            <w:hideMark/>
          </w:tcPr>
          <w:p w14:paraId="39576E75" w14:textId="77777777" w:rsidR="001F26A6" w:rsidRPr="00060D11" w:rsidRDefault="001F26A6" w:rsidP="006561AD">
            <w:r w:rsidRPr="00060D11">
              <w:t>Gross Enrolment Ratio</w:t>
            </w:r>
          </w:p>
        </w:tc>
      </w:tr>
      <w:tr w:rsidR="001F26A6" w:rsidRPr="00060D11" w14:paraId="03A39DC9"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195A72DD" w14:textId="77777777" w:rsidR="001F26A6" w:rsidRPr="00060D11" w:rsidRDefault="001F26A6" w:rsidP="006561AD">
            <w:r w:rsidRPr="00060D11">
              <w:t>GEDSI</w:t>
            </w:r>
          </w:p>
        </w:tc>
        <w:tc>
          <w:tcPr>
            <w:tcW w:w="7603" w:type="dxa"/>
            <w:tcBorders>
              <w:top w:val="single" w:sz="4" w:space="0" w:color="auto"/>
              <w:left w:val="single" w:sz="4" w:space="0" w:color="auto"/>
              <w:bottom w:val="single" w:sz="4" w:space="0" w:color="auto"/>
              <w:right w:val="single" w:sz="4" w:space="0" w:color="auto"/>
            </w:tcBorders>
          </w:tcPr>
          <w:p w14:paraId="3DF5394A" w14:textId="77777777" w:rsidR="001F26A6" w:rsidRPr="00060D11" w:rsidRDefault="001F26A6" w:rsidP="006561AD">
            <w:r w:rsidRPr="00060D11">
              <w:t>Gender Equality, Disability and Social Inclusion</w:t>
            </w:r>
          </w:p>
        </w:tc>
      </w:tr>
      <w:tr w:rsidR="001F26A6" w:rsidRPr="00060D11" w14:paraId="27B9CAB9"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36E8C997" w14:textId="77777777" w:rsidR="001F26A6" w:rsidRPr="00060D11" w:rsidRDefault="001F26A6" w:rsidP="006561AD">
            <w:r w:rsidRPr="00060D11">
              <w:t>GoA</w:t>
            </w:r>
          </w:p>
        </w:tc>
        <w:tc>
          <w:tcPr>
            <w:tcW w:w="7603" w:type="dxa"/>
            <w:tcBorders>
              <w:top w:val="single" w:sz="4" w:space="0" w:color="auto"/>
              <w:left w:val="single" w:sz="4" w:space="0" w:color="auto"/>
              <w:bottom w:val="single" w:sz="4" w:space="0" w:color="auto"/>
              <w:right w:val="single" w:sz="4" w:space="0" w:color="auto"/>
            </w:tcBorders>
            <w:hideMark/>
          </w:tcPr>
          <w:p w14:paraId="1B8A67B8" w14:textId="77777777" w:rsidR="001F26A6" w:rsidRPr="00060D11" w:rsidRDefault="001F26A6" w:rsidP="006561AD">
            <w:r w:rsidRPr="00060D11">
              <w:t>Government of Australia</w:t>
            </w:r>
          </w:p>
        </w:tc>
      </w:tr>
      <w:tr w:rsidR="001F26A6" w:rsidRPr="00060D11" w14:paraId="0BF9F6F1"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1DA2DC9F" w14:textId="77777777" w:rsidR="001F26A6" w:rsidRPr="00060D11" w:rsidRDefault="001F26A6" w:rsidP="006561AD">
            <w:r w:rsidRPr="00060D11">
              <w:t>GoPNG</w:t>
            </w:r>
          </w:p>
        </w:tc>
        <w:tc>
          <w:tcPr>
            <w:tcW w:w="7603" w:type="dxa"/>
            <w:tcBorders>
              <w:top w:val="single" w:sz="4" w:space="0" w:color="auto"/>
              <w:left w:val="single" w:sz="4" w:space="0" w:color="auto"/>
              <w:bottom w:val="single" w:sz="4" w:space="0" w:color="auto"/>
              <w:right w:val="single" w:sz="4" w:space="0" w:color="auto"/>
            </w:tcBorders>
            <w:hideMark/>
          </w:tcPr>
          <w:p w14:paraId="0BF68932" w14:textId="77777777" w:rsidR="001F26A6" w:rsidRPr="00060D11" w:rsidRDefault="001F26A6" w:rsidP="006561AD">
            <w:r w:rsidRPr="00060D11">
              <w:t>Government of Papua New Guinea</w:t>
            </w:r>
          </w:p>
        </w:tc>
      </w:tr>
      <w:tr w:rsidR="001F26A6" w:rsidRPr="00060D11" w14:paraId="611C6D9D"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0F8342BC" w14:textId="77777777" w:rsidR="001F26A6" w:rsidRPr="00060D11" w:rsidRDefault="001F26A6" w:rsidP="006561AD">
            <w:r w:rsidRPr="00060D11">
              <w:t>GPE</w:t>
            </w:r>
          </w:p>
        </w:tc>
        <w:tc>
          <w:tcPr>
            <w:tcW w:w="7603" w:type="dxa"/>
            <w:tcBorders>
              <w:top w:val="single" w:sz="4" w:space="0" w:color="auto"/>
              <w:left w:val="single" w:sz="4" w:space="0" w:color="auto"/>
              <w:bottom w:val="single" w:sz="4" w:space="0" w:color="auto"/>
              <w:right w:val="single" w:sz="4" w:space="0" w:color="auto"/>
            </w:tcBorders>
            <w:hideMark/>
          </w:tcPr>
          <w:p w14:paraId="39A3EF34" w14:textId="77777777" w:rsidR="001F26A6" w:rsidRPr="00060D11" w:rsidRDefault="001F26A6" w:rsidP="006561AD">
            <w:r w:rsidRPr="00060D11">
              <w:t>Global Partnership for Education</w:t>
            </w:r>
          </w:p>
        </w:tc>
      </w:tr>
      <w:tr w:rsidR="001F26A6" w:rsidRPr="00060D11" w14:paraId="2F285EE1"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1AA60411" w14:textId="77777777" w:rsidR="001F26A6" w:rsidRPr="00060D11" w:rsidRDefault="001F26A6" w:rsidP="006561AD">
            <w:r w:rsidRPr="00060D11">
              <w:t>GPI</w:t>
            </w:r>
          </w:p>
        </w:tc>
        <w:tc>
          <w:tcPr>
            <w:tcW w:w="7603" w:type="dxa"/>
            <w:tcBorders>
              <w:top w:val="single" w:sz="4" w:space="0" w:color="auto"/>
              <w:left w:val="single" w:sz="4" w:space="0" w:color="auto"/>
              <w:bottom w:val="single" w:sz="4" w:space="0" w:color="auto"/>
              <w:right w:val="single" w:sz="4" w:space="0" w:color="auto"/>
            </w:tcBorders>
            <w:hideMark/>
          </w:tcPr>
          <w:p w14:paraId="6DF6C675" w14:textId="77777777" w:rsidR="001F26A6" w:rsidRPr="00060D11" w:rsidRDefault="001F26A6" w:rsidP="006561AD">
            <w:r w:rsidRPr="00060D11">
              <w:t>Gender Parity Index</w:t>
            </w:r>
          </w:p>
        </w:tc>
      </w:tr>
      <w:tr w:rsidR="001F26A6" w:rsidRPr="00060D11" w14:paraId="075EBE8D"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3ACCB8A0" w14:textId="77777777" w:rsidR="001F26A6" w:rsidRPr="00060D11" w:rsidRDefault="001F26A6" w:rsidP="006561AD">
            <w:r w:rsidRPr="00060D11">
              <w:t>GTFS</w:t>
            </w:r>
          </w:p>
        </w:tc>
        <w:tc>
          <w:tcPr>
            <w:tcW w:w="7603" w:type="dxa"/>
            <w:tcBorders>
              <w:top w:val="single" w:sz="4" w:space="0" w:color="auto"/>
              <w:left w:val="single" w:sz="4" w:space="0" w:color="auto"/>
              <w:bottom w:val="single" w:sz="4" w:space="0" w:color="auto"/>
              <w:right w:val="single" w:sz="4" w:space="0" w:color="auto"/>
            </w:tcBorders>
            <w:hideMark/>
          </w:tcPr>
          <w:p w14:paraId="5AD3B8A0" w14:textId="77777777" w:rsidR="001F26A6" w:rsidRPr="00060D11" w:rsidRDefault="001F26A6" w:rsidP="006561AD">
            <w:r w:rsidRPr="00060D11">
              <w:t>Government Tuition Fee Subsidy</w:t>
            </w:r>
          </w:p>
        </w:tc>
      </w:tr>
      <w:tr w:rsidR="001F26A6" w:rsidRPr="00060D11" w14:paraId="73E241B5"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58C0D454" w14:textId="77777777" w:rsidR="001F26A6" w:rsidRPr="00060D11" w:rsidRDefault="001F26A6" w:rsidP="006561AD">
            <w:r w:rsidRPr="00060D11">
              <w:t>IDD</w:t>
            </w:r>
          </w:p>
        </w:tc>
        <w:tc>
          <w:tcPr>
            <w:tcW w:w="7603" w:type="dxa"/>
            <w:tcBorders>
              <w:top w:val="single" w:sz="4" w:space="0" w:color="auto"/>
              <w:left w:val="single" w:sz="4" w:space="0" w:color="auto"/>
              <w:bottom w:val="single" w:sz="4" w:space="0" w:color="auto"/>
              <w:right w:val="single" w:sz="4" w:space="0" w:color="auto"/>
            </w:tcBorders>
          </w:tcPr>
          <w:p w14:paraId="789E81B0" w14:textId="77777777" w:rsidR="001F26A6" w:rsidRPr="00060D11" w:rsidRDefault="001F26A6" w:rsidP="006561AD">
            <w:r w:rsidRPr="00060D11">
              <w:t>Investment Design Document</w:t>
            </w:r>
          </w:p>
        </w:tc>
      </w:tr>
      <w:tr w:rsidR="001F26A6" w:rsidRPr="00060D11" w14:paraId="373A898B"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49FFB7DC" w14:textId="77777777" w:rsidR="001F26A6" w:rsidRPr="00060D11" w:rsidRDefault="001F26A6" w:rsidP="006561AD">
            <w:r w:rsidRPr="00060D11">
              <w:t>IERC</w:t>
            </w:r>
          </w:p>
        </w:tc>
        <w:tc>
          <w:tcPr>
            <w:tcW w:w="7603" w:type="dxa"/>
            <w:tcBorders>
              <w:top w:val="single" w:sz="4" w:space="0" w:color="auto"/>
              <w:left w:val="single" w:sz="4" w:space="0" w:color="auto"/>
              <w:bottom w:val="single" w:sz="4" w:space="0" w:color="auto"/>
              <w:right w:val="single" w:sz="4" w:space="0" w:color="auto"/>
            </w:tcBorders>
          </w:tcPr>
          <w:p w14:paraId="723D5D8B" w14:textId="77777777" w:rsidR="001F26A6" w:rsidRPr="00060D11" w:rsidRDefault="001F26A6" w:rsidP="006561AD">
            <w:r w:rsidRPr="00060D11">
              <w:t>Inclusive Education Resource Centre</w:t>
            </w:r>
          </w:p>
        </w:tc>
      </w:tr>
      <w:tr w:rsidR="001F26A6" w:rsidRPr="00060D11" w14:paraId="5E176CA8"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139A2616" w14:textId="77777777" w:rsidR="001F26A6" w:rsidRPr="00060D11" w:rsidRDefault="001F26A6" w:rsidP="006561AD">
            <w:r w:rsidRPr="00060D11">
              <w:t>IO</w:t>
            </w:r>
          </w:p>
        </w:tc>
        <w:tc>
          <w:tcPr>
            <w:tcW w:w="7603" w:type="dxa"/>
            <w:tcBorders>
              <w:top w:val="single" w:sz="4" w:space="0" w:color="auto"/>
              <w:left w:val="single" w:sz="4" w:space="0" w:color="auto"/>
              <w:bottom w:val="single" w:sz="4" w:space="0" w:color="auto"/>
              <w:right w:val="single" w:sz="4" w:space="0" w:color="auto"/>
            </w:tcBorders>
            <w:hideMark/>
          </w:tcPr>
          <w:p w14:paraId="1BB3DC4E" w14:textId="77777777" w:rsidR="001F26A6" w:rsidRPr="00060D11" w:rsidRDefault="001F26A6" w:rsidP="006561AD">
            <w:r w:rsidRPr="00060D11">
              <w:t>Intermediate Outcomes</w:t>
            </w:r>
          </w:p>
        </w:tc>
      </w:tr>
      <w:tr w:rsidR="001F26A6" w:rsidRPr="00060D11" w14:paraId="6130E8BA"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43B05E72" w14:textId="77777777" w:rsidR="001F26A6" w:rsidRPr="00060D11" w:rsidRDefault="001F26A6" w:rsidP="006561AD">
            <w:r w:rsidRPr="00060D11">
              <w:t>JICA</w:t>
            </w:r>
          </w:p>
        </w:tc>
        <w:tc>
          <w:tcPr>
            <w:tcW w:w="7603" w:type="dxa"/>
            <w:tcBorders>
              <w:top w:val="single" w:sz="4" w:space="0" w:color="auto"/>
              <w:left w:val="single" w:sz="4" w:space="0" w:color="auto"/>
              <w:bottom w:val="single" w:sz="4" w:space="0" w:color="auto"/>
              <w:right w:val="single" w:sz="4" w:space="0" w:color="auto"/>
            </w:tcBorders>
            <w:hideMark/>
          </w:tcPr>
          <w:p w14:paraId="60240717" w14:textId="77777777" w:rsidR="001F26A6" w:rsidRPr="00060D11" w:rsidRDefault="001F26A6" w:rsidP="006561AD">
            <w:r w:rsidRPr="00060D11">
              <w:t>Japan International Cooperation Agency</w:t>
            </w:r>
          </w:p>
        </w:tc>
      </w:tr>
      <w:tr w:rsidR="001F26A6" w:rsidRPr="00060D11" w14:paraId="1E37CF07"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2C5D0C93" w14:textId="77777777" w:rsidR="001F26A6" w:rsidRPr="00060D11" w:rsidRDefault="001F26A6" w:rsidP="006561AD">
            <w:r w:rsidRPr="00060D11">
              <w:t>LEG</w:t>
            </w:r>
          </w:p>
        </w:tc>
        <w:tc>
          <w:tcPr>
            <w:tcW w:w="7603" w:type="dxa"/>
            <w:tcBorders>
              <w:top w:val="single" w:sz="4" w:space="0" w:color="auto"/>
              <w:left w:val="single" w:sz="4" w:space="0" w:color="auto"/>
              <w:bottom w:val="single" w:sz="4" w:space="0" w:color="auto"/>
              <w:right w:val="single" w:sz="4" w:space="0" w:color="auto"/>
            </w:tcBorders>
            <w:hideMark/>
          </w:tcPr>
          <w:p w14:paraId="08B8378D" w14:textId="77777777" w:rsidR="001F26A6" w:rsidRPr="00060D11" w:rsidRDefault="001F26A6" w:rsidP="006561AD">
            <w:r w:rsidRPr="00060D11">
              <w:t>Local Education Group</w:t>
            </w:r>
          </w:p>
        </w:tc>
      </w:tr>
      <w:tr w:rsidR="001F26A6" w:rsidRPr="00060D11" w14:paraId="7E625045"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5E0DF8DD" w14:textId="77777777" w:rsidR="001F26A6" w:rsidRPr="00060D11" w:rsidRDefault="001F26A6" w:rsidP="006561AD">
            <w:r w:rsidRPr="00060D11">
              <w:t>LLG</w:t>
            </w:r>
          </w:p>
        </w:tc>
        <w:tc>
          <w:tcPr>
            <w:tcW w:w="7603" w:type="dxa"/>
            <w:tcBorders>
              <w:top w:val="single" w:sz="4" w:space="0" w:color="auto"/>
              <w:left w:val="single" w:sz="4" w:space="0" w:color="auto"/>
              <w:bottom w:val="single" w:sz="4" w:space="0" w:color="auto"/>
              <w:right w:val="single" w:sz="4" w:space="0" w:color="auto"/>
            </w:tcBorders>
          </w:tcPr>
          <w:p w14:paraId="59110E66" w14:textId="77777777" w:rsidR="001F26A6" w:rsidRPr="00060D11" w:rsidRDefault="001F26A6" w:rsidP="006561AD">
            <w:r w:rsidRPr="00060D11">
              <w:t>Local level government</w:t>
            </w:r>
          </w:p>
        </w:tc>
      </w:tr>
      <w:tr w:rsidR="001F26A6" w:rsidRPr="00060D11" w14:paraId="3051BF14"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1CAE5284" w14:textId="77777777" w:rsidR="001F26A6" w:rsidRPr="00060D11" w:rsidRDefault="001F26A6" w:rsidP="006561AD">
            <w:r w:rsidRPr="00060D11">
              <w:t>LTA</w:t>
            </w:r>
          </w:p>
        </w:tc>
        <w:tc>
          <w:tcPr>
            <w:tcW w:w="7603" w:type="dxa"/>
            <w:tcBorders>
              <w:top w:val="single" w:sz="4" w:space="0" w:color="auto"/>
              <w:left w:val="single" w:sz="4" w:space="0" w:color="auto"/>
              <w:bottom w:val="single" w:sz="4" w:space="0" w:color="auto"/>
              <w:right w:val="single" w:sz="4" w:space="0" w:color="auto"/>
            </w:tcBorders>
          </w:tcPr>
          <w:p w14:paraId="66A057B6" w14:textId="77777777" w:rsidR="001F26A6" w:rsidRPr="00060D11" w:rsidRDefault="001F26A6" w:rsidP="006561AD">
            <w:r w:rsidRPr="00060D11">
              <w:t>Long-term adviser</w:t>
            </w:r>
          </w:p>
        </w:tc>
      </w:tr>
      <w:tr w:rsidR="001F26A6" w:rsidRPr="00060D11" w14:paraId="6B298589"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4B1C3390" w14:textId="77777777" w:rsidR="001F26A6" w:rsidRPr="00060D11" w:rsidRDefault="001F26A6" w:rsidP="006561AD">
            <w:r w:rsidRPr="00060D11">
              <w:t>MERL</w:t>
            </w:r>
          </w:p>
        </w:tc>
        <w:tc>
          <w:tcPr>
            <w:tcW w:w="7603" w:type="dxa"/>
            <w:tcBorders>
              <w:top w:val="single" w:sz="4" w:space="0" w:color="auto"/>
              <w:left w:val="single" w:sz="4" w:space="0" w:color="auto"/>
              <w:bottom w:val="single" w:sz="4" w:space="0" w:color="auto"/>
              <w:right w:val="single" w:sz="4" w:space="0" w:color="auto"/>
            </w:tcBorders>
            <w:hideMark/>
          </w:tcPr>
          <w:p w14:paraId="13F2F83A" w14:textId="77777777" w:rsidR="001F26A6" w:rsidRPr="00060D11" w:rsidRDefault="001F26A6" w:rsidP="006561AD">
            <w:r w:rsidRPr="00060D11">
              <w:t>Monitoring, Evaluation and Learning</w:t>
            </w:r>
          </w:p>
        </w:tc>
      </w:tr>
      <w:tr w:rsidR="001F26A6" w:rsidRPr="00060D11" w14:paraId="385686F9"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3DC11935" w14:textId="77777777" w:rsidR="001F26A6" w:rsidRPr="00060D11" w:rsidRDefault="001F26A6" w:rsidP="006561AD">
            <w:r w:rsidRPr="00060D11">
              <w:t>MEF</w:t>
            </w:r>
          </w:p>
        </w:tc>
        <w:tc>
          <w:tcPr>
            <w:tcW w:w="7603" w:type="dxa"/>
            <w:tcBorders>
              <w:top w:val="single" w:sz="4" w:space="0" w:color="auto"/>
              <w:left w:val="single" w:sz="4" w:space="0" w:color="auto"/>
              <w:bottom w:val="single" w:sz="4" w:space="0" w:color="auto"/>
              <w:right w:val="single" w:sz="4" w:space="0" w:color="auto"/>
            </w:tcBorders>
          </w:tcPr>
          <w:p w14:paraId="33F0CF89" w14:textId="77777777" w:rsidR="001F26A6" w:rsidRPr="00060D11" w:rsidRDefault="001F26A6" w:rsidP="006561AD">
            <w:r w:rsidRPr="00060D11">
              <w:t>Monitoring and Evaluation Framework</w:t>
            </w:r>
          </w:p>
        </w:tc>
      </w:tr>
      <w:tr w:rsidR="001F26A6" w:rsidRPr="00060D11" w14:paraId="0951AF5F"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3FF548E6" w14:textId="77777777" w:rsidR="001F26A6" w:rsidRPr="00060D11" w:rsidRDefault="001F26A6" w:rsidP="006561AD">
            <w:r w:rsidRPr="00060D11">
              <w:t>MTR</w:t>
            </w:r>
          </w:p>
        </w:tc>
        <w:tc>
          <w:tcPr>
            <w:tcW w:w="7603" w:type="dxa"/>
            <w:tcBorders>
              <w:top w:val="single" w:sz="4" w:space="0" w:color="auto"/>
              <w:left w:val="single" w:sz="4" w:space="0" w:color="auto"/>
              <w:bottom w:val="single" w:sz="4" w:space="0" w:color="auto"/>
              <w:right w:val="single" w:sz="4" w:space="0" w:color="auto"/>
            </w:tcBorders>
            <w:hideMark/>
          </w:tcPr>
          <w:p w14:paraId="3FFA8874" w14:textId="77777777" w:rsidR="001F26A6" w:rsidRPr="00060D11" w:rsidRDefault="001F26A6" w:rsidP="006561AD">
            <w:r w:rsidRPr="00060D11">
              <w:t>Mid-Term Review</w:t>
            </w:r>
          </w:p>
        </w:tc>
      </w:tr>
      <w:tr w:rsidR="001F26A6" w:rsidRPr="00060D11" w14:paraId="33C1133C"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09550BB5" w14:textId="77777777" w:rsidR="001F26A6" w:rsidRPr="00060D11" w:rsidRDefault="001F26A6" w:rsidP="006561AD">
            <w:r w:rsidRPr="00060D11">
              <w:t>NDoE</w:t>
            </w:r>
          </w:p>
        </w:tc>
        <w:tc>
          <w:tcPr>
            <w:tcW w:w="7603" w:type="dxa"/>
            <w:tcBorders>
              <w:top w:val="single" w:sz="4" w:space="0" w:color="auto"/>
              <w:left w:val="single" w:sz="4" w:space="0" w:color="auto"/>
              <w:bottom w:val="single" w:sz="4" w:space="0" w:color="auto"/>
              <w:right w:val="single" w:sz="4" w:space="0" w:color="auto"/>
            </w:tcBorders>
          </w:tcPr>
          <w:p w14:paraId="1EAED228" w14:textId="5F7AF096" w:rsidR="00052FC0" w:rsidRPr="00060D11" w:rsidRDefault="001F26A6" w:rsidP="006561AD">
            <w:r w:rsidRPr="00060D11">
              <w:t>National Department of Education</w:t>
            </w:r>
          </w:p>
        </w:tc>
      </w:tr>
      <w:tr w:rsidR="001F26A6" w:rsidRPr="00060D11" w14:paraId="69E2D67F"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110BC250" w14:textId="77777777" w:rsidR="001F26A6" w:rsidRPr="00060D11" w:rsidRDefault="001F26A6" w:rsidP="006561AD">
            <w:r w:rsidRPr="00060D11">
              <w:t>NEP</w:t>
            </w:r>
          </w:p>
        </w:tc>
        <w:tc>
          <w:tcPr>
            <w:tcW w:w="7603" w:type="dxa"/>
            <w:tcBorders>
              <w:top w:val="single" w:sz="4" w:space="0" w:color="auto"/>
              <w:left w:val="single" w:sz="4" w:space="0" w:color="auto"/>
              <w:bottom w:val="single" w:sz="4" w:space="0" w:color="auto"/>
              <w:right w:val="single" w:sz="4" w:space="0" w:color="auto"/>
            </w:tcBorders>
            <w:hideMark/>
          </w:tcPr>
          <w:p w14:paraId="0B2A1E8E" w14:textId="77777777" w:rsidR="001F26A6" w:rsidRPr="00060D11" w:rsidRDefault="001F26A6" w:rsidP="006561AD">
            <w:r w:rsidRPr="00060D11">
              <w:t>National Education Plan</w:t>
            </w:r>
          </w:p>
        </w:tc>
      </w:tr>
      <w:tr w:rsidR="001F26A6" w:rsidRPr="00060D11" w14:paraId="1697F453"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3E4BA6B8" w14:textId="77777777" w:rsidR="001F26A6" w:rsidRPr="00060D11" w:rsidRDefault="001F26A6" w:rsidP="006561AD">
            <w:r w:rsidRPr="00060D11">
              <w:t>NER</w:t>
            </w:r>
          </w:p>
        </w:tc>
        <w:tc>
          <w:tcPr>
            <w:tcW w:w="7603" w:type="dxa"/>
            <w:tcBorders>
              <w:top w:val="single" w:sz="4" w:space="0" w:color="auto"/>
              <w:left w:val="single" w:sz="4" w:space="0" w:color="auto"/>
              <w:bottom w:val="single" w:sz="4" w:space="0" w:color="auto"/>
              <w:right w:val="single" w:sz="4" w:space="0" w:color="auto"/>
            </w:tcBorders>
            <w:hideMark/>
          </w:tcPr>
          <w:p w14:paraId="7747BFDA" w14:textId="77777777" w:rsidR="001F26A6" w:rsidRPr="00060D11" w:rsidRDefault="001F26A6" w:rsidP="006561AD">
            <w:r w:rsidRPr="00060D11">
              <w:t>Net Enrolment Rate</w:t>
            </w:r>
          </w:p>
        </w:tc>
      </w:tr>
      <w:tr w:rsidR="001F26A6" w:rsidRPr="00060D11" w14:paraId="2B0096EC"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5E84DDCE" w14:textId="77777777" w:rsidR="001F26A6" w:rsidRPr="00060D11" w:rsidRDefault="001F26A6" w:rsidP="006561AD">
            <w:r w:rsidRPr="00060D11">
              <w:t>NGO</w:t>
            </w:r>
          </w:p>
        </w:tc>
        <w:tc>
          <w:tcPr>
            <w:tcW w:w="7603" w:type="dxa"/>
            <w:tcBorders>
              <w:top w:val="single" w:sz="4" w:space="0" w:color="auto"/>
              <w:left w:val="single" w:sz="4" w:space="0" w:color="auto"/>
              <w:bottom w:val="single" w:sz="4" w:space="0" w:color="auto"/>
              <w:right w:val="single" w:sz="4" w:space="0" w:color="auto"/>
            </w:tcBorders>
            <w:hideMark/>
          </w:tcPr>
          <w:p w14:paraId="2A3E16E2" w14:textId="77777777" w:rsidR="001F26A6" w:rsidRPr="00060D11" w:rsidRDefault="001F26A6" w:rsidP="006561AD">
            <w:r w:rsidRPr="00060D11">
              <w:t>Non-Government Organisation</w:t>
            </w:r>
          </w:p>
        </w:tc>
      </w:tr>
      <w:tr w:rsidR="001F26A6" w:rsidRPr="00060D11" w14:paraId="278E5D5D"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50AAA5C3" w14:textId="77777777" w:rsidR="001F26A6" w:rsidRPr="00060D11" w:rsidRDefault="001F26A6" w:rsidP="006561AD">
            <w:r w:rsidRPr="00060D11">
              <w:t>OBE</w:t>
            </w:r>
          </w:p>
        </w:tc>
        <w:tc>
          <w:tcPr>
            <w:tcW w:w="7603" w:type="dxa"/>
            <w:tcBorders>
              <w:top w:val="single" w:sz="4" w:space="0" w:color="auto"/>
              <w:left w:val="single" w:sz="4" w:space="0" w:color="auto"/>
              <w:bottom w:val="single" w:sz="4" w:space="0" w:color="auto"/>
              <w:right w:val="single" w:sz="4" w:space="0" w:color="auto"/>
            </w:tcBorders>
            <w:hideMark/>
          </w:tcPr>
          <w:p w14:paraId="3DA6155D" w14:textId="77777777" w:rsidR="001F26A6" w:rsidRPr="00060D11" w:rsidRDefault="001F26A6" w:rsidP="006561AD">
            <w:r w:rsidRPr="00060D11">
              <w:t>Outcomes Based Education</w:t>
            </w:r>
          </w:p>
        </w:tc>
      </w:tr>
      <w:tr w:rsidR="001F26A6" w:rsidRPr="00060D11" w14:paraId="795EDCD5"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1BA084B1" w14:textId="77777777" w:rsidR="001F26A6" w:rsidRPr="00060D11" w:rsidRDefault="001F26A6" w:rsidP="006561AD">
            <w:r w:rsidRPr="00060D11">
              <w:t>OECD</w:t>
            </w:r>
          </w:p>
        </w:tc>
        <w:tc>
          <w:tcPr>
            <w:tcW w:w="7603" w:type="dxa"/>
            <w:tcBorders>
              <w:top w:val="single" w:sz="4" w:space="0" w:color="auto"/>
              <w:left w:val="single" w:sz="4" w:space="0" w:color="auto"/>
              <w:bottom w:val="single" w:sz="4" w:space="0" w:color="auto"/>
              <w:right w:val="single" w:sz="4" w:space="0" w:color="auto"/>
            </w:tcBorders>
          </w:tcPr>
          <w:p w14:paraId="780F2DD9" w14:textId="77777777" w:rsidR="001F26A6" w:rsidRPr="00060D11" w:rsidRDefault="001F26A6" w:rsidP="006561AD">
            <w:r w:rsidRPr="00060D11">
              <w:t>Organisation for Economic Cooperation and Development</w:t>
            </w:r>
          </w:p>
        </w:tc>
      </w:tr>
      <w:tr w:rsidR="001F26A6" w:rsidRPr="00060D11" w14:paraId="796DE04A"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474AD316" w14:textId="77777777" w:rsidR="001F26A6" w:rsidRPr="00060D11" w:rsidRDefault="001F26A6" w:rsidP="006561AD">
            <w:r w:rsidRPr="00060D11">
              <w:lastRenderedPageBreak/>
              <w:t>OECD-DAC</w:t>
            </w:r>
          </w:p>
        </w:tc>
        <w:tc>
          <w:tcPr>
            <w:tcW w:w="7603" w:type="dxa"/>
            <w:tcBorders>
              <w:top w:val="single" w:sz="4" w:space="0" w:color="auto"/>
              <w:left w:val="single" w:sz="4" w:space="0" w:color="auto"/>
              <w:bottom w:val="single" w:sz="4" w:space="0" w:color="auto"/>
              <w:right w:val="single" w:sz="4" w:space="0" w:color="auto"/>
            </w:tcBorders>
          </w:tcPr>
          <w:p w14:paraId="1C90C8A3" w14:textId="77777777" w:rsidR="001F26A6" w:rsidRPr="00060D11" w:rsidRDefault="001F26A6" w:rsidP="006561AD">
            <w:r w:rsidRPr="00060D11">
              <w:t>OECD – Development Assistance Committee</w:t>
            </w:r>
          </w:p>
        </w:tc>
      </w:tr>
      <w:tr w:rsidR="001F26A6" w:rsidRPr="00060D11" w14:paraId="3EE8FECD"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0742773D" w14:textId="77777777" w:rsidR="001F26A6" w:rsidRPr="00060D11" w:rsidRDefault="001F26A6" w:rsidP="006561AD">
            <w:r w:rsidRPr="00060D11">
              <w:t>PARI</w:t>
            </w:r>
          </w:p>
        </w:tc>
        <w:tc>
          <w:tcPr>
            <w:tcW w:w="7603" w:type="dxa"/>
            <w:tcBorders>
              <w:top w:val="single" w:sz="4" w:space="0" w:color="auto"/>
              <w:left w:val="single" w:sz="4" w:space="0" w:color="auto"/>
              <w:bottom w:val="single" w:sz="4" w:space="0" w:color="auto"/>
              <w:right w:val="single" w:sz="4" w:space="0" w:color="auto"/>
            </w:tcBorders>
            <w:hideMark/>
          </w:tcPr>
          <w:p w14:paraId="1BE5187C" w14:textId="77777777" w:rsidR="001F26A6" w:rsidRPr="00060D11" w:rsidRDefault="001F26A6" w:rsidP="006561AD">
            <w:r w:rsidRPr="00060D11">
              <w:t>PNG Accessibility/Remoteness Index</w:t>
            </w:r>
          </w:p>
        </w:tc>
      </w:tr>
      <w:tr w:rsidR="00BD172D" w:rsidRPr="00060D11" w14:paraId="06063446"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tcPr>
          <w:p w14:paraId="2AC39DCB" w14:textId="72373ACA" w:rsidR="00BD172D" w:rsidRPr="00060D11" w:rsidRDefault="00BD172D" w:rsidP="006561AD">
            <w:r w:rsidRPr="00060D11">
              <w:t>PASS</w:t>
            </w:r>
          </w:p>
        </w:tc>
        <w:tc>
          <w:tcPr>
            <w:tcW w:w="7603" w:type="dxa"/>
            <w:tcBorders>
              <w:top w:val="single" w:sz="4" w:space="0" w:color="auto"/>
              <w:left w:val="single" w:sz="4" w:space="0" w:color="auto"/>
              <w:bottom w:val="single" w:sz="4" w:space="0" w:color="auto"/>
              <w:right w:val="single" w:sz="4" w:space="0" w:color="auto"/>
            </w:tcBorders>
          </w:tcPr>
          <w:p w14:paraId="2D894419" w14:textId="4A887CF6" w:rsidR="00BD172D" w:rsidRPr="00060D11" w:rsidRDefault="00BD172D" w:rsidP="006561AD">
            <w:r w:rsidRPr="00060D11">
              <w:rPr>
                <w:rFonts w:cstheme="minorHAnsi"/>
                <w:sz w:val="21"/>
                <w:szCs w:val="21"/>
              </w:rPr>
              <w:t>PNGAusPartnership Secondary School</w:t>
            </w:r>
          </w:p>
        </w:tc>
      </w:tr>
      <w:tr w:rsidR="001F26A6" w:rsidRPr="00060D11" w14:paraId="03B9B98F"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0B83C954" w14:textId="1B4A5E60" w:rsidR="001F26A6" w:rsidRPr="00060D11" w:rsidRDefault="004F62A5" w:rsidP="006561AD">
            <w:r w:rsidRPr="00060D11">
              <w:t>PDoE</w:t>
            </w:r>
          </w:p>
        </w:tc>
        <w:tc>
          <w:tcPr>
            <w:tcW w:w="7603" w:type="dxa"/>
            <w:tcBorders>
              <w:top w:val="single" w:sz="4" w:space="0" w:color="auto"/>
              <w:left w:val="single" w:sz="4" w:space="0" w:color="auto"/>
              <w:bottom w:val="single" w:sz="4" w:space="0" w:color="auto"/>
              <w:right w:val="single" w:sz="4" w:space="0" w:color="auto"/>
            </w:tcBorders>
          </w:tcPr>
          <w:p w14:paraId="59CF6099" w14:textId="77777777" w:rsidR="001F26A6" w:rsidRPr="00060D11" w:rsidRDefault="001F26A6" w:rsidP="006561AD">
            <w:r w:rsidRPr="00060D11">
              <w:t>Provincial Department of Education</w:t>
            </w:r>
          </w:p>
        </w:tc>
      </w:tr>
      <w:tr w:rsidR="001F26A6" w:rsidRPr="00060D11" w14:paraId="1FC1B1C8"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07104C9D" w14:textId="77777777" w:rsidR="001F26A6" w:rsidRPr="00060D11" w:rsidRDefault="001F26A6" w:rsidP="006561AD">
            <w:r w:rsidRPr="00060D11">
              <w:t>PEA</w:t>
            </w:r>
          </w:p>
        </w:tc>
        <w:tc>
          <w:tcPr>
            <w:tcW w:w="7603" w:type="dxa"/>
            <w:tcBorders>
              <w:top w:val="single" w:sz="4" w:space="0" w:color="auto"/>
              <w:left w:val="single" w:sz="4" w:space="0" w:color="auto"/>
              <w:bottom w:val="single" w:sz="4" w:space="0" w:color="auto"/>
              <w:right w:val="single" w:sz="4" w:space="0" w:color="auto"/>
            </w:tcBorders>
          </w:tcPr>
          <w:p w14:paraId="1757D637" w14:textId="77777777" w:rsidR="001F26A6" w:rsidRPr="00060D11" w:rsidRDefault="001F26A6" w:rsidP="006561AD">
            <w:r w:rsidRPr="00060D11">
              <w:t>Provincial Education Adviser</w:t>
            </w:r>
          </w:p>
        </w:tc>
      </w:tr>
      <w:tr w:rsidR="001F26A6" w:rsidRPr="00060D11" w14:paraId="45B5C72C"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64CE092A" w14:textId="77777777" w:rsidR="001F26A6" w:rsidRPr="00060D11" w:rsidRDefault="001F26A6" w:rsidP="006561AD">
            <w:r w:rsidRPr="00060D11">
              <w:t>PEP</w:t>
            </w:r>
          </w:p>
        </w:tc>
        <w:tc>
          <w:tcPr>
            <w:tcW w:w="7603" w:type="dxa"/>
            <w:tcBorders>
              <w:top w:val="single" w:sz="4" w:space="0" w:color="auto"/>
              <w:left w:val="single" w:sz="4" w:space="0" w:color="auto"/>
              <w:bottom w:val="single" w:sz="4" w:space="0" w:color="auto"/>
              <w:right w:val="single" w:sz="4" w:space="0" w:color="auto"/>
            </w:tcBorders>
          </w:tcPr>
          <w:p w14:paraId="4F428359" w14:textId="77777777" w:rsidR="001F26A6" w:rsidRPr="00060D11" w:rsidRDefault="001F26A6" w:rsidP="006561AD">
            <w:r w:rsidRPr="00060D11">
              <w:t>Provincial Education Plan</w:t>
            </w:r>
          </w:p>
        </w:tc>
      </w:tr>
      <w:tr w:rsidR="002D6E05" w:rsidRPr="00060D11" w14:paraId="6D20A6B4"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tcPr>
          <w:p w14:paraId="34068909" w14:textId="4F284500" w:rsidR="002D6E05" w:rsidRPr="00060D11" w:rsidRDefault="002D6E05" w:rsidP="006561AD">
            <w:r w:rsidRPr="00060D11">
              <w:t>P4R</w:t>
            </w:r>
          </w:p>
        </w:tc>
        <w:tc>
          <w:tcPr>
            <w:tcW w:w="7603" w:type="dxa"/>
            <w:tcBorders>
              <w:top w:val="single" w:sz="4" w:space="0" w:color="auto"/>
              <w:left w:val="single" w:sz="4" w:space="0" w:color="auto"/>
              <w:bottom w:val="single" w:sz="4" w:space="0" w:color="auto"/>
              <w:right w:val="single" w:sz="4" w:space="0" w:color="auto"/>
            </w:tcBorders>
          </w:tcPr>
          <w:p w14:paraId="79C3F1D0" w14:textId="48658659" w:rsidR="002D6E05" w:rsidRPr="00060D11" w:rsidRDefault="002D6E05" w:rsidP="006561AD">
            <w:r w:rsidRPr="00060D11">
              <w:rPr>
                <w:rFonts w:cstheme="minorHAnsi"/>
                <w:color w:val="495964"/>
              </w:rPr>
              <w:t>Australia’s Partnership for Recovery</w:t>
            </w:r>
          </w:p>
        </w:tc>
      </w:tr>
      <w:tr w:rsidR="001F26A6" w:rsidRPr="00060D11" w14:paraId="6F987F75"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69A6B4A7" w14:textId="77777777" w:rsidR="001F26A6" w:rsidRPr="00060D11" w:rsidRDefault="001F26A6" w:rsidP="006561AD">
            <w:r w:rsidRPr="00060D11">
              <w:t>PGK</w:t>
            </w:r>
          </w:p>
        </w:tc>
        <w:tc>
          <w:tcPr>
            <w:tcW w:w="7603" w:type="dxa"/>
            <w:tcBorders>
              <w:top w:val="single" w:sz="4" w:space="0" w:color="auto"/>
              <w:left w:val="single" w:sz="4" w:space="0" w:color="auto"/>
              <w:bottom w:val="single" w:sz="4" w:space="0" w:color="auto"/>
              <w:right w:val="single" w:sz="4" w:space="0" w:color="auto"/>
            </w:tcBorders>
            <w:hideMark/>
          </w:tcPr>
          <w:p w14:paraId="3B6D6A6C" w14:textId="77777777" w:rsidR="001F26A6" w:rsidRPr="00060D11" w:rsidRDefault="001F26A6" w:rsidP="006561AD">
            <w:r w:rsidRPr="00060D11">
              <w:t>Papua New Guinea Kina</w:t>
            </w:r>
          </w:p>
        </w:tc>
      </w:tr>
      <w:tr w:rsidR="001F26A6" w:rsidRPr="00060D11" w14:paraId="36461B6A"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tcPr>
          <w:p w14:paraId="485E9D9F" w14:textId="77777777" w:rsidR="001F26A6" w:rsidRPr="00060D11" w:rsidRDefault="001F26A6" w:rsidP="006561AD">
            <w:r w:rsidRPr="00060D11">
              <w:t>PIE</w:t>
            </w:r>
          </w:p>
        </w:tc>
        <w:tc>
          <w:tcPr>
            <w:tcW w:w="7603" w:type="dxa"/>
            <w:tcBorders>
              <w:top w:val="single" w:sz="4" w:space="0" w:color="auto"/>
              <w:left w:val="single" w:sz="4" w:space="0" w:color="auto"/>
              <w:bottom w:val="single" w:sz="4" w:space="0" w:color="auto"/>
              <w:right w:val="single" w:sz="4" w:space="0" w:color="auto"/>
            </w:tcBorders>
          </w:tcPr>
          <w:p w14:paraId="70D1A8D0" w14:textId="77777777" w:rsidR="001F26A6" w:rsidRPr="00060D11" w:rsidRDefault="001F26A6" w:rsidP="006561AD">
            <w:r w:rsidRPr="00060D11">
              <w:t>Partnerships for Improving Education</w:t>
            </w:r>
          </w:p>
        </w:tc>
      </w:tr>
      <w:tr w:rsidR="001F26A6" w:rsidRPr="00060D11" w14:paraId="4534604F"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3A96820E" w14:textId="77777777" w:rsidR="001F26A6" w:rsidRPr="00060D11" w:rsidRDefault="001F26A6" w:rsidP="006561AD">
            <w:r w:rsidRPr="00060D11">
              <w:t>PILNA</w:t>
            </w:r>
          </w:p>
        </w:tc>
        <w:tc>
          <w:tcPr>
            <w:tcW w:w="7603" w:type="dxa"/>
            <w:tcBorders>
              <w:top w:val="single" w:sz="4" w:space="0" w:color="auto"/>
              <w:left w:val="single" w:sz="4" w:space="0" w:color="auto"/>
              <w:bottom w:val="single" w:sz="4" w:space="0" w:color="auto"/>
              <w:right w:val="single" w:sz="4" w:space="0" w:color="auto"/>
            </w:tcBorders>
            <w:hideMark/>
          </w:tcPr>
          <w:p w14:paraId="3B08370A" w14:textId="77777777" w:rsidR="001F26A6" w:rsidRPr="00060D11" w:rsidRDefault="001F26A6" w:rsidP="006561AD">
            <w:r w:rsidRPr="00060D11">
              <w:t>Pacific Islands Literacy and Numeracy Assessment</w:t>
            </w:r>
          </w:p>
        </w:tc>
      </w:tr>
      <w:tr w:rsidR="001F26A6" w:rsidRPr="00060D11" w14:paraId="6705EA00"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055FA333" w14:textId="77777777" w:rsidR="001F26A6" w:rsidRPr="00060D11" w:rsidRDefault="001F26A6" w:rsidP="006561AD">
            <w:r w:rsidRPr="00060D11">
              <w:t>PNG</w:t>
            </w:r>
          </w:p>
        </w:tc>
        <w:tc>
          <w:tcPr>
            <w:tcW w:w="7603" w:type="dxa"/>
            <w:tcBorders>
              <w:top w:val="single" w:sz="4" w:space="0" w:color="auto"/>
              <w:left w:val="single" w:sz="4" w:space="0" w:color="auto"/>
              <w:bottom w:val="single" w:sz="4" w:space="0" w:color="auto"/>
              <w:right w:val="single" w:sz="4" w:space="0" w:color="auto"/>
            </w:tcBorders>
            <w:hideMark/>
          </w:tcPr>
          <w:p w14:paraId="41048F9A" w14:textId="77777777" w:rsidR="001F26A6" w:rsidRPr="00060D11" w:rsidRDefault="001F26A6" w:rsidP="006561AD">
            <w:r w:rsidRPr="00060D11">
              <w:t>Papua New Guinea</w:t>
            </w:r>
          </w:p>
        </w:tc>
      </w:tr>
      <w:tr w:rsidR="001F26A6" w:rsidRPr="00060D11" w14:paraId="383D3078"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68EEE0C8" w14:textId="77777777" w:rsidR="001F26A6" w:rsidRPr="00060D11" w:rsidRDefault="001F26A6" w:rsidP="006561AD">
            <w:r w:rsidRPr="00060D11">
              <w:t>PPF</w:t>
            </w:r>
          </w:p>
        </w:tc>
        <w:tc>
          <w:tcPr>
            <w:tcW w:w="7603" w:type="dxa"/>
            <w:tcBorders>
              <w:top w:val="single" w:sz="4" w:space="0" w:color="auto"/>
              <w:left w:val="single" w:sz="4" w:space="0" w:color="auto"/>
              <w:bottom w:val="single" w:sz="4" w:space="0" w:color="auto"/>
              <w:right w:val="single" w:sz="4" w:space="0" w:color="auto"/>
            </w:tcBorders>
          </w:tcPr>
          <w:p w14:paraId="2F32503E" w14:textId="77777777" w:rsidR="001F26A6" w:rsidRPr="00060D11" w:rsidRDefault="001F26A6" w:rsidP="006561AD">
            <w:r w:rsidRPr="00060D11">
              <w:t>PNG Partnership Fund</w:t>
            </w:r>
          </w:p>
        </w:tc>
      </w:tr>
      <w:tr w:rsidR="008B099B" w:rsidRPr="00060D11" w14:paraId="202FDE04"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tcPr>
          <w:p w14:paraId="10D880D3" w14:textId="4760DEC9" w:rsidR="008B099B" w:rsidRPr="00060D11" w:rsidRDefault="008B099B" w:rsidP="006561AD">
            <w:r w:rsidRPr="00060D11">
              <w:t>PSEAH</w:t>
            </w:r>
          </w:p>
        </w:tc>
        <w:tc>
          <w:tcPr>
            <w:tcW w:w="7603" w:type="dxa"/>
            <w:tcBorders>
              <w:top w:val="single" w:sz="4" w:space="0" w:color="auto"/>
              <w:left w:val="single" w:sz="4" w:space="0" w:color="auto"/>
              <w:bottom w:val="single" w:sz="4" w:space="0" w:color="auto"/>
              <w:right w:val="single" w:sz="4" w:space="0" w:color="auto"/>
            </w:tcBorders>
          </w:tcPr>
          <w:p w14:paraId="5CD2DB31" w14:textId="6474D703" w:rsidR="008B099B" w:rsidRPr="00060D11" w:rsidRDefault="008B099B" w:rsidP="006561AD">
            <w:r w:rsidRPr="00060D11">
              <w:t>Preventing Sexual Exploitation, Abuse and Harassment</w:t>
            </w:r>
          </w:p>
        </w:tc>
      </w:tr>
      <w:tr w:rsidR="001F26A6" w:rsidRPr="00060D11" w14:paraId="3472AD4C"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43D1BA70" w14:textId="77777777" w:rsidR="001F26A6" w:rsidRPr="00060D11" w:rsidRDefault="001F26A6" w:rsidP="006561AD">
            <w:r w:rsidRPr="00060D11">
              <w:t>RISE</w:t>
            </w:r>
          </w:p>
        </w:tc>
        <w:tc>
          <w:tcPr>
            <w:tcW w:w="7603" w:type="dxa"/>
            <w:tcBorders>
              <w:top w:val="single" w:sz="4" w:space="0" w:color="auto"/>
              <w:left w:val="single" w:sz="4" w:space="0" w:color="auto"/>
              <w:bottom w:val="single" w:sz="4" w:space="0" w:color="auto"/>
              <w:right w:val="single" w:sz="4" w:space="0" w:color="auto"/>
            </w:tcBorders>
          </w:tcPr>
          <w:p w14:paraId="5FEA23F7" w14:textId="77777777" w:rsidR="001F26A6" w:rsidRPr="00060D11" w:rsidRDefault="001F26A6" w:rsidP="006561AD">
            <w:r w:rsidRPr="00060D11">
              <w:t>Rapidly Improving Standards in Elementary Education (Save the Children Fund)</w:t>
            </w:r>
          </w:p>
        </w:tc>
      </w:tr>
      <w:tr w:rsidR="001F26A6" w:rsidRPr="00060D11" w14:paraId="6D31955D"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2E6F0C09" w14:textId="77777777" w:rsidR="001F26A6" w:rsidRPr="00060D11" w:rsidRDefault="001F26A6" w:rsidP="006561AD">
            <w:r w:rsidRPr="00060D11">
              <w:t>SBC</w:t>
            </w:r>
          </w:p>
        </w:tc>
        <w:tc>
          <w:tcPr>
            <w:tcW w:w="7603" w:type="dxa"/>
            <w:tcBorders>
              <w:top w:val="single" w:sz="4" w:space="0" w:color="auto"/>
              <w:left w:val="single" w:sz="4" w:space="0" w:color="auto"/>
              <w:bottom w:val="single" w:sz="4" w:space="0" w:color="auto"/>
              <w:right w:val="single" w:sz="4" w:space="0" w:color="auto"/>
            </w:tcBorders>
            <w:hideMark/>
          </w:tcPr>
          <w:p w14:paraId="752D7D6C" w14:textId="77777777" w:rsidR="001F26A6" w:rsidRPr="00060D11" w:rsidRDefault="001F26A6" w:rsidP="006561AD">
            <w:r w:rsidRPr="00060D11">
              <w:t>Standards Based Curriculum</w:t>
            </w:r>
          </w:p>
        </w:tc>
      </w:tr>
      <w:tr w:rsidR="001F26A6" w:rsidRPr="00060D11" w14:paraId="70E39120"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223BF7D0" w14:textId="04A8474A" w:rsidR="001F26A6" w:rsidRPr="00060D11" w:rsidRDefault="001F26A6" w:rsidP="006561AD">
            <w:r w:rsidRPr="00060D11">
              <w:t>S</w:t>
            </w:r>
            <w:r w:rsidR="005F58DC" w:rsidRPr="00060D11">
              <w:t>B</w:t>
            </w:r>
            <w:r w:rsidRPr="00060D11">
              <w:t>oM</w:t>
            </w:r>
          </w:p>
        </w:tc>
        <w:tc>
          <w:tcPr>
            <w:tcW w:w="7603" w:type="dxa"/>
            <w:tcBorders>
              <w:top w:val="single" w:sz="4" w:space="0" w:color="auto"/>
              <w:left w:val="single" w:sz="4" w:space="0" w:color="auto"/>
              <w:bottom w:val="single" w:sz="4" w:space="0" w:color="auto"/>
              <w:right w:val="single" w:sz="4" w:space="0" w:color="auto"/>
            </w:tcBorders>
            <w:hideMark/>
          </w:tcPr>
          <w:p w14:paraId="719EB71C" w14:textId="77777777" w:rsidR="001F26A6" w:rsidRPr="00060D11" w:rsidRDefault="001F26A6" w:rsidP="006561AD">
            <w:r w:rsidRPr="00060D11">
              <w:t>School Boards of Management</w:t>
            </w:r>
          </w:p>
        </w:tc>
      </w:tr>
      <w:tr w:rsidR="001F26A6" w:rsidRPr="00060D11" w14:paraId="516035AF"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65435E73" w14:textId="77777777" w:rsidR="001F26A6" w:rsidRPr="00060D11" w:rsidRDefault="001F26A6" w:rsidP="006561AD">
            <w:r w:rsidRPr="00060D11">
              <w:t>SCF</w:t>
            </w:r>
          </w:p>
        </w:tc>
        <w:tc>
          <w:tcPr>
            <w:tcW w:w="7603" w:type="dxa"/>
            <w:tcBorders>
              <w:top w:val="single" w:sz="4" w:space="0" w:color="auto"/>
              <w:left w:val="single" w:sz="4" w:space="0" w:color="auto"/>
              <w:bottom w:val="single" w:sz="4" w:space="0" w:color="auto"/>
              <w:right w:val="single" w:sz="4" w:space="0" w:color="auto"/>
            </w:tcBorders>
            <w:hideMark/>
          </w:tcPr>
          <w:p w14:paraId="648B5C48" w14:textId="77777777" w:rsidR="001F26A6" w:rsidRPr="00060D11" w:rsidRDefault="001F26A6" w:rsidP="006561AD">
            <w:r w:rsidRPr="00060D11">
              <w:t>Save the Children Fund</w:t>
            </w:r>
          </w:p>
        </w:tc>
      </w:tr>
      <w:tr w:rsidR="001F26A6" w:rsidRPr="00060D11" w14:paraId="047455D8"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2398217D" w14:textId="77777777" w:rsidR="001F26A6" w:rsidRPr="00060D11" w:rsidRDefault="001F26A6" w:rsidP="006561AD">
            <w:r w:rsidRPr="00060D11">
              <w:t>SDG</w:t>
            </w:r>
          </w:p>
        </w:tc>
        <w:tc>
          <w:tcPr>
            <w:tcW w:w="7603" w:type="dxa"/>
            <w:tcBorders>
              <w:top w:val="single" w:sz="4" w:space="0" w:color="auto"/>
              <w:left w:val="single" w:sz="4" w:space="0" w:color="auto"/>
              <w:bottom w:val="single" w:sz="4" w:space="0" w:color="auto"/>
              <w:right w:val="single" w:sz="4" w:space="0" w:color="auto"/>
            </w:tcBorders>
            <w:hideMark/>
          </w:tcPr>
          <w:p w14:paraId="1E497E05" w14:textId="77777777" w:rsidR="001F26A6" w:rsidRPr="00060D11" w:rsidRDefault="001F26A6" w:rsidP="006561AD">
            <w:r w:rsidRPr="00060D11">
              <w:t>Sustainable Development Goals</w:t>
            </w:r>
          </w:p>
        </w:tc>
      </w:tr>
      <w:tr w:rsidR="001F26A6" w:rsidRPr="00060D11" w14:paraId="0951548A"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04896048" w14:textId="77777777" w:rsidR="001F26A6" w:rsidRPr="00060D11" w:rsidRDefault="001F26A6" w:rsidP="006561AD">
            <w:r w:rsidRPr="00060D11">
              <w:t>SLIP</w:t>
            </w:r>
          </w:p>
        </w:tc>
        <w:tc>
          <w:tcPr>
            <w:tcW w:w="7603" w:type="dxa"/>
            <w:tcBorders>
              <w:top w:val="single" w:sz="4" w:space="0" w:color="auto"/>
              <w:left w:val="single" w:sz="4" w:space="0" w:color="auto"/>
              <w:bottom w:val="single" w:sz="4" w:space="0" w:color="auto"/>
              <w:right w:val="single" w:sz="4" w:space="0" w:color="auto"/>
            </w:tcBorders>
            <w:hideMark/>
          </w:tcPr>
          <w:p w14:paraId="253F529F" w14:textId="77777777" w:rsidR="001F26A6" w:rsidRPr="00060D11" w:rsidRDefault="001F26A6" w:rsidP="006561AD">
            <w:r w:rsidRPr="00060D11">
              <w:t>School Learning Improvement Plan</w:t>
            </w:r>
          </w:p>
        </w:tc>
      </w:tr>
      <w:tr w:rsidR="001F26A6" w:rsidRPr="00060D11" w14:paraId="33D633C0"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6E25CCEA" w14:textId="77777777" w:rsidR="001F26A6" w:rsidRPr="00060D11" w:rsidRDefault="001F26A6" w:rsidP="006561AD">
            <w:r w:rsidRPr="00060D11">
              <w:t>STA</w:t>
            </w:r>
          </w:p>
        </w:tc>
        <w:tc>
          <w:tcPr>
            <w:tcW w:w="7603" w:type="dxa"/>
            <w:tcBorders>
              <w:top w:val="single" w:sz="4" w:space="0" w:color="auto"/>
              <w:left w:val="single" w:sz="4" w:space="0" w:color="auto"/>
              <w:bottom w:val="single" w:sz="4" w:space="0" w:color="auto"/>
              <w:right w:val="single" w:sz="4" w:space="0" w:color="auto"/>
            </w:tcBorders>
          </w:tcPr>
          <w:p w14:paraId="3B332318" w14:textId="77777777" w:rsidR="001F26A6" w:rsidRPr="00060D11" w:rsidRDefault="001F26A6" w:rsidP="006561AD">
            <w:r w:rsidRPr="00060D11">
              <w:t>Short-term adviser</w:t>
            </w:r>
          </w:p>
        </w:tc>
      </w:tr>
      <w:tr w:rsidR="001F26A6" w:rsidRPr="00060D11" w14:paraId="6CD8B804"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221C5C7A" w14:textId="77777777" w:rsidR="001F26A6" w:rsidRPr="00060D11" w:rsidRDefault="001F26A6" w:rsidP="006561AD">
            <w:r w:rsidRPr="00060D11">
              <w:t>TFFE</w:t>
            </w:r>
          </w:p>
        </w:tc>
        <w:tc>
          <w:tcPr>
            <w:tcW w:w="7603" w:type="dxa"/>
            <w:tcBorders>
              <w:top w:val="single" w:sz="4" w:space="0" w:color="auto"/>
              <w:left w:val="single" w:sz="4" w:space="0" w:color="auto"/>
              <w:bottom w:val="single" w:sz="4" w:space="0" w:color="auto"/>
              <w:right w:val="single" w:sz="4" w:space="0" w:color="auto"/>
            </w:tcBorders>
            <w:hideMark/>
          </w:tcPr>
          <w:p w14:paraId="351474FC" w14:textId="5FEFA22E" w:rsidR="007D43AC" w:rsidRPr="00060D11" w:rsidRDefault="001F26A6" w:rsidP="006561AD">
            <w:r w:rsidRPr="00060D11">
              <w:t>Tuition Fee Free Education</w:t>
            </w:r>
          </w:p>
        </w:tc>
      </w:tr>
      <w:tr w:rsidR="001F26A6" w:rsidRPr="00060D11" w14:paraId="340C5EFA"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0AB6464B" w14:textId="77777777" w:rsidR="001F26A6" w:rsidRPr="00060D11" w:rsidRDefault="001F26A6" w:rsidP="006561AD">
            <w:r w:rsidRPr="00060D11">
              <w:t>ToC</w:t>
            </w:r>
          </w:p>
        </w:tc>
        <w:tc>
          <w:tcPr>
            <w:tcW w:w="7603" w:type="dxa"/>
            <w:tcBorders>
              <w:top w:val="single" w:sz="4" w:space="0" w:color="auto"/>
              <w:left w:val="single" w:sz="4" w:space="0" w:color="auto"/>
              <w:bottom w:val="single" w:sz="4" w:space="0" w:color="auto"/>
              <w:right w:val="single" w:sz="4" w:space="0" w:color="auto"/>
            </w:tcBorders>
            <w:hideMark/>
          </w:tcPr>
          <w:p w14:paraId="0DB3568F" w14:textId="77777777" w:rsidR="001F26A6" w:rsidRPr="00060D11" w:rsidRDefault="001F26A6" w:rsidP="006561AD">
            <w:r w:rsidRPr="00060D11">
              <w:t>Theory of Change</w:t>
            </w:r>
          </w:p>
        </w:tc>
      </w:tr>
      <w:tr w:rsidR="001F26A6" w:rsidRPr="00060D11" w14:paraId="34055F83"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59A46B0B" w14:textId="77777777" w:rsidR="001F26A6" w:rsidRPr="00060D11" w:rsidRDefault="001F26A6" w:rsidP="006561AD">
            <w:r w:rsidRPr="00060D11">
              <w:t>ToR</w:t>
            </w:r>
          </w:p>
        </w:tc>
        <w:tc>
          <w:tcPr>
            <w:tcW w:w="7603" w:type="dxa"/>
            <w:tcBorders>
              <w:top w:val="single" w:sz="4" w:space="0" w:color="auto"/>
              <w:left w:val="single" w:sz="4" w:space="0" w:color="auto"/>
              <w:bottom w:val="single" w:sz="4" w:space="0" w:color="auto"/>
              <w:right w:val="single" w:sz="4" w:space="0" w:color="auto"/>
            </w:tcBorders>
            <w:hideMark/>
          </w:tcPr>
          <w:p w14:paraId="13AB771D" w14:textId="77777777" w:rsidR="001F26A6" w:rsidRPr="00060D11" w:rsidRDefault="001F26A6" w:rsidP="006561AD">
            <w:r w:rsidRPr="00060D11">
              <w:t>Terms of Reference</w:t>
            </w:r>
          </w:p>
        </w:tc>
      </w:tr>
      <w:tr w:rsidR="00FE47FA" w:rsidRPr="00060D11" w14:paraId="77045627"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tcPr>
          <w:p w14:paraId="3A494418" w14:textId="10D88DB1" w:rsidR="00FE47FA" w:rsidRPr="00060D11" w:rsidRDefault="00FE47FA" w:rsidP="006561AD">
            <w:r w:rsidRPr="00060D11">
              <w:t>TUF</w:t>
            </w:r>
          </w:p>
        </w:tc>
        <w:tc>
          <w:tcPr>
            <w:tcW w:w="7603" w:type="dxa"/>
            <w:tcBorders>
              <w:top w:val="single" w:sz="4" w:space="0" w:color="auto"/>
              <w:left w:val="single" w:sz="4" w:space="0" w:color="auto"/>
              <w:bottom w:val="single" w:sz="4" w:space="0" w:color="auto"/>
              <w:right w:val="single" w:sz="4" w:space="0" w:color="auto"/>
            </w:tcBorders>
          </w:tcPr>
          <w:p w14:paraId="27C6219D" w14:textId="292739D7" w:rsidR="00FE47FA" w:rsidRPr="00060D11" w:rsidRDefault="00FE47FA" w:rsidP="006561AD">
            <w:r w:rsidRPr="00060D11">
              <w:rPr>
                <w:rFonts w:cstheme="minorHAnsi"/>
                <w:sz w:val="21"/>
                <w:szCs w:val="21"/>
              </w:rPr>
              <w:t>Teacher Upgrading Fund</w:t>
            </w:r>
          </w:p>
        </w:tc>
      </w:tr>
      <w:tr w:rsidR="001F26A6" w:rsidRPr="00060D11" w14:paraId="786043EF"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598896E2" w14:textId="77777777" w:rsidR="001F26A6" w:rsidRPr="00060D11" w:rsidRDefault="001F26A6" w:rsidP="006561AD">
            <w:r w:rsidRPr="00060D11">
              <w:t>UNDP</w:t>
            </w:r>
          </w:p>
        </w:tc>
        <w:tc>
          <w:tcPr>
            <w:tcW w:w="7603" w:type="dxa"/>
            <w:tcBorders>
              <w:top w:val="single" w:sz="4" w:space="0" w:color="auto"/>
              <w:left w:val="single" w:sz="4" w:space="0" w:color="auto"/>
              <w:bottom w:val="single" w:sz="4" w:space="0" w:color="auto"/>
              <w:right w:val="single" w:sz="4" w:space="0" w:color="auto"/>
            </w:tcBorders>
          </w:tcPr>
          <w:p w14:paraId="68113D0F" w14:textId="20D6B30B" w:rsidR="001F26A6" w:rsidRPr="00060D11" w:rsidRDefault="001F26A6" w:rsidP="006561AD">
            <w:r w:rsidRPr="00060D11">
              <w:t>United Nations Development Program</w:t>
            </w:r>
            <w:r w:rsidR="007D43AC" w:rsidRPr="00060D11">
              <w:t>me</w:t>
            </w:r>
          </w:p>
        </w:tc>
      </w:tr>
      <w:tr w:rsidR="001F26A6" w:rsidRPr="00060D11" w14:paraId="47653B82"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201B1FB6" w14:textId="77777777" w:rsidR="001F26A6" w:rsidRPr="00060D11" w:rsidRDefault="001F26A6" w:rsidP="006561AD">
            <w:r w:rsidRPr="00060D11">
              <w:t>UNESCO</w:t>
            </w:r>
          </w:p>
        </w:tc>
        <w:tc>
          <w:tcPr>
            <w:tcW w:w="7603" w:type="dxa"/>
            <w:tcBorders>
              <w:top w:val="single" w:sz="4" w:space="0" w:color="auto"/>
              <w:left w:val="single" w:sz="4" w:space="0" w:color="auto"/>
              <w:bottom w:val="single" w:sz="4" w:space="0" w:color="auto"/>
              <w:right w:val="single" w:sz="4" w:space="0" w:color="auto"/>
            </w:tcBorders>
          </w:tcPr>
          <w:p w14:paraId="4B9C5492" w14:textId="77777777" w:rsidR="001F26A6" w:rsidRPr="00060D11" w:rsidRDefault="001F26A6" w:rsidP="006561AD">
            <w:r w:rsidRPr="00060D11">
              <w:t>United Nations Education, Scientific and Cultural Organisation</w:t>
            </w:r>
          </w:p>
        </w:tc>
      </w:tr>
      <w:tr w:rsidR="001F26A6" w:rsidRPr="00060D11" w14:paraId="1F5024DF" w14:textId="77777777" w:rsidTr="006561AD">
        <w:trPr>
          <w:trHeight w:val="20"/>
        </w:trPr>
        <w:tc>
          <w:tcPr>
            <w:tcW w:w="1413" w:type="dxa"/>
            <w:tcBorders>
              <w:top w:val="single" w:sz="4" w:space="0" w:color="auto"/>
              <w:left w:val="single" w:sz="4" w:space="0" w:color="auto"/>
              <w:bottom w:val="single" w:sz="4" w:space="0" w:color="auto"/>
              <w:right w:val="single" w:sz="4" w:space="0" w:color="auto"/>
            </w:tcBorders>
            <w:hideMark/>
          </w:tcPr>
          <w:p w14:paraId="11A8B53C" w14:textId="77777777" w:rsidR="001F26A6" w:rsidRPr="00060D11" w:rsidRDefault="001F26A6" w:rsidP="006561AD">
            <w:r w:rsidRPr="00060D11">
              <w:t>UNICEF</w:t>
            </w:r>
          </w:p>
        </w:tc>
        <w:tc>
          <w:tcPr>
            <w:tcW w:w="7603" w:type="dxa"/>
            <w:tcBorders>
              <w:top w:val="single" w:sz="4" w:space="0" w:color="auto"/>
              <w:left w:val="single" w:sz="4" w:space="0" w:color="auto"/>
              <w:bottom w:val="single" w:sz="4" w:space="0" w:color="auto"/>
              <w:right w:val="single" w:sz="4" w:space="0" w:color="auto"/>
            </w:tcBorders>
          </w:tcPr>
          <w:p w14:paraId="103D6B75" w14:textId="77777777" w:rsidR="001F26A6" w:rsidRPr="00060D11" w:rsidRDefault="001F26A6" w:rsidP="006561AD">
            <w:r w:rsidRPr="00060D11">
              <w:t>United Nations Children’s Fund</w:t>
            </w:r>
          </w:p>
        </w:tc>
      </w:tr>
    </w:tbl>
    <w:p w14:paraId="60A34FC8" w14:textId="77777777" w:rsidR="001F26A6" w:rsidRPr="00060D11" w:rsidRDefault="001F26A6" w:rsidP="001F26A6"/>
    <w:p w14:paraId="7438A483" w14:textId="77777777" w:rsidR="001F26A6" w:rsidRPr="00060D11" w:rsidRDefault="001F26A6" w:rsidP="001F26A6"/>
    <w:p w14:paraId="3C0C3545" w14:textId="5687B857" w:rsidR="001F26A6" w:rsidRPr="00060D11" w:rsidRDefault="001F26A6" w:rsidP="001F26A6">
      <w:pPr>
        <w:rPr>
          <w:lang w:eastAsia="en-AU"/>
        </w:rPr>
      </w:pPr>
    </w:p>
    <w:p w14:paraId="2FB7C9AF" w14:textId="77777777" w:rsidR="00CB40AB" w:rsidRPr="00060D11" w:rsidRDefault="00CB40AB" w:rsidP="001F26A6">
      <w:pPr>
        <w:rPr>
          <w:lang w:eastAsia="en-AU"/>
        </w:rPr>
      </w:pPr>
    </w:p>
    <w:p w14:paraId="2DB14159" w14:textId="77777777" w:rsidR="000566F7" w:rsidRPr="00060D11" w:rsidRDefault="000566F7" w:rsidP="001F26A6">
      <w:pPr>
        <w:rPr>
          <w:b/>
          <w:bCs/>
          <w:sz w:val="38"/>
          <w:szCs w:val="38"/>
        </w:rPr>
      </w:pPr>
    </w:p>
    <w:p w14:paraId="6610F28F" w14:textId="77777777" w:rsidR="000566F7" w:rsidRPr="00060D11" w:rsidRDefault="000566F7" w:rsidP="001F26A6">
      <w:pPr>
        <w:rPr>
          <w:b/>
          <w:bCs/>
          <w:sz w:val="38"/>
          <w:szCs w:val="38"/>
        </w:rPr>
      </w:pPr>
    </w:p>
    <w:p w14:paraId="13D442A6" w14:textId="13C5705C" w:rsidR="000566F7" w:rsidRPr="00060D11" w:rsidRDefault="000566F7" w:rsidP="001F26A6">
      <w:pPr>
        <w:rPr>
          <w:b/>
          <w:bCs/>
          <w:sz w:val="38"/>
          <w:szCs w:val="38"/>
        </w:rPr>
      </w:pPr>
    </w:p>
    <w:p w14:paraId="18742B08" w14:textId="4DD00B78" w:rsidR="00567DFA" w:rsidRPr="00060D11" w:rsidRDefault="00567DFA" w:rsidP="001F26A6">
      <w:pPr>
        <w:rPr>
          <w:b/>
          <w:bCs/>
          <w:sz w:val="38"/>
          <w:szCs w:val="38"/>
        </w:rPr>
      </w:pPr>
    </w:p>
    <w:p w14:paraId="4154DF4C" w14:textId="77777777" w:rsidR="00567DFA" w:rsidRPr="00060D11" w:rsidRDefault="00567DFA" w:rsidP="001F26A6">
      <w:pPr>
        <w:rPr>
          <w:b/>
          <w:bCs/>
          <w:sz w:val="38"/>
          <w:szCs w:val="38"/>
        </w:rPr>
      </w:pPr>
    </w:p>
    <w:p w14:paraId="083904F9" w14:textId="41A80D6C" w:rsidR="000566F7" w:rsidRPr="00060D11" w:rsidRDefault="000566F7" w:rsidP="001F26A6">
      <w:pPr>
        <w:rPr>
          <w:b/>
          <w:bCs/>
          <w:sz w:val="38"/>
          <w:szCs w:val="38"/>
        </w:rPr>
      </w:pPr>
    </w:p>
    <w:p w14:paraId="6717C7EA" w14:textId="77777777" w:rsidR="00567DFA" w:rsidRPr="00060D11" w:rsidRDefault="00567DFA" w:rsidP="001F26A6">
      <w:pPr>
        <w:rPr>
          <w:b/>
          <w:bCs/>
          <w:sz w:val="38"/>
          <w:szCs w:val="38"/>
        </w:rPr>
      </w:pPr>
    </w:p>
    <w:p w14:paraId="6CBB01CC" w14:textId="4334D0CA" w:rsidR="00052FC0" w:rsidRPr="00060D11" w:rsidRDefault="00052FC0" w:rsidP="001F26A6">
      <w:pPr>
        <w:rPr>
          <w:b/>
          <w:bCs/>
          <w:sz w:val="38"/>
          <w:szCs w:val="38"/>
        </w:rPr>
      </w:pPr>
    </w:p>
    <w:p w14:paraId="0E12B4B4" w14:textId="77777777" w:rsidR="00186B2A" w:rsidRPr="00060D11" w:rsidRDefault="00186B2A" w:rsidP="001F26A6">
      <w:pPr>
        <w:rPr>
          <w:b/>
          <w:bCs/>
          <w:sz w:val="38"/>
          <w:szCs w:val="38"/>
        </w:rPr>
      </w:pPr>
    </w:p>
    <w:p w14:paraId="26E08F2C" w14:textId="77777777" w:rsidR="005E085E" w:rsidRPr="00060D11" w:rsidRDefault="005E085E" w:rsidP="001F26A6">
      <w:pPr>
        <w:rPr>
          <w:b/>
          <w:bCs/>
          <w:sz w:val="38"/>
          <w:szCs w:val="38"/>
        </w:rPr>
      </w:pPr>
    </w:p>
    <w:p w14:paraId="429ED623" w14:textId="77777777" w:rsidR="00143BAA" w:rsidRDefault="00143BAA">
      <w:pPr>
        <w:rPr>
          <w:b/>
          <w:bCs/>
          <w:sz w:val="38"/>
          <w:szCs w:val="38"/>
        </w:rPr>
      </w:pPr>
      <w:r>
        <w:rPr>
          <w:b/>
          <w:bCs/>
          <w:sz w:val="38"/>
          <w:szCs w:val="38"/>
        </w:rPr>
        <w:br w:type="page"/>
      </w:r>
    </w:p>
    <w:p w14:paraId="3B645F53" w14:textId="69F04BF5" w:rsidR="001F26A6" w:rsidRPr="00060D11" w:rsidRDefault="001F26A6" w:rsidP="001F26A6">
      <w:pPr>
        <w:rPr>
          <w:b/>
          <w:bCs/>
          <w:sz w:val="38"/>
          <w:szCs w:val="38"/>
        </w:rPr>
      </w:pPr>
      <w:r w:rsidRPr="00060D11">
        <w:rPr>
          <w:b/>
          <w:bCs/>
          <w:sz w:val="38"/>
          <w:szCs w:val="38"/>
        </w:rPr>
        <w:lastRenderedPageBreak/>
        <w:t>CONTENTS</w:t>
      </w:r>
      <w:r w:rsidRPr="00060D11">
        <w:rPr>
          <w:noProof/>
          <w:sz w:val="38"/>
          <w:szCs w:val="38"/>
        </w:rPr>
        <w:drawing>
          <wp:anchor distT="0" distB="0" distL="114300" distR="114300" simplePos="0" relativeHeight="251742208" behindDoc="1" locked="1" layoutInCell="1" allowOverlap="1" wp14:anchorId="3FB01BF8" wp14:editId="51F857A7">
            <wp:simplePos x="0" y="0"/>
            <wp:positionH relativeFrom="page">
              <wp:posOffset>38100</wp:posOffset>
            </wp:positionH>
            <wp:positionV relativeFrom="page">
              <wp:posOffset>22225</wp:posOffset>
            </wp:positionV>
            <wp:extent cx="7559675" cy="2519680"/>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0" cstate="print">
                      <a:duotone>
                        <a:prstClr val="black"/>
                        <a:srgbClr val="0098A8">
                          <a:tint val="45000"/>
                          <a:satMod val="400000"/>
                        </a:srgbClr>
                      </a:duotone>
                      <a:extLst>
                        <a:ext uri="{BEBA8EAE-BF5A-486C-A8C5-ECC9F3942E4B}">
                          <a14:imgProps xmlns:a14="http://schemas.microsoft.com/office/drawing/2010/main">
                            <a14:imgLayer r:embed="rId11">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7559675" cy="2519680"/>
                    </a:xfrm>
                    <a:prstGeom prst="rect">
                      <a:avLst/>
                    </a:prstGeom>
                  </pic:spPr>
                </pic:pic>
              </a:graphicData>
            </a:graphic>
            <wp14:sizeRelH relativeFrom="margin">
              <wp14:pctWidth>0</wp14:pctWidth>
            </wp14:sizeRelH>
            <wp14:sizeRelV relativeFrom="margin">
              <wp14:pctHeight>0</wp14:pctHeight>
            </wp14:sizeRelV>
          </wp:anchor>
        </w:drawing>
      </w:r>
    </w:p>
    <w:p w14:paraId="14A9C307" w14:textId="77777777" w:rsidR="001F26A6" w:rsidRPr="00060D11" w:rsidRDefault="001F26A6" w:rsidP="00C04736"/>
    <w:p w14:paraId="4FABAF25" w14:textId="77777777" w:rsidR="001F26A6" w:rsidRPr="00060D11" w:rsidRDefault="001F26A6" w:rsidP="00C04736"/>
    <w:p w14:paraId="086B02D9" w14:textId="77777777" w:rsidR="001F26A6" w:rsidRPr="00060D11" w:rsidRDefault="001F26A6" w:rsidP="00C04736"/>
    <w:p w14:paraId="0C590199" w14:textId="77777777" w:rsidR="001F26A6" w:rsidRPr="00060D11" w:rsidRDefault="001F26A6" w:rsidP="00C04736">
      <w:pPr>
        <w:rPr>
          <w:lang w:eastAsia="en-AU"/>
        </w:rPr>
      </w:pPr>
    </w:p>
    <w:p w14:paraId="4D9EF7FD" w14:textId="77777777" w:rsidR="001F26A6" w:rsidRPr="00060D11" w:rsidRDefault="001F26A6" w:rsidP="001F26A6">
      <w:pPr>
        <w:rPr>
          <w:lang w:eastAsia="en-AU"/>
        </w:rPr>
      </w:pPr>
    </w:p>
    <w:p w14:paraId="669C8198" w14:textId="77777777" w:rsidR="001F26A6" w:rsidRPr="00060D11" w:rsidRDefault="001F26A6" w:rsidP="001F26A6">
      <w:pPr>
        <w:rPr>
          <w:lang w:eastAsia="en-AU"/>
        </w:rPr>
      </w:pPr>
    </w:p>
    <w:p w14:paraId="4A96D8FB" w14:textId="2B035AFB" w:rsidR="00C04736" w:rsidRDefault="001F26A6">
      <w:pPr>
        <w:pStyle w:val="TOC1"/>
        <w:rPr>
          <w:rFonts w:eastAsiaTheme="minorEastAsia"/>
          <w:b w:val="0"/>
          <w:bCs w:val="0"/>
          <w:color w:val="auto"/>
          <w:lang w:val="en-AU" w:eastAsia="en-AU"/>
        </w:rPr>
      </w:pPr>
      <w:r w:rsidRPr="00060D11">
        <w:rPr>
          <w:noProof w:val="0"/>
        </w:rPr>
        <w:fldChar w:fldCharType="begin"/>
      </w:r>
      <w:r w:rsidRPr="00060D11">
        <w:rPr>
          <w:noProof w:val="0"/>
        </w:rPr>
        <w:instrText xml:space="preserve"> TOC \o "1-1" \h \z \u </w:instrText>
      </w:r>
      <w:r w:rsidRPr="00060D11">
        <w:rPr>
          <w:noProof w:val="0"/>
        </w:rPr>
        <w:fldChar w:fldCharType="separate"/>
      </w:r>
      <w:hyperlink w:anchor="_Toc82182416" w:history="1">
        <w:r w:rsidR="00C04736" w:rsidRPr="00F42454">
          <w:rPr>
            <w:rStyle w:val="Hyperlink"/>
          </w:rPr>
          <w:t>A.</w:t>
        </w:r>
        <w:r w:rsidR="00C04736">
          <w:rPr>
            <w:rFonts w:eastAsiaTheme="minorEastAsia"/>
            <w:b w:val="0"/>
            <w:bCs w:val="0"/>
            <w:color w:val="auto"/>
            <w:lang w:val="en-AU" w:eastAsia="en-AU"/>
          </w:rPr>
          <w:tab/>
        </w:r>
        <w:r w:rsidR="00C04736" w:rsidRPr="00F42454">
          <w:rPr>
            <w:rStyle w:val="Hyperlink"/>
          </w:rPr>
          <w:t>EXECUTIVE SUMMARY</w:t>
        </w:r>
        <w:r w:rsidR="00C04736">
          <w:rPr>
            <w:webHidden/>
          </w:rPr>
          <w:tab/>
        </w:r>
        <w:r w:rsidR="00C04736">
          <w:rPr>
            <w:webHidden/>
          </w:rPr>
          <w:fldChar w:fldCharType="begin"/>
        </w:r>
        <w:r w:rsidR="00C04736">
          <w:rPr>
            <w:webHidden/>
          </w:rPr>
          <w:instrText xml:space="preserve"> PAGEREF _Toc82182416 \h </w:instrText>
        </w:r>
        <w:r w:rsidR="00C04736">
          <w:rPr>
            <w:webHidden/>
          </w:rPr>
        </w:r>
        <w:r w:rsidR="00C04736">
          <w:rPr>
            <w:webHidden/>
          </w:rPr>
          <w:fldChar w:fldCharType="separate"/>
        </w:r>
        <w:r w:rsidR="00386169">
          <w:rPr>
            <w:webHidden/>
          </w:rPr>
          <w:t>6</w:t>
        </w:r>
        <w:r w:rsidR="00C04736">
          <w:rPr>
            <w:webHidden/>
          </w:rPr>
          <w:fldChar w:fldCharType="end"/>
        </w:r>
      </w:hyperlink>
    </w:p>
    <w:p w14:paraId="180EEBCE" w14:textId="5C5094BA" w:rsidR="00C04736" w:rsidRDefault="005C0189">
      <w:pPr>
        <w:pStyle w:val="TOC1"/>
        <w:rPr>
          <w:rFonts w:eastAsiaTheme="minorEastAsia"/>
          <w:b w:val="0"/>
          <w:bCs w:val="0"/>
          <w:color w:val="auto"/>
          <w:lang w:val="en-AU" w:eastAsia="en-AU"/>
        </w:rPr>
      </w:pPr>
      <w:hyperlink w:anchor="_Toc82182417" w:history="1">
        <w:r w:rsidR="00C04736" w:rsidRPr="00F42454">
          <w:rPr>
            <w:rStyle w:val="Hyperlink"/>
          </w:rPr>
          <w:t>B.</w:t>
        </w:r>
        <w:r w:rsidR="00C04736">
          <w:rPr>
            <w:rFonts w:eastAsiaTheme="minorEastAsia"/>
            <w:b w:val="0"/>
            <w:bCs w:val="0"/>
            <w:color w:val="auto"/>
            <w:lang w:val="en-AU" w:eastAsia="en-AU"/>
          </w:rPr>
          <w:tab/>
        </w:r>
        <w:r w:rsidR="00C04736" w:rsidRPr="00F42454">
          <w:rPr>
            <w:rStyle w:val="Hyperlink"/>
          </w:rPr>
          <w:t xml:space="preserve">EDUCATION SECTOR PERFORMANCE, PROBLEM ANALYSIS AND LESSONS </w:t>
        </w:r>
        <w:r w:rsidR="00C04736">
          <w:rPr>
            <w:webHidden/>
          </w:rPr>
          <w:tab/>
        </w:r>
        <w:r w:rsidR="00C04736">
          <w:rPr>
            <w:webHidden/>
          </w:rPr>
          <w:fldChar w:fldCharType="begin"/>
        </w:r>
        <w:r w:rsidR="00C04736">
          <w:rPr>
            <w:webHidden/>
          </w:rPr>
          <w:instrText xml:space="preserve"> PAGEREF _Toc82182417 \h </w:instrText>
        </w:r>
        <w:r w:rsidR="00C04736">
          <w:rPr>
            <w:webHidden/>
          </w:rPr>
        </w:r>
        <w:r w:rsidR="00C04736">
          <w:rPr>
            <w:webHidden/>
          </w:rPr>
          <w:fldChar w:fldCharType="separate"/>
        </w:r>
        <w:r w:rsidR="00386169">
          <w:rPr>
            <w:webHidden/>
          </w:rPr>
          <w:t>10</w:t>
        </w:r>
        <w:r w:rsidR="00C04736">
          <w:rPr>
            <w:webHidden/>
          </w:rPr>
          <w:fldChar w:fldCharType="end"/>
        </w:r>
      </w:hyperlink>
    </w:p>
    <w:p w14:paraId="0F78F06A" w14:textId="0F938112" w:rsidR="00C04736" w:rsidRDefault="005C0189">
      <w:pPr>
        <w:pStyle w:val="TOC1"/>
        <w:rPr>
          <w:rFonts w:eastAsiaTheme="minorEastAsia"/>
          <w:b w:val="0"/>
          <w:bCs w:val="0"/>
          <w:color w:val="auto"/>
          <w:lang w:val="en-AU" w:eastAsia="en-AU"/>
        </w:rPr>
      </w:pPr>
      <w:hyperlink w:anchor="_Toc82182418" w:history="1">
        <w:r w:rsidR="00C04736" w:rsidRPr="00F42454">
          <w:rPr>
            <w:rStyle w:val="Hyperlink"/>
          </w:rPr>
          <w:t>C.</w:t>
        </w:r>
        <w:r w:rsidR="00C04736">
          <w:rPr>
            <w:rFonts w:eastAsiaTheme="minorEastAsia"/>
            <w:b w:val="0"/>
            <w:bCs w:val="0"/>
            <w:color w:val="auto"/>
            <w:lang w:val="en-AU" w:eastAsia="en-AU"/>
          </w:rPr>
          <w:tab/>
        </w:r>
        <w:r w:rsidR="00C04736" w:rsidRPr="00F42454">
          <w:rPr>
            <w:rStyle w:val="Hyperlink"/>
          </w:rPr>
          <w:t>STRATEGIC INTENT AND RATIONALE</w:t>
        </w:r>
        <w:r w:rsidR="00C04736">
          <w:rPr>
            <w:webHidden/>
          </w:rPr>
          <w:tab/>
        </w:r>
        <w:r w:rsidR="00C04736">
          <w:rPr>
            <w:webHidden/>
          </w:rPr>
          <w:fldChar w:fldCharType="begin"/>
        </w:r>
        <w:r w:rsidR="00C04736">
          <w:rPr>
            <w:webHidden/>
          </w:rPr>
          <w:instrText xml:space="preserve"> PAGEREF _Toc82182418 \h </w:instrText>
        </w:r>
        <w:r w:rsidR="00C04736">
          <w:rPr>
            <w:webHidden/>
          </w:rPr>
        </w:r>
        <w:r w:rsidR="00C04736">
          <w:rPr>
            <w:webHidden/>
          </w:rPr>
          <w:fldChar w:fldCharType="separate"/>
        </w:r>
        <w:r w:rsidR="00386169">
          <w:rPr>
            <w:webHidden/>
          </w:rPr>
          <w:t>23</w:t>
        </w:r>
        <w:r w:rsidR="00C04736">
          <w:rPr>
            <w:webHidden/>
          </w:rPr>
          <w:fldChar w:fldCharType="end"/>
        </w:r>
      </w:hyperlink>
    </w:p>
    <w:p w14:paraId="2DABDD4A" w14:textId="19ADB8A4" w:rsidR="00C04736" w:rsidRDefault="005C0189">
      <w:pPr>
        <w:pStyle w:val="TOC1"/>
        <w:rPr>
          <w:rFonts w:eastAsiaTheme="minorEastAsia"/>
          <w:b w:val="0"/>
          <w:bCs w:val="0"/>
          <w:color w:val="auto"/>
          <w:lang w:val="en-AU" w:eastAsia="en-AU"/>
        </w:rPr>
      </w:pPr>
      <w:hyperlink w:anchor="_Toc82182419" w:history="1">
        <w:r w:rsidR="00C04736" w:rsidRPr="00F42454">
          <w:rPr>
            <w:rStyle w:val="Hyperlink"/>
          </w:rPr>
          <w:t>D.</w:t>
        </w:r>
        <w:r w:rsidR="00C04736">
          <w:rPr>
            <w:rFonts w:eastAsiaTheme="minorEastAsia"/>
            <w:b w:val="0"/>
            <w:bCs w:val="0"/>
            <w:color w:val="auto"/>
            <w:lang w:val="en-AU" w:eastAsia="en-AU"/>
          </w:rPr>
          <w:tab/>
        </w:r>
        <w:r w:rsidR="00C04736" w:rsidRPr="00F42454">
          <w:rPr>
            <w:rStyle w:val="Hyperlink"/>
          </w:rPr>
          <w:t>PROPOSED OUTCOMES AND INVESTMENT OPTIONS</w:t>
        </w:r>
        <w:r w:rsidR="00C04736">
          <w:rPr>
            <w:webHidden/>
          </w:rPr>
          <w:tab/>
        </w:r>
        <w:r w:rsidR="00C04736">
          <w:rPr>
            <w:webHidden/>
          </w:rPr>
          <w:fldChar w:fldCharType="begin"/>
        </w:r>
        <w:r w:rsidR="00C04736">
          <w:rPr>
            <w:webHidden/>
          </w:rPr>
          <w:instrText xml:space="preserve"> PAGEREF _Toc82182419 \h </w:instrText>
        </w:r>
        <w:r w:rsidR="00C04736">
          <w:rPr>
            <w:webHidden/>
          </w:rPr>
        </w:r>
        <w:r w:rsidR="00C04736">
          <w:rPr>
            <w:webHidden/>
          </w:rPr>
          <w:fldChar w:fldCharType="separate"/>
        </w:r>
        <w:r w:rsidR="00386169">
          <w:rPr>
            <w:webHidden/>
          </w:rPr>
          <w:t>29</w:t>
        </w:r>
        <w:r w:rsidR="00C04736">
          <w:rPr>
            <w:webHidden/>
          </w:rPr>
          <w:fldChar w:fldCharType="end"/>
        </w:r>
      </w:hyperlink>
    </w:p>
    <w:p w14:paraId="35551E00" w14:textId="1450EFF2" w:rsidR="00C04736" w:rsidRDefault="005C0189">
      <w:pPr>
        <w:pStyle w:val="TOC1"/>
        <w:rPr>
          <w:rFonts w:eastAsiaTheme="minorEastAsia"/>
          <w:b w:val="0"/>
          <w:bCs w:val="0"/>
          <w:color w:val="auto"/>
          <w:lang w:val="en-AU" w:eastAsia="en-AU"/>
        </w:rPr>
      </w:pPr>
      <w:hyperlink w:anchor="_Toc82182420" w:history="1">
        <w:r w:rsidR="00C04736" w:rsidRPr="00F42454">
          <w:rPr>
            <w:rStyle w:val="Hyperlink"/>
          </w:rPr>
          <w:t>E.</w:t>
        </w:r>
        <w:r w:rsidR="00C04736">
          <w:rPr>
            <w:rFonts w:eastAsiaTheme="minorEastAsia"/>
            <w:b w:val="0"/>
            <w:bCs w:val="0"/>
            <w:color w:val="auto"/>
            <w:lang w:val="en-AU" w:eastAsia="en-AU"/>
          </w:rPr>
          <w:tab/>
        </w:r>
        <w:r w:rsidR="00C04736" w:rsidRPr="00F42454">
          <w:rPr>
            <w:rStyle w:val="Hyperlink"/>
          </w:rPr>
          <w:t>IMPLEMENTATION ARRANGEMENTS</w:t>
        </w:r>
        <w:r w:rsidR="00C04736">
          <w:rPr>
            <w:webHidden/>
          </w:rPr>
          <w:tab/>
        </w:r>
        <w:r w:rsidR="00C04736">
          <w:rPr>
            <w:webHidden/>
          </w:rPr>
          <w:fldChar w:fldCharType="begin"/>
        </w:r>
        <w:r w:rsidR="00C04736">
          <w:rPr>
            <w:webHidden/>
          </w:rPr>
          <w:instrText xml:space="preserve"> PAGEREF _Toc82182420 \h </w:instrText>
        </w:r>
        <w:r w:rsidR="00C04736">
          <w:rPr>
            <w:webHidden/>
          </w:rPr>
        </w:r>
        <w:r w:rsidR="00C04736">
          <w:rPr>
            <w:webHidden/>
          </w:rPr>
          <w:fldChar w:fldCharType="separate"/>
        </w:r>
        <w:r w:rsidR="00386169">
          <w:rPr>
            <w:webHidden/>
          </w:rPr>
          <w:t>47</w:t>
        </w:r>
        <w:r w:rsidR="00C04736">
          <w:rPr>
            <w:webHidden/>
          </w:rPr>
          <w:fldChar w:fldCharType="end"/>
        </w:r>
      </w:hyperlink>
    </w:p>
    <w:p w14:paraId="1D6CAFBB" w14:textId="7EE04BBB" w:rsidR="00C04736" w:rsidRDefault="005C0189">
      <w:pPr>
        <w:pStyle w:val="TOC1"/>
        <w:rPr>
          <w:rFonts w:eastAsiaTheme="minorEastAsia"/>
          <w:b w:val="0"/>
          <w:bCs w:val="0"/>
          <w:color w:val="auto"/>
          <w:lang w:val="en-AU" w:eastAsia="en-AU"/>
        </w:rPr>
      </w:pPr>
      <w:hyperlink w:anchor="_Toc82182421" w:history="1">
        <w:r w:rsidR="00C04736" w:rsidRPr="00F42454">
          <w:rPr>
            <w:rStyle w:val="Hyperlink"/>
          </w:rPr>
          <w:t>F.</w:t>
        </w:r>
        <w:r w:rsidR="00C04736">
          <w:rPr>
            <w:rFonts w:eastAsiaTheme="minorEastAsia"/>
            <w:b w:val="0"/>
            <w:bCs w:val="0"/>
            <w:color w:val="auto"/>
            <w:lang w:val="en-AU" w:eastAsia="en-AU"/>
          </w:rPr>
          <w:tab/>
        </w:r>
        <w:r w:rsidR="00C04736" w:rsidRPr="00F42454">
          <w:rPr>
            <w:rStyle w:val="Hyperlink"/>
          </w:rPr>
          <w:t>MONITORING AND EVALUATION</w:t>
        </w:r>
        <w:r w:rsidR="00C04736">
          <w:rPr>
            <w:webHidden/>
          </w:rPr>
          <w:tab/>
        </w:r>
        <w:r w:rsidR="00C04736">
          <w:rPr>
            <w:webHidden/>
          </w:rPr>
          <w:fldChar w:fldCharType="begin"/>
        </w:r>
        <w:r w:rsidR="00C04736">
          <w:rPr>
            <w:webHidden/>
          </w:rPr>
          <w:instrText xml:space="preserve"> PAGEREF _Toc82182421 \h </w:instrText>
        </w:r>
        <w:r w:rsidR="00C04736">
          <w:rPr>
            <w:webHidden/>
          </w:rPr>
        </w:r>
        <w:r w:rsidR="00C04736">
          <w:rPr>
            <w:webHidden/>
          </w:rPr>
          <w:fldChar w:fldCharType="separate"/>
        </w:r>
        <w:r w:rsidR="00386169">
          <w:rPr>
            <w:webHidden/>
          </w:rPr>
          <w:t>55</w:t>
        </w:r>
        <w:r w:rsidR="00C04736">
          <w:rPr>
            <w:webHidden/>
          </w:rPr>
          <w:fldChar w:fldCharType="end"/>
        </w:r>
      </w:hyperlink>
    </w:p>
    <w:p w14:paraId="6D9E6894" w14:textId="7151E32F" w:rsidR="00C04736" w:rsidRDefault="005C0189">
      <w:pPr>
        <w:pStyle w:val="TOC1"/>
        <w:rPr>
          <w:rFonts w:eastAsiaTheme="minorEastAsia"/>
          <w:b w:val="0"/>
          <w:bCs w:val="0"/>
          <w:color w:val="auto"/>
          <w:lang w:val="en-AU" w:eastAsia="en-AU"/>
        </w:rPr>
      </w:pPr>
      <w:hyperlink w:anchor="_Toc82182422" w:history="1">
        <w:r w:rsidR="00C04736" w:rsidRPr="00F42454">
          <w:rPr>
            <w:rStyle w:val="Hyperlink"/>
          </w:rPr>
          <w:t>G.</w:t>
        </w:r>
        <w:r w:rsidR="00C04736">
          <w:rPr>
            <w:rFonts w:eastAsiaTheme="minorEastAsia"/>
            <w:b w:val="0"/>
            <w:bCs w:val="0"/>
            <w:color w:val="auto"/>
            <w:lang w:val="en-AU" w:eastAsia="en-AU"/>
          </w:rPr>
          <w:tab/>
        </w:r>
        <w:r w:rsidR="00C04736" w:rsidRPr="00F42454">
          <w:rPr>
            <w:rStyle w:val="Hyperlink"/>
          </w:rPr>
          <w:t>GENDER EQUALITY AND DISABILITY INCLUSION</w:t>
        </w:r>
        <w:r w:rsidR="00C04736">
          <w:rPr>
            <w:webHidden/>
          </w:rPr>
          <w:tab/>
        </w:r>
        <w:r w:rsidR="00C04736">
          <w:rPr>
            <w:webHidden/>
          </w:rPr>
          <w:fldChar w:fldCharType="begin"/>
        </w:r>
        <w:r w:rsidR="00C04736">
          <w:rPr>
            <w:webHidden/>
          </w:rPr>
          <w:instrText xml:space="preserve"> PAGEREF _Toc82182422 \h </w:instrText>
        </w:r>
        <w:r w:rsidR="00C04736">
          <w:rPr>
            <w:webHidden/>
          </w:rPr>
        </w:r>
        <w:r w:rsidR="00C04736">
          <w:rPr>
            <w:webHidden/>
          </w:rPr>
          <w:fldChar w:fldCharType="separate"/>
        </w:r>
        <w:r w:rsidR="00386169">
          <w:rPr>
            <w:webHidden/>
          </w:rPr>
          <w:t>60</w:t>
        </w:r>
        <w:r w:rsidR="00C04736">
          <w:rPr>
            <w:webHidden/>
          </w:rPr>
          <w:fldChar w:fldCharType="end"/>
        </w:r>
      </w:hyperlink>
    </w:p>
    <w:p w14:paraId="711EF930" w14:textId="6BBCFE08" w:rsidR="00C04736" w:rsidRDefault="005C0189">
      <w:pPr>
        <w:pStyle w:val="TOC1"/>
        <w:rPr>
          <w:rFonts w:eastAsiaTheme="minorEastAsia"/>
          <w:b w:val="0"/>
          <w:bCs w:val="0"/>
          <w:color w:val="auto"/>
          <w:lang w:val="en-AU" w:eastAsia="en-AU"/>
        </w:rPr>
      </w:pPr>
      <w:hyperlink w:anchor="_Toc82182423" w:history="1">
        <w:r w:rsidR="00C04736" w:rsidRPr="00F42454">
          <w:rPr>
            <w:rStyle w:val="Hyperlink"/>
            <w:rFonts w:cstheme="majorHAnsi"/>
          </w:rPr>
          <w:t>H.</w:t>
        </w:r>
        <w:r w:rsidR="00C04736">
          <w:rPr>
            <w:rFonts w:eastAsiaTheme="minorEastAsia"/>
            <w:b w:val="0"/>
            <w:bCs w:val="0"/>
            <w:color w:val="auto"/>
            <w:lang w:val="en-AU" w:eastAsia="en-AU"/>
          </w:rPr>
          <w:tab/>
        </w:r>
        <w:r w:rsidR="00C04736" w:rsidRPr="00F42454">
          <w:rPr>
            <w:rStyle w:val="Hyperlink"/>
            <w:rFonts w:cstheme="majorHAnsi"/>
          </w:rPr>
          <w:t>BUDGET AND RESOURCES</w:t>
        </w:r>
        <w:r w:rsidR="00C04736">
          <w:rPr>
            <w:webHidden/>
          </w:rPr>
          <w:tab/>
        </w:r>
        <w:r w:rsidR="00C04736">
          <w:rPr>
            <w:webHidden/>
          </w:rPr>
          <w:fldChar w:fldCharType="begin"/>
        </w:r>
        <w:r w:rsidR="00C04736">
          <w:rPr>
            <w:webHidden/>
          </w:rPr>
          <w:instrText xml:space="preserve"> PAGEREF _Toc82182423 \h </w:instrText>
        </w:r>
        <w:r w:rsidR="00C04736">
          <w:rPr>
            <w:webHidden/>
          </w:rPr>
        </w:r>
        <w:r w:rsidR="00C04736">
          <w:rPr>
            <w:webHidden/>
          </w:rPr>
          <w:fldChar w:fldCharType="separate"/>
        </w:r>
        <w:r w:rsidR="00386169">
          <w:rPr>
            <w:webHidden/>
          </w:rPr>
          <w:t>68</w:t>
        </w:r>
        <w:r w:rsidR="00C04736">
          <w:rPr>
            <w:webHidden/>
          </w:rPr>
          <w:fldChar w:fldCharType="end"/>
        </w:r>
      </w:hyperlink>
    </w:p>
    <w:p w14:paraId="4C4A975B" w14:textId="1C753172" w:rsidR="00C04736" w:rsidRDefault="005C0189">
      <w:pPr>
        <w:pStyle w:val="TOC1"/>
        <w:rPr>
          <w:rFonts w:eastAsiaTheme="minorEastAsia"/>
          <w:b w:val="0"/>
          <w:bCs w:val="0"/>
          <w:color w:val="auto"/>
          <w:lang w:val="en-AU" w:eastAsia="en-AU"/>
        </w:rPr>
      </w:pPr>
      <w:hyperlink w:anchor="_Toc82182424" w:history="1">
        <w:r w:rsidR="00C04736" w:rsidRPr="00F42454">
          <w:rPr>
            <w:rStyle w:val="Hyperlink"/>
          </w:rPr>
          <w:t>I.</w:t>
        </w:r>
        <w:r w:rsidR="00C04736">
          <w:rPr>
            <w:rFonts w:eastAsiaTheme="minorEastAsia"/>
            <w:b w:val="0"/>
            <w:bCs w:val="0"/>
            <w:color w:val="auto"/>
            <w:lang w:val="en-AU" w:eastAsia="en-AU"/>
          </w:rPr>
          <w:tab/>
        </w:r>
        <w:r w:rsidR="00C04736" w:rsidRPr="00F42454">
          <w:rPr>
            <w:rStyle w:val="Hyperlink"/>
          </w:rPr>
          <w:t>RISK MANAGEMENT AND SAFEGUARDS</w:t>
        </w:r>
        <w:r w:rsidR="00C04736">
          <w:rPr>
            <w:webHidden/>
          </w:rPr>
          <w:tab/>
        </w:r>
        <w:r w:rsidR="00C04736">
          <w:rPr>
            <w:webHidden/>
          </w:rPr>
          <w:fldChar w:fldCharType="begin"/>
        </w:r>
        <w:r w:rsidR="00C04736">
          <w:rPr>
            <w:webHidden/>
          </w:rPr>
          <w:instrText xml:space="preserve"> PAGEREF _Toc82182424 \h </w:instrText>
        </w:r>
        <w:r w:rsidR="00C04736">
          <w:rPr>
            <w:webHidden/>
          </w:rPr>
        </w:r>
        <w:r w:rsidR="00C04736">
          <w:rPr>
            <w:webHidden/>
          </w:rPr>
          <w:fldChar w:fldCharType="separate"/>
        </w:r>
        <w:r w:rsidR="00386169">
          <w:rPr>
            <w:webHidden/>
          </w:rPr>
          <w:t>69</w:t>
        </w:r>
        <w:r w:rsidR="00C04736">
          <w:rPr>
            <w:webHidden/>
          </w:rPr>
          <w:fldChar w:fldCharType="end"/>
        </w:r>
      </w:hyperlink>
    </w:p>
    <w:p w14:paraId="1DEBDE79" w14:textId="649D4DB5" w:rsidR="001F26A6" w:rsidRPr="00060D11" w:rsidRDefault="001F26A6" w:rsidP="00C04736">
      <w:pPr>
        <w:sectPr w:rsidR="001F26A6" w:rsidRPr="00060D11">
          <w:pgSz w:w="11906" w:h="16838"/>
          <w:pgMar w:top="1440" w:right="1440" w:bottom="1440" w:left="1440" w:header="708" w:footer="708" w:gutter="0"/>
          <w:cols w:space="708"/>
          <w:docGrid w:linePitch="360"/>
        </w:sectPr>
      </w:pPr>
      <w:r w:rsidRPr="00060D11">
        <w:fldChar w:fldCharType="end"/>
      </w:r>
    </w:p>
    <w:p w14:paraId="7CC28791" w14:textId="12049B1F" w:rsidR="001F26A6" w:rsidRPr="00060D11" w:rsidRDefault="001F26A6" w:rsidP="000566F7">
      <w:pPr>
        <w:pStyle w:val="Heading1"/>
        <w:ind w:left="1985" w:hanging="1418"/>
        <w:rPr>
          <w:b/>
          <w:bCs/>
          <w:color w:val="44546A" w:themeColor="text2"/>
          <w:sz w:val="38"/>
          <w:szCs w:val="38"/>
          <w:lang w:val="en-GB"/>
        </w:rPr>
      </w:pPr>
      <w:bookmarkStart w:id="2" w:name="_Toc82182416"/>
      <w:bookmarkStart w:id="3" w:name="_Hlk68538626"/>
      <w:r w:rsidRPr="00060D11">
        <w:rPr>
          <w:b/>
          <w:bCs/>
          <w:color w:val="44546A" w:themeColor="text2"/>
          <w:sz w:val="38"/>
          <w:szCs w:val="38"/>
          <w:lang w:val="en-GB"/>
        </w:rPr>
        <w:t>A.</w:t>
      </w:r>
      <w:r w:rsidRPr="00060D11">
        <w:rPr>
          <w:b/>
          <w:bCs/>
          <w:color w:val="44546A" w:themeColor="text2"/>
          <w:sz w:val="38"/>
          <w:szCs w:val="38"/>
          <w:lang w:val="en-GB"/>
        </w:rPr>
        <w:tab/>
        <w:t>EXECUTIVE SUMMARY</w:t>
      </w:r>
      <w:bookmarkEnd w:id="2"/>
    </w:p>
    <w:p w14:paraId="4DD7CE0B" w14:textId="77777777" w:rsidR="001F26A6" w:rsidRPr="00060D11" w:rsidRDefault="001F26A6" w:rsidP="001F26A6">
      <w:pPr>
        <w:rPr>
          <w:lang w:eastAsia="en-AU"/>
        </w:rPr>
      </w:pPr>
    </w:p>
    <w:p w14:paraId="6B086C50" w14:textId="77777777" w:rsidR="001F26A6" w:rsidRPr="00060D11" w:rsidRDefault="001F26A6" w:rsidP="001F26A6">
      <w:pPr>
        <w:rPr>
          <w:lang w:eastAsia="en-AU"/>
        </w:rPr>
      </w:pPr>
    </w:p>
    <w:p w14:paraId="3D301D9E" w14:textId="77777777" w:rsidR="001F26A6" w:rsidRPr="00060D11" w:rsidRDefault="001F26A6" w:rsidP="001F26A6">
      <w:pPr>
        <w:rPr>
          <w:lang w:eastAsia="en-AU"/>
        </w:rPr>
      </w:pPr>
    </w:p>
    <w:p w14:paraId="79ED073E" w14:textId="77777777" w:rsidR="001F26A6" w:rsidRPr="00060D11" w:rsidRDefault="001F26A6" w:rsidP="001F26A6">
      <w:pPr>
        <w:rPr>
          <w:lang w:eastAsia="en-AU"/>
        </w:rPr>
      </w:pPr>
    </w:p>
    <w:p w14:paraId="153BD55B" w14:textId="77777777" w:rsidR="001F26A6" w:rsidRPr="00060D11" w:rsidRDefault="001F26A6" w:rsidP="001F26A6">
      <w:pPr>
        <w:rPr>
          <w:rFonts w:cstheme="minorHAnsi"/>
          <w:b/>
          <w:bCs/>
          <w:i/>
          <w:iCs/>
        </w:rPr>
      </w:pPr>
    </w:p>
    <w:p w14:paraId="4115AF5C" w14:textId="77777777" w:rsidR="0076417A" w:rsidRPr="00060D11" w:rsidRDefault="0076417A" w:rsidP="004E780D">
      <w:pPr>
        <w:spacing w:line="276" w:lineRule="auto"/>
        <w:rPr>
          <w:rFonts w:cstheme="minorHAnsi"/>
          <w:b/>
          <w:bCs/>
          <w:i/>
          <w:iCs/>
        </w:rPr>
      </w:pPr>
    </w:p>
    <w:p w14:paraId="1F055C34" w14:textId="6D3C65AE" w:rsidR="001F26A6" w:rsidRPr="00060D11" w:rsidRDefault="001F26A6" w:rsidP="004E780D">
      <w:pPr>
        <w:spacing w:line="276" w:lineRule="auto"/>
        <w:rPr>
          <w:rFonts w:cstheme="minorHAnsi"/>
        </w:rPr>
      </w:pPr>
      <w:r w:rsidRPr="00060D11">
        <w:rPr>
          <w:rFonts w:cstheme="minorHAnsi"/>
          <w:noProof/>
        </w:rPr>
        <w:drawing>
          <wp:anchor distT="0" distB="0" distL="114300" distR="114300" simplePos="0" relativeHeight="251744256" behindDoc="1" locked="1" layoutInCell="1" allowOverlap="1" wp14:anchorId="109DA80C" wp14:editId="3F478BFE">
            <wp:simplePos x="0" y="0"/>
            <wp:positionH relativeFrom="page">
              <wp:posOffset>0</wp:posOffset>
            </wp:positionH>
            <wp:positionV relativeFrom="page">
              <wp:posOffset>30480</wp:posOffset>
            </wp:positionV>
            <wp:extent cx="7559675" cy="251968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0" cstate="print">
                      <a:duotone>
                        <a:prstClr val="black"/>
                        <a:srgbClr val="0098A8">
                          <a:tint val="45000"/>
                          <a:satMod val="400000"/>
                        </a:srgbClr>
                      </a:duotone>
                      <a:extLst>
                        <a:ext uri="{BEBA8EAE-BF5A-486C-A8C5-ECC9F3942E4B}">
                          <a14:imgProps xmlns:a14="http://schemas.microsoft.com/office/drawing/2010/main">
                            <a14:imgLayer r:embed="rId11">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7559675" cy="2519680"/>
                    </a:xfrm>
                    <a:prstGeom prst="rect">
                      <a:avLst/>
                    </a:prstGeom>
                  </pic:spPr>
                </pic:pic>
              </a:graphicData>
            </a:graphic>
            <wp14:sizeRelH relativeFrom="margin">
              <wp14:pctWidth>0</wp14:pctWidth>
            </wp14:sizeRelH>
            <wp14:sizeRelV relativeFrom="margin">
              <wp14:pctHeight>0</wp14:pctHeight>
            </wp14:sizeRelV>
          </wp:anchor>
        </w:drawing>
      </w:r>
      <w:r w:rsidRPr="00060D11">
        <w:rPr>
          <w:rFonts w:cstheme="minorHAnsi"/>
          <w:b/>
          <w:bCs/>
          <w:i/>
          <w:iCs/>
        </w:rPr>
        <w:t>What are the development challenges?</w:t>
      </w:r>
    </w:p>
    <w:p w14:paraId="4B3D495F" w14:textId="77777777" w:rsidR="00163FDD" w:rsidRPr="00060D11" w:rsidRDefault="00163FDD" w:rsidP="00163FDD">
      <w:pPr>
        <w:pStyle w:val="BodyText"/>
        <w:numPr>
          <w:ilvl w:val="0"/>
          <w:numId w:val="52"/>
        </w:numPr>
        <w:spacing w:before="240" w:after="120" w:line="276" w:lineRule="auto"/>
        <w:ind w:left="0" w:right="279" w:firstLine="0"/>
        <w:rPr>
          <w:color w:val="44546A" w:themeColor="text2"/>
          <w:sz w:val="21"/>
          <w:szCs w:val="21"/>
          <w:lang w:val="en-GB"/>
        </w:rPr>
      </w:pPr>
      <w:r w:rsidRPr="00060D11">
        <w:rPr>
          <w:rFonts w:asciiTheme="minorHAnsi" w:hAnsiTheme="minorHAnsi" w:cstheme="minorHAnsi"/>
          <w:color w:val="44546A" w:themeColor="text2"/>
          <w:sz w:val="21"/>
          <w:szCs w:val="21"/>
          <w:lang w:val="en-GB"/>
        </w:rPr>
        <w:t>Since 2014, Papua New Guinea (PNG) has had consecutive budget deficits and falling Gross Domestic Product (GDP) per capita. In 2019 PNG recorded a Government budget deficit equal to 4.9 percent of GDP. The recent PNG Government budget forecasts a decline in real GDP of -3.5 percent in 2021 and -3.3 percent in 2022. This is straining the Government’s ability to meet salaries and operational costs and to fund essential services, including education.</w:t>
      </w:r>
    </w:p>
    <w:p w14:paraId="0934AACA" w14:textId="77777777" w:rsidR="00163FDD" w:rsidRPr="00060D11" w:rsidRDefault="00163FDD" w:rsidP="00163FDD">
      <w:pPr>
        <w:pStyle w:val="BodyText"/>
        <w:numPr>
          <w:ilvl w:val="0"/>
          <w:numId w:val="52"/>
        </w:numPr>
        <w:spacing w:after="120" w:line="276" w:lineRule="auto"/>
        <w:ind w:left="0" w:right="279" w:firstLine="0"/>
        <w:rPr>
          <w:rFonts w:asciiTheme="minorHAnsi" w:hAnsiTheme="minorHAnsi" w:cstheme="minorHAnsi"/>
          <w:color w:val="44546A" w:themeColor="text2"/>
          <w:sz w:val="21"/>
          <w:szCs w:val="21"/>
          <w:lang w:val="en-GB"/>
        </w:rPr>
      </w:pPr>
      <w:r w:rsidRPr="00060D11">
        <w:rPr>
          <w:rFonts w:asciiTheme="minorHAnsi" w:hAnsiTheme="minorHAnsi" w:cstheme="minorHAnsi"/>
          <w:color w:val="44546A" w:themeColor="text2"/>
          <w:sz w:val="21"/>
          <w:szCs w:val="21"/>
          <w:lang w:val="en-GB"/>
        </w:rPr>
        <w:t>Clear evidence of the budget constraints has been seen in the shift from the Tuition Fee Free Education (TFFE) policy introduced in 2012 to the Government Tuition Fee Subsidy (GTFS) from 2020 onwards. In 2021, this policy requires a parental contribution of 38 percent of approved tuition fees.</w:t>
      </w:r>
      <w:r w:rsidRPr="00060D11">
        <w:rPr>
          <w:rStyle w:val="FootnoteReference"/>
          <w:rFonts w:asciiTheme="minorHAnsi" w:hAnsiTheme="minorHAnsi" w:cstheme="minorHAnsi"/>
          <w:color w:val="44546A" w:themeColor="text2"/>
          <w:sz w:val="21"/>
          <w:szCs w:val="21"/>
          <w:lang w:val="en-GB"/>
        </w:rPr>
        <w:footnoteReference w:id="1"/>
      </w:r>
      <w:r w:rsidRPr="00060D11">
        <w:rPr>
          <w:rFonts w:asciiTheme="minorHAnsi" w:hAnsiTheme="minorHAnsi" w:cstheme="minorHAnsi"/>
          <w:color w:val="44546A" w:themeColor="text2"/>
          <w:sz w:val="21"/>
          <w:szCs w:val="21"/>
          <w:lang w:val="en-GB"/>
        </w:rPr>
        <w:t xml:space="preserve"> </w:t>
      </w:r>
    </w:p>
    <w:p w14:paraId="4488C2BA" w14:textId="77777777" w:rsidR="00163FDD" w:rsidRPr="00060D11" w:rsidRDefault="00163FDD" w:rsidP="00163FDD">
      <w:pPr>
        <w:pStyle w:val="BodyText"/>
        <w:numPr>
          <w:ilvl w:val="0"/>
          <w:numId w:val="52"/>
        </w:numPr>
        <w:spacing w:before="117" w:after="120" w:line="276" w:lineRule="auto"/>
        <w:ind w:left="0" w:right="279" w:firstLine="0"/>
        <w:rPr>
          <w:rFonts w:asciiTheme="minorHAnsi" w:hAnsiTheme="minorHAnsi" w:cstheme="minorHAnsi"/>
          <w:color w:val="44546A" w:themeColor="text2"/>
          <w:sz w:val="21"/>
          <w:szCs w:val="21"/>
          <w:lang w:val="en-GB"/>
        </w:rPr>
      </w:pPr>
      <w:r w:rsidRPr="00060D11">
        <w:rPr>
          <w:rFonts w:asciiTheme="minorHAnsi" w:hAnsiTheme="minorHAnsi" w:cstheme="minorHAnsi"/>
          <w:color w:val="44546A" w:themeColor="text2"/>
          <w:sz w:val="21"/>
          <w:szCs w:val="21"/>
          <w:lang w:val="en-GB"/>
        </w:rPr>
        <w:t>This shift in policy has coincided with declining income and increasing poverty levels in PNG. A 2020 United Nations Development Programme (UNDP) Socio-Economic Impact Assessment found that 80 percent of households were adversely affected by the COVID-19 pandemic, with 60 percent of respondents experiencing significant declines in their income. Those earning less were more affected than those earning more, increasing inequality in the country. School fee debts at the household level were common. A recent World Bank report</w:t>
      </w:r>
      <w:r w:rsidRPr="00060D11">
        <w:rPr>
          <w:rStyle w:val="FootnoteReference"/>
          <w:rFonts w:asciiTheme="minorHAnsi" w:hAnsiTheme="minorHAnsi" w:cstheme="minorHAnsi"/>
          <w:color w:val="44546A" w:themeColor="text2"/>
          <w:sz w:val="21"/>
          <w:szCs w:val="21"/>
          <w:lang w:val="en-GB"/>
        </w:rPr>
        <w:footnoteReference w:id="2"/>
      </w:r>
      <w:r w:rsidRPr="00060D11">
        <w:rPr>
          <w:rFonts w:asciiTheme="minorHAnsi" w:hAnsiTheme="minorHAnsi" w:cstheme="minorHAnsi"/>
          <w:color w:val="44546A" w:themeColor="text2"/>
          <w:sz w:val="21"/>
          <w:szCs w:val="21"/>
          <w:lang w:val="en-GB"/>
        </w:rPr>
        <w:t xml:space="preserve"> noted that school fees were having adverse equity effects, particularly on girls, who are vulnerable to exclusion.</w:t>
      </w:r>
    </w:p>
    <w:p w14:paraId="4DA32E04" w14:textId="0DEB86A8" w:rsidR="00163FDD" w:rsidRPr="00060D11" w:rsidRDefault="00163FDD" w:rsidP="00163FDD">
      <w:pPr>
        <w:spacing w:after="120" w:line="276" w:lineRule="auto"/>
        <w:rPr>
          <w:sz w:val="21"/>
          <w:szCs w:val="21"/>
          <w:lang w:eastAsia="en-AU"/>
        </w:rPr>
      </w:pPr>
      <w:r w:rsidRPr="00060D11">
        <w:rPr>
          <w:rFonts w:cstheme="minorHAnsi"/>
          <w:sz w:val="21"/>
          <w:szCs w:val="21"/>
          <w:lang w:eastAsia="en-AU"/>
        </w:rPr>
        <w:t>4.</w:t>
      </w:r>
      <w:r w:rsidRPr="00060D11">
        <w:rPr>
          <w:rFonts w:cstheme="minorHAnsi"/>
          <w:sz w:val="21"/>
          <w:szCs w:val="21"/>
          <w:lang w:eastAsia="en-AU"/>
        </w:rPr>
        <w:tab/>
        <w:t xml:space="preserve">Analysis of key education performance indicators shows net enrolment rates (NER) have stagnated and retention of children between elementary and primary school declined prior to COVID-19 pandemic. </w:t>
      </w:r>
      <w:r w:rsidRPr="00060D11">
        <w:rPr>
          <w:sz w:val="21"/>
          <w:szCs w:val="21"/>
          <w:lang w:eastAsia="en-AU"/>
        </w:rPr>
        <w:t>In 2019, four of every ten children enrolled in the Elementary 2/Grade 2 level failed to continue to Grade 3. The 2018 PILNA results show PNG Grade</w:t>
      </w:r>
      <w:r w:rsidR="00B021AF">
        <w:rPr>
          <w:sz w:val="21"/>
          <w:szCs w:val="21"/>
          <w:lang w:eastAsia="en-AU"/>
        </w:rPr>
        <w:t> </w:t>
      </w:r>
      <w:r w:rsidRPr="00060D11">
        <w:rPr>
          <w:sz w:val="21"/>
          <w:szCs w:val="21"/>
          <w:lang w:eastAsia="en-AU"/>
        </w:rPr>
        <w:t>3 students are performing considerably lower than the region in literacy with over 40% of Grade 3 and 5 students performing below minimum expected proficiency levels.</w:t>
      </w:r>
    </w:p>
    <w:p w14:paraId="08291E22" w14:textId="77777777" w:rsidR="00163FDD" w:rsidRPr="00060D11" w:rsidRDefault="00163FDD" w:rsidP="00163FDD">
      <w:pPr>
        <w:spacing w:after="120" w:line="276" w:lineRule="auto"/>
        <w:rPr>
          <w:sz w:val="21"/>
          <w:szCs w:val="21"/>
          <w:lang w:eastAsia="en-AU"/>
        </w:rPr>
      </w:pPr>
      <w:r w:rsidRPr="00060D11">
        <w:rPr>
          <w:sz w:val="21"/>
          <w:szCs w:val="21"/>
          <w:lang w:eastAsia="en-AU"/>
        </w:rPr>
        <w:t>5.</w:t>
      </w:r>
      <w:r w:rsidRPr="00060D11">
        <w:rPr>
          <w:sz w:val="21"/>
          <w:szCs w:val="21"/>
          <w:lang w:eastAsia="en-AU"/>
        </w:rPr>
        <w:tab/>
        <w:t>Factors influencing these trends include:</w:t>
      </w:r>
    </w:p>
    <w:p w14:paraId="2C75A730" w14:textId="77777777" w:rsidR="00163FDD" w:rsidRPr="00060D11" w:rsidRDefault="00163FDD" w:rsidP="00163FDD">
      <w:pPr>
        <w:pStyle w:val="ListParagraph"/>
        <w:numPr>
          <w:ilvl w:val="0"/>
          <w:numId w:val="53"/>
        </w:numPr>
        <w:spacing w:after="120" w:line="276" w:lineRule="auto"/>
        <w:ind w:left="357" w:hanging="357"/>
        <w:rPr>
          <w:sz w:val="21"/>
          <w:szCs w:val="21"/>
          <w:lang w:eastAsia="en-AU"/>
        </w:rPr>
      </w:pPr>
      <w:r w:rsidRPr="00060D11">
        <w:rPr>
          <w:sz w:val="21"/>
          <w:szCs w:val="21"/>
          <w:lang w:eastAsia="en-AU"/>
        </w:rPr>
        <w:t>limited attention by government to the ‘creeping crisis’ in participation/retention in the early grades</w:t>
      </w:r>
    </w:p>
    <w:p w14:paraId="389BB60D" w14:textId="77777777" w:rsidR="00163FDD" w:rsidRPr="00060D11" w:rsidRDefault="00163FDD" w:rsidP="00163FDD">
      <w:pPr>
        <w:pStyle w:val="ListParagraph"/>
        <w:numPr>
          <w:ilvl w:val="0"/>
          <w:numId w:val="53"/>
        </w:numPr>
        <w:spacing w:after="120" w:line="276" w:lineRule="auto"/>
        <w:ind w:left="357" w:hanging="357"/>
        <w:rPr>
          <w:sz w:val="21"/>
          <w:szCs w:val="21"/>
          <w:lang w:eastAsia="en-AU"/>
        </w:rPr>
      </w:pPr>
      <w:r w:rsidRPr="00060D11">
        <w:rPr>
          <w:sz w:val="21"/>
          <w:szCs w:val="21"/>
          <w:lang w:eastAsia="en-AU"/>
        </w:rPr>
        <w:t>declining demand for education, particularly for girls and children with disabilities (CWD)</w:t>
      </w:r>
    </w:p>
    <w:p w14:paraId="48A3F3DA" w14:textId="77777777" w:rsidR="00163FDD" w:rsidRPr="00060D11" w:rsidRDefault="00163FDD" w:rsidP="00163FDD">
      <w:pPr>
        <w:pStyle w:val="ListParagraph"/>
        <w:numPr>
          <w:ilvl w:val="0"/>
          <w:numId w:val="53"/>
        </w:numPr>
        <w:spacing w:after="120" w:line="276" w:lineRule="auto"/>
        <w:ind w:left="357" w:hanging="357"/>
        <w:rPr>
          <w:sz w:val="21"/>
          <w:szCs w:val="21"/>
          <w:lang w:eastAsia="en-AU"/>
        </w:rPr>
      </w:pPr>
      <w:r w:rsidRPr="00060D11">
        <w:rPr>
          <w:sz w:val="21"/>
          <w:szCs w:val="21"/>
          <w:lang w:eastAsia="en-AU"/>
        </w:rPr>
        <w:t>inadequate engagement of all stakeholders to achieve education outcomes (e.g., church education service providers, School Boards of Management (SBoM), local level governments (LLGs) and parents, as well as donors and international development agencies)</w:t>
      </w:r>
    </w:p>
    <w:p w14:paraId="54CED7F2" w14:textId="77777777" w:rsidR="00163FDD" w:rsidRPr="00060D11" w:rsidRDefault="00163FDD" w:rsidP="00163FDD">
      <w:pPr>
        <w:pStyle w:val="ListParagraph"/>
        <w:numPr>
          <w:ilvl w:val="0"/>
          <w:numId w:val="53"/>
        </w:numPr>
        <w:spacing w:after="120" w:line="276" w:lineRule="auto"/>
        <w:ind w:left="357" w:hanging="357"/>
        <w:rPr>
          <w:sz w:val="21"/>
          <w:szCs w:val="21"/>
          <w:lang w:eastAsia="en-AU"/>
        </w:rPr>
      </w:pPr>
      <w:r w:rsidRPr="00060D11">
        <w:rPr>
          <w:sz w:val="21"/>
          <w:szCs w:val="21"/>
          <w:lang w:eastAsia="en-AU"/>
        </w:rPr>
        <w:t>elementary teachers are underqualified</w:t>
      </w:r>
    </w:p>
    <w:p w14:paraId="1E3F5262" w14:textId="77777777" w:rsidR="00163FDD" w:rsidRPr="00060D11" w:rsidRDefault="00163FDD" w:rsidP="00163FDD">
      <w:pPr>
        <w:pStyle w:val="ListParagraph"/>
        <w:numPr>
          <w:ilvl w:val="0"/>
          <w:numId w:val="53"/>
        </w:numPr>
        <w:spacing w:after="120" w:line="276" w:lineRule="auto"/>
        <w:ind w:left="357" w:hanging="357"/>
        <w:rPr>
          <w:sz w:val="21"/>
          <w:szCs w:val="21"/>
          <w:lang w:eastAsia="en-AU"/>
        </w:rPr>
      </w:pPr>
      <w:r w:rsidRPr="00060D11">
        <w:rPr>
          <w:sz w:val="21"/>
          <w:szCs w:val="21"/>
          <w:lang w:eastAsia="en-AU"/>
        </w:rPr>
        <w:t>limited capacity to operate, manage and improve the education system; and</w:t>
      </w:r>
    </w:p>
    <w:p w14:paraId="7E48298D" w14:textId="77777777" w:rsidR="00163FDD" w:rsidRPr="00060D11" w:rsidRDefault="00163FDD" w:rsidP="00163FDD">
      <w:pPr>
        <w:pStyle w:val="ListParagraph"/>
        <w:numPr>
          <w:ilvl w:val="0"/>
          <w:numId w:val="53"/>
        </w:numPr>
        <w:spacing w:after="120" w:line="276" w:lineRule="auto"/>
        <w:ind w:left="357" w:hanging="357"/>
        <w:rPr>
          <w:sz w:val="21"/>
          <w:szCs w:val="21"/>
          <w:lang w:eastAsia="en-AU"/>
        </w:rPr>
      </w:pPr>
      <w:r w:rsidRPr="00060D11">
        <w:rPr>
          <w:sz w:val="21"/>
          <w:szCs w:val="21"/>
          <w:lang w:eastAsia="en-AU"/>
        </w:rPr>
        <w:t>limited evidence of ‘knowledge-to-policy’ processes.</w:t>
      </w:r>
    </w:p>
    <w:p w14:paraId="316F1004" w14:textId="77777777" w:rsidR="00163FDD" w:rsidRPr="00060D11" w:rsidRDefault="00163FDD" w:rsidP="00163FDD">
      <w:pPr>
        <w:spacing w:after="120" w:line="276" w:lineRule="auto"/>
        <w:rPr>
          <w:rFonts w:cstheme="minorHAnsi"/>
          <w:b/>
          <w:bCs/>
          <w:i/>
          <w:iCs/>
        </w:rPr>
      </w:pPr>
      <w:r w:rsidRPr="00060D11">
        <w:rPr>
          <w:rFonts w:cstheme="minorHAnsi"/>
          <w:b/>
          <w:bCs/>
          <w:i/>
          <w:iCs/>
        </w:rPr>
        <w:t>What are Australia’s objectives?</w:t>
      </w:r>
    </w:p>
    <w:p w14:paraId="0CC644CB" w14:textId="77777777" w:rsidR="00163FDD" w:rsidRPr="00060D11" w:rsidRDefault="00163FDD" w:rsidP="00163FDD">
      <w:pPr>
        <w:spacing w:after="120" w:line="276" w:lineRule="auto"/>
        <w:rPr>
          <w:rFonts w:cstheme="minorHAnsi"/>
          <w:color w:val="495964"/>
        </w:rPr>
      </w:pPr>
      <w:r w:rsidRPr="00060D11">
        <w:rPr>
          <w:rFonts w:cstheme="minorHAnsi"/>
          <w:sz w:val="21"/>
          <w:szCs w:val="21"/>
          <w:lang w:eastAsia="en-AU"/>
        </w:rPr>
        <w:t>6.</w:t>
      </w:r>
      <w:r w:rsidRPr="00060D11">
        <w:rPr>
          <w:rFonts w:cstheme="minorHAnsi"/>
          <w:sz w:val="21"/>
          <w:szCs w:val="21"/>
          <w:lang w:eastAsia="en-AU"/>
        </w:rPr>
        <w:tab/>
        <w:t>Support for education is embedded in the Papua New Guinea-Australia Comprehensive Strategic and Economic Partnership (CSEP), DFAT’s PNG COVID-19 Response Plan’s (CRP) Stability pillar, and the Education and Leadership Portfolio Plan 2018-2022 (ELPP). PIE consolidates our support to ELPP priority one (Early Grade Education) and contributes to all three of the ELPP priorities:</w:t>
      </w:r>
    </w:p>
    <w:p w14:paraId="2D49E355" w14:textId="77777777" w:rsidR="00163FDD" w:rsidRPr="00060D11" w:rsidRDefault="00163FDD" w:rsidP="00163FDD">
      <w:pPr>
        <w:pStyle w:val="m-1596800221906646178msolistparagraph"/>
        <w:numPr>
          <w:ilvl w:val="0"/>
          <w:numId w:val="65"/>
        </w:numPr>
        <w:shd w:val="clear" w:color="auto" w:fill="FFFFFF"/>
        <w:spacing w:before="120" w:beforeAutospacing="0" w:after="0" w:afterAutospacing="0" w:line="260" w:lineRule="atLeast"/>
        <w:rPr>
          <w:rFonts w:ascii="Calibri" w:hAnsi="Calibri" w:cs="Arial"/>
          <w:color w:val="44546A"/>
          <w:sz w:val="21"/>
          <w:szCs w:val="21"/>
          <w:lang w:val="en-GB"/>
        </w:rPr>
      </w:pPr>
      <w:r w:rsidRPr="00060D11">
        <w:rPr>
          <w:rFonts w:ascii="Calibri" w:hAnsi="Calibri" w:cs="Arial"/>
          <w:b/>
          <w:bCs/>
          <w:color w:val="44546A"/>
          <w:sz w:val="21"/>
          <w:szCs w:val="21"/>
          <w:lang w:val="en-GB"/>
        </w:rPr>
        <w:t>Early grade education</w:t>
      </w:r>
      <w:r w:rsidRPr="00060D11">
        <w:rPr>
          <w:rFonts w:ascii="Calibri" w:hAnsi="Calibri" w:cs="Arial"/>
          <w:color w:val="44546A"/>
          <w:sz w:val="21"/>
          <w:szCs w:val="21"/>
          <w:lang w:val="en-GB"/>
        </w:rPr>
        <w:t> – supporting literacy and numeracy skills in the early years of school, as this is the necessary foundation for progressing through schooling and into the workforce.</w:t>
      </w:r>
    </w:p>
    <w:p w14:paraId="06A30794" w14:textId="77777777" w:rsidR="00163FDD" w:rsidRPr="00060D11" w:rsidRDefault="00163FDD" w:rsidP="00163FDD">
      <w:pPr>
        <w:pStyle w:val="m-1596800221906646178msolistparagraph"/>
        <w:numPr>
          <w:ilvl w:val="0"/>
          <w:numId w:val="65"/>
        </w:numPr>
        <w:shd w:val="clear" w:color="auto" w:fill="FFFFFF"/>
        <w:spacing w:before="0" w:beforeAutospacing="0" w:after="0" w:afterAutospacing="0" w:line="260" w:lineRule="atLeast"/>
        <w:rPr>
          <w:rFonts w:ascii="Calibri" w:hAnsi="Calibri" w:cs="Arial"/>
          <w:color w:val="44546A"/>
          <w:sz w:val="21"/>
          <w:szCs w:val="21"/>
          <w:lang w:val="en-GB"/>
        </w:rPr>
      </w:pPr>
      <w:r w:rsidRPr="00060D11">
        <w:rPr>
          <w:rFonts w:ascii="Calibri" w:hAnsi="Calibri" w:cs="Arial"/>
          <w:b/>
          <w:bCs/>
          <w:color w:val="44546A"/>
          <w:sz w:val="21"/>
          <w:szCs w:val="21"/>
          <w:lang w:val="en-GB"/>
        </w:rPr>
        <w:t>Secondary schools and tertiary education</w:t>
      </w:r>
      <w:r w:rsidRPr="00060D11">
        <w:rPr>
          <w:rFonts w:ascii="Calibri" w:hAnsi="Calibri" w:cs="Arial"/>
          <w:color w:val="44546A"/>
          <w:sz w:val="21"/>
          <w:szCs w:val="21"/>
          <w:lang w:val="en-GB"/>
        </w:rPr>
        <w:t> – supporting students to gain improved technical and leadership skills so they can access meaningful employment and ethically serve their communities. This includes supporting secondary and tertiary partner institutions to strengthen their policies and practices so they can improve service delivery quality.</w:t>
      </w:r>
    </w:p>
    <w:p w14:paraId="3766681F" w14:textId="77777777" w:rsidR="00163FDD" w:rsidRPr="00060D11" w:rsidRDefault="00163FDD" w:rsidP="00163FDD">
      <w:pPr>
        <w:pStyle w:val="m-1596800221906646178msolistparagraph"/>
        <w:numPr>
          <w:ilvl w:val="0"/>
          <w:numId w:val="65"/>
        </w:numPr>
        <w:shd w:val="clear" w:color="auto" w:fill="FFFFFF"/>
        <w:spacing w:before="0" w:beforeAutospacing="0" w:after="60" w:afterAutospacing="0" w:line="260" w:lineRule="atLeast"/>
        <w:rPr>
          <w:rFonts w:ascii="Calibri" w:hAnsi="Calibri" w:cs="Arial"/>
          <w:color w:val="44546A"/>
          <w:sz w:val="21"/>
          <w:szCs w:val="21"/>
          <w:lang w:val="en-GB"/>
        </w:rPr>
      </w:pPr>
      <w:r w:rsidRPr="00060D11">
        <w:rPr>
          <w:rFonts w:ascii="Calibri" w:hAnsi="Calibri" w:cs="Arial"/>
          <w:b/>
          <w:bCs/>
          <w:color w:val="44546A"/>
          <w:sz w:val="21"/>
          <w:szCs w:val="21"/>
          <w:lang w:val="en-GB"/>
        </w:rPr>
        <w:t xml:space="preserve">Systems strengthening </w:t>
      </w:r>
      <w:r w:rsidRPr="00060D11">
        <w:rPr>
          <w:rFonts w:ascii="Calibri" w:hAnsi="Calibri" w:cs="Arial"/>
          <w:color w:val="44546A"/>
          <w:sz w:val="21"/>
          <w:szCs w:val="21"/>
          <w:lang w:val="en-GB"/>
        </w:rPr>
        <w:t>- working with Government of PNG counterparts to develop and implement key national education policies.</w:t>
      </w:r>
    </w:p>
    <w:p w14:paraId="6EB53F4E" w14:textId="77777777" w:rsidR="00163FDD" w:rsidRPr="00060D11" w:rsidRDefault="00163FDD" w:rsidP="00163FDD">
      <w:pPr>
        <w:spacing w:before="120" w:after="120" w:line="276" w:lineRule="auto"/>
        <w:rPr>
          <w:rFonts w:cstheme="minorHAnsi"/>
          <w:b/>
          <w:bCs/>
          <w:i/>
          <w:iCs/>
        </w:rPr>
      </w:pPr>
      <w:r w:rsidRPr="00060D11">
        <w:rPr>
          <w:rFonts w:cstheme="minorHAnsi"/>
          <w:b/>
          <w:bCs/>
          <w:i/>
          <w:iCs/>
        </w:rPr>
        <w:t>How have stakeholder consultations influenced the design?</w:t>
      </w:r>
    </w:p>
    <w:p w14:paraId="3A4A8F91" w14:textId="77777777" w:rsidR="00163FDD" w:rsidRPr="00060D11" w:rsidRDefault="00163FDD" w:rsidP="00163FDD">
      <w:pPr>
        <w:spacing w:after="120" w:line="276" w:lineRule="auto"/>
        <w:rPr>
          <w:rFonts w:cstheme="minorHAnsi"/>
          <w:b/>
          <w:bCs/>
          <w:i/>
          <w:iCs/>
        </w:rPr>
      </w:pPr>
      <w:r w:rsidRPr="00060D11">
        <w:rPr>
          <w:rFonts w:cstheme="minorHAnsi"/>
          <w:sz w:val="21"/>
          <w:szCs w:val="21"/>
        </w:rPr>
        <w:t>7.</w:t>
      </w:r>
      <w:r w:rsidRPr="00060D11">
        <w:rPr>
          <w:rFonts w:cstheme="minorHAnsi"/>
          <w:sz w:val="21"/>
          <w:szCs w:val="21"/>
        </w:rPr>
        <w:tab/>
        <w:t xml:space="preserve">Despite the challenges imposed by the effect of the COVID-19 pandemic on movement and communications, two rounds of intensive consultations have been held with local leaders at both national and provincial levels, involving government and church education service providers, as well as representatives of people with disabilities. Each stage of the design process has been agreed to, and supported, by both the Secretary, </w:t>
      </w:r>
      <w:r w:rsidRPr="00060D11">
        <w:rPr>
          <w:sz w:val="21"/>
          <w:szCs w:val="21"/>
        </w:rPr>
        <w:t>National Department of Education (</w:t>
      </w:r>
      <w:r w:rsidRPr="00060D11">
        <w:rPr>
          <w:rFonts w:cstheme="minorHAnsi"/>
          <w:sz w:val="21"/>
          <w:szCs w:val="21"/>
        </w:rPr>
        <w:t>NDoE) and the Minister Counsellor, Australian High Commission (AHC). These consultations have influenced the selection of outcomes and the change pathways expected to achieve those outcomes. The consultations have also influenced the selection of the delivery approach, the governance and management arrangements and the development of the (design stage) Monitoring, Evaluation Research and Learning (MERL) Plan.</w:t>
      </w:r>
    </w:p>
    <w:p w14:paraId="59728DCF" w14:textId="77777777" w:rsidR="00163FDD" w:rsidRPr="00060D11" w:rsidRDefault="00163FDD" w:rsidP="00163FDD">
      <w:pPr>
        <w:spacing w:after="120" w:line="276" w:lineRule="auto"/>
        <w:rPr>
          <w:rFonts w:cstheme="minorHAnsi"/>
          <w:b/>
          <w:bCs/>
          <w:i/>
          <w:iCs/>
        </w:rPr>
      </w:pPr>
      <w:r w:rsidRPr="00060D11">
        <w:rPr>
          <w:rFonts w:cstheme="minorHAnsi"/>
          <w:b/>
          <w:bCs/>
          <w:i/>
          <w:iCs/>
        </w:rPr>
        <w:t>What results are expected to be achieved?</w:t>
      </w:r>
    </w:p>
    <w:p w14:paraId="1AB719C4" w14:textId="77777777" w:rsidR="00163FDD" w:rsidRPr="00060D11" w:rsidRDefault="00163FDD" w:rsidP="00163FDD">
      <w:pPr>
        <w:spacing w:after="120" w:line="276" w:lineRule="auto"/>
        <w:rPr>
          <w:rFonts w:cstheme="minorHAnsi"/>
          <w:sz w:val="21"/>
          <w:szCs w:val="21"/>
        </w:rPr>
      </w:pPr>
      <w:r w:rsidRPr="00060D11">
        <w:rPr>
          <w:rFonts w:cstheme="minorHAnsi"/>
          <w:sz w:val="21"/>
          <w:szCs w:val="21"/>
        </w:rPr>
        <w:t>8.</w:t>
      </w:r>
      <w:r w:rsidRPr="00060D11">
        <w:rPr>
          <w:rFonts w:cstheme="minorHAnsi"/>
          <w:sz w:val="21"/>
          <w:szCs w:val="21"/>
        </w:rPr>
        <w:tab/>
        <w:t>The expected end-of-investment outcomes (EOIO) for the PIE investment are:</w:t>
      </w:r>
    </w:p>
    <w:p w14:paraId="7D642654" w14:textId="77777777" w:rsidR="00163FDD" w:rsidRPr="00060D11" w:rsidRDefault="00163FDD" w:rsidP="00163FDD">
      <w:pPr>
        <w:spacing w:line="276" w:lineRule="auto"/>
        <w:ind w:left="2127" w:hanging="2127"/>
        <w:rPr>
          <w:rFonts w:eastAsia="Calibri Light" w:cstheme="minorHAnsi"/>
          <w:sz w:val="21"/>
          <w:szCs w:val="21"/>
        </w:rPr>
      </w:pPr>
      <w:r w:rsidRPr="00060D11">
        <w:rPr>
          <w:rFonts w:cstheme="minorHAnsi"/>
          <w:sz w:val="21"/>
          <w:szCs w:val="21"/>
        </w:rPr>
        <w:t>Targeted Outcome 1:</w:t>
      </w:r>
      <w:r w:rsidRPr="00060D11">
        <w:rPr>
          <w:rFonts w:cstheme="minorHAnsi"/>
          <w:b/>
          <w:bCs/>
          <w:sz w:val="21"/>
          <w:szCs w:val="21"/>
        </w:rPr>
        <w:t xml:space="preserve">  </w:t>
      </w:r>
      <w:r w:rsidRPr="00060D11">
        <w:rPr>
          <w:rFonts w:cstheme="minorHAnsi"/>
          <w:b/>
          <w:bCs/>
          <w:sz w:val="21"/>
          <w:szCs w:val="21"/>
        </w:rPr>
        <w:tab/>
      </w:r>
      <w:r w:rsidRPr="00060D11">
        <w:rPr>
          <w:rFonts w:eastAsia="Calibri Light" w:cstheme="minorHAnsi"/>
          <w:sz w:val="21"/>
          <w:szCs w:val="21"/>
        </w:rPr>
        <w:t>More children (girls, boys, and children with disabilities) in the early grades enrol and stay in school in selected provinces using replicable and sustainable approaches</w:t>
      </w:r>
    </w:p>
    <w:p w14:paraId="061F5237" w14:textId="77777777" w:rsidR="00163FDD" w:rsidRPr="00060D11" w:rsidRDefault="00163FDD" w:rsidP="00163FDD">
      <w:pPr>
        <w:spacing w:line="276" w:lineRule="auto"/>
        <w:ind w:left="2127" w:hanging="2127"/>
        <w:rPr>
          <w:rFonts w:eastAsia="Calibri Light" w:cstheme="minorHAnsi"/>
          <w:i/>
          <w:iCs/>
          <w:sz w:val="21"/>
          <w:szCs w:val="21"/>
        </w:rPr>
      </w:pPr>
      <w:r w:rsidRPr="00060D11">
        <w:rPr>
          <w:rFonts w:cstheme="minorHAnsi"/>
          <w:sz w:val="21"/>
          <w:szCs w:val="21"/>
        </w:rPr>
        <w:t>Targeted Outcome 2:</w:t>
      </w:r>
      <w:r w:rsidRPr="00060D11">
        <w:rPr>
          <w:rFonts w:cstheme="minorHAnsi"/>
          <w:b/>
          <w:bCs/>
          <w:sz w:val="21"/>
          <w:szCs w:val="21"/>
        </w:rPr>
        <w:t xml:space="preserve"> </w:t>
      </w:r>
      <w:r w:rsidRPr="00060D11">
        <w:rPr>
          <w:rFonts w:cstheme="minorHAnsi"/>
          <w:sz w:val="21"/>
          <w:szCs w:val="21"/>
        </w:rPr>
        <w:t xml:space="preserve"> </w:t>
      </w:r>
      <w:r w:rsidRPr="00060D11">
        <w:rPr>
          <w:rFonts w:cstheme="minorHAnsi"/>
          <w:sz w:val="21"/>
          <w:szCs w:val="21"/>
        </w:rPr>
        <w:tab/>
        <w:t>Targeted provinces are using sustainable and replicable approaches to support i</w:t>
      </w:r>
      <w:r w:rsidRPr="00060D11">
        <w:rPr>
          <w:rFonts w:eastAsia="Calibri Light" w:cstheme="minorHAnsi"/>
          <w:sz w:val="21"/>
          <w:szCs w:val="21"/>
        </w:rPr>
        <w:t>mprovements in the quality of teaching and learning in the early grades</w:t>
      </w:r>
    </w:p>
    <w:p w14:paraId="7AA1B875" w14:textId="77777777" w:rsidR="00163FDD" w:rsidRPr="00060D11" w:rsidRDefault="00163FDD" w:rsidP="00163FDD">
      <w:pPr>
        <w:spacing w:after="120" w:line="276" w:lineRule="auto"/>
        <w:ind w:left="2127" w:hanging="2127"/>
        <w:rPr>
          <w:rFonts w:cstheme="minorHAnsi"/>
          <w:sz w:val="21"/>
          <w:szCs w:val="21"/>
        </w:rPr>
      </w:pPr>
      <w:r w:rsidRPr="00060D11">
        <w:rPr>
          <w:rFonts w:cstheme="minorHAnsi"/>
          <w:sz w:val="21"/>
          <w:szCs w:val="21"/>
        </w:rPr>
        <w:t>Enabling Outcome 3:</w:t>
      </w:r>
      <w:r w:rsidRPr="00060D11">
        <w:rPr>
          <w:rFonts w:cstheme="minorHAnsi"/>
          <w:b/>
          <w:bCs/>
          <w:sz w:val="21"/>
          <w:szCs w:val="21"/>
        </w:rPr>
        <w:t xml:space="preserve">  </w:t>
      </w:r>
      <w:r w:rsidRPr="00060D11">
        <w:rPr>
          <w:rFonts w:cstheme="minorHAnsi"/>
          <w:b/>
          <w:bCs/>
          <w:sz w:val="21"/>
          <w:szCs w:val="21"/>
        </w:rPr>
        <w:tab/>
      </w:r>
      <w:r w:rsidRPr="00060D11">
        <w:rPr>
          <w:rFonts w:cstheme="minorHAnsi"/>
          <w:sz w:val="21"/>
          <w:szCs w:val="21"/>
        </w:rPr>
        <w:t>Evidence of systemic change within the education sector that improves the delivery of early grades education</w:t>
      </w:r>
      <w:r w:rsidRPr="00060D11" w:rsidDel="00670EC0">
        <w:rPr>
          <w:rFonts w:cstheme="minorHAnsi"/>
          <w:sz w:val="21"/>
          <w:szCs w:val="21"/>
        </w:rPr>
        <w:t xml:space="preserve"> </w:t>
      </w:r>
    </w:p>
    <w:p w14:paraId="292E4E5A" w14:textId="09B3A7F4" w:rsidR="00163FDD" w:rsidRPr="00060D11" w:rsidRDefault="00163FDD" w:rsidP="00163FDD">
      <w:pPr>
        <w:spacing w:after="120" w:line="276" w:lineRule="auto"/>
        <w:rPr>
          <w:rFonts w:cstheme="minorHAnsi"/>
          <w:sz w:val="21"/>
          <w:szCs w:val="21"/>
        </w:rPr>
      </w:pPr>
      <w:r w:rsidRPr="00060D11">
        <w:rPr>
          <w:rFonts w:cstheme="minorHAnsi"/>
          <w:sz w:val="21"/>
          <w:szCs w:val="21"/>
        </w:rPr>
        <w:t xml:space="preserve">9. </w:t>
      </w:r>
      <w:r w:rsidRPr="00060D11">
        <w:rPr>
          <w:rFonts w:cstheme="minorHAnsi"/>
          <w:sz w:val="21"/>
          <w:szCs w:val="21"/>
        </w:rPr>
        <w:tab/>
        <w:t>The current challenges facing PNG’s education sector, particularly the declining budget</w:t>
      </w:r>
      <w:r w:rsidR="006714E4">
        <w:rPr>
          <w:rFonts w:cstheme="minorHAnsi"/>
          <w:sz w:val="21"/>
          <w:szCs w:val="21"/>
        </w:rPr>
        <w:t>,</w:t>
      </w:r>
      <w:r w:rsidRPr="00060D11">
        <w:rPr>
          <w:rFonts w:cstheme="minorHAnsi"/>
          <w:sz w:val="21"/>
          <w:szCs w:val="21"/>
        </w:rPr>
        <w:t xml:space="preserve"> are acute; and Australia’s assistance for education in PNG, while significant, represents just a very small portion of what is needed</w:t>
      </w:r>
      <w:r w:rsidRPr="00060D11">
        <w:rPr>
          <w:rStyle w:val="FootnoteReference"/>
          <w:rFonts w:cstheme="minorHAnsi"/>
          <w:sz w:val="21"/>
          <w:szCs w:val="21"/>
        </w:rPr>
        <w:footnoteReference w:id="3"/>
      </w:r>
      <w:r w:rsidRPr="00060D11">
        <w:rPr>
          <w:rFonts w:cstheme="minorHAnsi"/>
          <w:sz w:val="21"/>
          <w:szCs w:val="21"/>
        </w:rPr>
        <w:t>. For this reason, PIE will avoid spreading its resources too thin, and provide targeted support to</w:t>
      </w:r>
      <w:r w:rsidR="003C6C36">
        <w:rPr>
          <w:rFonts w:cstheme="minorHAnsi"/>
          <w:sz w:val="21"/>
          <w:szCs w:val="21"/>
        </w:rPr>
        <w:t xml:space="preserve"> initially</w:t>
      </w:r>
      <w:r w:rsidRPr="00060D11">
        <w:rPr>
          <w:rFonts w:cstheme="minorHAnsi"/>
          <w:sz w:val="21"/>
          <w:szCs w:val="21"/>
        </w:rPr>
        <w:t xml:space="preserve"> four provinces, to demonstrate effective approaches to addressing critical demand-side and supply-side challenges faced by all provinces. </w:t>
      </w:r>
    </w:p>
    <w:p w14:paraId="70809142" w14:textId="7D3EB900" w:rsidR="00163FDD" w:rsidRPr="00060D11" w:rsidRDefault="00163FDD" w:rsidP="00163FDD">
      <w:pPr>
        <w:spacing w:after="120" w:line="276" w:lineRule="auto"/>
        <w:rPr>
          <w:rFonts w:cstheme="minorHAnsi"/>
          <w:sz w:val="21"/>
          <w:szCs w:val="21"/>
        </w:rPr>
      </w:pPr>
      <w:r w:rsidRPr="00060D11">
        <w:rPr>
          <w:rFonts w:cstheme="minorHAnsi"/>
          <w:sz w:val="21"/>
          <w:szCs w:val="21"/>
        </w:rPr>
        <w:t>10.</w:t>
      </w:r>
      <w:r w:rsidRPr="00060D11">
        <w:rPr>
          <w:rFonts w:cstheme="minorHAnsi"/>
          <w:sz w:val="21"/>
          <w:szCs w:val="21"/>
        </w:rPr>
        <w:tab/>
        <w:t xml:space="preserve"> Given the state of the sector, including funding, prospects for system-wide scaling of effective approaches will be limited over the life of the initiative. However, over time, evidence of successful approaches will be disseminated to facilitate adoption/adaption by other provinces; it is anticipated that the investment may support the direct application of effective approaches in eight to ten provinces</w:t>
      </w:r>
      <w:r w:rsidR="003D6969" w:rsidRPr="00060D11">
        <w:rPr>
          <w:rFonts w:cstheme="minorHAnsi"/>
          <w:sz w:val="21"/>
          <w:szCs w:val="21"/>
        </w:rPr>
        <w:t xml:space="preserve"> (subject to independent review and additional resources) </w:t>
      </w:r>
      <w:r w:rsidRPr="00060D11">
        <w:rPr>
          <w:rFonts w:cstheme="minorHAnsi"/>
          <w:sz w:val="21"/>
          <w:szCs w:val="21"/>
        </w:rPr>
        <w:t xml:space="preserve">and indirectly affect education delivery across all PNG provinces over its lifetime. Improvements to the quality of teaching and student learning will be measured against a baseline of student learning (and teacher competencies) in target provinces supported by PIE.   PIE will seek to leverage knowledge gained from its work on the ground to help the Government of PNG (GoPNG) make better use of its own financial and human resources, leveraging effective, existing partnerships, and targeting those areas where results are both technically and politically feasible.  </w:t>
      </w:r>
    </w:p>
    <w:p w14:paraId="0F518485" w14:textId="77777777" w:rsidR="00163FDD" w:rsidRPr="00060D11" w:rsidRDefault="00163FDD" w:rsidP="00163FDD">
      <w:pPr>
        <w:spacing w:after="120" w:line="276" w:lineRule="auto"/>
        <w:rPr>
          <w:rFonts w:cstheme="minorHAnsi"/>
          <w:sz w:val="21"/>
          <w:szCs w:val="21"/>
        </w:rPr>
      </w:pPr>
      <w:r w:rsidRPr="00060D11">
        <w:rPr>
          <w:rFonts w:cstheme="minorHAnsi"/>
          <w:sz w:val="21"/>
          <w:szCs w:val="21"/>
        </w:rPr>
        <w:t>11.</w:t>
      </w:r>
      <w:r w:rsidRPr="00060D11">
        <w:rPr>
          <w:rFonts w:cstheme="minorHAnsi"/>
          <w:sz w:val="21"/>
          <w:szCs w:val="21"/>
        </w:rPr>
        <w:tab/>
        <w:t>The investment will also assist education service providers (government and church agencies) to identify and resolve ‘system’ blockages which inhibit implementation of the GoPNG National Education Plan 2020-2030 (NEP). This will be achieved by supporting an integrated, politically informed approach to capacity development in priority areas that considers skills needed, motivation and opportunities for results.  Indicative areas include support for planning and budgeting to maximise the reach of sector budget allocations and for professional development of teachers in the early grades. Significant attention will be given to improving both the availability, analysis and use of evidence to inform decision-making at sub-national and national levels. A baseline assessment will be conducted of learning outcomes in target provinces that will be used as a basis for measurement of program impacts, on top of ongoing support for intermittent regional assessments of learning outcomes. This will provide evidence to inform policy dialogue between DFAT and GoPNG and support replicable and systemic change and the resources required to achieve it.</w:t>
      </w:r>
    </w:p>
    <w:p w14:paraId="36976D94" w14:textId="77777777" w:rsidR="00617D33" w:rsidRPr="00060D11" w:rsidRDefault="00617D33" w:rsidP="00163FDD">
      <w:pPr>
        <w:spacing w:after="120" w:line="276" w:lineRule="auto"/>
        <w:rPr>
          <w:rFonts w:cstheme="minorHAnsi"/>
          <w:b/>
          <w:bCs/>
          <w:i/>
          <w:iCs/>
        </w:rPr>
      </w:pPr>
    </w:p>
    <w:p w14:paraId="45559964" w14:textId="6AA77DF1" w:rsidR="00163FDD" w:rsidRPr="00060D11" w:rsidRDefault="00163FDD" w:rsidP="00163FDD">
      <w:pPr>
        <w:spacing w:after="120" w:line="276" w:lineRule="auto"/>
        <w:rPr>
          <w:rFonts w:cstheme="minorHAnsi"/>
          <w:b/>
          <w:bCs/>
          <w:i/>
          <w:iCs/>
        </w:rPr>
      </w:pPr>
      <w:r w:rsidRPr="00060D11">
        <w:rPr>
          <w:rFonts w:cstheme="minorHAnsi"/>
          <w:b/>
          <w:bCs/>
          <w:i/>
          <w:iCs/>
        </w:rPr>
        <w:t>What is the delivery approach?</w:t>
      </w:r>
    </w:p>
    <w:p w14:paraId="7FEA5835" w14:textId="2559EAB7" w:rsidR="00163FDD" w:rsidRPr="00060D11" w:rsidRDefault="00163FDD" w:rsidP="00163FDD">
      <w:pPr>
        <w:spacing w:after="120" w:line="276" w:lineRule="auto"/>
        <w:rPr>
          <w:rFonts w:cstheme="minorHAnsi"/>
          <w:sz w:val="21"/>
          <w:szCs w:val="21"/>
        </w:rPr>
      </w:pPr>
      <w:r w:rsidRPr="00060D11">
        <w:rPr>
          <w:rFonts w:cstheme="minorHAnsi"/>
          <w:sz w:val="21"/>
          <w:szCs w:val="21"/>
        </w:rPr>
        <w:t>12.</w:t>
      </w:r>
      <w:r w:rsidRPr="00060D11">
        <w:rPr>
          <w:rFonts w:cstheme="minorHAnsi"/>
          <w:sz w:val="21"/>
          <w:szCs w:val="21"/>
        </w:rPr>
        <w:tab/>
        <w:t>A managing contractor will be used to deliver the PIE outcomes highlighted in this Investment Design Document (IDD) related to early grade education. The managing contractor will be responsible for a ‘design and implement’ process for an additional pillar for secondary education, as a successor to the PNGAusPartnership Secondary School (PASS) Initiative involving an amendment to the PIE contract and expansion of the program logic subject to financial approval.</w:t>
      </w:r>
    </w:p>
    <w:p w14:paraId="5C46E303" w14:textId="77777777" w:rsidR="00163FDD" w:rsidRPr="00060D11" w:rsidRDefault="00163FDD" w:rsidP="00163FDD">
      <w:pPr>
        <w:spacing w:after="120" w:line="276" w:lineRule="auto"/>
        <w:rPr>
          <w:rFonts w:cstheme="minorHAnsi"/>
          <w:sz w:val="21"/>
          <w:szCs w:val="21"/>
        </w:rPr>
      </w:pPr>
      <w:r w:rsidRPr="00060D11">
        <w:rPr>
          <w:rFonts w:cstheme="minorHAnsi"/>
          <w:sz w:val="21"/>
          <w:szCs w:val="21"/>
        </w:rPr>
        <w:t>13.</w:t>
      </w:r>
      <w:r w:rsidRPr="00060D11">
        <w:rPr>
          <w:rFonts w:cstheme="minorHAnsi"/>
          <w:sz w:val="21"/>
          <w:szCs w:val="21"/>
        </w:rPr>
        <w:tab/>
        <w:t>Using a managing contractor model, every attempt will be made to integrate the program with NDoE, Department of Higher Education, Research, Science and Technology (DHERST) and Provincial Division of Education (PDoE) people, systems and networks. This will include placement of the PIE Team Leader and MERL Adviser positions within NDoE and placement of PIE Provincial Managers in the PDoE offices in targeted provinces.</w:t>
      </w:r>
    </w:p>
    <w:p w14:paraId="267FCA60" w14:textId="562901B8" w:rsidR="00163FDD" w:rsidRPr="00060D11" w:rsidRDefault="00163FDD" w:rsidP="00163FDD">
      <w:pPr>
        <w:spacing w:after="120" w:line="276" w:lineRule="auto"/>
        <w:rPr>
          <w:rFonts w:cstheme="minorHAnsi"/>
          <w:sz w:val="21"/>
          <w:szCs w:val="21"/>
        </w:rPr>
      </w:pPr>
      <w:r w:rsidRPr="00060D11">
        <w:rPr>
          <w:rFonts w:cstheme="minorHAnsi"/>
          <w:sz w:val="21"/>
          <w:szCs w:val="21"/>
        </w:rPr>
        <w:t xml:space="preserve">14. </w:t>
      </w:r>
      <w:r w:rsidRPr="00060D11">
        <w:rPr>
          <w:rFonts w:cstheme="minorHAnsi"/>
          <w:sz w:val="21"/>
          <w:szCs w:val="21"/>
        </w:rPr>
        <w:tab/>
        <w:t xml:space="preserve">A managing contractor office will provide support to: </w:t>
      </w:r>
      <w:r w:rsidR="00387E6B" w:rsidRPr="00060D11">
        <w:rPr>
          <w:rFonts w:cstheme="minorHAnsi"/>
          <w:sz w:val="21"/>
          <w:szCs w:val="21"/>
        </w:rPr>
        <w:t>long- and short-term</w:t>
      </w:r>
      <w:r w:rsidRPr="00060D11">
        <w:rPr>
          <w:rFonts w:cstheme="minorHAnsi"/>
          <w:sz w:val="21"/>
          <w:szCs w:val="21"/>
        </w:rPr>
        <w:t xml:space="preserve"> technical advisers inputs to NDoE, DHERST and PDoEs; and sub-contract implementing partners such as church agencies to trial demand-side approaches to increasing gender balanced, disability and socially inclusive enrolment/retention of children in the early grades. This model is based directly on lessons learned from previous implementation approaches as </w:t>
      </w:r>
      <w:r w:rsidR="00387E6B" w:rsidRPr="00060D11">
        <w:rPr>
          <w:rFonts w:cstheme="minorHAnsi"/>
          <w:sz w:val="21"/>
          <w:szCs w:val="21"/>
        </w:rPr>
        <w:t>offering</w:t>
      </w:r>
      <w:r w:rsidRPr="00060D11">
        <w:rPr>
          <w:rFonts w:cstheme="minorHAnsi"/>
          <w:sz w:val="21"/>
          <w:szCs w:val="21"/>
        </w:rPr>
        <w:t xml:space="preserve"> the best prospects for system wide change within current policy and budget settings. This includes the experience of direct financing support through PNG systems, and of providing direct support for education service delivery through NGO consortia. </w:t>
      </w:r>
    </w:p>
    <w:p w14:paraId="0F838804" w14:textId="7F17E681" w:rsidR="00163FDD" w:rsidRPr="00060D11" w:rsidRDefault="00163FDD" w:rsidP="00163FDD">
      <w:pPr>
        <w:spacing w:after="120" w:line="276" w:lineRule="auto"/>
        <w:rPr>
          <w:sz w:val="21"/>
          <w:szCs w:val="21"/>
          <w:lang w:eastAsia="en-AU"/>
        </w:rPr>
      </w:pPr>
      <w:r w:rsidRPr="00060D11">
        <w:rPr>
          <w:rFonts w:cstheme="minorHAnsi"/>
          <w:sz w:val="21"/>
          <w:szCs w:val="21"/>
        </w:rPr>
        <w:t xml:space="preserve">15. </w:t>
      </w:r>
      <w:r w:rsidRPr="00060D11">
        <w:rPr>
          <w:rFonts w:cstheme="minorHAnsi"/>
          <w:sz w:val="21"/>
          <w:szCs w:val="21"/>
        </w:rPr>
        <w:tab/>
        <w:t xml:space="preserve">For the PIE Early Grade Education pillar, the budget includes two funds which will be applied over the course of the investment. An Achieving Quality Education for All (AQEFA) fund (Targeted Outcome 1) will fund activities </w:t>
      </w:r>
      <w:r w:rsidRPr="00060D11">
        <w:rPr>
          <w:rFonts w:eastAsia="Times New Roman" w:cstheme="minorHAnsi"/>
          <w:sz w:val="21"/>
          <w:szCs w:val="21"/>
        </w:rPr>
        <w:t>that will target increased participation in the early grades – enrolment and retention. These activities will target GEDSI issues as a priority. </w:t>
      </w:r>
      <w:r w:rsidRPr="00060D11">
        <w:rPr>
          <w:rFonts w:cstheme="minorHAnsi"/>
          <w:sz w:val="21"/>
          <w:szCs w:val="21"/>
        </w:rPr>
        <w:t xml:space="preserve">The second fund, a Teacher Upgrading Fund (TUF) (Targeted Outcome 2) will be used to </w:t>
      </w:r>
      <w:r w:rsidRPr="00060D11">
        <w:rPr>
          <w:rFonts w:eastAsia="Times New Roman" w:cstheme="minorHAnsi"/>
          <w:sz w:val="21"/>
          <w:szCs w:val="21"/>
        </w:rPr>
        <w:t xml:space="preserve">1) ‘upgrade’ the knowledge and skills of early grades teachers and improve student learning; and 2) to facilitate the ‘application’ of the new knowledge and skills in teaching practice. Technical assistance will support agreed priority reform areas at national and sub-national level, linked to outcomes and with potential for results. Budget allocations for </w:t>
      </w:r>
      <w:r w:rsidR="00387E6B" w:rsidRPr="00060D11">
        <w:rPr>
          <w:rFonts w:eastAsia="Times New Roman" w:cstheme="minorHAnsi"/>
          <w:sz w:val="21"/>
          <w:szCs w:val="21"/>
        </w:rPr>
        <w:t>short- and long-term</w:t>
      </w:r>
      <w:r w:rsidRPr="00060D11">
        <w:rPr>
          <w:rFonts w:eastAsia="Times New Roman" w:cstheme="minorHAnsi"/>
          <w:sz w:val="21"/>
          <w:szCs w:val="21"/>
        </w:rPr>
        <w:t xml:space="preserve"> technical advisers for both implementation of the program and provision of technical advice are the minimum required for delivery of intended outcomes.</w:t>
      </w:r>
    </w:p>
    <w:p w14:paraId="4405AB57" w14:textId="77777777" w:rsidR="00163FDD" w:rsidRPr="00060D11" w:rsidRDefault="00163FDD" w:rsidP="00163FDD">
      <w:pPr>
        <w:spacing w:after="120" w:line="276" w:lineRule="auto"/>
        <w:rPr>
          <w:rFonts w:cstheme="minorHAnsi"/>
          <w:sz w:val="21"/>
          <w:szCs w:val="21"/>
        </w:rPr>
      </w:pPr>
      <w:r w:rsidRPr="00060D11">
        <w:rPr>
          <w:rFonts w:cstheme="minorHAnsi"/>
          <w:sz w:val="21"/>
          <w:szCs w:val="21"/>
        </w:rPr>
        <w:t>16.</w:t>
      </w:r>
      <w:r w:rsidRPr="00060D11">
        <w:rPr>
          <w:rFonts w:cstheme="minorHAnsi"/>
          <w:sz w:val="21"/>
          <w:szCs w:val="21"/>
        </w:rPr>
        <w:tab/>
        <w:t xml:space="preserve">Given the fluidity and complexity of the PNG context, further exacerbated by the impact of COVID-19, PIE will remain highly flexible, iterative, adaptive and evidence based. PIE outcomes will be pursed through adaptive management approaches so Australian support can leverage entry points for reform in priority areas as they arise. PIE will exploit opportunities to nudge the system in the right direction through piloting, demonstrating the efficacy of, as well as supporting scaling of more effective ways of working in the education sector. </w:t>
      </w:r>
    </w:p>
    <w:p w14:paraId="46C64D48" w14:textId="1A770121" w:rsidR="00617D33" w:rsidRPr="00F841F0" w:rsidRDefault="00163FDD" w:rsidP="00F841F0">
      <w:pPr>
        <w:spacing w:after="120" w:line="276" w:lineRule="auto"/>
        <w:rPr>
          <w:rFonts w:cstheme="minorHAnsi"/>
          <w:sz w:val="21"/>
          <w:szCs w:val="21"/>
        </w:rPr>
      </w:pPr>
      <w:r w:rsidRPr="00060D11">
        <w:rPr>
          <w:rFonts w:cstheme="minorHAnsi"/>
          <w:sz w:val="21"/>
          <w:szCs w:val="21"/>
        </w:rPr>
        <w:t>17.</w:t>
      </w:r>
      <w:r w:rsidRPr="00060D11">
        <w:rPr>
          <w:rFonts w:cstheme="minorHAnsi"/>
          <w:sz w:val="21"/>
          <w:szCs w:val="21"/>
        </w:rPr>
        <w:tab/>
        <w:t>Where synergies exist, the managing contractor will work with existing DFAT programs and other donors to achieve its outcomes. This includes: continuing to use Australia Awards for pre-service teacher training and short courses related to education; leveraging the Australian PNG Incentive Fund for education infrastructure; working closely with the Economic Governance and Inclusive Growth (EGIG) on GoPNG budget support and PFM reforms; and the Church Partnership Program (CPP) for education support activities</w:t>
      </w:r>
      <w:r w:rsidRPr="00060D11">
        <w:rPr>
          <w:rStyle w:val="FootnoteReference"/>
          <w:rFonts w:cstheme="minorHAnsi"/>
          <w:sz w:val="21"/>
          <w:szCs w:val="21"/>
        </w:rPr>
        <w:footnoteReference w:id="4"/>
      </w:r>
      <w:r w:rsidRPr="00060D11">
        <w:rPr>
          <w:rFonts w:cstheme="minorHAnsi"/>
          <w:sz w:val="21"/>
          <w:szCs w:val="21"/>
        </w:rPr>
        <w:t xml:space="preserve">. </w:t>
      </w:r>
      <w:r w:rsidRPr="00060D11">
        <w:rPr>
          <w:sz w:val="21"/>
          <w:szCs w:val="21"/>
        </w:rPr>
        <w:t xml:space="preserve">PIE will learn from and integrate lessons from the </w:t>
      </w:r>
      <w:r w:rsidRPr="00060D11">
        <w:rPr>
          <w:rFonts w:cstheme="minorHAnsi"/>
          <w:sz w:val="21"/>
          <w:szCs w:val="21"/>
        </w:rPr>
        <w:t>budget support currently being provided under the Pacific COVID Response Package to address the GoPNG’s fiscal shortfall in relation to the school subsidy payments (GTFS)</w:t>
      </w:r>
      <w:r w:rsidRPr="00060D11">
        <w:rPr>
          <w:rFonts w:cstheme="minorHAnsi"/>
        </w:rPr>
        <w:t xml:space="preserve">.  </w:t>
      </w:r>
      <w:r w:rsidRPr="00060D11">
        <w:rPr>
          <w:rFonts w:cstheme="minorHAnsi"/>
          <w:sz w:val="21"/>
          <w:szCs w:val="21"/>
        </w:rPr>
        <w:t>Australia will seek to broker increased engagement from key multilateral partners including Global Partnership for Education (GPE), the World Bank and the Asia</w:t>
      </w:r>
      <w:r w:rsidR="006714E4">
        <w:rPr>
          <w:rFonts w:cstheme="minorHAnsi"/>
          <w:sz w:val="21"/>
          <w:szCs w:val="21"/>
        </w:rPr>
        <w:t>n</w:t>
      </w:r>
      <w:r w:rsidRPr="00060D11">
        <w:rPr>
          <w:rFonts w:cstheme="minorHAnsi"/>
          <w:sz w:val="21"/>
          <w:szCs w:val="21"/>
        </w:rPr>
        <w:t xml:space="preserve"> Development Bank, in particular coordinating policy dialogue efforts to advocate for adequate financing by GoPNG of the sector. Australia will seek to leverage and advocate for the effective use of GoPNG funding through the Service Improvement Program, 20 per cent of which </w:t>
      </w:r>
      <w:r w:rsidR="006714E4">
        <w:rPr>
          <w:rFonts w:cstheme="minorHAnsi"/>
          <w:sz w:val="21"/>
          <w:szCs w:val="21"/>
        </w:rPr>
        <w:t>is</w:t>
      </w:r>
      <w:r w:rsidRPr="00060D11">
        <w:rPr>
          <w:rFonts w:cstheme="minorHAnsi"/>
          <w:sz w:val="21"/>
          <w:szCs w:val="21"/>
        </w:rPr>
        <w:t xml:space="preserve"> supposed to be </w:t>
      </w:r>
      <w:r w:rsidR="00387E6B" w:rsidRPr="00060D11">
        <w:rPr>
          <w:rFonts w:cstheme="minorHAnsi"/>
          <w:sz w:val="21"/>
          <w:szCs w:val="21"/>
        </w:rPr>
        <w:t>allocated</w:t>
      </w:r>
      <w:r w:rsidRPr="00060D11">
        <w:rPr>
          <w:rFonts w:cstheme="minorHAnsi"/>
          <w:sz w:val="21"/>
          <w:szCs w:val="21"/>
        </w:rPr>
        <w:t xml:space="preserve"> to education infrastructure under current guidelines, a contribution to the sector that Australia does not want to displace.  </w:t>
      </w:r>
    </w:p>
    <w:p w14:paraId="75405FBC" w14:textId="1153613E" w:rsidR="00163FDD" w:rsidRPr="00060D11" w:rsidRDefault="00163FDD" w:rsidP="00617D33">
      <w:pPr>
        <w:spacing w:after="120" w:line="276" w:lineRule="auto"/>
        <w:rPr>
          <w:rFonts w:cstheme="minorHAnsi"/>
          <w:b/>
          <w:bCs/>
          <w:i/>
          <w:iCs/>
        </w:rPr>
      </w:pPr>
      <w:r w:rsidRPr="00060D11">
        <w:rPr>
          <w:rFonts w:cstheme="minorHAnsi"/>
          <w:b/>
          <w:bCs/>
          <w:i/>
          <w:iCs/>
        </w:rPr>
        <w:t>What resources will be invested by Australia?</w:t>
      </w:r>
    </w:p>
    <w:p w14:paraId="41A59A4B" w14:textId="495D07C0" w:rsidR="00163FDD" w:rsidRPr="00060D11" w:rsidRDefault="00163FDD" w:rsidP="00163FDD">
      <w:pPr>
        <w:spacing w:after="120" w:line="276" w:lineRule="auto"/>
        <w:rPr>
          <w:rFonts w:cstheme="minorHAnsi"/>
          <w:sz w:val="21"/>
          <w:szCs w:val="21"/>
        </w:rPr>
      </w:pPr>
      <w:r w:rsidRPr="00060D11">
        <w:rPr>
          <w:rFonts w:cstheme="minorHAnsi"/>
        </w:rPr>
        <w:t xml:space="preserve">18. </w:t>
      </w:r>
      <w:r w:rsidRPr="00060D11">
        <w:rPr>
          <w:rFonts w:cstheme="minorHAnsi"/>
        </w:rPr>
        <w:tab/>
        <w:t xml:space="preserve">The </w:t>
      </w:r>
      <w:r w:rsidR="008B2575">
        <w:rPr>
          <w:rFonts w:cstheme="minorHAnsi"/>
        </w:rPr>
        <w:t xml:space="preserve">indicative </w:t>
      </w:r>
      <w:r w:rsidRPr="00060D11">
        <w:rPr>
          <w:rFonts w:cstheme="minorHAnsi"/>
        </w:rPr>
        <w:t>budget envelope for the PIE is AUD75 million from FY 2022/23 to 2029/30. Given this represents only a small fraction of the annual PNG education budget</w:t>
      </w:r>
      <w:r w:rsidRPr="006714E4">
        <w:rPr>
          <w:vertAlign w:val="superscript"/>
        </w:rPr>
        <w:footnoteReference w:id="5"/>
      </w:r>
      <w:r w:rsidR="006714E4">
        <w:rPr>
          <w:rFonts w:cstheme="minorHAnsi"/>
        </w:rPr>
        <w:t>,</w:t>
      </w:r>
      <w:r w:rsidRPr="00060D11">
        <w:rPr>
          <w:rFonts w:cstheme="minorHAnsi"/>
        </w:rPr>
        <w:t xml:space="preserve"> it will be critical for PIE to work in partnership with GoPNG to improve the use </w:t>
      </w:r>
      <w:r w:rsidR="00060E54">
        <w:rPr>
          <w:rFonts w:cstheme="minorHAnsi"/>
        </w:rPr>
        <w:t xml:space="preserve">of </w:t>
      </w:r>
      <w:r w:rsidRPr="00060D11">
        <w:rPr>
          <w:rFonts w:cstheme="minorHAnsi"/>
        </w:rPr>
        <w:t>domestic resources towards intended</w:t>
      </w:r>
      <w:r w:rsidRPr="00060D11">
        <w:rPr>
          <w:rFonts w:cstheme="minorHAnsi"/>
          <w:sz w:val="21"/>
          <w:szCs w:val="21"/>
        </w:rPr>
        <w:t xml:space="preserve"> outcomes.  PIE may be scaled up, subject to an independent review after three years.  </w:t>
      </w:r>
    </w:p>
    <w:p w14:paraId="091D17C6" w14:textId="3CD6F174" w:rsidR="00163FDD" w:rsidRPr="00060D11" w:rsidRDefault="00163FDD" w:rsidP="00163FDD">
      <w:pPr>
        <w:spacing w:after="120" w:line="276" w:lineRule="auto"/>
        <w:rPr>
          <w:rFonts w:cstheme="minorHAnsi"/>
          <w:sz w:val="21"/>
          <w:szCs w:val="21"/>
        </w:rPr>
        <w:sectPr w:rsidR="00163FDD" w:rsidRPr="00060D11" w:rsidSect="006561AD">
          <w:pgSz w:w="11906" w:h="16838"/>
          <w:pgMar w:top="720" w:right="720" w:bottom="720" w:left="720" w:header="708" w:footer="708" w:gutter="0"/>
          <w:cols w:space="708"/>
          <w:docGrid w:linePitch="360"/>
        </w:sectPr>
      </w:pPr>
      <w:r w:rsidRPr="00060D11">
        <w:rPr>
          <w:rFonts w:cstheme="minorHAnsi"/>
          <w:sz w:val="21"/>
          <w:szCs w:val="21"/>
        </w:rPr>
        <w:t xml:space="preserve">19. </w:t>
      </w:r>
      <w:r w:rsidRPr="00060D11">
        <w:rPr>
          <w:rFonts w:cstheme="minorHAnsi"/>
          <w:sz w:val="21"/>
          <w:szCs w:val="21"/>
        </w:rPr>
        <w:tab/>
        <w:t>Funding for an additional pillar for secondary education is yet to be determined and will be additional to the AUD</w:t>
      </w:r>
      <w:r w:rsidR="006714E4">
        <w:rPr>
          <w:rFonts w:cstheme="minorHAnsi"/>
          <w:sz w:val="21"/>
          <w:szCs w:val="21"/>
        </w:rPr>
        <w:t> </w:t>
      </w:r>
      <w:r w:rsidRPr="00060D11">
        <w:rPr>
          <w:rFonts w:cstheme="minorHAnsi"/>
          <w:sz w:val="21"/>
          <w:szCs w:val="21"/>
        </w:rPr>
        <w:t>75 million</w:t>
      </w:r>
      <w:r w:rsidR="00060E54">
        <w:rPr>
          <w:rFonts w:cstheme="minorHAnsi"/>
          <w:sz w:val="21"/>
          <w:szCs w:val="21"/>
        </w:rPr>
        <w:t xml:space="preserve"> indicative</w:t>
      </w:r>
      <w:r w:rsidRPr="00060D11">
        <w:rPr>
          <w:rFonts w:cstheme="minorHAnsi"/>
          <w:sz w:val="21"/>
          <w:szCs w:val="21"/>
        </w:rPr>
        <w:t xml:space="preserve"> budget.</w:t>
      </w:r>
    </w:p>
    <w:p w14:paraId="7E5189CD" w14:textId="77777777" w:rsidR="001F26A6" w:rsidRPr="00060D11" w:rsidRDefault="001F26A6" w:rsidP="001F26A6">
      <w:pPr>
        <w:pStyle w:val="Heading1"/>
        <w:ind w:left="567" w:hanging="567"/>
        <w:rPr>
          <w:b/>
          <w:bCs/>
          <w:color w:val="44546A" w:themeColor="text2"/>
          <w:sz w:val="38"/>
          <w:szCs w:val="38"/>
          <w:lang w:val="en-GB"/>
        </w:rPr>
      </w:pPr>
      <w:bookmarkStart w:id="4" w:name="_Toc82182417"/>
      <w:bookmarkEnd w:id="3"/>
      <w:r w:rsidRPr="00060D11">
        <w:rPr>
          <w:b/>
          <w:bCs/>
          <w:color w:val="44546A" w:themeColor="text2"/>
          <w:sz w:val="38"/>
          <w:szCs w:val="38"/>
          <w:lang w:val="en-GB"/>
        </w:rPr>
        <w:t>B</w:t>
      </w:r>
      <w:r w:rsidRPr="00060D11">
        <w:rPr>
          <w:b/>
          <w:bCs/>
          <w:color w:val="44546A" w:themeColor="text2"/>
          <w:lang w:val="en-GB"/>
        </w:rPr>
        <w:t>.</w:t>
      </w:r>
      <w:r w:rsidRPr="00060D11">
        <w:rPr>
          <w:b/>
          <w:bCs/>
          <w:color w:val="44546A" w:themeColor="text2"/>
          <w:lang w:val="en-GB"/>
        </w:rPr>
        <w:tab/>
      </w:r>
      <w:r w:rsidRPr="00060D11">
        <w:rPr>
          <w:b/>
          <w:bCs/>
          <w:color w:val="44546A" w:themeColor="text2"/>
          <w:sz w:val="38"/>
          <w:szCs w:val="38"/>
          <w:lang w:val="en-GB"/>
        </w:rPr>
        <w:t>EDUCATION SECTOR PERFORMANCE, PROBLEM ANALYSIS AND LESSONS</w:t>
      </w:r>
      <w:r w:rsidRPr="00060D11">
        <w:rPr>
          <w:sz w:val="38"/>
          <w:szCs w:val="38"/>
          <w:lang w:val="en-GB"/>
        </w:rPr>
        <w:t xml:space="preserve"> </w:t>
      </w:r>
      <w:r w:rsidRPr="00060D11">
        <w:rPr>
          <w:noProof/>
          <w:sz w:val="38"/>
          <w:szCs w:val="38"/>
          <w:lang w:val="en-GB"/>
        </w:rPr>
        <w:drawing>
          <wp:anchor distT="0" distB="0" distL="114300" distR="114300" simplePos="0" relativeHeight="251658240" behindDoc="1" locked="1" layoutInCell="1" allowOverlap="1" wp14:anchorId="5E5B5714" wp14:editId="07B45541">
            <wp:simplePos x="0" y="0"/>
            <wp:positionH relativeFrom="page">
              <wp:posOffset>15240</wp:posOffset>
            </wp:positionH>
            <wp:positionV relativeFrom="page">
              <wp:posOffset>-15875</wp:posOffset>
            </wp:positionV>
            <wp:extent cx="7559675" cy="251968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0" cstate="print">
                      <a:duotone>
                        <a:prstClr val="black"/>
                        <a:srgbClr val="0098A8">
                          <a:tint val="45000"/>
                          <a:satMod val="400000"/>
                        </a:srgbClr>
                      </a:duotone>
                      <a:extLst>
                        <a:ext uri="{BEBA8EAE-BF5A-486C-A8C5-ECC9F3942E4B}">
                          <a14:imgProps xmlns:a14="http://schemas.microsoft.com/office/drawing/2010/main">
                            <a14:imgLayer r:embed="rId11">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7559675" cy="2519680"/>
                    </a:xfrm>
                    <a:prstGeom prst="rect">
                      <a:avLst/>
                    </a:prstGeom>
                  </pic:spPr>
                </pic:pic>
              </a:graphicData>
            </a:graphic>
            <wp14:sizeRelH relativeFrom="margin">
              <wp14:pctWidth>0</wp14:pctWidth>
            </wp14:sizeRelH>
            <wp14:sizeRelV relativeFrom="margin">
              <wp14:pctHeight>0</wp14:pctHeight>
            </wp14:sizeRelV>
          </wp:anchor>
        </w:drawing>
      </w:r>
      <w:bookmarkEnd w:id="4"/>
    </w:p>
    <w:p w14:paraId="19206926" w14:textId="77777777" w:rsidR="001F26A6" w:rsidRPr="00060D11" w:rsidRDefault="001F26A6" w:rsidP="00C04736"/>
    <w:p w14:paraId="0B6E8B09" w14:textId="77777777" w:rsidR="001F26A6" w:rsidRPr="00060D11" w:rsidRDefault="001F26A6" w:rsidP="00C04736">
      <w:pPr>
        <w:rPr>
          <w:b/>
          <w:bCs/>
          <w:sz w:val="32"/>
          <w:szCs w:val="32"/>
          <w:lang w:eastAsia="en-AU"/>
        </w:rPr>
      </w:pPr>
      <w:bookmarkStart w:id="5" w:name="_Toc62131651"/>
    </w:p>
    <w:p w14:paraId="2AD87C89" w14:textId="77777777" w:rsidR="001F26A6" w:rsidRPr="00060D11" w:rsidRDefault="001F26A6" w:rsidP="00C04736">
      <w:pPr>
        <w:pStyle w:val="Heading2"/>
      </w:pPr>
      <w:r w:rsidRPr="00060D11">
        <w:t>B.1</w:t>
      </w:r>
      <w:r w:rsidRPr="00060D11">
        <w:tab/>
        <w:t>PAPUA NEW GUINEA EDUCATION SECTOR ISSUES</w:t>
      </w:r>
      <w:bookmarkEnd w:id="5"/>
    </w:p>
    <w:p w14:paraId="4E2E6A50" w14:textId="77777777" w:rsidR="001F26A6" w:rsidRPr="00060D11" w:rsidRDefault="001F26A6" w:rsidP="004E780D">
      <w:pPr>
        <w:pStyle w:val="NormalWeb"/>
        <w:shd w:val="clear" w:color="auto" w:fill="FFFFFF"/>
        <w:spacing w:before="120" w:beforeAutospacing="0" w:after="60" w:afterAutospacing="0" w:line="276" w:lineRule="auto"/>
        <w:rPr>
          <w:rFonts w:asciiTheme="minorHAnsi" w:eastAsiaTheme="minorHAnsi" w:hAnsiTheme="minorHAnsi" w:cstheme="minorBidi"/>
          <w:color w:val="44546A" w:themeColor="text2"/>
          <w:sz w:val="22"/>
          <w:szCs w:val="22"/>
          <w:lang w:val="en-GB" w:eastAsia="en-AU"/>
        </w:rPr>
      </w:pPr>
      <w:r w:rsidRPr="00060D11">
        <w:rPr>
          <w:rFonts w:asciiTheme="minorHAnsi" w:eastAsiaTheme="minorHAnsi" w:hAnsiTheme="minorHAnsi" w:cstheme="minorBidi"/>
          <w:color w:val="44546A" w:themeColor="text2"/>
          <w:sz w:val="22"/>
          <w:szCs w:val="22"/>
          <w:lang w:val="en-GB" w:eastAsia="en-AU"/>
        </w:rPr>
        <w:t>Papua New Guinea (PNG) is a signatory to a range of international commitments including the Convention on the Rights of the Child which recognises that education is a right that belongs to all children without any form of discrimination and the Sustainable Development Goals (SDG), specifically SDG 4, Outcome 1: Universal primary and secondary education ensuring “…</w:t>
      </w:r>
      <w:r w:rsidRPr="00060D11">
        <w:rPr>
          <w:rFonts w:asciiTheme="minorHAnsi" w:eastAsiaTheme="minorHAnsi" w:hAnsiTheme="minorHAnsi" w:cstheme="minorBidi"/>
          <w:i/>
          <w:iCs/>
          <w:color w:val="44546A" w:themeColor="text2"/>
          <w:sz w:val="22"/>
          <w:szCs w:val="22"/>
          <w:lang w:val="en-GB" w:eastAsia="en-AU"/>
        </w:rPr>
        <w:t>that all girls and boys complete free, equitable and quality primary and secondary education leading to relevant and effective learning outcomes</w:t>
      </w:r>
      <w:r w:rsidRPr="00060D11">
        <w:rPr>
          <w:rFonts w:asciiTheme="minorHAnsi" w:eastAsiaTheme="minorHAnsi" w:hAnsiTheme="minorHAnsi" w:cstheme="minorBidi"/>
          <w:color w:val="44546A" w:themeColor="text2"/>
          <w:sz w:val="22"/>
          <w:szCs w:val="22"/>
          <w:lang w:val="en-GB" w:eastAsia="en-AU"/>
        </w:rPr>
        <w:t>”.</w:t>
      </w:r>
    </w:p>
    <w:p w14:paraId="65B15108" w14:textId="1728A9A9" w:rsidR="001F26A6" w:rsidRPr="00060D11" w:rsidRDefault="001F26A6" w:rsidP="004E780D">
      <w:pPr>
        <w:spacing w:line="276" w:lineRule="auto"/>
        <w:rPr>
          <w:lang w:eastAsia="en-AU"/>
        </w:rPr>
      </w:pPr>
      <w:r w:rsidRPr="00060D11">
        <w:rPr>
          <w:lang w:eastAsia="en-AU"/>
        </w:rPr>
        <w:t>The Government of PNG’s (GoPNG) aspirations to achieve these commitments were outlined in the Universal Basic Education Plan 2010-2019 and are reflected in the PNG National Education Plan (NEP) 2020-2029.</w:t>
      </w:r>
      <w:r w:rsidRPr="00060D11">
        <w:rPr>
          <w:rStyle w:val="FootnoteReference"/>
          <w:lang w:eastAsia="en-AU"/>
        </w:rPr>
        <w:footnoteReference w:id="6"/>
      </w:r>
      <w:r w:rsidRPr="00060D11">
        <w:rPr>
          <w:lang w:eastAsia="en-AU"/>
        </w:rPr>
        <w:t xml:space="preserve"> Despite these aspirations, data trend analysis of key education performance indicators (See Appendix A) reveals that GoPNG is struggling to make progress. For example:</w:t>
      </w:r>
    </w:p>
    <w:p w14:paraId="5E7E952B" w14:textId="08800D11" w:rsidR="001F26A6" w:rsidRPr="00060D11" w:rsidRDefault="001F26A6" w:rsidP="004E780D">
      <w:pPr>
        <w:pStyle w:val="ListParagraph"/>
        <w:numPr>
          <w:ilvl w:val="0"/>
          <w:numId w:val="2"/>
        </w:numPr>
        <w:spacing w:after="120" w:line="276" w:lineRule="auto"/>
        <w:ind w:left="273" w:hanging="187"/>
        <w:rPr>
          <w:sz w:val="22"/>
          <w:lang w:eastAsia="en-AU"/>
        </w:rPr>
      </w:pPr>
      <w:r w:rsidRPr="00060D11">
        <w:rPr>
          <w:sz w:val="22"/>
          <w:lang w:eastAsia="en-AU"/>
        </w:rPr>
        <w:t>net enrolment rates</w:t>
      </w:r>
      <w:r w:rsidR="00052FC0" w:rsidRPr="00060D11">
        <w:rPr>
          <w:sz w:val="22"/>
          <w:lang w:eastAsia="en-AU"/>
        </w:rPr>
        <w:t xml:space="preserve"> (NER)</w:t>
      </w:r>
      <w:r w:rsidRPr="00060D11">
        <w:rPr>
          <w:sz w:val="22"/>
          <w:lang w:eastAsia="en-AU"/>
        </w:rPr>
        <w:t xml:space="preserve"> appear to have stagnated since 2009 and declined between 2018 and 2019</w:t>
      </w:r>
      <w:r w:rsidR="00265468" w:rsidRPr="00060D11">
        <w:rPr>
          <w:sz w:val="22"/>
          <w:lang w:eastAsia="en-AU"/>
        </w:rPr>
        <w:t>;</w:t>
      </w:r>
    </w:p>
    <w:p w14:paraId="392D76BA" w14:textId="6F22E483" w:rsidR="001F26A6" w:rsidRPr="00060D11" w:rsidRDefault="001F26A6" w:rsidP="004E780D">
      <w:pPr>
        <w:pStyle w:val="ListParagraph"/>
        <w:numPr>
          <w:ilvl w:val="0"/>
          <w:numId w:val="2"/>
        </w:numPr>
        <w:spacing w:after="120" w:line="276" w:lineRule="auto"/>
        <w:ind w:left="273" w:hanging="187"/>
        <w:rPr>
          <w:sz w:val="22"/>
          <w:lang w:eastAsia="en-AU"/>
        </w:rPr>
      </w:pPr>
      <w:r w:rsidRPr="00060D11">
        <w:rPr>
          <w:sz w:val="22"/>
          <w:lang w:eastAsia="en-AU"/>
        </w:rPr>
        <w:t>gross enrolment rates (over-age children returning to school) have increased since 2009, but do not fully account for the large number of children leaving school before they complete Grade 8; during recent years seven of every ten children that enrol in the Preparatory level do not continue to complete Grade 8</w:t>
      </w:r>
      <w:r w:rsidR="00265468" w:rsidRPr="00060D11">
        <w:rPr>
          <w:sz w:val="22"/>
          <w:lang w:eastAsia="en-AU"/>
        </w:rPr>
        <w:t>;</w:t>
      </w:r>
    </w:p>
    <w:p w14:paraId="20308AD3" w14:textId="00779051" w:rsidR="001F26A6" w:rsidRPr="00060D11" w:rsidRDefault="001F26A6" w:rsidP="004E780D">
      <w:pPr>
        <w:pStyle w:val="ListParagraph"/>
        <w:numPr>
          <w:ilvl w:val="0"/>
          <w:numId w:val="2"/>
        </w:numPr>
        <w:spacing w:after="120" w:line="276" w:lineRule="auto"/>
        <w:ind w:left="273" w:hanging="187"/>
        <w:rPr>
          <w:sz w:val="22"/>
          <w:lang w:eastAsia="en-AU"/>
        </w:rPr>
      </w:pPr>
      <w:r w:rsidRPr="00060D11">
        <w:rPr>
          <w:sz w:val="22"/>
          <w:lang w:eastAsia="en-AU"/>
        </w:rPr>
        <w:t xml:space="preserve">retention of children between elementary school and primary school has decreased in recent years; </w:t>
      </w:r>
      <w:bookmarkStart w:id="6" w:name="_Hlk68539556"/>
      <w:r w:rsidRPr="00060D11">
        <w:rPr>
          <w:sz w:val="22"/>
          <w:lang w:eastAsia="en-AU"/>
        </w:rPr>
        <w:t>four of every ten children enrolled in the Elementary 2/Grade 2 level failed to continue to Grade 3 in 2019</w:t>
      </w:r>
      <w:r w:rsidR="00265468" w:rsidRPr="00060D11">
        <w:rPr>
          <w:sz w:val="22"/>
          <w:lang w:eastAsia="en-AU"/>
        </w:rPr>
        <w:t>;</w:t>
      </w:r>
    </w:p>
    <w:bookmarkEnd w:id="6"/>
    <w:p w14:paraId="014A7E8C" w14:textId="2D968506" w:rsidR="001F26A6" w:rsidRPr="00060D11" w:rsidRDefault="001F26A6" w:rsidP="004E780D">
      <w:pPr>
        <w:pStyle w:val="ListParagraph"/>
        <w:numPr>
          <w:ilvl w:val="0"/>
          <w:numId w:val="2"/>
        </w:numPr>
        <w:spacing w:after="120" w:line="276" w:lineRule="auto"/>
        <w:ind w:left="273" w:hanging="187"/>
        <w:rPr>
          <w:sz w:val="22"/>
          <w:lang w:eastAsia="en-AU"/>
        </w:rPr>
      </w:pPr>
      <w:r w:rsidRPr="00060D11">
        <w:rPr>
          <w:sz w:val="22"/>
          <w:lang w:eastAsia="en-AU"/>
        </w:rPr>
        <w:t>while there has been improvement in the participation of girls compared to boys in basic education over the past two decades, in some provinces, more boys than girls are enrolling in basic education; analysis of enrolment data suggests that, in more recent years, more girls transition than boys from Elementary 2/Grade 2 to Grade 3</w:t>
      </w:r>
      <w:r w:rsidR="00265468" w:rsidRPr="00060D11">
        <w:rPr>
          <w:sz w:val="22"/>
          <w:lang w:eastAsia="en-AU"/>
        </w:rPr>
        <w:t>;</w:t>
      </w:r>
      <w:r w:rsidR="0050520E" w:rsidRPr="00060D11">
        <w:rPr>
          <w:sz w:val="22"/>
          <w:lang w:eastAsia="en-AU"/>
        </w:rPr>
        <w:t xml:space="preserve"> and</w:t>
      </w:r>
    </w:p>
    <w:p w14:paraId="21E575B0" w14:textId="1520E277" w:rsidR="001F26A6" w:rsidRPr="00060D11" w:rsidRDefault="00265468" w:rsidP="004E780D">
      <w:pPr>
        <w:pStyle w:val="ListParagraph"/>
        <w:numPr>
          <w:ilvl w:val="0"/>
          <w:numId w:val="2"/>
        </w:numPr>
        <w:spacing w:line="276" w:lineRule="auto"/>
        <w:ind w:left="270" w:hanging="180"/>
        <w:rPr>
          <w:sz w:val="22"/>
          <w:lang w:eastAsia="en-AU"/>
        </w:rPr>
      </w:pPr>
      <w:r w:rsidRPr="00060D11">
        <w:rPr>
          <w:sz w:val="22"/>
          <w:lang w:eastAsia="en-AU"/>
        </w:rPr>
        <w:t>a</w:t>
      </w:r>
      <w:r w:rsidR="001F26A6" w:rsidRPr="00060D11">
        <w:rPr>
          <w:sz w:val="22"/>
          <w:lang w:eastAsia="en-AU"/>
        </w:rPr>
        <w:t>s measured by the 2015 Pacific Islands Literacy and Numeracy Assessment (PILNA), Grade 5 (Level 6) students did not perform as well as their counterparts from 13 countries in the Pacific region. Literacy scores were 23.31 percent (national) and 45.73 percent regional; numeracy scores were 50.77 percent (national) and 67.94 percent (regional). The 2018 PILNA results suggest improvement from 2015; Literacy scores were 51.80 percent (national) and 67.80 percent regional; numeracy scores were 83.80 percent (national) and 83.40 percent (regional).</w:t>
      </w:r>
      <w:r w:rsidR="001F26A6" w:rsidRPr="00060D11">
        <w:rPr>
          <w:rStyle w:val="FootnoteReference"/>
          <w:sz w:val="22"/>
          <w:lang w:eastAsia="en-AU"/>
        </w:rPr>
        <w:footnoteReference w:id="7"/>
      </w:r>
    </w:p>
    <w:p w14:paraId="40448927" w14:textId="77777777" w:rsidR="00854D56" w:rsidRPr="00060D11" w:rsidRDefault="00854D56" w:rsidP="004E780D">
      <w:pPr>
        <w:spacing w:line="276" w:lineRule="auto"/>
        <w:rPr>
          <w:lang w:eastAsia="en-AU"/>
        </w:rPr>
      </w:pPr>
    </w:p>
    <w:p w14:paraId="7AE09696" w14:textId="4ABC98F3" w:rsidR="001F26A6" w:rsidRPr="00060D11" w:rsidRDefault="001F26A6" w:rsidP="004E780D">
      <w:pPr>
        <w:spacing w:line="276" w:lineRule="auto"/>
        <w:rPr>
          <w:lang w:eastAsia="en-AU"/>
        </w:rPr>
      </w:pPr>
      <w:r w:rsidRPr="00060D11">
        <w:rPr>
          <w:lang w:eastAsia="en-AU"/>
        </w:rPr>
        <w:t>A number of factors have negatively affected the capacity of the education sector to provide quality education for all children. These are outlined below.</w:t>
      </w:r>
    </w:p>
    <w:p w14:paraId="74DB5B35" w14:textId="77777777" w:rsidR="008F18F7" w:rsidRDefault="008F18F7" w:rsidP="004E780D">
      <w:pPr>
        <w:spacing w:after="120" w:line="276" w:lineRule="auto"/>
        <w:rPr>
          <w:b/>
          <w:bCs/>
          <w:u w:val="single"/>
          <w:lang w:eastAsia="en-AU"/>
        </w:rPr>
      </w:pPr>
    </w:p>
    <w:p w14:paraId="14FDDFEF" w14:textId="49163AD2" w:rsidR="001F26A6" w:rsidRPr="00060D11" w:rsidRDefault="001F26A6" w:rsidP="004E780D">
      <w:pPr>
        <w:spacing w:after="120" w:line="276" w:lineRule="auto"/>
        <w:rPr>
          <w:b/>
          <w:bCs/>
          <w:u w:val="single"/>
          <w:lang w:eastAsia="en-AU"/>
        </w:rPr>
      </w:pPr>
      <w:r w:rsidRPr="00060D11">
        <w:rPr>
          <w:b/>
          <w:bCs/>
          <w:u w:val="single"/>
          <w:lang w:eastAsia="en-AU"/>
        </w:rPr>
        <w:t xml:space="preserve">National Government Actions </w:t>
      </w:r>
    </w:p>
    <w:p w14:paraId="735F584C" w14:textId="5E958275" w:rsidR="00EA550A" w:rsidRPr="00EA550A" w:rsidRDefault="00EA550A" w:rsidP="00EA550A">
      <w:pPr>
        <w:pStyle w:val="ListParagraph"/>
        <w:numPr>
          <w:ilvl w:val="0"/>
          <w:numId w:val="71"/>
        </w:numPr>
        <w:spacing w:after="120" w:line="276" w:lineRule="auto"/>
        <w:ind w:left="357"/>
        <w:rPr>
          <w:rStyle w:val="FootnoteReference"/>
          <w:color w:val="auto"/>
          <w:sz w:val="22"/>
          <w:vertAlign w:val="baseline"/>
          <w:lang w:val="en-AU" w:eastAsia="en-AU"/>
        </w:rPr>
      </w:pPr>
      <w:r w:rsidRPr="00EA550A">
        <w:rPr>
          <w:b/>
          <w:bCs/>
          <w:sz w:val="22"/>
          <w:lang w:eastAsia="en-AU"/>
        </w:rPr>
        <w:t>A decline in levels of government funding for education</w:t>
      </w:r>
      <w:r w:rsidRPr="00EA550A">
        <w:rPr>
          <w:sz w:val="22"/>
          <w:lang w:eastAsia="en-AU"/>
        </w:rPr>
        <w:t xml:space="preserve">: Between 2017 and 2021, there has been a reduction in the proportion of the </w:t>
      </w:r>
      <w:r w:rsidRPr="00EA550A">
        <w:rPr>
          <w:i/>
          <w:iCs/>
          <w:sz w:val="22"/>
          <w:lang w:eastAsia="en-AU"/>
        </w:rPr>
        <w:t>proposed</w:t>
      </w:r>
      <w:r w:rsidRPr="00EA550A">
        <w:rPr>
          <w:sz w:val="22"/>
          <w:lang w:eastAsia="en-AU"/>
        </w:rPr>
        <w:t xml:space="preserve"> government budget to the education sector</w:t>
      </w:r>
      <w:r>
        <w:rPr>
          <w:rStyle w:val="FootnoteReference"/>
          <w:sz w:val="22"/>
          <w:lang w:eastAsia="en-AU"/>
        </w:rPr>
        <w:footnoteReference w:id="8"/>
      </w:r>
      <w:r w:rsidRPr="00EA550A">
        <w:rPr>
          <w:sz w:val="22"/>
          <w:lang w:eastAsia="en-AU"/>
        </w:rPr>
        <w:t xml:space="preserve"> from 9.46 percent in 2017 to 5.58 percent in 2021. However, if one considers the proportion for education in the </w:t>
      </w:r>
      <w:r w:rsidRPr="00EA550A">
        <w:rPr>
          <w:i/>
          <w:iCs/>
          <w:sz w:val="22"/>
          <w:lang w:eastAsia="en-AU"/>
        </w:rPr>
        <w:t>revised</w:t>
      </w:r>
      <w:r w:rsidRPr="00EA550A">
        <w:rPr>
          <w:sz w:val="22"/>
          <w:lang w:eastAsia="en-AU"/>
        </w:rPr>
        <w:t xml:space="preserve"> government budget, the reduction is from 5.15 percent in 2017 to 4.33 percent in 2019.</w:t>
      </w:r>
      <w:r>
        <w:rPr>
          <w:rStyle w:val="FootnoteReference"/>
          <w:sz w:val="22"/>
          <w:lang w:eastAsia="en-AU"/>
        </w:rPr>
        <w:footnoteReference w:id="9"/>
      </w:r>
    </w:p>
    <w:p w14:paraId="1F883AE7" w14:textId="6DC9D78E" w:rsidR="001F26A6" w:rsidRPr="00EA550A" w:rsidRDefault="001F26A6" w:rsidP="001F059B">
      <w:pPr>
        <w:pStyle w:val="ListParagraph"/>
        <w:spacing w:after="120" w:line="276" w:lineRule="auto"/>
        <w:ind w:left="357"/>
        <w:rPr>
          <w:color w:val="auto"/>
          <w:sz w:val="22"/>
          <w:lang w:val="en-AU" w:eastAsia="en-AU"/>
        </w:rPr>
      </w:pPr>
      <w:r w:rsidRPr="00EA550A">
        <w:rPr>
          <w:sz w:val="22"/>
          <w:lang w:eastAsia="en-AU"/>
        </w:rPr>
        <w:t>Declining budget allocations for education have resulted in decreased funding to schools. The effect of this decreased funding is most evident in the shift from the</w:t>
      </w:r>
      <w:r w:rsidR="007D43AC" w:rsidRPr="00EA550A">
        <w:rPr>
          <w:sz w:val="22"/>
          <w:lang w:eastAsia="en-AU"/>
        </w:rPr>
        <w:t xml:space="preserve"> Tuition Fee Free Education</w:t>
      </w:r>
      <w:r w:rsidRPr="00EA550A">
        <w:rPr>
          <w:sz w:val="22"/>
          <w:lang w:eastAsia="en-AU"/>
        </w:rPr>
        <w:t xml:space="preserve"> </w:t>
      </w:r>
      <w:r w:rsidR="007D43AC" w:rsidRPr="00EA550A">
        <w:rPr>
          <w:sz w:val="22"/>
          <w:lang w:eastAsia="en-AU"/>
        </w:rPr>
        <w:t>(</w:t>
      </w:r>
      <w:r w:rsidRPr="00EA550A">
        <w:rPr>
          <w:sz w:val="22"/>
          <w:lang w:eastAsia="en-AU"/>
        </w:rPr>
        <w:t>TFFE</w:t>
      </w:r>
      <w:r w:rsidR="007D43AC" w:rsidRPr="00EA550A">
        <w:rPr>
          <w:sz w:val="22"/>
          <w:lang w:eastAsia="en-AU"/>
        </w:rPr>
        <w:t>)</w:t>
      </w:r>
      <w:r w:rsidRPr="00EA550A">
        <w:rPr>
          <w:sz w:val="22"/>
          <w:lang w:eastAsia="en-AU"/>
        </w:rPr>
        <w:t xml:space="preserve"> policy introduced in 2012 to the GTFS policy effective in 2020. The stable funding of the TFFE between 2012 to 2019 has fallen sharply since 2020 such that in 2021, the tuition subsidy is approximately 45 percent of the pre-2020 (TFFE) levels. This reduction in support to schools comes at a time of reduced household income due to the economic effects of the COVID-19 pandemic. A PNG National Research Institute study on the benefits of the TFFE revealed that the greatest benefit was to disadvantaged and low-income families.</w:t>
      </w:r>
      <w:r w:rsidRPr="00EA550A">
        <w:rPr>
          <w:rStyle w:val="FootnoteReference"/>
          <w:sz w:val="22"/>
          <w:lang w:eastAsia="en-AU"/>
        </w:rPr>
        <w:footnoteReference w:id="10"/>
      </w:r>
      <w:r w:rsidRPr="00EA550A">
        <w:rPr>
          <w:sz w:val="22"/>
          <w:lang w:eastAsia="en-AU"/>
        </w:rPr>
        <w:t xml:space="preserve">  With a move away from free tuition to subsidised enrolment, coinciding with the COVID-19 pandemic, it is the most disadvantaged families that are suffering the most.</w:t>
      </w:r>
      <w:r w:rsidRPr="00EA550A">
        <w:rPr>
          <w:rStyle w:val="FootnoteReference"/>
          <w:sz w:val="22"/>
          <w:lang w:eastAsia="en-AU"/>
        </w:rPr>
        <w:footnoteReference w:id="11"/>
      </w:r>
    </w:p>
    <w:p w14:paraId="6FE8D750" w14:textId="672120DB" w:rsidR="002137DE" w:rsidRPr="00060D11" w:rsidRDefault="001F26A6" w:rsidP="00EA550A">
      <w:pPr>
        <w:pStyle w:val="ListParagraph"/>
        <w:numPr>
          <w:ilvl w:val="0"/>
          <w:numId w:val="71"/>
        </w:numPr>
        <w:spacing w:after="120" w:line="276" w:lineRule="auto"/>
        <w:rPr>
          <w:sz w:val="22"/>
        </w:rPr>
      </w:pPr>
      <w:r w:rsidRPr="00060D11">
        <w:rPr>
          <w:b/>
          <w:bCs/>
          <w:sz w:val="22"/>
          <w:lang w:eastAsia="en-AU"/>
        </w:rPr>
        <w:t xml:space="preserve">Unqualified teachers and poor quality of teaching: </w:t>
      </w:r>
      <w:r w:rsidRPr="00060D11">
        <w:rPr>
          <w:sz w:val="22"/>
          <w:lang w:eastAsia="en-AU"/>
        </w:rPr>
        <w:t xml:space="preserve">The government policy of universal basic education (introduced over two decades ago), coupled with the introduction of the TFFE in 2012, led to the rapid expansion of the basic education system. However, there were few qualified teachers who could be assigned to meet the high demand for teachers resulting from the expansion. As a result, teachers with lower qualifications – some with less than Grade 10 </w:t>
      </w:r>
      <w:r w:rsidR="003C05F4" w:rsidRPr="00060D11">
        <w:rPr>
          <w:sz w:val="22"/>
          <w:lang w:eastAsia="en-AU"/>
        </w:rPr>
        <w:t>–</w:t>
      </w:r>
      <w:r w:rsidRPr="00060D11">
        <w:rPr>
          <w:sz w:val="22"/>
          <w:lang w:eastAsia="en-AU"/>
        </w:rPr>
        <w:t xml:space="preserve"> were appointed as teachers in elementary schools with the assumption that these teachers would be able to teach children in the early grades. To compensate for the low levels of teacher qualifications and preparedness in the early grades, scripted lessons were introduced as part of the Standards</w:t>
      </w:r>
      <w:r w:rsidR="005E085E" w:rsidRPr="00060D11">
        <w:rPr>
          <w:sz w:val="22"/>
          <w:lang w:eastAsia="en-AU"/>
        </w:rPr>
        <w:t xml:space="preserve"> </w:t>
      </w:r>
      <w:r w:rsidRPr="00060D11">
        <w:rPr>
          <w:sz w:val="22"/>
          <w:lang w:eastAsia="en-AU"/>
        </w:rPr>
        <w:t>Based Curriculum (SBC) to assist teachers to help children to learn.</w:t>
      </w:r>
      <w:r w:rsidRPr="00060D11">
        <w:rPr>
          <w:rStyle w:val="FootnoteReference"/>
          <w:sz w:val="22"/>
          <w:lang w:eastAsia="en-AU"/>
        </w:rPr>
        <w:footnoteReference w:id="12"/>
      </w:r>
      <w:r w:rsidRPr="00060D11">
        <w:rPr>
          <w:sz w:val="22"/>
          <w:lang w:eastAsia="en-AU"/>
        </w:rPr>
        <w:t xml:space="preserve"> </w:t>
      </w:r>
      <w:r w:rsidRPr="00060D11">
        <w:rPr>
          <w:rStyle w:val="FootnoteReference"/>
          <w:sz w:val="22"/>
          <w:lang w:eastAsia="en-AU"/>
        </w:rPr>
        <w:footnoteReference w:id="13"/>
      </w:r>
      <w:r w:rsidRPr="00060D11">
        <w:rPr>
          <w:sz w:val="22"/>
          <w:lang w:eastAsia="en-AU"/>
        </w:rPr>
        <w:t xml:space="preserve"> However, not all teachers have received the SBC or the scripted lessons and even fewer have received training on the way in which the SBC scripted lessons are to be used.</w:t>
      </w:r>
      <w:r w:rsidRPr="00060D11">
        <w:rPr>
          <w:rStyle w:val="FootnoteReference"/>
          <w:sz w:val="22"/>
          <w:lang w:eastAsia="en-AU"/>
        </w:rPr>
        <w:footnoteReference w:id="14"/>
      </w:r>
      <w:r w:rsidRPr="00060D11">
        <w:rPr>
          <w:sz w:val="22"/>
          <w:lang w:eastAsia="en-AU"/>
        </w:rPr>
        <w:t xml:space="preserve"> </w:t>
      </w:r>
    </w:p>
    <w:p w14:paraId="1C08AC24" w14:textId="77777777" w:rsidR="001F26A6" w:rsidRPr="00060D11" w:rsidRDefault="001F26A6" w:rsidP="00477C43">
      <w:pPr>
        <w:pStyle w:val="ListParagraph"/>
        <w:spacing w:after="120" w:line="276" w:lineRule="auto"/>
        <w:ind w:left="360"/>
        <w:rPr>
          <w:lang w:eastAsia="en-AU"/>
        </w:rPr>
      </w:pPr>
    </w:p>
    <w:p w14:paraId="13C0ACD5" w14:textId="517E27E4" w:rsidR="001F26A6" w:rsidRPr="00060D11" w:rsidRDefault="001F26A6" w:rsidP="004E780D">
      <w:pPr>
        <w:pStyle w:val="ListParagraph"/>
        <w:spacing w:after="120" w:line="276" w:lineRule="auto"/>
        <w:ind w:left="360"/>
        <w:rPr>
          <w:sz w:val="22"/>
        </w:rPr>
      </w:pPr>
      <w:r w:rsidRPr="00060D11">
        <w:rPr>
          <w:sz w:val="22"/>
          <w:lang w:eastAsia="en-AU"/>
        </w:rPr>
        <w:t xml:space="preserve">This also reflects on the limited training and professional development of teachers; in some provinces no training or professional development has been offered to teachers in the past </w:t>
      </w:r>
      <w:r w:rsidR="00C93DFF" w:rsidRPr="00060D11">
        <w:rPr>
          <w:sz w:val="22"/>
          <w:lang w:eastAsia="en-AU"/>
        </w:rPr>
        <w:t>two</w:t>
      </w:r>
      <w:r w:rsidRPr="00060D11">
        <w:rPr>
          <w:sz w:val="22"/>
          <w:lang w:eastAsia="en-AU"/>
        </w:rPr>
        <w:t xml:space="preserve"> years. The concern about the quality of teaching extends to several challenges in teacher preparation as revealed in the 2019 </w:t>
      </w:r>
      <w:r w:rsidR="004E1B9C" w:rsidRPr="00060D11">
        <w:rPr>
          <w:rFonts w:cstheme="minorHAnsi"/>
          <w:sz w:val="22"/>
          <w:szCs w:val="32"/>
        </w:rPr>
        <w:t>Department of Higher Education, Research, Science and Technology</w:t>
      </w:r>
      <w:r w:rsidR="004E1B9C" w:rsidRPr="00060D11">
        <w:rPr>
          <w:rFonts w:cstheme="minorHAnsi"/>
          <w:sz w:val="28"/>
          <w:szCs w:val="28"/>
        </w:rPr>
        <w:t xml:space="preserve"> </w:t>
      </w:r>
      <w:r w:rsidR="004E1B9C" w:rsidRPr="00060D11">
        <w:rPr>
          <w:rFonts w:cstheme="minorHAnsi"/>
          <w:sz w:val="21"/>
          <w:szCs w:val="21"/>
        </w:rPr>
        <w:t>(</w:t>
      </w:r>
      <w:r w:rsidRPr="00060D11">
        <w:rPr>
          <w:sz w:val="22"/>
          <w:lang w:eastAsia="en-AU"/>
        </w:rPr>
        <w:t>DHERST</w:t>
      </w:r>
      <w:r w:rsidR="004E1B9C" w:rsidRPr="00060D11">
        <w:rPr>
          <w:sz w:val="22"/>
          <w:lang w:eastAsia="en-AU"/>
        </w:rPr>
        <w:t>)</w:t>
      </w:r>
      <w:r w:rsidRPr="00060D11">
        <w:rPr>
          <w:sz w:val="22"/>
          <w:lang w:eastAsia="en-AU"/>
        </w:rPr>
        <w:t xml:space="preserve"> study ‘</w:t>
      </w:r>
      <w:r w:rsidRPr="00060D11">
        <w:rPr>
          <w:i/>
          <w:iCs/>
          <w:sz w:val="22"/>
        </w:rPr>
        <w:t>Capacity Needs Assessment of the Primary Teacher Colleges’</w:t>
      </w:r>
      <w:r w:rsidRPr="00060D11">
        <w:rPr>
          <w:sz w:val="22"/>
        </w:rPr>
        <w:t xml:space="preserve"> which revealed weak coordination within the teacher education system, limited upgrading of teacher education faculties and limited alignment of the teacher education curriculum with the school curriculum.</w:t>
      </w:r>
      <w:r w:rsidRPr="00060D11">
        <w:rPr>
          <w:rStyle w:val="FootnoteReference"/>
          <w:sz w:val="22"/>
        </w:rPr>
        <w:footnoteReference w:id="15"/>
      </w:r>
    </w:p>
    <w:p w14:paraId="61B3335B" w14:textId="77777777" w:rsidR="001F26A6" w:rsidRPr="00060D11" w:rsidRDefault="001F26A6" w:rsidP="004E780D">
      <w:pPr>
        <w:pStyle w:val="ListParagraph"/>
        <w:spacing w:after="120" w:line="276" w:lineRule="auto"/>
        <w:ind w:left="360"/>
        <w:rPr>
          <w:lang w:eastAsia="en-AU"/>
        </w:rPr>
      </w:pPr>
    </w:p>
    <w:p w14:paraId="4A002CE7" w14:textId="4BDE5508" w:rsidR="00031C7E" w:rsidRPr="00060D11" w:rsidRDefault="001F26A6" w:rsidP="004E780D">
      <w:pPr>
        <w:pStyle w:val="ListParagraph"/>
        <w:numPr>
          <w:ilvl w:val="0"/>
          <w:numId w:val="46"/>
        </w:numPr>
        <w:spacing w:after="120" w:line="276" w:lineRule="auto"/>
        <w:ind w:left="357"/>
        <w:contextualSpacing w:val="0"/>
        <w:rPr>
          <w:lang w:eastAsia="en-AU"/>
        </w:rPr>
      </w:pPr>
      <w:r w:rsidRPr="00060D11">
        <w:rPr>
          <w:b/>
          <w:bCs/>
          <w:sz w:val="22"/>
          <w:lang w:eastAsia="en-AU"/>
        </w:rPr>
        <w:t xml:space="preserve">Unresolved effects of the proposed re-structuring of the education system: </w:t>
      </w:r>
      <w:r w:rsidRPr="00060D11">
        <w:rPr>
          <w:sz w:val="22"/>
          <w:lang w:eastAsia="en-AU"/>
        </w:rPr>
        <w:t xml:space="preserve">The </w:t>
      </w:r>
      <w:r w:rsidR="00052FC0" w:rsidRPr="00060D11">
        <w:rPr>
          <w:sz w:val="22"/>
          <w:lang w:eastAsia="en-AU"/>
        </w:rPr>
        <w:t xml:space="preserve">NEP </w:t>
      </w:r>
      <w:r w:rsidRPr="00060D11">
        <w:rPr>
          <w:sz w:val="22"/>
          <w:lang w:eastAsia="en-AU"/>
        </w:rPr>
        <w:t xml:space="preserve">2020-2029 includes adoption of a revised basic education structure from a 3-6-4 to a 1-6-6 structure (see Table </w:t>
      </w:r>
      <w:r w:rsidR="00FC4782" w:rsidRPr="00060D11">
        <w:rPr>
          <w:sz w:val="22"/>
          <w:lang w:eastAsia="en-AU"/>
        </w:rPr>
        <w:t>2</w:t>
      </w:r>
      <w:r w:rsidRPr="00060D11">
        <w:rPr>
          <w:sz w:val="22"/>
          <w:lang w:eastAsia="en-AU"/>
        </w:rPr>
        <w:t xml:space="preserve"> below). There are two major effects of this decision to re-structure which do</w:t>
      </w:r>
      <w:r w:rsidR="00C93DFF" w:rsidRPr="00060D11">
        <w:rPr>
          <w:sz w:val="22"/>
          <w:lang w:eastAsia="en-AU"/>
        </w:rPr>
        <w:t>es</w:t>
      </w:r>
      <w:r w:rsidRPr="00060D11">
        <w:rPr>
          <w:sz w:val="22"/>
          <w:lang w:eastAsia="en-AU"/>
        </w:rPr>
        <w:t xml:space="preserve"> not appear to have received adequate attention. One effect is that as elementary schools are phased out, few of the elementary teachers are adequately qualified to teach in primary schools. There is limited information available, even at the sub-national level, on the actual number of elementary teachers who will need to be ‘upgraded’ to qualify for an appointment to a primary school. </w:t>
      </w:r>
    </w:p>
    <w:p w14:paraId="48A34C2F" w14:textId="2B7102CD" w:rsidR="001F26A6" w:rsidRPr="00060D11" w:rsidRDefault="001F26A6" w:rsidP="004E780D">
      <w:pPr>
        <w:pStyle w:val="ListParagraph"/>
        <w:spacing w:after="120" w:line="276" w:lineRule="auto"/>
        <w:ind w:left="357"/>
        <w:contextualSpacing w:val="0"/>
        <w:rPr>
          <w:sz w:val="22"/>
          <w:lang w:eastAsia="en-AU"/>
        </w:rPr>
      </w:pPr>
      <w:r w:rsidRPr="00060D11">
        <w:rPr>
          <w:sz w:val="22"/>
          <w:lang w:eastAsia="en-AU"/>
        </w:rPr>
        <w:t>Second, the elimination of elementary schools will result in over-crowding of primary schools and an increased distance for many children to travel to attend school. This will potentially result in lower enrolment and decreased transition rates in primary school. A related issue is the fiscal capacity of the government to provide teacher salaries even if additional qualified teachers are appointed to teach in primary schools.</w:t>
      </w:r>
    </w:p>
    <w:p w14:paraId="3BAE723A" w14:textId="77777777" w:rsidR="001F26A6" w:rsidRPr="00060D11" w:rsidRDefault="001F26A6" w:rsidP="001F26A6">
      <w:pPr>
        <w:rPr>
          <w:rStyle w:val="BookTitle"/>
        </w:rPr>
      </w:pPr>
    </w:p>
    <w:tbl>
      <w:tblPr>
        <w:tblStyle w:val="TableGrid"/>
        <w:tblW w:w="5000" w:type="pct"/>
        <w:tblInd w:w="85" w:type="dxa"/>
        <w:tblLook w:val="04A0" w:firstRow="1" w:lastRow="0" w:firstColumn="1" w:lastColumn="0" w:noHBand="0" w:noVBand="1"/>
      </w:tblPr>
      <w:tblGrid>
        <w:gridCol w:w="2343"/>
        <w:gridCol w:w="1326"/>
        <w:gridCol w:w="646"/>
        <w:gridCol w:w="535"/>
        <w:gridCol w:w="646"/>
        <w:gridCol w:w="2427"/>
        <w:gridCol w:w="1093"/>
      </w:tblGrid>
      <w:tr w:rsidR="00832B17" w:rsidRPr="00832B17" w14:paraId="59B17407" w14:textId="77777777" w:rsidTr="006561AD">
        <w:trPr>
          <w:trHeight w:val="228"/>
        </w:trPr>
        <w:tc>
          <w:tcPr>
            <w:tcW w:w="5000" w:type="pct"/>
            <w:gridSpan w:val="7"/>
            <w:tcBorders>
              <w:bottom w:val="nil"/>
            </w:tcBorders>
          </w:tcPr>
          <w:p w14:paraId="2E60FC07" w14:textId="298545B8" w:rsidR="001F26A6" w:rsidRPr="00832B17" w:rsidRDefault="001F26A6" w:rsidP="006561AD">
            <w:pPr>
              <w:spacing w:line="216" w:lineRule="auto"/>
              <w:rPr>
                <w:rFonts w:cstheme="majorHAnsi"/>
                <w:b/>
                <w:bCs/>
                <w:color w:val="000000" w:themeColor="text1"/>
                <w:sz w:val="20"/>
                <w:szCs w:val="20"/>
              </w:rPr>
            </w:pPr>
            <w:r w:rsidRPr="00832B17">
              <w:rPr>
                <w:rFonts w:cstheme="majorHAnsi"/>
                <w:b/>
                <w:bCs/>
                <w:color w:val="000000" w:themeColor="text1"/>
                <w:sz w:val="20"/>
                <w:szCs w:val="20"/>
              </w:rPr>
              <w:t xml:space="preserve">Table </w:t>
            </w:r>
            <w:r w:rsidR="00FC4782" w:rsidRPr="00832B17">
              <w:rPr>
                <w:rFonts w:cstheme="majorHAnsi"/>
                <w:b/>
                <w:bCs/>
                <w:color w:val="000000" w:themeColor="text1"/>
                <w:sz w:val="20"/>
                <w:szCs w:val="20"/>
              </w:rPr>
              <w:t>2</w:t>
            </w:r>
            <w:r w:rsidRPr="00832B17">
              <w:rPr>
                <w:rFonts w:cstheme="majorHAnsi"/>
                <w:b/>
                <w:bCs/>
                <w:color w:val="000000" w:themeColor="text1"/>
                <w:sz w:val="20"/>
                <w:szCs w:val="20"/>
              </w:rPr>
              <w:t>: National Education System Restructure</w:t>
            </w:r>
          </w:p>
        </w:tc>
      </w:tr>
      <w:tr w:rsidR="00832B17" w:rsidRPr="00832B17" w14:paraId="3302A621" w14:textId="77777777" w:rsidTr="006561AD">
        <w:trPr>
          <w:trHeight w:val="456"/>
        </w:trPr>
        <w:tc>
          <w:tcPr>
            <w:tcW w:w="2046" w:type="pct"/>
            <w:gridSpan w:val="2"/>
            <w:tcBorders>
              <w:bottom w:val="nil"/>
            </w:tcBorders>
          </w:tcPr>
          <w:p w14:paraId="07BD286F" w14:textId="77777777" w:rsidR="001F26A6" w:rsidRPr="00832B17" w:rsidRDefault="001F26A6" w:rsidP="006561AD">
            <w:pPr>
              <w:spacing w:line="216" w:lineRule="auto"/>
              <w:jc w:val="center"/>
              <w:rPr>
                <w:rFonts w:cstheme="majorHAnsi"/>
                <w:b/>
                <w:bCs/>
                <w:color w:val="000000" w:themeColor="text1"/>
                <w:sz w:val="20"/>
                <w:szCs w:val="20"/>
              </w:rPr>
            </w:pPr>
            <w:r w:rsidRPr="00832B17">
              <w:rPr>
                <w:rFonts w:cstheme="majorHAnsi"/>
                <w:b/>
                <w:bCs/>
                <w:color w:val="000000" w:themeColor="text1"/>
                <w:sz w:val="20"/>
                <w:szCs w:val="20"/>
              </w:rPr>
              <w:t>Previous NEP (2015-2019)</w:t>
            </w:r>
          </w:p>
          <w:p w14:paraId="7EC4CF69"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3-6-4 structure</w:t>
            </w:r>
          </w:p>
        </w:tc>
        <w:tc>
          <w:tcPr>
            <w:tcW w:w="327" w:type="pct"/>
            <w:vAlign w:val="center"/>
          </w:tcPr>
          <w:p w14:paraId="5F55EBF9" w14:textId="77777777" w:rsidR="001F26A6" w:rsidRPr="00832B17" w:rsidRDefault="001F26A6" w:rsidP="006561AD">
            <w:pPr>
              <w:spacing w:line="216" w:lineRule="auto"/>
              <w:jc w:val="center"/>
              <w:rPr>
                <w:rFonts w:cstheme="majorHAnsi"/>
                <w:b/>
                <w:bCs/>
                <w:color w:val="000000" w:themeColor="text1"/>
                <w:sz w:val="20"/>
                <w:szCs w:val="20"/>
              </w:rPr>
            </w:pPr>
          </w:p>
        </w:tc>
        <w:tc>
          <w:tcPr>
            <w:tcW w:w="302" w:type="pct"/>
            <w:vMerge w:val="restart"/>
            <w:vAlign w:val="center"/>
          </w:tcPr>
          <w:p w14:paraId="7E4AA0F8" w14:textId="77777777" w:rsidR="001F26A6" w:rsidRPr="00832B17" w:rsidRDefault="001F26A6" w:rsidP="006561AD">
            <w:pPr>
              <w:spacing w:line="216" w:lineRule="auto"/>
              <w:jc w:val="center"/>
              <w:rPr>
                <w:rFonts w:cstheme="majorHAnsi"/>
                <w:b/>
                <w:bCs/>
                <w:color w:val="000000" w:themeColor="text1"/>
                <w:sz w:val="20"/>
                <w:szCs w:val="20"/>
              </w:rPr>
            </w:pPr>
            <w:r w:rsidRPr="00832B17">
              <w:rPr>
                <w:rFonts w:cstheme="majorHAnsi"/>
                <w:b/>
                <w:bCs/>
                <w:color w:val="000000" w:themeColor="text1"/>
                <w:sz w:val="20"/>
                <w:szCs w:val="20"/>
              </w:rPr>
              <w:t>Age</w:t>
            </w:r>
          </w:p>
        </w:tc>
        <w:tc>
          <w:tcPr>
            <w:tcW w:w="362" w:type="pct"/>
          </w:tcPr>
          <w:p w14:paraId="100E516B" w14:textId="77777777" w:rsidR="001F26A6" w:rsidRPr="00832B17" w:rsidRDefault="001F26A6" w:rsidP="006561AD">
            <w:pPr>
              <w:spacing w:line="216" w:lineRule="auto"/>
              <w:jc w:val="center"/>
              <w:rPr>
                <w:rFonts w:cstheme="majorHAnsi"/>
                <w:b/>
                <w:bCs/>
                <w:color w:val="000000" w:themeColor="text1"/>
                <w:sz w:val="20"/>
                <w:szCs w:val="20"/>
              </w:rPr>
            </w:pPr>
          </w:p>
        </w:tc>
        <w:tc>
          <w:tcPr>
            <w:tcW w:w="1962" w:type="pct"/>
            <w:gridSpan w:val="2"/>
          </w:tcPr>
          <w:p w14:paraId="10562B26" w14:textId="77777777" w:rsidR="001F26A6" w:rsidRPr="00832B17" w:rsidRDefault="001F26A6" w:rsidP="006561AD">
            <w:pPr>
              <w:spacing w:line="216" w:lineRule="auto"/>
              <w:jc w:val="center"/>
              <w:rPr>
                <w:rFonts w:cstheme="majorHAnsi"/>
                <w:b/>
                <w:bCs/>
                <w:color w:val="000000" w:themeColor="text1"/>
                <w:sz w:val="20"/>
                <w:szCs w:val="20"/>
              </w:rPr>
            </w:pPr>
            <w:r w:rsidRPr="00832B17">
              <w:rPr>
                <w:rFonts w:cstheme="majorHAnsi"/>
                <w:b/>
                <w:bCs/>
                <w:color w:val="000000" w:themeColor="text1"/>
                <w:sz w:val="20"/>
                <w:szCs w:val="20"/>
              </w:rPr>
              <w:t>New NEP (2020-2029)</w:t>
            </w:r>
          </w:p>
          <w:p w14:paraId="54C209E6"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1-6-6 structure</w:t>
            </w:r>
          </w:p>
        </w:tc>
      </w:tr>
      <w:tr w:rsidR="00832B17" w:rsidRPr="00832B17" w14:paraId="3F23C23A" w14:textId="77777777" w:rsidTr="006561AD">
        <w:trPr>
          <w:trHeight w:val="228"/>
        </w:trPr>
        <w:tc>
          <w:tcPr>
            <w:tcW w:w="1305" w:type="pct"/>
            <w:tcBorders>
              <w:bottom w:val="nil"/>
            </w:tcBorders>
          </w:tcPr>
          <w:p w14:paraId="07AC1735" w14:textId="77777777" w:rsidR="001F26A6" w:rsidRPr="00832B17" w:rsidRDefault="001F26A6" w:rsidP="006561AD">
            <w:pPr>
              <w:spacing w:line="216" w:lineRule="auto"/>
              <w:rPr>
                <w:rFonts w:cstheme="majorHAnsi"/>
                <w:color w:val="000000" w:themeColor="text1"/>
                <w:sz w:val="20"/>
                <w:szCs w:val="20"/>
              </w:rPr>
            </w:pPr>
            <w:r w:rsidRPr="00832B17">
              <w:rPr>
                <w:rFonts w:cstheme="majorHAnsi"/>
                <w:b/>
                <w:bCs/>
                <w:color w:val="000000" w:themeColor="text1"/>
                <w:sz w:val="20"/>
                <w:szCs w:val="20"/>
              </w:rPr>
              <w:t>Classification</w:t>
            </w:r>
          </w:p>
        </w:tc>
        <w:tc>
          <w:tcPr>
            <w:tcW w:w="741" w:type="pct"/>
          </w:tcPr>
          <w:p w14:paraId="70031036" w14:textId="77777777" w:rsidR="001F26A6" w:rsidRPr="00832B17" w:rsidRDefault="001F26A6" w:rsidP="006561AD">
            <w:pPr>
              <w:spacing w:line="216" w:lineRule="auto"/>
              <w:rPr>
                <w:rFonts w:cstheme="majorHAnsi"/>
                <w:b/>
                <w:bCs/>
                <w:color w:val="000000" w:themeColor="text1"/>
                <w:sz w:val="20"/>
                <w:szCs w:val="20"/>
              </w:rPr>
            </w:pPr>
            <w:r w:rsidRPr="00832B17">
              <w:rPr>
                <w:rFonts w:cstheme="majorHAnsi"/>
                <w:b/>
                <w:bCs/>
                <w:color w:val="000000" w:themeColor="text1"/>
                <w:sz w:val="20"/>
                <w:szCs w:val="20"/>
              </w:rPr>
              <w:t>Grade</w:t>
            </w:r>
          </w:p>
        </w:tc>
        <w:tc>
          <w:tcPr>
            <w:tcW w:w="327" w:type="pct"/>
          </w:tcPr>
          <w:p w14:paraId="4091DE27" w14:textId="77777777" w:rsidR="001F26A6" w:rsidRPr="00832B17" w:rsidRDefault="001F26A6" w:rsidP="006561AD">
            <w:pPr>
              <w:spacing w:line="216" w:lineRule="auto"/>
              <w:jc w:val="center"/>
              <w:rPr>
                <w:rFonts w:cstheme="majorHAnsi"/>
                <w:b/>
                <w:bCs/>
                <w:color w:val="000000" w:themeColor="text1"/>
                <w:sz w:val="20"/>
                <w:szCs w:val="20"/>
              </w:rPr>
            </w:pPr>
            <w:r w:rsidRPr="00832B17">
              <w:rPr>
                <w:rFonts w:cstheme="majorHAnsi"/>
                <w:b/>
                <w:bCs/>
                <w:color w:val="000000" w:themeColor="text1"/>
                <w:sz w:val="20"/>
                <w:szCs w:val="20"/>
              </w:rPr>
              <w:t>Level</w:t>
            </w:r>
          </w:p>
        </w:tc>
        <w:tc>
          <w:tcPr>
            <w:tcW w:w="302" w:type="pct"/>
            <w:vMerge/>
          </w:tcPr>
          <w:p w14:paraId="370465CB" w14:textId="77777777" w:rsidR="001F26A6" w:rsidRPr="00832B17" w:rsidRDefault="001F26A6" w:rsidP="006561AD">
            <w:pPr>
              <w:spacing w:line="216" w:lineRule="auto"/>
              <w:jc w:val="center"/>
              <w:rPr>
                <w:rFonts w:cstheme="majorHAnsi"/>
                <w:b/>
                <w:bCs/>
                <w:color w:val="000000" w:themeColor="text1"/>
                <w:sz w:val="20"/>
                <w:szCs w:val="20"/>
              </w:rPr>
            </w:pPr>
          </w:p>
        </w:tc>
        <w:tc>
          <w:tcPr>
            <w:tcW w:w="362" w:type="pct"/>
          </w:tcPr>
          <w:p w14:paraId="3EC1FE9A" w14:textId="77777777" w:rsidR="001F26A6" w:rsidRPr="00832B17" w:rsidRDefault="001F26A6" w:rsidP="006561AD">
            <w:pPr>
              <w:spacing w:line="216" w:lineRule="auto"/>
              <w:jc w:val="center"/>
              <w:rPr>
                <w:rFonts w:cstheme="majorHAnsi"/>
                <w:b/>
                <w:bCs/>
                <w:color w:val="000000" w:themeColor="text1"/>
                <w:sz w:val="20"/>
                <w:szCs w:val="20"/>
              </w:rPr>
            </w:pPr>
            <w:r w:rsidRPr="00832B17">
              <w:rPr>
                <w:rFonts w:cstheme="majorHAnsi"/>
                <w:b/>
                <w:bCs/>
                <w:color w:val="000000" w:themeColor="text1"/>
                <w:sz w:val="20"/>
                <w:szCs w:val="20"/>
              </w:rPr>
              <w:t>Level</w:t>
            </w:r>
          </w:p>
        </w:tc>
        <w:tc>
          <w:tcPr>
            <w:tcW w:w="1352" w:type="pct"/>
          </w:tcPr>
          <w:p w14:paraId="33513C54" w14:textId="77777777" w:rsidR="001F26A6" w:rsidRPr="00832B17" w:rsidRDefault="001F26A6" w:rsidP="006561AD">
            <w:pPr>
              <w:spacing w:line="216" w:lineRule="auto"/>
              <w:rPr>
                <w:rFonts w:cstheme="majorHAnsi"/>
                <w:b/>
                <w:bCs/>
                <w:color w:val="000000" w:themeColor="text1"/>
                <w:sz w:val="20"/>
                <w:szCs w:val="20"/>
              </w:rPr>
            </w:pPr>
            <w:r w:rsidRPr="00832B17">
              <w:rPr>
                <w:rFonts w:cstheme="majorHAnsi"/>
                <w:b/>
                <w:bCs/>
                <w:color w:val="000000" w:themeColor="text1"/>
                <w:sz w:val="20"/>
                <w:szCs w:val="20"/>
              </w:rPr>
              <w:t xml:space="preserve">Classification </w:t>
            </w:r>
          </w:p>
        </w:tc>
        <w:tc>
          <w:tcPr>
            <w:tcW w:w="610" w:type="pct"/>
          </w:tcPr>
          <w:p w14:paraId="4E8428F3" w14:textId="77777777" w:rsidR="001F26A6" w:rsidRPr="00832B17" w:rsidRDefault="001F26A6" w:rsidP="006561AD">
            <w:pPr>
              <w:spacing w:line="216" w:lineRule="auto"/>
              <w:rPr>
                <w:rFonts w:cstheme="majorHAnsi"/>
                <w:b/>
                <w:bCs/>
                <w:color w:val="000000" w:themeColor="text1"/>
                <w:sz w:val="20"/>
                <w:szCs w:val="20"/>
              </w:rPr>
            </w:pPr>
            <w:r w:rsidRPr="00832B17">
              <w:rPr>
                <w:rFonts w:cstheme="majorHAnsi"/>
                <w:b/>
                <w:bCs/>
                <w:color w:val="000000" w:themeColor="text1"/>
                <w:sz w:val="20"/>
                <w:szCs w:val="20"/>
              </w:rPr>
              <w:t>Grade</w:t>
            </w:r>
          </w:p>
        </w:tc>
      </w:tr>
      <w:tr w:rsidR="00832B17" w:rsidRPr="00832B17" w14:paraId="691022A8" w14:textId="77777777" w:rsidTr="006561AD">
        <w:trPr>
          <w:trHeight w:val="927"/>
        </w:trPr>
        <w:tc>
          <w:tcPr>
            <w:tcW w:w="2046" w:type="pct"/>
            <w:gridSpan w:val="2"/>
            <w:vMerge w:val="restart"/>
          </w:tcPr>
          <w:p w14:paraId="59DEFDA4"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 xml:space="preserve">Children at home, play groups or day cares. Regulated by the National Office of Child and Family Services under the </w:t>
            </w:r>
            <w:r w:rsidRPr="00832B17">
              <w:rPr>
                <w:rFonts w:cstheme="majorHAnsi"/>
                <w:i/>
                <w:iCs/>
                <w:color w:val="000000" w:themeColor="text1"/>
                <w:sz w:val="20"/>
                <w:szCs w:val="20"/>
              </w:rPr>
              <w:t>Lukautim Pikinini</w:t>
            </w:r>
            <w:r w:rsidRPr="00832B17">
              <w:rPr>
                <w:rFonts w:cstheme="majorHAnsi"/>
                <w:color w:val="000000" w:themeColor="text1"/>
                <w:sz w:val="20"/>
                <w:szCs w:val="20"/>
              </w:rPr>
              <w:t xml:space="preserve"> Act.</w:t>
            </w:r>
          </w:p>
        </w:tc>
        <w:tc>
          <w:tcPr>
            <w:tcW w:w="327" w:type="pct"/>
          </w:tcPr>
          <w:p w14:paraId="5AB55CDC" w14:textId="77777777" w:rsidR="001F26A6" w:rsidRPr="00832B17" w:rsidRDefault="001F26A6" w:rsidP="006561AD">
            <w:pPr>
              <w:spacing w:line="216" w:lineRule="auto"/>
              <w:jc w:val="center"/>
              <w:rPr>
                <w:rFonts w:cstheme="majorHAnsi"/>
                <w:color w:val="000000" w:themeColor="text1"/>
                <w:sz w:val="20"/>
                <w:szCs w:val="20"/>
              </w:rPr>
            </w:pPr>
          </w:p>
        </w:tc>
        <w:tc>
          <w:tcPr>
            <w:tcW w:w="302" w:type="pct"/>
            <w:shd w:val="clear" w:color="auto" w:fill="FFFFFF" w:themeFill="background1"/>
          </w:tcPr>
          <w:p w14:paraId="7AB84D6B"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0-3</w:t>
            </w:r>
          </w:p>
        </w:tc>
        <w:tc>
          <w:tcPr>
            <w:tcW w:w="362" w:type="pct"/>
          </w:tcPr>
          <w:p w14:paraId="0B7EF87C" w14:textId="77777777" w:rsidR="001F26A6" w:rsidRPr="00832B17" w:rsidRDefault="001F26A6" w:rsidP="006561AD">
            <w:pPr>
              <w:spacing w:line="216" w:lineRule="auto"/>
              <w:rPr>
                <w:rFonts w:cstheme="majorHAnsi"/>
                <w:color w:val="000000" w:themeColor="text1"/>
                <w:sz w:val="20"/>
                <w:szCs w:val="20"/>
              </w:rPr>
            </w:pPr>
          </w:p>
        </w:tc>
        <w:tc>
          <w:tcPr>
            <w:tcW w:w="1962" w:type="pct"/>
            <w:gridSpan w:val="2"/>
          </w:tcPr>
          <w:p w14:paraId="210F7534"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 xml:space="preserve">Children at home, play groups or day cares. Regulated by the National Office of Child and Family Services under the </w:t>
            </w:r>
            <w:r w:rsidRPr="00832B17">
              <w:rPr>
                <w:rFonts w:cstheme="majorHAnsi"/>
                <w:i/>
                <w:iCs/>
                <w:color w:val="000000" w:themeColor="text1"/>
                <w:sz w:val="20"/>
                <w:szCs w:val="20"/>
              </w:rPr>
              <w:t>Lukautim Pikinini</w:t>
            </w:r>
            <w:r w:rsidRPr="00832B17">
              <w:rPr>
                <w:rFonts w:cstheme="majorHAnsi"/>
                <w:color w:val="000000" w:themeColor="text1"/>
                <w:sz w:val="20"/>
                <w:szCs w:val="20"/>
              </w:rPr>
              <w:t xml:space="preserve"> Act.</w:t>
            </w:r>
          </w:p>
        </w:tc>
      </w:tr>
      <w:tr w:rsidR="00832B17" w:rsidRPr="00832B17" w14:paraId="74E2E13F" w14:textId="77777777" w:rsidTr="006561AD">
        <w:trPr>
          <w:trHeight w:val="247"/>
        </w:trPr>
        <w:tc>
          <w:tcPr>
            <w:tcW w:w="2046" w:type="pct"/>
            <w:gridSpan w:val="2"/>
            <w:vMerge/>
          </w:tcPr>
          <w:p w14:paraId="2B0E6DE9" w14:textId="77777777" w:rsidR="001F26A6" w:rsidRPr="00832B17" w:rsidRDefault="001F26A6" w:rsidP="006561AD">
            <w:pPr>
              <w:spacing w:line="216" w:lineRule="auto"/>
              <w:rPr>
                <w:rFonts w:cstheme="majorHAnsi"/>
                <w:color w:val="000000" w:themeColor="text1"/>
                <w:sz w:val="20"/>
                <w:szCs w:val="20"/>
              </w:rPr>
            </w:pPr>
          </w:p>
        </w:tc>
        <w:tc>
          <w:tcPr>
            <w:tcW w:w="327" w:type="pct"/>
          </w:tcPr>
          <w:p w14:paraId="639B462E" w14:textId="77777777" w:rsidR="001F26A6" w:rsidRPr="00832B17" w:rsidRDefault="001F26A6" w:rsidP="006561AD">
            <w:pPr>
              <w:spacing w:line="216" w:lineRule="auto"/>
              <w:jc w:val="center"/>
              <w:rPr>
                <w:rFonts w:cstheme="majorHAnsi"/>
                <w:color w:val="000000" w:themeColor="text1"/>
                <w:sz w:val="20"/>
                <w:szCs w:val="20"/>
              </w:rPr>
            </w:pPr>
          </w:p>
        </w:tc>
        <w:tc>
          <w:tcPr>
            <w:tcW w:w="302" w:type="pct"/>
            <w:shd w:val="clear" w:color="auto" w:fill="FFFFFF" w:themeFill="background1"/>
          </w:tcPr>
          <w:p w14:paraId="56E037F0"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4-5</w:t>
            </w:r>
          </w:p>
        </w:tc>
        <w:tc>
          <w:tcPr>
            <w:tcW w:w="362" w:type="pct"/>
          </w:tcPr>
          <w:p w14:paraId="72CEDB3C" w14:textId="77777777" w:rsidR="001F26A6" w:rsidRPr="00832B17" w:rsidRDefault="001F26A6" w:rsidP="006561AD">
            <w:pPr>
              <w:spacing w:line="216" w:lineRule="auto"/>
              <w:rPr>
                <w:rFonts w:cstheme="majorHAnsi"/>
                <w:color w:val="000000" w:themeColor="text1"/>
                <w:sz w:val="20"/>
                <w:szCs w:val="20"/>
              </w:rPr>
            </w:pPr>
          </w:p>
        </w:tc>
        <w:tc>
          <w:tcPr>
            <w:tcW w:w="1962" w:type="pct"/>
            <w:gridSpan w:val="2"/>
          </w:tcPr>
          <w:p w14:paraId="04BD7FF7"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Early Childhood Education</w:t>
            </w:r>
          </w:p>
        </w:tc>
      </w:tr>
      <w:tr w:rsidR="00832B17" w:rsidRPr="00832B17" w14:paraId="1F9DC77E" w14:textId="77777777" w:rsidTr="006561AD">
        <w:trPr>
          <w:trHeight w:val="228"/>
        </w:trPr>
        <w:tc>
          <w:tcPr>
            <w:tcW w:w="1305" w:type="pct"/>
            <w:tcBorders>
              <w:bottom w:val="nil"/>
            </w:tcBorders>
            <w:shd w:val="clear" w:color="auto" w:fill="F2F2F2" w:themeFill="background1" w:themeFillShade="F2"/>
          </w:tcPr>
          <w:p w14:paraId="3EE828C5"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Elementary</w:t>
            </w:r>
          </w:p>
        </w:tc>
        <w:tc>
          <w:tcPr>
            <w:tcW w:w="741" w:type="pct"/>
            <w:shd w:val="clear" w:color="auto" w:fill="F2F2F2" w:themeFill="background1" w:themeFillShade="F2"/>
          </w:tcPr>
          <w:p w14:paraId="6B70E335"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Preparatory</w:t>
            </w:r>
          </w:p>
        </w:tc>
        <w:tc>
          <w:tcPr>
            <w:tcW w:w="327" w:type="pct"/>
            <w:shd w:val="clear" w:color="auto" w:fill="F2F2F2" w:themeFill="background1" w:themeFillShade="F2"/>
          </w:tcPr>
          <w:p w14:paraId="64C959B2"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3-1</w:t>
            </w:r>
          </w:p>
        </w:tc>
        <w:tc>
          <w:tcPr>
            <w:tcW w:w="302" w:type="pct"/>
            <w:shd w:val="clear" w:color="auto" w:fill="FFFFFF" w:themeFill="background1"/>
          </w:tcPr>
          <w:p w14:paraId="1B82DBCE"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w:t>
            </w:r>
          </w:p>
        </w:tc>
        <w:tc>
          <w:tcPr>
            <w:tcW w:w="362" w:type="pct"/>
            <w:shd w:val="clear" w:color="auto" w:fill="F2F2F2" w:themeFill="background1" w:themeFillShade="F2"/>
          </w:tcPr>
          <w:p w14:paraId="06373506"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1-1</w:t>
            </w:r>
          </w:p>
        </w:tc>
        <w:tc>
          <w:tcPr>
            <w:tcW w:w="1352" w:type="pct"/>
            <w:tcBorders>
              <w:top w:val="single" w:sz="4" w:space="0" w:color="auto"/>
              <w:bottom w:val="single" w:sz="4" w:space="0" w:color="auto"/>
            </w:tcBorders>
            <w:shd w:val="clear" w:color="auto" w:fill="F2F2F2" w:themeFill="background1" w:themeFillShade="F2"/>
          </w:tcPr>
          <w:p w14:paraId="0EF9C9BA"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Preparatory</w:t>
            </w:r>
          </w:p>
        </w:tc>
        <w:tc>
          <w:tcPr>
            <w:tcW w:w="610" w:type="pct"/>
            <w:shd w:val="clear" w:color="auto" w:fill="F2F2F2" w:themeFill="background1" w:themeFillShade="F2"/>
          </w:tcPr>
          <w:p w14:paraId="1FBC8DEF"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Pre-school</w:t>
            </w:r>
          </w:p>
        </w:tc>
      </w:tr>
      <w:tr w:rsidR="00832B17" w:rsidRPr="00832B17" w14:paraId="5226CFC9" w14:textId="77777777" w:rsidTr="006561AD">
        <w:trPr>
          <w:trHeight w:val="228"/>
        </w:trPr>
        <w:tc>
          <w:tcPr>
            <w:tcW w:w="1305" w:type="pct"/>
            <w:tcBorders>
              <w:top w:val="nil"/>
              <w:bottom w:val="nil"/>
            </w:tcBorders>
            <w:shd w:val="clear" w:color="auto" w:fill="F2F2F2" w:themeFill="background1" w:themeFillShade="F2"/>
          </w:tcPr>
          <w:p w14:paraId="02FAF30F" w14:textId="77777777" w:rsidR="001F26A6" w:rsidRPr="00832B17" w:rsidRDefault="001F26A6" w:rsidP="006561AD">
            <w:pPr>
              <w:spacing w:line="216" w:lineRule="auto"/>
              <w:rPr>
                <w:rFonts w:cstheme="majorHAnsi"/>
                <w:color w:val="000000" w:themeColor="text1"/>
                <w:sz w:val="20"/>
                <w:szCs w:val="20"/>
              </w:rPr>
            </w:pPr>
          </w:p>
        </w:tc>
        <w:tc>
          <w:tcPr>
            <w:tcW w:w="741" w:type="pct"/>
            <w:shd w:val="clear" w:color="auto" w:fill="F2F2F2" w:themeFill="background1" w:themeFillShade="F2"/>
          </w:tcPr>
          <w:p w14:paraId="704B4875"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 xml:space="preserve">Grade E1 </w:t>
            </w:r>
          </w:p>
        </w:tc>
        <w:tc>
          <w:tcPr>
            <w:tcW w:w="327" w:type="pct"/>
            <w:shd w:val="clear" w:color="auto" w:fill="F2F2F2" w:themeFill="background1" w:themeFillShade="F2"/>
          </w:tcPr>
          <w:p w14:paraId="1327B1B0"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3-2</w:t>
            </w:r>
          </w:p>
        </w:tc>
        <w:tc>
          <w:tcPr>
            <w:tcW w:w="302" w:type="pct"/>
            <w:shd w:val="clear" w:color="auto" w:fill="FFFFFF" w:themeFill="background1"/>
          </w:tcPr>
          <w:p w14:paraId="74D856D2"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7</w:t>
            </w:r>
          </w:p>
        </w:tc>
        <w:tc>
          <w:tcPr>
            <w:tcW w:w="362" w:type="pct"/>
            <w:shd w:val="clear" w:color="auto" w:fill="BFBFBF" w:themeFill="background1" w:themeFillShade="BF"/>
          </w:tcPr>
          <w:p w14:paraId="2A87A4BC"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6-1</w:t>
            </w:r>
          </w:p>
        </w:tc>
        <w:tc>
          <w:tcPr>
            <w:tcW w:w="1352" w:type="pct"/>
            <w:tcBorders>
              <w:bottom w:val="nil"/>
            </w:tcBorders>
            <w:shd w:val="clear" w:color="auto" w:fill="BFBFBF" w:themeFill="background1" w:themeFillShade="BF"/>
          </w:tcPr>
          <w:p w14:paraId="30C7903F"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Junior Primary</w:t>
            </w:r>
          </w:p>
        </w:tc>
        <w:tc>
          <w:tcPr>
            <w:tcW w:w="610" w:type="pct"/>
            <w:shd w:val="clear" w:color="auto" w:fill="BFBFBF" w:themeFill="background1" w:themeFillShade="BF"/>
          </w:tcPr>
          <w:p w14:paraId="72F59374"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1</w:t>
            </w:r>
          </w:p>
        </w:tc>
      </w:tr>
      <w:tr w:rsidR="00832B17" w:rsidRPr="00832B17" w14:paraId="7AD23B9E" w14:textId="77777777" w:rsidTr="006561AD">
        <w:trPr>
          <w:trHeight w:val="228"/>
        </w:trPr>
        <w:tc>
          <w:tcPr>
            <w:tcW w:w="1305" w:type="pct"/>
            <w:tcBorders>
              <w:top w:val="nil"/>
              <w:bottom w:val="single" w:sz="4" w:space="0" w:color="auto"/>
            </w:tcBorders>
            <w:shd w:val="clear" w:color="auto" w:fill="F2F2F2" w:themeFill="background1" w:themeFillShade="F2"/>
          </w:tcPr>
          <w:p w14:paraId="35FE3B98" w14:textId="77777777" w:rsidR="001F26A6" w:rsidRPr="00832B17" w:rsidRDefault="001F26A6" w:rsidP="006561AD">
            <w:pPr>
              <w:spacing w:line="216" w:lineRule="auto"/>
              <w:rPr>
                <w:rFonts w:cstheme="majorHAnsi"/>
                <w:color w:val="000000" w:themeColor="text1"/>
                <w:sz w:val="20"/>
                <w:szCs w:val="20"/>
              </w:rPr>
            </w:pPr>
          </w:p>
        </w:tc>
        <w:tc>
          <w:tcPr>
            <w:tcW w:w="741" w:type="pct"/>
            <w:shd w:val="clear" w:color="auto" w:fill="F2F2F2" w:themeFill="background1" w:themeFillShade="F2"/>
          </w:tcPr>
          <w:p w14:paraId="75410D6F"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E2</w:t>
            </w:r>
          </w:p>
        </w:tc>
        <w:tc>
          <w:tcPr>
            <w:tcW w:w="327" w:type="pct"/>
            <w:shd w:val="clear" w:color="auto" w:fill="F2F2F2" w:themeFill="background1" w:themeFillShade="F2"/>
          </w:tcPr>
          <w:p w14:paraId="5BAD45A5"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3-3</w:t>
            </w:r>
          </w:p>
        </w:tc>
        <w:tc>
          <w:tcPr>
            <w:tcW w:w="302" w:type="pct"/>
            <w:shd w:val="clear" w:color="auto" w:fill="FFFFFF" w:themeFill="background1"/>
          </w:tcPr>
          <w:p w14:paraId="2155C18E"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8</w:t>
            </w:r>
          </w:p>
        </w:tc>
        <w:tc>
          <w:tcPr>
            <w:tcW w:w="362" w:type="pct"/>
            <w:shd w:val="clear" w:color="auto" w:fill="BFBFBF" w:themeFill="background1" w:themeFillShade="BF"/>
          </w:tcPr>
          <w:p w14:paraId="71EF2CAA"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6-2</w:t>
            </w:r>
          </w:p>
        </w:tc>
        <w:tc>
          <w:tcPr>
            <w:tcW w:w="1352" w:type="pct"/>
            <w:tcBorders>
              <w:top w:val="nil"/>
              <w:bottom w:val="nil"/>
            </w:tcBorders>
            <w:shd w:val="clear" w:color="auto" w:fill="BFBFBF" w:themeFill="background1" w:themeFillShade="BF"/>
          </w:tcPr>
          <w:p w14:paraId="7F916BEB" w14:textId="77777777" w:rsidR="001F26A6" w:rsidRPr="00832B17" w:rsidRDefault="001F26A6" w:rsidP="006561AD">
            <w:pPr>
              <w:spacing w:line="216" w:lineRule="auto"/>
              <w:rPr>
                <w:rFonts w:cstheme="majorHAnsi"/>
                <w:color w:val="000000" w:themeColor="text1"/>
                <w:sz w:val="20"/>
                <w:szCs w:val="20"/>
              </w:rPr>
            </w:pPr>
          </w:p>
        </w:tc>
        <w:tc>
          <w:tcPr>
            <w:tcW w:w="610" w:type="pct"/>
            <w:shd w:val="clear" w:color="auto" w:fill="BFBFBF" w:themeFill="background1" w:themeFillShade="BF"/>
          </w:tcPr>
          <w:p w14:paraId="08E60173"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2</w:t>
            </w:r>
          </w:p>
        </w:tc>
      </w:tr>
      <w:tr w:rsidR="00832B17" w:rsidRPr="00832B17" w14:paraId="26138D18" w14:textId="77777777" w:rsidTr="006561AD">
        <w:trPr>
          <w:trHeight w:val="228"/>
        </w:trPr>
        <w:tc>
          <w:tcPr>
            <w:tcW w:w="1305" w:type="pct"/>
            <w:tcBorders>
              <w:bottom w:val="nil"/>
            </w:tcBorders>
            <w:shd w:val="clear" w:color="auto" w:fill="BFBFBF" w:themeFill="background1" w:themeFillShade="BF"/>
          </w:tcPr>
          <w:p w14:paraId="6E4607FE"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Lower Primary</w:t>
            </w:r>
          </w:p>
        </w:tc>
        <w:tc>
          <w:tcPr>
            <w:tcW w:w="741" w:type="pct"/>
            <w:shd w:val="clear" w:color="auto" w:fill="BFBFBF" w:themeFill="background1" w:themeFillShade="BF"/>
          </w:tcPr>
          <w:p w14:paraId="0FAD952F"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P3</w:t>
            </w:r>
          </w:p>
        </w:tc>
        <w:tc>
          <w:tcPr>
            <w:tcW w:w="327" w:type="pct"/>
            <w:shd w:val="clear" w:color="auto" w:fill="BFBFBF" w:themeFill="background1" w:themeFillShade="BF"/>
          </w:tcPr>
          <w:p w14:paraId="1140F3EF"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6-1</w:t>
            </w:r>
          </w:p>
        </w:tc>
        <w:tc>
          <w:tcPr>
            <w:tcW w:w="302" w:type="pct"/>
            <w:shd w:val="clear" w:color="auto" w:fill="BFBFBF" w:themeFill="background1" w:themeFillShade="BF"/>
          </w:tcPr>
          <w:p w14:paraId="03DAD2B9"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9</w:t>
            </w:r>
          </w:p>
        </w:tc>
        <w:tc>
          <w:tcPr>
            <w:tcW w:w="362" w:type="pct"/>
            <w:shd w:val="clear" w:color="auto" w:fill="BFBFBF" w:themeFill="background1" w:themeFillShade="BF"/>
          </w:tcPr>
          <w:p w14:paraId="7CD2ADD6"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6-3</w:t>
            </w:r>
          </w:p>
        </w:tc>
        <w:tc>
          <w:tcPr>
            <w:tcW w:w="1352" w:type="pct"/>
            <w:tcBorders>
              <w:top w:val="nil"/>
              <w:bottom w:val="single" w:sz="4" w:space="0" w:color="auto"/>
            </w:tcBorders>
            <w:shd w:val="clear" w:color="auto" w:fill="BFBFBF" w:themeFill="background1" w:themeFillShade="BF"/>
          </w:tcPr>
          <w:p w14:paraId="3963F882" w14:textId="77777777" w:rsidR="001F26A6" w:rsidRPr="00832B17" w:rsidRDefault="001F26A6" w:rsidP="006561AD">
            <w:pPr>
              <w:spacing w:line="216" w:lineRule="auto"/>
              <w:rPr>
                <w:rFonts w:cstheme="majorHAnsi"/>
                <w:color w:val="000000" w:themeColor="text1"/>
                <w:sz w:val="20"/>
                <w:szCs w:val="20"/>
              </w:rPr>
            </w:pPr>
          </w:p>
        </w:tc>
        <w:tc>
          <w:tcPr>
            <w:tcW w:w="610" w:type="pct"/>
            <w:shd w:val="clear" w:color="auto" w:fill="BFBFBF" w:themeFill="background1" w:themeFillShade="BF"/>
          </w:tcPr>
          <w:p w14:paraId="4B41602D"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3</w:t>
            </w:r>
          </w:p>
        </w:tc>
      </w:tr>
      <w:tr w:rsidR="00832B17" w:rsidRPr="00832B17" w14:paraId="73A04C34" w14:textId="77777777" w:rsidTr="006561AD">
        <w:trPr>
          <w:trHeight w:val="228"/>
        </w:trPr>
        <w:tc>
          <w:tcPr>
            <w:tcW w:w="1305" w:type="pct"/>
            <w:tcBorders>
              <w:top w:val="nil"/>
              <w:bottom w:val="nil"/>
            </w:tcBorders>
            <w:shd w:val="clear" w:color="auto" w:fill="BFBFBF" w:themeFill="background1" w:themeFillShade="BF"/>
          </w:tcPr>
          <w:p w14:paraId="57189707" w14:textId="77777777" w:rsidR="001F26A6" w:rsidRPr="00832B17" w:rsidRDefault="001F26A6" w:rsidP="006561AD">
            <w:pPr>
              <w:spacing w:line="216" w:lineRule="auto"/>
              <w:rPr>
                <w:rFonts w:cstheme="majorHAnsi"/>
                <w:color w:val="000000" w:themeColor="text1"/>
                <w:sz w:val="20"/>
                <w:szCs w:val="20"/>
              </w:rPr>
            </w:pPr>
          </w:p>
        </w:tc>
        <w:tc>
          <w:tcPr>
            <w:tcW w:w="741" w:type="pct"/>
            <w:shd w:val="clear" w:color="auto" w:fill="BFBFBF" w:themeFill="background1" w:themeFillShade="BF"/>
          </w:tcPr>
          <w:p w14:paraId="6566C20E"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P4</w:t>
            </w:r>
          </w:p>
        </w:tc>
        <w:tc>
          <w:tcPr>
            <w:tcW w:w="327" w:type="pct"/>
            <w:shd w:val="clear" w:color="auto" w:fill="BFBFBF" w:themeFill="background1" w:themeFillShade="BF"/>
          </w:tcPr>
          <w:p w14:paraId="322F7D1C"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6-2</w:t>
            </w:r>
          </w:p>
        </w:tc>
        <w:tc>
          <w:tcPr>
            <w:tcW w:w="302" w:type="pct"/>
            <w:shd w:val="clear" w:color="auto" w:fill="BFBFBF" w:themeFill="background1" w:themeFillShade="BF"/>
          </w:tcPr>
          <w:p w14:paraId="62DF75D5"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10</w:t>
            </w:r>
          </w:p>
        </w:tc>
        <w:tc>
          <w:tcPr>
            <w:tcW w:w="362" w:type="pct"/>
            <w:shd w:val="clear" w:color="auto" w:fill="BFBFBF" w:themeFill="background1" w:themeFillShade="BF"/>
          </w:tcPr>
          <w:p w14:paraId="31B86457"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6-4</w:t>
            </w:r>
          </w:p>
        </w:tc>
        <w:tc>
          <w:tcPr>
            <w:tcW w:w="1352" w:type="pct"/>
            <w:tcBorders>
              <w:bottom w:val="nil"/>
            </w:tcBorders>
            <w:shd w:val="clear" w:color="auto" w:fill="BFBFBF" w:themeFill="background1" w:themeFillShade="BF"/>
          </w:tcPr>
          <w:p w14:paraId="09EE3008"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Senior Primary</w:t>
            </w:r>
          </w:p>
        </w:tc>
        <w:tc>
          <w:tcPr>
            <w:tcW w:w="610" w:type="pct"/>
            <w:shd w:val="clear" w:color="auto" w:fill="BFBFBF" w:themeFill="background1" w:themeFillShade="BF"/>
          </w:tcPr>
          <w:p w14:paraId="11B54EE4"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4</w:t>
            </w:r>
          </w:p>
        </w:tc>
      </w:tr>
      <w:tr w:rsidR="00832B17" w:rsidRPr="00832B17" w14:paraId="49E29324" w14:textId="77777777" w:rsidTr="006561AD">
        <w:trPr>
          <w:trHeight w:val="228"/>
        </w:trPr>
        <w:tc>
          <w:tcPr>
            <w:tcW w:w="1305" w:type="pct"/>
            <w:tcBorders>
              <w:top w:val="nil"/>
              <w:bottom w:val="single" w:sz="4" w:space="0" w:color="auto"/>
            </w:tcBorders>
            <w:shd w:val="clear" w:color="auto" w:fill="BFBFBF" w:themeFill="background1" w:themeFillShade="BF"/>
          </w:tcPr>
          <w:p w14:paraId="67985CC0" w14:textId="77777777" w:rsidR="001F26A6" w:rsidRPr="00832B17" w:rsidRDefault="001F26A6" w:rsidP="006561AD">
            <w:pPr>
              <w:spacing w:line="216" w:lineRule="auto"/>
              <w:rPr>
                <w:rFonts w:cstheme="majorHAnsi"/>
                <w:color w:val="000000" w:themeColor="text1"/>
                <w:sz w:val="20"/>
                <w:szCs w:val="20"/>
              </w:rPr>
            </w:pPr>
          </w:p>
        </w:tc>
        <w:tc>
          <w:tcPr>
            <w:tcW w:w="741" w:type="pct"/>
            <w:shd w:val="clear" w:color="auto" w:fill="BFBFBF" w:themeFill="background1" w:themeFillShade="BF"/>
          </w:tcPr>
          <w:p w14:paraId="5B2B2750"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P5</w:t>
            </w:r>
          </w:p>
        </w:tc>
        <w:tc>
          <w:tcPr>
            <w:tcW w:w="327" w:type="pct"/>
            <w:shd w:val="clear" w:color="auto" w:fill="BFBFBF" w:themeFill="background1" w:themeFillShade="BF"/>
          </w:tcPr>
          <w:p w14:paraId="219001AE"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6-3</w:t>
            </w:r>
          </w:p>
        </w:tc>
        <w:tc>
          <w:tcPr>
            <w:tcW w:w="302" w:type="pct"/>
            <w:shd w:val="clear" w:color="auto" w:fill="BFBFBF" w:themeFill="background1" w:themeFillShade="BF"/>
          </w:tcPr>
          <w:p w14:paraId="2C9D2CFB"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11</w:t>
            </w:r>
          </w:p>
        </w:tc>
        <w:tc>
          <w:tcPr>
            <w:tcW w:w="362" w:type="pct"/>
            <w:shd w:val="clear" w:color="auto" w:fill="BFBFBF" w:themeFill="background1" w:themeFillShade="BF"/>
          </w:tcPr>
          <w:p w14:paraId="24D35893"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6-5</w:t>
            </w:r>
          </w:p>
        </w:tc>
        <w:tc>
          <w:tcPr>
            <w:tcW w:w="1352" w:type="pct"/>
            <w:tcBorders>
              <w:top w:val="nil"/>
              <w:bottom w:val="nil"/>
            </w:tcBorders>
            <w:shd w:val="clear" w:color="auto" w:fill="BFBFBF" w:themeFill="background1" w:themeFillShade="BF"/>
          </w:tcPr>
          <w:p w14:paraId="5AF9CC81" w14:textId="77777777" w:rsidR="001F26A6" w:rsidRPr="00832B17" w:rsidRDefault="001F26A6" w:rsidP="006561AD">
            <w:pPr>
              <w:spacing w:line="216" w:lineRule="auto"/>
              <w:rPr>
                <w:rFonts w:cstheme="majorHAnsi"/>
                <w:color w:val="000000" w:themeColor="text1"/>
                <w:sz w:val="20"/>
                <w:szCs w:val="20"/>
              </w:rPr>
            </w:pPr>
          </w:p>
        </w:tc>
        <w:tc>
          <w:tcPr>
            <w:tcW w:w="610" w:type="pct"/>
            <w:shd w:val="clear" w:color="auto" w:fill="BFBFBF" w:themeFill="background1" w:themeFillShade="BF"/>
          </w:tcPr>
          <w:p w14:paraId="3C27472E"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5</w:t>
            </w:r>
          </w:p>
        </w:tc>
      </w:tr>
      <w:tr w:rsidR="00832B17" w:rsidRPr="00832B17" w14:paraId="1D0A2439" w14:textId="77777777" w:rsidTr="006561AD">
        <w:trPr>
          <w:trHeight w:val="214"/>
        </w:trPr>
        <w:tc>
          <w:tcPr>
            <w:tcW w:w="1305" w:type="pct"/>
            <w:tcBorders>
              <w:bottom w:val="nil"/>
            </w:tcBorders>
            <w:shd w:val="clear" w:color="auto" w:fill="BFBFBF" w:themeFill="background1" w:themeFillShade="BF"/>
          </w:tcPr>
          <w:p w14:paraId="1433A758"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Upper Primary</w:t>
            </w:r>
          </w:p>
        </w:tc>
        <w:tc>
          <w:tcPr>
            <w:tcW w:w="741" w:type="pct"/>
            <w:shd w:val="clear" w:color="auto" w:fill="BFBFBF" w:themeFill="background1" w:themeFillShade="BF"/>
          </w:tcPr>
          <w:p w14:paraId="1CA79797"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P6</w:t>
            </w:r>
          </w:p>
        </w:tc>
        <w:tc>
          <w:tcPr>
            <w:tcW w:w="327" w:type="pct"/>
            <w:shd w:val="clear" w:color="auto" w:fill="BFBFBF" w:themeFill="background1" w:themeFillShade="BF"/>
          </w:tcPr>
          <w:p w14:paraId="646F2D4E"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6-4</w:t>
            </w:r>
          </w:p>
        </w:tc>
        <w:tc>
          <w:tcPr>
            <w:tcW w:w="302" w:type="pct"/>
            <w:shd w:val="clear" w:color="auto" w:fill="BFBFBF" w:themeFill="background1" w:themeFillShade="BF"/>
          </w:tcPr>
          <w:p w14:paraId="182A050C"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12</w:t>
            </w:r>
          </w:p>
        </w:tc>
        <w:tc>
          <w:tcPr>
            <w:tcW w:w="362" w:type="pct"/>
            <w:shd w:val="clear" w:color="auto" w:fill="BFBFBF" w:themeFill="background1" w:themeFillShade="BF"/>
          </w:tcPr>
          <w:p w14:paraId="1F104C91"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6-6</w:t>
            </w:r>
          </w:p>
        </w:tc>
        <w:tc>
          <w:tcPr>
            <w:tcW w:w="1352" w:type="pct"/>
            <w:tcBorders>
              <w:top w:val="nil"/>
              <w:bottom w:val="single" w:sz="4" w:space="0" w:color="auto"/>
            </w:tcBorders>
            <w:shd w:val="clear" w:color="auto" w:fill="BFBFBF" w:themeFill="background1" w:themeFillShade="BF"/>
          </w:tcPr>
          <w:p w14:paraId="4F561AC9" w14:textId="77777777" w:rsidR="001F26A6" w:rsidRPr="00832B17" w:rsidRDefault="001F26A6" w:rsidP="006561AD">
            <w:pPr>
              <w:spacing w:line="216" w:lineRule="auto"/>
              <w:rPr>
                <w:rFonts w:cstheme="majorHAnsi"/>
                <w:color w:val="000000" w:themeColor="text1"/>
                <w:sz w:val="20"/>
                <w:szCs w:val="20"/>
              </w:rPr>
            </w:pPr>
          </w:p>
        </w:tc>
        <w:tc>
          <w:tcPr>
            <w:tcW w:w="610" w:type="pct"/>
            <w:shd w:val="clear" w:color="auto" w:fill="BFBFBF" w:themeFill="background1" w:themeFillShade="BF"/>
          </w:tcPr>
          <w:p w14:paraId="354E6F21"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6</w:t>
            </w:r>
          </w:p>
        </w:tc>
      </w:tr>
      <w:tr w:rsidR="00832B17" w:rsidRPr="00832B17" w14:paraId="793FA931" w14:textId="77777777" w:rsidTr="006561AD">
        <w:trPr>
          <w:trHeight w:val="228"/>
        </w:trPr>
        <w:tc>
          <w:tcPr>
            <w:tcW w:w="1305" w:type="pct"/>
            <w:tcBorders>
              <w:top w:val="nil"/>
              <w:bottom w:val="nil"/>
            </w:tcBorders>
            <w:shd w:val="clear" w:color="auto" w:fill="BFBFBF" w:themeFill="background1" w:themeFillShade="BF"/>
          </w:tcPr>
          <w:p w14:paraId="291C7361" w14:textId="77777777" w:rsidR="001F26A6" w:rsidRPr="00832B17" w:rsidRDefault="001F26A6" w:rsidP="006561AD">
            <w:pPr>
              <w:spacing w:line="216" w:lineRule="auto"/>
              <w:rPr>
                <w:rFonts w:cstheme="majorHAnsi"/>
                <w:color w:val="000000" w:themeColor="text1"/>
                <w:sz w:val="20"/>
                <w:szCs w:val="20"/>
              </w:rPr>
            </w:pPr>
          </w:p>
        </w:tc>
        <w:tc>
          <w:tcPr>
            <w:tcW w:w="741" w:type="pct"/>
            <w:shd w:val="clear" w:color="auto" w:fill="BFBFBF" w:themeFill="background1" w:themeFillShade="BF"/>
          </w:tcPr>
          <w:p w14:paraId="43830D74"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P7</w:t>
            </w:r>
          </w:p>
        </w:tc>
        <w:tc>
          <w:tcPr>
            <w:tcW w:w="327" w:type="pct"/>
            <w:shd w:val="clear" w:color="auto" w:fill="BFBFBF" w:themeFill="background1" w:themeFillShade="BF"/>
          </w:tcPr>
          <w:p w14:paraId="15A80458"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6-5</w:t>
            </w:r>
          </w:p>
        </w:tc>
        <w:tc>
          <w:tcPr>
            <w:tcW w:w="302" w:type="pct"/>
            <w:shd w:val="clear" w:color="auto" w:fill="BFBFBF" w:themeFill="background1" w:themeFillShade="BF"/>
          </w:tcPr>
          <w:p w14:paraId="69BB5857"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13</w:t>
            </w:r>
          </w:p>
        </w:tc>
        <w:tc>
          <w:tcPr>
            <w:tcW w:w="362" w:type="pct"/>
            <w:shd w:val="clear" w:color="auto" w:fill="D9D9D9" w:themeFill="background1" w:themeFillShade="D9"/>
          </w:tcPr>
          <w:p w14:paraId="53390088"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6-1</w:t>
            </w:r>
          </w:p>
        </w:tc>
        <w:tc>
          <w:tcPr>
            <w:tcW w:w="1352" w:type="pct"/>
            <w:tcBorders>
              <w:bottom w:val="nil"/>
            </w:tcBorders>
            <w:shd w:val="clear" w:color="auto" w:fill="D9D9D9" w:themeFill="background1" w:themeFillShade="D9"/>
          </w:tcPr>
          <w:p w14:paraId="4CD65612"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Junior Secondary</w:t>
            </w:r>
          </w:p>
        </w:tc>
        <w:tc>
          <w:tcPr>
            <w:tcW w:w="610" w:type="pct"/>
            <w:shd w:val="clear" w:color="auto" w:fill="D9D9D9" w:themeFill="background1" w:themeFillShade="D9"/>
          </w:tcPr>
          <w:p w14:paraId="55B0C342"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7</w:t>
            </w:r>
          </w:p>
        </w:tc>
      </w:tr>
      <w:tr w:rsidR="00832B17" w:rsidRPr="00832B17" w14:paraId="39213D0E" w14:textId="77777777" w:rsidTr="006561AD">
        <w:trPr>
          <w:trHeight w:val="228"/>
        </w:trPr>
        <w:tc>
          <w:tcPr>
            <w:tcW w:w="1305" w:type="pct"/>
            <w:tcBorders>
              <w:top w:val="nil"/>
              <w:bottom w:val="single" w:sz="4" w:space="0" w:color="auto"/>
            </w:tcBorders>
            <w:shd w:val="clear" w:color="auto" w:fill="BFBFBF" w:themeFill="background1" w:themeFillShade="BF"/>
          </w:tcPr>
          <w:p w14:paraId="1A4AC46C" w14:textId="77777777" w:rsidR="001F26A6" w:rsidRPr="00832B17" w:rsidRDefault="001F26A6" w:rsidP="006561AD">
            <w:pPr>
              <w:spacing w:line="216" w:lineRule="auto"/>
              <w:rPr>
                <w:rFonts w:cstheme="majorHAnsi"/>
                <w:color w:val="000000" w:themeColor="text1"/>
                <w:sz w:val="20"/>
                <w:szCs w:val="20"/>
              </w:rPr>
            </w:pPr>
          </w:p>
        </w:tc>
        <w:tc>
          <w:tcPr>
            <w:tcW w:w="741" w:type="pct"/>
            <w:shd w:val="clear" w:color="auto" w:fill="BFBFBF" w:themeFill="background1" w:themeFillShade="BF"/>
          </w:tcPr>
          <w:p w14:paraId="415E3462"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P8</w:t>
            </w:r>
          </w:p>
        </w:tc>
        <w:tc>
          <w:tcPr>
            <w:tcW w:w="327" w:type="pct"/>
            <w:shd w:val="clear" w:color="auto" w:fill="BFBFBF" w:themeFill="background1" w:themeFillShade="BF"/>
          </w:tcPr>
          <w:p w14:paraId="560C6293"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6-6</w:t>
            </w:r>
          </w:p>
        </w:tc>
        <w:tc>
          <w:tcPr>
            <w:tcW w:w="302" w:type="pct"/>
            <w:shd w:val="clear" w:color="auto" w:fill="BFBFBF" w:themeFill="background1" w:themeFillShade="BF"/>
          </w:tcPr>
          <w:p w14:paraId="342E8C7A"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14</w:t>
            </w:r>
          </w:p>
        </w:tc>
        <w:tc>
          <w:tcPr>
            <w:tcW w:w="362" w:type="pct"/>
            <w:shd w:val="clear" w:color="auto" w:fill="D9D9D9" w:themeFill="background1" w:themeFillShade="D9"/>
          </w:tcPr>
          <w:p w14:paraId="78CFED72"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6-2</w:t>
            </w:r>
          </w:p>
        </w:tc>
        <w:tc>
          <w:tcPr>
            <w:tcW w:w="1352" w:type="pct"/>
            <w:tcBorders>
              <w:top w:val="nil"/>
              <w:bottom w:val="nil"/>
            </w:tcBorders>
            <w:shd w:val="clear" w:color="auto" w:fill="D9D9D9" w:themeFill="background1" w:themeFillShade="D9"/>
          </w:tcPr>
          <w:p w14:paraId="5BD53968" w14:textId="77777777" w:rsidR="001F26A6" w:rsidRPr="00832B17" w:rsidRDefault="001F26A6" w:rsidP="006561AD">
            <w:pPr>
              <w:spacing w:line="216" w:lineRule="auto"/>
              <w:rPr>
                <w:rFonts w:cstheme="majorHAnsi"/>
                <w:color w:val="000000" w:themeColor="text1"/>
                <w:sz w:val="20"/>
                <w:szCs w:val="20"/>
              </w:rPr>
            </w:pPr>
          </w:p>
        </w:tc>
        <w:tc>
          <w:tcPr>
            <w:tcW w:w="610" w:type="pct"/>
            <w:shd w:val="clear" w:color="auto" w:fill="D9D9D9" w:themeFill="background1" w:themeFillShade="D9"/>
          </w:tcPr>
          <w:p w14:paraId="1E082286"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8</w:t>
            </w:r>
          </w:p>
        </w:tc>
      </w:tr>
      <w:tr w:rsidR="00832B17" w:rsidRPr="00832B17" w14:paraId="27C32B2B" w14:textId="77777777" w:rsidTr="006561AD">
        <w:trPr>
          <w:trHeight w:val="228"/>
        </w:trPr>
        <w:tc>
          <w:tcPr>
            <w:tcW w:w="1305" w:type="pct"/>
            <w:tcBorders>
              <w:bottom w:val="nil"/>
            </w:tcBorders>
            <w:shd w:val="clear" w:color="auto" w:fill="D9D9D9" w:themeFill="background1" w:themeFillShade="D9"/>
          </w:tcPr>
          <w:p w14:paraId="4B301BC6"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Lower Secondary</w:t>
            </w:r>
          </w:p>
        </w:tc>
        <w:tc>
          <w:tcPr>
            <w:tcW w:w="741" w:type="pct"/>
            <w:shd w:val="clear" w:color="auto" w:fill="D9D9D9" w:themeFill="background1" w:themeFillShade="D9"/>
          </w:tcPr>
          <w:p w14:paraId="0FA66508"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 xml:space="preserve">Grade 9 </w:t>
            </w:r>
          </w:p>
        </w:tc>
        <w:tc>
          <w:tcPr>
            <w:tcW w:w="327" w:type="pct"/>
            <w:shd w:val="clear" w:color="auto" w:fill="D9D9D9" w:themeFill="background1" w:themeFillShade="D9"/>
          </w:tcPr>
          <w:p w14:paraId="7D7E9F2C"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4-1</w:t>
            </w:r>
          </w:p>
        </w:tc>
        <w:tc>
          <w:tcPr>
            <w:tcW w:w="302" w:type="pct"/>
            <w:shd w:val="clear" w:color="auto" w:fill="D9D9D9" w:themeFill="background1" w:themeFillShade="D9"/>
          </w:tcPr>
          <w:p w14:paraId="7DAD4ED2"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15</w:t>
            </w:r>
          </w:p>
        </w:tc>
        <w:tc>
          <w:tcPr>
            <w:tcW w:w="362" w:type="pct"/>
            <w:shd w:val="clear" w:color="auto" w:fill="D9D9D9" w:themeFill="background1" w:themeFillShade="D9"/>
          </w:tcPr>
          <w:p w14:paraId="7CB5C798"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6-3</w:t>
            </w:r>
          </w:p>
        </w:tc>
        <w:tc>
          <w:tcPr>
            <w:tcW w:w="1352" w:type="pct"/>
            <w:tcBorders>
              <w:top w:val="nil"/>
              <w:bottom w:val="single" w:sz="4" w:space="0" w:color="auto"/>
            </w:tcBorders>
            <w:shd w:val="clear" w:color="auto" w:fill="D9D9D9" w:themeFill="background1" w:themeFillShade="D9"/>
          </w:tcPr>
          <w:p w14:paraId="64B7156B" w14:textId="77777777" w:rsidR="001F26A6" w:rsidRPr="00832B17" w:rsidRDefault="001F26A6" w:rsidP="006561AD">
            <w:pPr>
              <w:spacing w:line="216" w:lineRule="auto"/>
              <w:rPr>
                <w:rFonts w:cstheme="majorHAnsi"/>
                <w:color w:val="000000" w:themeColor="text1"/>
                <w:sz w:val="20"/>
                <w:szCs w:val="20"/>
              </w:rPr>
            </w:pPr>
          </w:p>
        </w:tc>
        <w:tc>
          <w:tcPr>
            <w:tcW w:w="610" w:type="pct"/>
            <w:shd w:val="clear" w:color="auto" w:fill="D9D9D9" w:themeFill="background1" w:themeFillShade="D9"/>
          </w:tcPr>
          <w:p w14:paraId="5EBD85CE"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9</w:t>
            </w:r>
          </w:p>
        </w:tc>
      </w:tr>
      <w:tr w:rsidR="00832B17" w:rsidRPr="00832B17" w14:paraId="5A3811DA" w14:textId="77777777" w:rsidTr="006561AD">
        <w:trPr>
          <w:trHeight w:val="228"/>
        </w:trPr>
        <w:tc>
          <w:tcPr>
            <w:tcW w:w="1305" w:type="pct"/>
            <w:tcBorders>
              <w:top w:val="nil"/>
              <w:bottom w:val="single" w:sz="4" w:space="0" w:color="auto"/>
            </w:tcBorders>
            <w:shd w:val="clear" w:color="auto" w:fill="D9D9D9" w:themeFill="background1" w:themeFillShade="D9"/>
          </w:tcPr>
          <w:p w14:paraId="055BE9B7" w14:textId="77777777" w:rsidR="001F26A6" w:rsidRPr="00832B17" w:rsidRDefault="001F26A6" w:rsidP="006561AD">
            <w:pPr>
              <w:spacing w:line="216" w:lineRule="auto"/>
              <w:rPr>
                <w:rFonts w:cstheme="majorHAnsi"/>
                <w:color w:val="000000" w:themeColor="text1"/>
                <w:sz w:val="20"/>
                <w:szCs w:val="20"/>
              </w:rPr>
            </w:pPr>
          </w:p>
        </w:tc>
        <w:tc>
          <w:tcPr>
            <w:tcW w:w="741" w:type="pct"/>
            <w:shd w:val="clear" w:color="auto" w:fill="D9D9D9" w:themeFill="background1" w:themeFillShade="D9"/>
          </w:tcPr>
          <w:p w14:paraId="3221C3D5"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10</w:t>
            </w:r>
          </w:p>
        </w:tc>
        <w:tc>
          <w:tcPr>
            <w:tcW w:w="327" w:type="pct"/>
            <w:shd w:val="clear" w:color="auto" w:fill="D9D9D9" w:themeFill="background1" w:themeFillShade="D9"/>
          </w:tcPr>
          <w:p w14:paraId="54629E9D"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4-2</w:t>
            </w:r>
          </w:p>
        </w:tc>
        <w:tc>
          <w:tcPr>
            <w:tcW w:w="302" w:type="pct"/>
            <w:shd w:val="clear" w:color="auto" w:fill="D9D9D9" w:themeFill="background1" w:themeFillShade="D9"/>
          </w:tcPr>
          <w:p w14:paraId="666BDDE0"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16</w:t>
            </w:r>
          </w:p>
        </w:tc>
        <w:tc>
          <w:tcPr>
            <w:tcW w:w="362" w:type="pct"/>
            <w:shd w:val="clear" w:color="auto" w:fill="D9D9D9" w:themeFill="background1" w:themeFillShade="D9"/>
          </w:tcPr>
          <w:p w14:paraId="532BC958"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6-4</w:t>
            </w:r>
          </w:p>
        </w:tc>
        <w:tc>
          <w:tcPr>
            <w:tcW w:w="1352" w:type="pct"/>
            <w:tcBorders>
              <w:bottom w:val="nil"/>
            </w:tcBorders>
            <w:shd w:val="clear" w:color="auto" w:fill="D9D9D9" w:themeFill="background1" w:themeFillShade="D9"/>
          </w:tcPr>
          <w:p w14:paraId="51D80F2F"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Senior Secondary</w:t>
            </w:r>
          </w:p>
        </w:tc>
        <w:tc>
          <w:tcPr>
            <w:tcW w:w="610" w:type="pct"/>
            <w:shd w:val="clear" w:color="auto" w:fill="D9D9D9" w:themeFill="background1" w:themeFillShade="D9"/>
          </w:tcPr>
          <w:p w14:paraId="68CB4C39"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10</w:t>
            </w:r>
          </w:p>
        </w:tc>
      </w:tr>
      <w:tr w:rsidR="00832B17" w:rsidRPr="00832B17" w14:paraId="0C3897C6" w14:textId="77777777" w:rsidTr="006561AD">
        <w:trPr>
          <w:trHeight w:val="228"/>
        </w:trPr>
        <w:tc>
          <w:tcPr>
            <w:tcW w:w="1305" w:type="pct"/>
            <w:tcBorders>
              <w:bottom w:val="nil"/>
            </w:tcBorders>
            <w:shd w:val="clear" w:color="auto" w:fill="D9D9D9" w:themeFill="background1" w:themeFillShade="D9"/>
          </w:tcPr>
          <w:p w14:paraId="3411CEA8"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Upper Secondary</w:t>
            </w:r>
          </w:p>
        </w:tc>
        <w:tc>
          <w:tcPr>
            <w:tcW w:w="741" w:type="pct"/>
            <w:shd w:val="clear" w:color="auto" w:fill="D9D9D9" w:themeFill="background1" w:themeFillShade="D9"/>
          </w:tcPr>
          <w:p w14:paraId="2A31E38A"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11</w:t>
            </w:r>
          </w:p>
        </w:tc>
        <w:tc>
          <w:tcPr>
            <w:tcW w:w="327" w:type="pct"/>
            <w:shd w:val="clear" w:color="auto" w:fill="D9D9D9" w:themeFill="background1" w:themeFillShade="D9"/>
          </w:tcPr>
          <w:p w14:paraId="56F2FD2C"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4-3</w:t>
            </w:r>
          </w:p>
        </w:tc>
        <w:tc>
          <w:tcPr>
            <w:tcW w:w="302" w:type="pct"/>
            <w:shd w:val="clear" w:color="auto" w:fill="D9D9D9" w:themeFill="background1" w:themeFillShade="D9"/>
          </w:tcPr>
          <w:p w14:paraId="42E76B3C"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17</w:t>
            </w:r>
          </w:p>
        </w:tc>
        <w:tc>
          <w:tcPr>
            <w:tcW w:w="362" w:type="pct"/>
            <w:shd w:val="clear" w:color="auto" w:fill="D9D9D9" w:themeFill="background1" w:themeFillShade="D9"/>
          </w:tcPr>
          <w:p w14:paraId="4309A601"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6-5</w:t>
            </w:r>
          </w:p>
        </w:tc>
        <w:tc>
          <w:tcPr>
            <w:tcW w:w="1352" w:type="pct"/>
            <w:tcBorders>
              <w:top w:val="nil"/>
              <w:bottom w:val="nil"/>
            </w:tcBorders>
            <w:shd w:val="clear" w:color="auto" w:fill="D9D9D9" w:themeFill="background1" w:themeFillShade="D9"/>
          </w:tcPr>
          <w:p w14:paraId="64323998" w14:textId="77777777" w:rsidR="001F26A6" w:rsidRPr="00832B17" w:rsidRDefault="001F26A6" w:rsidP="006561AD">
            <w:pPr>
              <w:spacing w:line="216" w:lineRule="auto"/>
              <w:rPr>
                <w:rFonts w:cstheme="majorHAnsi"/>
                <w:color w:val="000000" w:themeColor="text1"/>
                <w:sz w:val="20"/>
                <w:szCs w:val="20"/>
              </w:rPr>
            </w:pPr>
          </w:p>
        </w:tc>
        <w:tc>
          <w:tcPr>
            <w:tcW w:w="610" w:type="pct"/>
            <w:shd w:val="clear" w:color="auto" w:fill="D9D9D9" w:themeFill="background1" w:themeFillShade="D9"/>
          </w:tcPr>
          <w:p w14:paraId="75D87620"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11</w:t>
            </w:r>
          </w:p>
        </w:tc>
      </w:tr>
      <w:tr w:rsidR="00832B17" w:rsidRPr="00832B17" w14:paraId="5B23FD22" w14:textId="77777777" w:rsidTr="006561AD">
        <w:trPr>
          <w:trHeight w:val="228"/>
        </w:trPr>
        <w:tc>
          <w:tcPr>
            <w:tcW w:w="1305" w:type="pct"/>
            <w:tcBorders>
              <w:top w:val="nil"/>
            </w:tcBorders>
            <w:shd w:val="clear" w:color="auto" w:fill="D9D9D9" w:themeFill="background1" w:themeFillShade="D9"/>
          </w:tcPr>
          <w:p w14:paraId="72233B01" w14:textId="77777777" w:rsidR="001F26A6" w:rsidRPr="00832B17" w:rsidRDefault="001F26A6" w:rsidP="006561AD">
            <w:pPr>
              <w:spacing w:line="216" w:lineRule="auto"/>
              <w:rPr>
                <w:rFonts w:cstheme="majorHAnsi"/>
                <w:color w:val="000000" w:themeColor="text1"/>
                <w:sz w:val="20"/>
                <w:szCs w:val="20"/>
              </w:rPr>
            </w:pPr>
          </w:p>
        </w:tc>
        <w:tc>
          <w:tcPr>
            <w:tcW w:w="741" w:type="pct"/>
            <w:shd w:val="clear" w:color="auto" w:fill="D9D9D9" w:themeFill="background1" w:themeFillShade="D9"/>
          </w:tcPr>
          <w:p w14:paraId="4C9B786B"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12</w:t>
            </w:r>
          </w:p>
        </w:tc>
        <w:tc>
          <w:tcPr>
            <w:tcW w:w="327" w:type="pct"/>
            <w:shd w:val="clear" w:color="auto" w:fill="D9D9D9" w:themeFill="background1" w:themeFillShade="D9"/>
          </w:tcPr>
          <w:p w14:paraId="03677FCF"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4-4</w:t>
            </w:r>
          </w:p>
        </w:tc>
        <w:tc>
          <w:tcPr>
            <w:tcW w:w="302" w:type="pct"/>
            <w:shd w:val="clear" w:color="auto" w:fill="D9D9D9" w:themeFill="background1" w:themeFillShade="D9"/>
          </w:tcPr>
          <w:p w14:paraId="349EE0FF"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18</w:t>
            </w:r>
          </w:p>
        </w:tc>
        <w:tc>
          <w:tcPr>
            <w:tcW w:w="362" w:type="pct"/>
            <w:shd w:val="clear" w:color="auto" w:fill="D9D9D9" w:themeFill="background1" w:themeFillShade="D9"/>
          </w:tcPr>
          <w:p w14:paraId="4E2A6456" w14:textId="77777777" w:rsidR="001F26A6" w:rsidRPr="00832B17" w:rsidRDefault="001F26A6" w:rsidP="006561AD">
            <w:pPr>
              <w:spacing w:line="216" w:lineRule="auto"/>
              <w:jc w:val="center"/>
              <w:rPr>
                <w:rFonts w:cstheme="majorHAnsi"/>
                <w:color w:val="000000" w:themeColor="text1"/>
                <w:sz w:val="20"/>
                <w:szCs w:val="20"/>
              </w:rPr>
            </w:pPr>
            <w:r w:rsidRPr="00832B17">
              <w:rPr>
                <w:rFonts w:cstheme="majorHAnsi"/>
                <w:color w:val="000000" w:themeColor="text1"/>
                <w:sz w:val="20"/>
                <w:szCs w:val="20"/>
              </w:rPr>
              <w:t>6-6</w:t>
            </w:r>
          </w:p>
        </w:tc>
        <w:tc>
          <w:tcPr>
            <w:tcW w:w="1352" w:type="pct"/>
            <w:tcBorders>
              <w:top w:val="nil"/>
            </w:tcBorders>
            <w:shd w:val="clear" w:color="auto" w:fill="D9D9D9" w:themeFill="background1" w:themeFillShade="D9"/>
          </w:tcPr>
          <w:p w14:paraId="4B581EF1" w14:textId="77777777" w:rsidR="001F26A6" w:rsidRPr="00832B17" w:rsidRDefault="001F26A6" w:rsidP="006561AD">
            <w:pPr>
              <w:spacing w:line="216" w:lineRule="auto"/>
              <w:rPr>
                <w:rFonts w:cstheme="majorHAnsi"/>
                <w:color w:val="000000" w:themeColor="text1"/>
                <w:sz w:val="20"/>
                <w:szCs w:val="20"/>
              </w:rPr>
            </w:pPr>
          </w:p>
        </w:tc>
        <w:tc>
          <w:tcPr>
            <w:tcW w:w="610" w:type="pct"/>
            <w:shd w:val="clear" w:color="auto" w:fill="D9D9D9" w:themeFill="background1" w:themeFillShade="D9"/>
          </w:tcPr>
          <w:p w14:paraId="0EA7EC61" w14:textId="77777777" w:rsidR="001F26A6" w:rsidRPr="00832B17" w:rsidRDefault="001F26A6" w:rsidP="006561AD">
            <w:pPr>
              <w:spacing w:line="216" w:lineRule="auto"/>
              <w:rPr>
                <w:rFonts w:cstheme="majorHAnsi"/>
                <w:color w:val="000000" w:themeColor="text1"/>
                <w:sz w:val="20"/>
                <w:szCs w:val="20"/>
              </w:rPr>
            </w:pPr>
            <w:r w:rsidRPr="00832B17">
              <w:rPr>
                <w:rFonts w:cstheme="majorHAnsi"/>
                <w:color w:val="000000" w:themeColor="text1"/>
                <w:sz w:val="20"/>
                <w:szCs w:val="20"/>
              </w:rPr>
              <w:t>Grade 12</w:t>
            </w:r>
          </w:p>
        </w:tc>
      </w:tr>
    </w:tbl>
    <w:p w14:paraId="0EB2EE87" w14:textId="77777777" w:rsidR="001F26A6" w:rsidRPr="00060D11" w:rsidRDefault="001F26A6" w:rsidP="001F26A6">
      <w:pPr>
        <w:shd w:val="clear" w:color="auto" w:fill="FFFFFF"/>
        <w:tabs>
          <w:tab w:val="left" w:pos="2154"/>
        </w:tabs>
        <w:spacing w:after="120"/>
        <w:ind w:left="274"/>
        <w:rPr>
          <w:lang w:eastAsia="en-AU"/>
        </w:rPr>
      </w:pPr>
      <w:r w:rsidRPr="00060D11">
        <w:rPr>
          <w:sz w:val="18"/>
          <w:szCs w:val="18"/>
        </w:rPr>
        <w:t>Adapted from Jones, R. (2020). Papua New Guinea Early Childhood Cost and Financing Study Report. National Department of Education, National Office of Child and Family Services and UNICEF. Port Moresby, Papua New Guinea.</w:t>
      </w:r>
    </w:p>
    <w:p w14:paraId="0175571C" w14:textId="785F98B7" w:rsidR="001F26A6" w:rsidRPr="00060D11" w:rsidRDefault="001F26A6" w:rsidP="004E780D">
      <w:pPr>
        <w:pStyle w:val="ListParagraph"/>
        <w:numPr>
          <w:ilvl w:val="0"/>
          <w:numId w:val="46"/>
        </w:numPr>
        <w:spacing w:line="276" w:lineRule="auto"/>
        <w:rPr>
          <w:sz w:val="22"/>
          <w:lang w:eastAsia="en-AU"/>
        </w:rPr>
      </w:pPr>
      <w:r w:rsidRPr="00060D11">
        <w:rPr>
          <w:b/>
          <w:bCs/>
          <w:sz w:val="22"/>
          <w:lang w:eastAsia="en-AU"/>
        </w:rPr>
        <w:t xml:space="preserve">Limited provision of relevant supplementary teaching and learning resources: </w:t>
      </w:r>
      <w:r w:rsidRPr="00060D11">
        <w:rPr>
          <w:sz w:val="22"/>
          <w:lang w:eastAsia="en-AU"/>
        </w:rPr>
        <w:t xml:space="preserve">Teaching and learning resources available in most schools are severely limited to non-existent, unless schools are participating in donor funded programs or have received donations from other countries. Most of these resources are not </w:t>
      </w:r>
      <w:r w:rsidR="00387E6B" w:rsidRPr="00060D11">
        <w:rPr>
          <w:sz w:val="22"/>
          <w:lang w:eastAsia="en-AU"/>
        </w:rPr>
        <w:t>context appropriate</w:t>
      </w:r>
      <w:r w:rsidRPr="00060D11">
        <w:rPr>
          <w:sz w:val="22"/>
          <w:lang w:eastAsia="en-AU"/>
        </w:rPr>
        <w:t>. Recent work by Bilum Books, a PNG-based publisher, has aligned its supplementary teaching and learning resources with the SBC, yet limited national government funding has prevented large-scale acquisition and distribution.</w:t>
      </w:r>
    </w:p>
    <w:p w14:paraId="0D9B8B24" w14:textId="77777777" w:rsidR="001F26A6" w:rsidRPr="00060D11" w:rsidRDefault="001F26A6" w:rsidP="004E780D">
      <w:pPr>
        <w:pStyle w:val="ListParagraph"/>
        <w:spacing w:line="276" w:lineRule="auto"/>
        <w:ind w:left="360"/>
        <w:rPr>
          <w:b/>
          <w:bCs/>
          <w:lang w:eastAsia="en-AU"/>
        </w:rPr>
      </w:pPr>
    </w:p>
    <w:p w14:paraId="0279FA87" w14:textId="35CA8A88" w:rsidR="003C05F4" w:rsidRPr="00060D11" w:rsidRDefault="001F26A6" w:rsidP="004E780D">
      <w:pPr>
        <w:pStyle w:val="ListParagraph"/>
        <w:numPr>
          <w:ilvl w:val="0"/>
          <w:numId w:val="46"/>
        </w:numPr>
        <w:spacing w:before="120" w:after="60" w:line="276" w:lineRule="auto"/>
        <w:ind w:left="357" w:hanging="357"/>
        <w:rPr>
          <w:sz w:val="22"/>
          <w:lang w:eastAsia="en-AU"/>
        </w:rPr>
      </w:pPr>
      <w:r w:rsidRPr="00060D11">
        <w:rPr>
          <w:b/>
          <w:bCs/>
          <w:sz w:val="22"/>
          <w:lang w:eastAsia="en-AU"/>
        </w:rPr>
        <w:t>Inequitable support for the provision of basic education:</w:t>
      </w:r>
      <w:r w:rsidRPr="00060D11">
        <w:rPr>
          <w:sz w:val="22"/>
          <w:lang w:eastAsia="en-AU"/>
        </w:rPr>
        <w:t xml:space="preserve"> The geographic attributes of PNG include numerous islands and difficult to access mountainous locations. </w:t>
      </w:r>
      <w:r w:rsidR="00052FC0" w:rsidRPr="00060D11">
        <w:rPr>
          <w:sz w:val="22"/>
          <w:lang w:eastAsia="en-AU"/>
        </w:rPr>
        <w:t>National Department of Education (</w:t>
      </w:r>
      <w:r w:rsidR="004F62A5" w:rsidRPr="00060D11">
        <w:rPr>
          <w:sz w:val="22"/>
          <w:lang w:eastAsia="en-AU"/>
        </w:rPr>
        <w:t>NDoE</w:t>
      </w:r>
      <w:r w:rsidR="00052FC0" w:rsidRPr="00060D11">
        <w:rPr>
          <w:sz w:val="22"/>
          <w:lang w:eastAsia="en-AU"/>
        </w:rPr>
        <w:t>)</w:t>
      </w:r>
      <w:r w:rsidRPr="00060D11">
        <w:rPr>
          <w:sz w:val="22"/>
          <w:lang w:eastAsia="en-AU"/>
        </w:rPr>
        <w:t xml:space="preserve"> applies the PNG Accessibility/Remoteness Index (PARI) to classify the relative accessibility/remoteness of different communities. In 2018, 28 percent of elementary schools and 29 percent of primary schools were classified as remote. This presents challenges in attracting qualified teachers, providing support and supervision and increases the operating costs of schools. A 2014 study ‘Go Long Ples’ by the PNG National Economic and Fiscal Commission (authors of the PARI) argued unsuccessfully for an equity-based application of the TFFE to address the challenges of delivering quality education in more remote locations in PNG.</w:t>
      </w:r>
      <w:r w:rsidRPr="00060D11">
        <w:rPr>
          <w:rStyle w:val="FootnoteReference"/>
          <w:sz w:val="22"/>
          <w:lang w:eastAsia="en-AU"/>
        </w:rPr>
        <w:footnoteReference w:id="16"/>
      </w:r>
    </w:p>
    <w:p w14:paraId="030F0E3A" w14:textId="77777777" w:rsidR="00FA46CB" w:rsidRPr="00060D11" w:rsidRDefault="00FA46CB" w:rsidP="00A84D27">
      <w:pPr>
        <w:spacing w:line="276" w:lineRule="auto"/>
        <w:contextualSpacing/>
        <w:rPr>
          <w:lang w:eastAsia="en-AU"/>
        </w:rPr>
      </w:pPr>
    </w:p>
    <w:p w14:paraId="5B431167" w14:textId="1AF22D13" w:rsidR="001F26A6" w:rsidRPr="00060D11" w:rsidRDefault="001F26A6" w:rsidP="004E780D">
      <w:pPr>
        <w:pStyle w:val="ListParagraph"/>
        <w:spacing w:before="120" w:after="60" w:line="276" w:lineRule="auto"/>
        <w:ind w:left="0"/>
        <w:rPr>
          <w:rFonts w:cstheme="minorHAnsi"/>
          <w:b/>
          <w:bCs/>
          <w:sz w:val="22"/>
          <w:u w:val="single"/>
          <w:lang w:eastAsia="en-AU"/>
        </w:rPr>
      </w:pPr>
      <w:r w:rsidRPr="00060D11">
        <w:rPr>
          <w:rFonts w:cstheme="minorHAnsi"/>
          <w:b/>
          <w:bCs/>
          <w:sz w:val="22"/>
          <w:u w:val="single"/>
          <w:lang w:eastAsia="en-AU"/>
        </w:rPr>
        <w:t>Sub-National Government Capacity</w:t>
      </w:r>
    </w:p>
    <w:p w14:paraId="0C50E7A1" w14:textId="16D2D346" w:rsidR="007F1959" w:rsidRPr="00060D11" w:rsidRDefault="001F26A6" w:rsidP="007F1959">
      <w:pPr>
        <w:pStyle w:val="ListParagraph"/>
        <w:numPr>
          <w:ilvl w:val="0"/>
          <w:numId w:val="47"/>
        </w:numPr>
        <w:spacing w:before="120" w:after="60" w:line="276" w:lineRule="auto"/>
        <w:rPr>
          <w:rFonts w:cstheme="minorHAnsi"/>
          <w:sz w:val="22"/>
          <w:lang w:eastAsia="en-AU"/>
        </w:rPr>
      </w:pPr>
      <w:r w:rsidRPr="00060D11">
        <w:rPr>
          <w:rFonts w:cstheme="minorHAnsi"/>
          <w:b/>
          <w:bCs/>
          <w:sz w:val="22"/>
          <w:lang w:eastAsia="en-AU"/>
        </w:rPr>
        <w:t>Sub-national governments have limited capacity to support the delivery of education:</w:t>
      </w:r>
      <w:r w:rsidRPr="00060D11">
        <w:rPr>
          <w:rFonts w:cstheme="minorHAnsi"/>
          <w:sz w:val="22"/>
          <w:lang w:eastAsia="en-AU"/>
        </w:rPr>
        <w:t xml:space="preserve"> Consultations during the design process highlighted the limited capacity of sub-national governments, particularly provincial governments, in performing their functions as mandated under the 2009 ‘</w:t>
      </w:r>
      <w:r w:rsidRPr="00060D11">
        <w:rPr>
          <w:rFonts w:cstheme="minorHAnsi"/>
          <w:i/>
          <w:iCs/>
          <w:sz w:val="22"/>
          <w:lang w:eastAsia="en-AU"/>
        </w:rPr>
        <w:t>The Determination Assigning Service Delivery Functions and Responsibilities to Provincial and Local-Level Governments’</w:t>
      </w:r>
      <w:r w:rsidRPr="00060D11">
        <w:rPr>
          <w:rFonts w:cstheme="minorHAnsi"/>
          <w:sz w:val="22"/>
          <w:lang w:eastAsia="en-AU"/>
        </w:rPr>
        <w:t xml:space="preserve">. A 2014 analysis of local government arrangements in PNG suggests that the structure and functions proposed for local level governments </w:t>
      </w:r>
      <w:r w:rsidR="00567DFA" w:rsidRPr="00060D11">
        <w:rPr>
          <w:rFonts w:cstheme="minorHAnsi"/>
          <w:sz w:val="22"/>
          <w:lang w:eastAsia="en-AU"/>
        </w:rPr>
        <w:t xml:space="preserve">(LLGs) </w:t>
      </w:r>
      <w:r w:rsidRPr="00060D11">
        <w:rPr>
          <w:rFonts w:cstheme="minorHAnsi"/>
          <w:sz w:val="22"/>
          <w:lang w:eastAsia="en-AU"/>
        </w:rPr>
        <w:t xml:space="preserve">were suitable, but it was the limited capacity of </w:t>
      </w:r>
      <w:r w:rsidR="00567DFA" w:rsidRPr="00060D11">
        <w:rPr>
          <w:rFonts w:cstheme="minorHAnsi"/>
          <w:sz w:val="22"/>
          <w:lang w:eastAsia="en-AU"/>
        </w:rPr>
        <w:t>LLG</w:t>
      </w:r>
      <w:r w:rsidRPr="00060D11">
        <w:rPr>
          <w:rFonts w:cstheme="minorHAnsi"/>
          <w:sz w:val="22"/>
          <w:lang w:eastAsia="en-AU"/>
        </w:rPr>
        <w:t xml:space="preserve"> to perform their functions that would be the issue.</w:t>
      </w:r>
      <w:r w:rsidRPr="00060D11">
        <w:rPr>
          <w:rStyle w:val="FootnoteReference"/>
          <w:rFonts w:cstheme="minorHAnsi"/>
          <w:sz w:val="22"/>
          <w:lang w:eastAsia="en-AU"/>
        </w:rPr>
        <w:footnoteReference w:id="17"/>
      </w:r>
      <w:r w:rsidRPr="00060D11">
        <w:rPr>
          <w:rFonts w:cstheme="minorHAnsi"/>
          <w:sz w:val="22"/>
          <w:lang w:eastAsia="en-AU"/>
        </w:rPr>
        <w:t xml:space="preserve"> Citing limited funding, susceptibility to political influence and limited staff allocations and capabilities, provincial governments are challenged to provide appropriate levels of service to education, including school inspection, teacher appointment, supervision and development, provision of school supplies and support to school planning to enable the school to access funding under the government tuition subsidy policy.</w:t>
      </w:r>
    </w:p>
    <w:p w14:paraId="30FFD85B" w14:textId="77777777" w:rsidR="007F1959" w:rsidRPr="00060D11" w:rsidRDefault="007F1959" w:rsidP="007F1959">
      <w:pPr>
        <w:pStyle w:val="ListParagraph"/>
        <w:spacing w:before="120" w:after="60" w:line="276" w:lineRule="auto"/>
        <w:ind w:left="360"/>
        <w:rPr>
          <w:rFonts w:cstheme="minorHAnsi"/>
          <w:sz w:val="22"/>
          <w:lang w:eastAsia="en-AU"/>
        </w:rPr>
      </w:pPr>
    </w:p>
    <w:p w14:paraId="5821F259" w14:textId="20F25919" w:rsidR="00113CFE" w:rsidRPr="00060D11" w:rsidRDefault="001F26A6" w:rsidP="007F1959">
      <w:pPr>
        <w:pStyle w:val="ListParagraph"/>
        <w:numPr>
          <w:ilvl w:val="0"/>
          <w:numId w:val="47"/>
        </w:numPr>
        <w:spacing w:before="120" w:after="60" w:line="276" w:lineRule="auto"/>
        <w:rPr>
          <w:rFonts w:cstheme="minorHAnsi"/>
          <w:sz w:val="22"/>
          <w:lang w:eastAsia="en-AU"/>
        </w:rPr>
      </w:pPr>
      <w:r w:rsidRPr="00060D11">
        <w:rPr>
          <w:rFonts w:cstheme="minorHAnsi"/>
          <w:b/>
          <w:bCs/>
          <w:sz w:val="22"/>
          <w:lang w:eastAsia="en-AU"/>
        </w:rPr>
        <w:t>Government and church education service providers appear to work in parallel</w:t>
      </w:r>
      <w:r w:rsidRPr="00060D11">
        <w:rPr>
          <w:rFonts w:cstheme="minorHAnsi"/>
          <w:sz w:val="22"/>
          <w:lang w:eastAsia="en-AU"/>
        </w:rPr>
        <w:t>, rather than together, which is a missed opportunity to strengthen the sector. In previous years, church-provided basic education accounted for over 40 percent of all basic education provision in PNG – with considerable provincial variation in the proportion of church operated schools to government schools and with a wide range of different church denominations delivering education in different provinces. Of note is that the proportional share of educational services provided by churches nationally has declined from previous years and is now reported at just over 32 percent. However, the split of service provision between government and church providers varies significantly between provinces. Church provision appears to be higher in remote locations and with disadvantaged communities.</w:t>
      </w:r>
    </w:p>
    <w:p w14:paraId="086E7C48" w14:textId="77777777" w:rsidR="001F26A6" w:rsidRPr="00060D11" w:rsidRDefault="001F26A6" w:rsidP="004E780D">
      <w:pPr>
        <w:spacing w:line="276" w:lineRule="auto"/>
        <w:rPr>
          <w:rFonts w:cstheme="minorHAnsi"/>
          <w:lang w:eastAsia="en-AU"/>
        </w:rPr>
      </w:pPr>
    </w:p>
    <w:p w14:paraId="11A27C4C" w14:textId="77777777" w:rsidR="001F26A6" w:rsidRPr="00060D11" w:rsidRDefault="001F26A6" w:rsidP="004E780D">
      <w:pPr>
        <w:pStyle w:val="ListParagraph"/>
        <w:spacing w:line="276" w:lineRule="auto"/>
        <w:ind w:left="360"/>
        <w:rPr>
          <w:rFonts w:cstheme="minorHAnsi"/>
          <w:sz w:val="22"/>
          <w:lang w:eastAsia="en-AU"/>
        </w:rPr>
      </w:pPr>
      <w:r w:rsidRPr="00060D11">
        <w:rPr>
          <w:rFonts w:cstheme="minorHAnsi"/>
          <w:sz w:val="22"/>
          <w:lang w:eastAsia="en-AU"/>
        </w:rPr>
        <w:t xml:space="preserve">The Education Act 1983 provides for the government to pay for the costs of teachers’ salaries, while the church education service providers own and manage educational facilities, manage and supervise teachers and utilise the national education curriculum. Aside from this understanding, there does not appear to be a well-defined delineation of roles and functions as might be captured in a Memorandum of Agreement/Understanding. Provincial consultations indicated that while churches are consulted, they are not necessarily involved in decision-making on issues which effect the education sector at the sub-national level. </w:t>
      </w:r>
    </w:p>
    <w:p w14:paraId="2187348C" w14:textId="77777777" w:rsidR="001F26A6" w:rsidRPr="00060D11" w:rsidRDefault="001F26A6" w:rsidP="004E780D">
      <w:pPr>
        <w:pStyle w:val="ListParagraph"/>
        <w:spacing w:line="276" w:lineRule="auto"/>
        <w:ind w:left="360"/>
        <w:rPr>
          <w:rFonts w:cstheme="minorHAnsi"/>
          <w:sz w:val="22"/>
          <w:lang w:eastAsia="en-AU"/>
        </w:rPr>
      </w:pPr>
    </w:p>
    <w:p w14:paraId="5AF79688" w14:textId="15232EDF" w:rsidR="001F26A6" w:rsidRPr="00060D11" w:rsidRDefault="001F26A6" w:rsidP="004E780D">
      <w:pPr>
        <w:pStyle w:val="ListParagraph"/>
        <w:spacing w:line="276" w:lineRule="auto"/>
        <w:ind w:left="360"/>
        <w:rPr>
          <w:rFonts w:cstheme="minorHAnsi"/>
          <w:sz w:val="22"/>
          <w:lang w:eastAsia="en-AU"/>
        </w:rPr>
      </w:pPr>
      <w:r w:rsidRPr="00060D11">
        <w:rPr>
          <w:rFonts w:cstheme="minorHAnsi"/>
          <w:sz w:val="22"/>
          <w:lang w:eastAsia="en-AU"/>
        </w:rPr>
        <w:t xml:space="preserve">The national Church Education Council </w:t>
      </w:r>
      <w:r w:rsidR="00686208" w:rsidRPr="00060D11">
        <w:rPr>
          <w:rFonts w:cstheme="minorHAnsi"/>
          <w:sz w:val="22"/>
          <w:lang w:eastAsia="en-AU"/>
        </w:rPr>
        <w:t xml:space="preserve">(CEC) </w:t>
      </w:r>
      <w:r w:rsidRPr="00060D11">
        <w:rPr>
          <w:rFonts w:cstheme="minorHAnsi"/>
          <w:sz w:val="22"/>
          <w:lang w:eastAsia="en-AU"/>
        </w:rPr>
        <w:t>has recently adopted a constitution calling for much stronger partnership between church and government in the delivery of education services.</w:t>
      </w:r>
      <w:r w:rsidRPr="00060D11">
        <w:rPr>
          <w:rStyle w:val="FootnoteReference"/>
          <w:rFonts w:cstheme="minorHAnsi"/>
          <w:sz w:val="22"/>
          <w:lang w:eastAsia="en-AU"/>
        </w:rPr>
        <w:footnoteReference w:id="18"/>
      </w:r>
    </w:p>
    <w:p w14:paraId="6756B7AB" w14:textId="77777777" w:rsidR="001F26A6" w:rsidRPr="00060D11" w:rsidRDefault="001F26A6" w:rsidP="004E780D">
      <w:pPr>
        <w:pStyle w:val="ListParagraph"/>
        <w:spacing w:line="276" w:lineRule="auto"/>
        <w:ind w:left="0"/>
        <w:rPr>
          <w:rFonts w:cstheme="minorHAnsi"/>
          <w:b/>
          <w:bCs/>
          <w:sz w:val="22"/>
          <w:u w:val="single"/>
          <w:lang w:eastAsia="en-AU"/>
        </w:rPr>
      </w:pPr>
    </w:p>
    <w:p w14:paraId="04D11A47" w14:textId="77777777" w:rsidR="001F26A6" w:rsidRPr="00060D11" w:rsidRDefault="001F26A6" w:rsidP="004E780D">
      <w:pPr>
        <w:pStyle w:val="ListParagraph"/>
        <w:spacing w:line="276" w:lineRule="auto"/>
        <w:ind w:left="0"/>
        <w:rPr>
          <w:rFonts w:cstheme="minorHAnsi"/>
          <w:b/>
          <w:bCs/>
          <w:sz w:val="22"/>
          <w:u w:val="single"/>
          <w:lang w:eastAsia="en-AU"/>
        </w:rPr>
      </w:pPr>
      <w:r w:rsidRPr="00060D11">
        <w:rPr>
          <w:rFonts w:cstheme="minorHAnsi"/>
          <w:b/>
          <w:bCs/>
          <w:sz w:val="22"/>
          <w:u w:val="single"/>
          <w:lang w:eastAsia="en-AU"/>
        </w:rPr>
        <w:t>Community-based Factors</w:t>
      </w:r>
    </w:p>
    <w:p w14:paraId="64E9D2A2" w14:textId="40A92005" w:rsidR="001F26A6" w:rsidRPr="00060D11" w:rsidRDefault="001F26A6" w:rsidP="004E780D">
      <w:pPr>
        <w:pStyle w:val="ListParagraph"/>
        <w:numPr>
          <w:ilvl w:val="0"/>
          <w:numId w:val="48"/>
        </w:numPr>
        <w:spacing w:line="276" w:lineRule="auto"/>
        <w:rPr>
          <w:rFonts w:cstheme="minorHAnsi"/>
          <w:b/>
          <w:bCs/>
          <w:sz w:val="22"/>
          <w:lang w:eastAsia="en-AU"/>
        </w:rPr>
      </w:pPr>
      <w:r w:rsidRPr="00060D11">
        <w:rPr>
          <w:rFonts w:cstheme="minorHAnsi"/>
          <w:b/>
          <w:bCs/>
          <w:sz w:val="22"/>
          <w:lang w:eastAsia="en-AU"/>
        </w:rPr>
        <w:t xml:space="preserve">Reduced economic activity: </w:t>
      </w:r>
      <w:r w:rsidRPr="00060D11">
        <w:rPr>
          <w:rFonts w:cstheme="minorHAnsi"/>
          <w:sz w:val="22"/>
          <w:lang w:eastAsia="en-AU"/>
        </w:rPr>
        <w:t>At a time when the government of PNG is projecting lower revenues to government, there is also a similar reduction occurring in household income across the country – with some areas reverting to a barter economy as there is a limited availability of cash.</w:t>
      </w:r>
      <w:r w:rsidRPr="00060D11">
        <w:rPr>
          <w:rStyle w:val="FootnoteReference"/>
          <w:rFonts w:cstheme="minorHAnsi"/>
          <w:sz w:val="22"/>
          <w:lang w:eastAsia="en-AU"/>
        </w:rPr>
        <w:footnoteReference w:id="19"/>
      </w:r>
      <w:r w:rsidRPr="00060D11">
        <w:rPr>
          <w:rFonts w:cstheme="minorHAnsi"/>
          <w:sz w:val="22"/>
          <w:lang w:eastAsia="en-AU"/>
        </w:rPr>
        <w:t xml:space="preserve"> This situation has been exacerbated by the effects of COVID-19. The reduction in household income is likely to negatively affect the attendance of children from poor families due to the need for the child to contribute to the income of the family and resulting from the shift away from a tuition fee free policy. </w:t>
      </w:r>
      <w:r w:rsidR="0025591E" w:rsidRPr="00060D11">
        <w:rPr>
          <w:rFonts w:cstheme="minorHAnsi"/>
          <w:sz w:val="22"/>
          <w:lang w:eastAsia="en-AU"/>
        </w:rPr>
        <w:t>I</w:t>
      </w:r>
      <w:r w:rsidRPr="00060D11">
        <w:rPr>
          <w:rFonts w:cstheme="minorHAnsi"/>
          <w:sz w:val="22"/>
          <w:lang w:eastAsia="en-AU"/>
        </w:rPr>
        <w:t xml:space="preserve">n 2021, families </w:t>
      </w:r>
      <w:r w:rsidR="0025591E" w:rsidRPr="00060D11">
        <w:rPr>
          <w:rFonts w:cstheme="minorHAnsi"/>
          <w:sz w:val="22"/>
          <w:lang w:eastAsia="en-AU"/>
        </w:rPr>
        <w:t xml:space="preserve">were </w:t>
      </w:r>
      <w:r w:rsidRPr="00060D11">
        <w:rPr>
          <w:rFonts w:cstheme="minorHAnsi"/>
          <w:sz w:val="22"/>
          <w:lang w:eastAsia="en-AU"/>
        </w:rPr>
        <w:t>requested to pay 38 percent of tuition costs to attend schools.</w:t>
      </w:r>
    </w:p>
    <w:p w14:paraId="79427D92" w14:textId="77777777" w:rsidR="001F26A6" w:rsidRPr="00060D11" w:rsidRDefault="001F26A6" w:rsidP="004E780D">
      <w:pPr>
        <w:pStyle w:val="ListParagraph"/>
        <w:spacing w:line="276" w:lineRule="auto"/>
        <w:ind w:left="360"/>
        <w:rPr>
          <w:rFonts w:cstheme="minorHAnsi"/>
          <w:b/>
          <w:bCs/>
          <w:sz w:val="22"/>
          <w:lang w:eastAsia="en-AU"/>
        </w:rPr>
      </w:pPr>
    </w:p>
    <w:p w14:paraId="06D83963" w14:textId="1BF026A1" w:rsidR="001F26A6" w:rsidRPr="00060D11" w:rsidRDefault="001F26A6" w:rsidP="004E780D">
      <w:pPr>
        <w:pStyle w:val="ListParagraph"/>
        <w:numPr>
          <w:ilvl w:val="0"/>
          <w:numId w:val="48"/>
        </w:numPr>
        <w:spacing w:line="276" w:lineRule="auto"/>
        <w:rPr>
          <w:rFonts w:cstheme="minorHAnsi"/>
          <w:b/>
          <w:bCs/>
          <w:sz w:val="22"/>
          <w:lang w:eastAsia="en-AU"/>
        </w:rPr>
      </w:pPr>
      <w:r w:rsidRPr="00060D11">
        <w:rPr>
          <w:rFonts w:cstheme="minorHAnsi"/>
          <w:b/>
          <w:bCs/>
          <w:sz w:val="22"/>
          <w:lang w:eastAsia="en-AU"/>
        </w:rPr>
        <w:t xml:space="preserve">Low demand for education during the COVID-19 pandemic: </w:t>
      </w:r>
      <w:r w:rsidRPr="00060D11">
        <w:rPr>
          <w:rFonts w:cstheme="minorHAnsi"/>
          <w:sz w:val="22"/>
          <w:lang w:eastAsia="en-AU"/>
        </w:rPr>
        <w:t xml:space="preserve">While not </w:t>
      </w:r>
      <w:r w:rsidR="00547ACD" w:rsidRPr="00060D11">
        <w:rPr>
          <w:rFonts w:cstheme="minorHAnsi"/>
          <w:sz w:val="22"/>
          <w:lang w:eastAsia="en-AU"/>
        </w:rPr>
        <w:t xml:space="preserve">yet </w:t>
      </w:r>
      <w:r w:rsidRPr="00060D11">
        <w:rPr>
          <w:rFonts w:cstheme="minorHAnsi"/>
          <w:sz w:val="22"/>
          <w:lang w:eastAsia="en-AU"/>
        </w:rPr>
        <w:t xml:space="preserve">validated through school census data and ongoing survey efforts, anecdotal information from </w:t>
      </w:r>
      <w:r w:rsidR="007D43AC" w:rsidRPr="00060D11">
        <w:rPr>
          <w:sz w:val="22"/>
          <w:szCs w:val="32"/>
        </w:rPr>
        <w:t>United Nations Children’s Fund</w:t>
      </w:r>
      <w:r w:rsidR="007D43AC" w:rsidRPr="00060D11">
        <w:rPr>
          <w:rFonts w:cstheme="minorHAnsi"/>
          <w:sz w:val="32"/>
          <w:szCs w:val="32"/>
          <w:lang w:eastAsia="en-AU"/>
        </w:rPr>
        <w:t xml:space="preserve"> </w:t>
      </w:r>
      <w:r w:rsidR="007D43AC" w:rsidRPr="00060D11">
        <w:rPr>
          <w:rFonts w:cstheme="minorHAnsi"/>
          <w:sz w:val="22"/>
          <w:lang w:eastAsia="en-AU"/>
        </w:rPr>
        <w:t>(</w:t>
      </w:r>
      <w:r w:rsidRPr="00060D11">
        <w:rPr>
          <w:rFonts w:cstheme="minorHAnsi"/>
          <w:sz w:val="22"/>
          <w:lang w:eastAsia="en-AU"/>
        </w:rPr>
        <w:t>UNICEF</w:t>
      </w:r>
      <w:r w:rsidR="007D43AC" w:rsidRPr="00060D11">
        <w:rPr>
          <w:rFonts w:cstheme="minorHAnsi"/>
          <w:sz w:val="22"/>
          <w:lang w:eastAsia="en-AU"/>
        </w:rPr>
        <w:t>)</w:t>
      </w:r>
      <w:r w:rsidRPr="00060D11">
        <w:rPr>
          <w:rFonts w:cstheme="minorHAnsi"/>
          <w:sz w:val="22"/>
          <w:lang w:eastAsia="en-AU"/>
        </w:rPr>
        <w:t xml:space="preserve"> and the PNG Partnership Fund (PPF) Secretariat suggest</w:t>
      </w:r>
      <w:r w:rsidR="00547ACD" w:rsidRPr="00060D11">
        <w:rPr>
          <w:rFonts w:cstheme="minorHAnsi"/>
          <w:sz w:val="22"/>
          <w:lang w:eastAsia="en-AU"/>
        </w:rPr>
        <w:t>ed</w:t>
      </w:r>
      <w:r w:rsidRPr="00060D11">
        <w:rPr>
          <w:rFonts w:cstheme="minorHAnsi"/>
          <w:sz w:val="22"/>
          <w:lang w:eastAsia="en-AU"/>
        </w:rPr>
        <w:t xml:space="preserve"> that as much as 50 percent of children did not return to attend elementary or primary school following the initial closure of schools in March 2020. </w:t>
      </w:r>
      <w:r w:rsidR="00387E6B" w:rsidRPr="00060D11">
        <w:rPr>
          <w:rFonts w:cstheme="minorHAnsi"/>
          <w:sz w:val="22"/>
          <w:lang w:eastAsia="en-AU"/>
        </w:rPr>
        <w:t>However,</w:t>
      </w:r>
      <w:r w:rsidRPr="00060D11">
        <w:rPr>
          <w:rFonts w:cstheme="minorHAnsi"/>
          <w:sz w:val="22"/>
          <w:lang w:eastAsia="en-AU"/>
        </w:rPr>
        <w:t xml:space="preserve"> education officials </w:t>
      </w:r>
      <w:r w:rsidR="00390766" w:rsidRPr="00060D11">
        <w:rPr>
          <w:rFonts w:cstheme="minorHAnsi"/>
          <w:sz w:val="22"/>
          <w:lang w:eastAsia="en-AU"/>
        </w:rPr>
        <w:t xml:space="preserve">expected </w:t>
      </w:r>
      <w:r w:rsidRPr="00060D11">
        <w:rPr>
          <w:rFonts w:cstheme="minorHAnsi"/>
          <w:sz w:val="22"/>
          <w:lang w:eastAsia="en-AU"/>
        </w:rPr>
        <w:t>that there w</w:t>
      </w:r>
      <w:r w:rsidR="00390766" w:rsidRPr="00060D11">
        <w:rPr>
          <w:rFonts w:cstheme="minorHAnsi"/>
          <w:sz w:val="22"/>
          <w:lang w:eastAsia="en-AU"/>
        </w:rPr>
        <w:t>as</w:t>
      </w:r>
      <w:r w:rsidRPr="00060D11">
        <w:rPr>
          <w:rFonts w:cstheme="minorHAnsi"/>
          <w:sz w:val="22"/>
          <w:lang w:eastAsia="en-AU"/>
        </w:rPr>
        <w:t xml:space="preserve"> a high rate of return to school for the 2021 school year (albeit many of these children will now be over-age),</w:t>
      </w:r>
      <w:r w:rsidR="00390766" w:rsidRPr="00060D11">
        <w:rPr>
          <w:rFonts w:cstheme="minorHAnsi"/>
          <w:sz w:val="22"/>
          <w:lang w:eastAsia="en-AU"/>
        </w:rPr>
        <w:t xml:space="preserve"> but there is</w:t>
      </w:r>
      <w:r w:rsidRPr="00060D11">
        <w:rPr>
          <w:rFonts w:cstheme="minorHAnsi"/>
          <w:sz w:val="22"/>
          <w:lang w:eastAsia="en-AU"/>
        </w:rPr>
        <w:t xml:space="preserve"> </w:t>
      </w:r>
      <w:r w:rsidR="00390766" w:rsidRPr="00060D11">
        <w:rPr>
          <w:rFonts w:cstheme="minorHAnsi"/>
          <w:sz w:val="22"/>
          <w:lang w:eastAsia="en-AU"/>
        </w:rPr>
        <w:t>no data yet</w:t>
      </w:r>
      <w:r w:rsidRPr="00060D11">
        <w:rPr>
          <w:rFonts w:cstheme="minorHAnsi"/>
          <w:sz w:val="22"/>
          <w:lang w:eastAsia="en-AU"/>
        </w:rPr>
        <w:t xml:space="preserve"> available on 2021 enrolments.</w:t>
      </w:r>
      <w:r w:rsidRPr="00060D11">
        <w:rPr>
          <w:rStyle w:val="FootnoteReference"/>
          <w:rFonts w:cstheme="minorHAnsi"/>
          <w:sz w:val="22"/>
          <w:lang w:eastAsia="en-AU"/>
        </w:rPr>
        <w:footnoteReference w:id="20"/>
      </w:r>
      <w:r w:rsidRPr="00060D11">
        <w:rPr>
          <w:rFonts w:cstheme="minorHAnsi"/>
          <w:sz w:val="22"/>
          <w:lang w:eastAsia="en-AU"/>
        </w:rPr>
        <w:t xml:space="preserve"> International studies would suggest that once children are absent from school for an extended period of time, they are less likely to return.</w:t>
      </w:r>
      <w:r w:rsidRPr="00060D11">
        <w:rPr>
          <w:rStyle w:val="FootnoteReference"/>
          <w:rFonts w:cstheme="minorHAnsi"/>
          <w:sz w:val="22"/>
          <w:lang w:eastAsia="en-AU"/>
        </w:rPr>
        <w:footnoteReference w:id="21"/>
      </w:r>
    </w:p>
    <w:p w14:paraId="1E25F71A" w14:textId="77777777" w:rsidR="00854D56" w:rsidRPr="00060D11" w:rsidRDefault="00854D56" w:rsidP="004E780D">
      <w:pPr>
        <w:spacing w:line="276" w:lineRule="auto"/>
        <w:rPr>
          <w:rFonts w:cstheme="minorHAnsi"/>
          <w:lang w:eastAsia="en-AU"/>
        </w:rPr>
      </w:pPr>
    </w:p>
    <w:p w14:paraId="301E3B72" w14:textId="52EE61AC" w:rsidR="001F26A6" w:rsidRPr="00060D11" w:rsidRDefault="001F26A6" w:rsidP="004E780D">
      <w:pPr>
        <w:spacing w:line="276" w:lineRule="auto"/>
        <w:rPr>
          <w:rFonts w:cstheme="minorHAnsi"/>
          <w:lang w:eastAsia="en-AU"/>
        </w:rPr>
      </w:pPr>
      <w:r w:rsidRPr="00060D11">
        <w:rPr>
          <w:rFonts w:cstheme="minorHAnsi"/>
          <w:lang w:eastAsia="en-AU"/>
        </w:rPr>
        <w:t>When these issues are taken together, it is evident that the education system in PNG is facing a significant crisis, yet design consultations did not reveal adequate awareness of the scale of this crisis. In fact, the results of the trend analysis undertaken by the design team seemed to provide new information to senior education officials. As such, the situation qualifies as a ‘creeping crisis’, one that has the potential for societal disruption and, if not addressed with urgency, a crisis which may erode public trust in the education system itself.</w:t>
      </w:r>
      <w:r w:rsidRPr="00060D11">
        <w:rPr>
          <w:rStyle w:val="FootnoteReference"/>
          <w:rFonts w:cstheme="minorHAnsi"/>
          <w:lang w:eastAsia="en-AU"/>
        </w:rPr>
        <w:footnoteReference w:id="22"/>
      </w:r>
      <w:r w:rsidRPr="00060D11">
        <w:rPr>
          <w:rFonts w:cstheme="minorHAnsi"/>
          <w:lang w:eastAsia="en-AU"/>
        </w:rPr>
        <w:t xml:space="preserve"> The following section provides a discussion and analysis of the major challenges to provide guidance for identifying feasible interventions to acknowledge, understand and effectively address the crisis facing education in PNG.</w:t>
      </w:r>
    </w:p>
    <w:p w14:paraId="12DB4BE6" w14:textId="77777777" w:rsidR="001F26A6" w:rsidRPr="00060D11" w:rsidRDefault="001F26A6" w:rsidP="004E780D">
      <w:pPr>
        <w:spacing w:line="276" w:lineRule="auto"/>
        <w:rPr>
          <w:rFonts w:cstheme="minorHAnsi"/>
          <w:lang w:eastAsia="en-AU"/>
        </w:rPr>
      </w:pPr>
    </w:p>
    <w:p w14:paraId="01FB74F9" w14:textId="77777777" w:rsidR="001F26A6" w:rsidRPr="00060D11" w:rsidRDefault="001F26A6" w:rsidP="00C04736">
      <w:pPr>
        <w:pStyle w:val="Heading2"/>
      </w:pPr>
      <w:bookmarkStart w:id="7" w:name="_Toc62131652"/>
      <w:r w:rsidRPr="00060D11">
        <w:t>B.2</w:t>
      </w:r>
      <w:r w:rsidRPr="00060D11">
        <w:tab/>
        <w:t>DEVELOPMENT PROBLEM / ISSUE ANALYSIS</w:t>
      </w:r>
      <w:bookmarkEnd w:id="7"/>
    </w:p>
    <w:p w14:paraId="26C333B3" w14:textId="77777777" w:rsidR="001F26A6" w:rsidRPr="00060D11" w:rsidRDefault="001F26A6" w:rsidP="004E780D">
      <w:pPr>
        <w:spacing w:after="120" w:line="276" w:lineRule="auto"/>
        <w:rPr>
          <w:rFonts w:cstheme="minorHAnsi"/>
          <w:lang w:eastAsia="en-AU"/>
        </w:rPr>
      </w:pPr>
      <w:r w:rsidRPr="00060D11">
        <w:rPr>
          <w:rFonts w:cstheme="minorHAnsi"/>
          <w:lang w:eastAsia="en-AU"/>
        </w:rPr>
        <w:t xml:space="preserve">With the number and scale of the major issues facing the education system in PNG, two questions have particular relevance to the design process: </w:t>
      </w:r>
    </w:p>
    <w:p w14:paraId="29A31932" w14:textId="2F76AE75" w:rsidR="001F26A6" w:rsidRPr="00060D11" w:rsidRDefault="001F26A6" w:rsidP="004E780D">
      <w:pPr>
        <w:pStyle w:val="ListParagraph"/>
        <w:numPr>
          <w:ilvl w:val="0"/>
          <w:numId w:val="49"/>
        </w:numPr>
        <w:spacing w:after="120" w:line="276" w:lineRule="auto"/>
        <w:rPr>
          <w:rFonts w:cstheme="minorHAnsi"/>
          <w:sz w:val="22"/>
          <w:lang w:eastAsia="en-AU"/>
        </w:rPr>
      </w:pPr>
      <w:r w:rsidRPr="00060D11">
        <w:rPr>
          <w:rFonts w:cstheme="minorHAnsi"/>
          <w:sz w:val="22"/>
          <w:lang w:eastAsia="en-AU"/>
        </w:rPr>
        <w:t>‘How can the decline in the participation of children in early grades education be reversed?’</w:t>
      </w:r>
      <w:r w:rsidR="00387E6B">
        <w:rPr>
          <w:rFonts w:cstheme="minorHAnsi"/>
          <w:sz w:val="22"/>
          <w:lang w:eastAsia="en-AU"/>
        </w:rPr>
        <w:t xml:space="preserve">; </w:t>
      </w:r>
      <w:r w:rsidRPr="00060D11">
        <w:rPr>
          <w:rFonts w:cstheme="minorHAnsi"/>
          <w:sz w:val="22"/>
          <w:lang w:eastAsia="en-AU"/>
        </w:rPr>
        <w:t>and</w:t>
      </w:r>
    </w:p>
    <w:p w14:paraId="710A625C" w14:textId="6F50216A" w:rsidR="001F26A6" w:rsidRPr="00060D11" w:rsidRDefault="001F26A6" w:rsidP="0039667A">
      <w:pPr>
        <w:pStyle w:val="ListParagraph"/>
        <w:numPr>
          <w:ilvl w:val="0"/>
          <w:numId w:val="49"/>
        </w:numPr>
        <w:spacing w:line="276" w:lineRule="auto"/>
        <w:rPr>
          <w:rFonts w:cstheme="minorHAnsi"/>
          <w:sz w:val="22"/>
          <w:lang w:eastAsia="en-AU"/>
        </w:rPr>
      </w:pPr>
      <w:r w:rsidRPr="00060D11">
        <w:rPr>
          <w:rFonts w:cstheme="minorHAnsi"/>
          <w:sz w:val="22"/>
          <w:lang w:eastAsia="en-AU"/>
        </w:rPr>
        <w:t>‘How can the education system be strengthened to improve the provision of quality education for all children?’</w:t>
      </w:r>
    </w:p>
    <w:p w14:paraId="366C6366" w14:textId="77777777" w:rsidR="001F26A6" w:rsidRPr="00060D11" w:rsidRDefault="001F26A6" w:rsidP="00477C43">
      <w:pPr>
        <w:spacing w:before="60" w:after="120" w:line="276" w:lineRule="auto"/>
        <w:rPr>
          <w:rFonts w:cstheme="minorHAnsi"/>
          <w:lang w:eastAsia="en-AU"/>
        </w:rPr>
      </w:pPr>
      <w:r w:rsidRPr="00060D11">
        <w:rPr>
          <w:rFonts w:cstheme="minorHAnsi"/>
          <w:lang w:eastAsia="en-AU"/>
        </w:rPr>
        <w:t>Since not all the challenges faced by the PNG education system are of equal magnitude and some are beyond the control of any investment (e.g., GoPNG fiscal constraints, geographic isolation), it is important to identify and focus on those issues:</w:t>
      </w:r>
    </w:p>
    <w:p w14:paraId="772E232F" w14:textId="3E8110A5" w:rsidR="001F26A6" w:rsidRPr="00060D11" w:rsidRDefault="001F26A6" w:rsidP="004E780D">
      <w:pPr>
        <w:pStyle w:val="ListParagraph"/>
        <w:numPr>
          <w:ilvl w:val="0"/>
          <w:numId w:val="50"/>
        </w:numPr>
        <w:spacing w:after="120" w:line="276" w:lineRule="auto"/>
        <w:ind w:left="851" w:hanging="425"/>
        <w:rPr>
          <w:rFonts w:cstheme="minorHAnsi"/>
          <w:sz w:val="22"/>
          <w:lang w:eastAsia="en-AU"/>
        </w:rPr>
      </w:pPr>
      <w:r w:rsidRPr="00060D11">
        <w:rPr>
          <w:rFonts w:cstheme="minorHAnsi"/>
          <w:sz w:val="22"/>
          <w:lang w:eastAsia="en-AU"/>
        </w:rPr>
        <w:t>over which the system has some control or influence</w:t>
      </w:r>
      <w:r w:rsidR="00113CFE" w:rsidRPr="00060D11">
        <w:rPr>
          <w:rFonts w:cstheme="minorHAnsi"/>
          <w:sz w:val="22"/>
          <w:lang w:eastAsia="en-AU"/>
        </w:rPr>
        <w:t>;</w:t>
      </w:r>
    </w:p>
    <w:p w14:paraId="4008A7D4" w14:textId="60CF3CE4" w:rsidR="001F26A6" w:rsidRPr="00060D11" w:rsidRDefault="001F26A6" w:rsidP="004E780D">
      <w:pPr>
        <w:pStyle w:val="ListParagraph"/>
        <w:numPr>
          <w:ilvl w:val="0"/>
          <w:numId w:val="50"/>
        </w:numPr>
        <w:spacing w:after="120" w:line="276" w:lineRule="auto"/>
        <w:ind w:left="851" w:hanging="425"/>
        <w:rPr>
          <w:rFonts w:cstheme="minorHAnsi"/>
          <w:sz w:val="22"/>
          <w:lang w:eastAsia="en-AU"/>
        </w:rPr>
      </w:pPr>
      <w:r w:rsidRPr="00060D11">
        <w:rPr>
          <w:rFonts w:cstheme="minorHAnsi"/>
          <w:sz w:val="22"/>
          <w:lang w:eastAsia="en-AU"/>
        </w:rPr>
        <w:t xml:space="preserve">which, if resolved, are most likely to have the greatest positive ‘effect’; </w:t>
      </w:r>
      <w:r w:rsidR="00113CFE" w:rsidRPr="00060D11">
        <w:rPr>
          <w:rFonts w:cstheme="minorHAnsi"/>
          <w:sz w:val="22"/>
          <w:lang w:eastAsia="en-AU"/>
        </w:rPr>
        <w:t>and</w:t>
      </w:r>
      <w:r w:rsidRPr="00060D11">
        <w:rPr>
          <w:rFonts w:cstheme="minorHAnsi"/>
          <w:sz w:val="22"/>
          <w:lang w:eastAsia="en-AU"/>
        </w:rPr>
        <w:t xml:space="preserve"> </w:t>
      </w:r>
    </w:p>
    <w:p w14:paraId="271B3D45" w14:textId="77777777" w:rsidR="001F26A6" w:rsidRPr="00060D11" w:rsidRDefault="001F26A6" w:rsidP="004E780D">
      <w:pPr>
        <w:pStyle w:val="ListParagraph"/>
        <w:numPr>
          <w:ilvl w:val="0"/>
          <w:numId w:val="50"/>
        </w:numPr>
        <w:spacing w:after="120" w:line="276" w:lineRule="auto"/>
        <w:ind w:left="851" w:hanging="425"/>
        <w:rPr>
          <w:rFonts w:cstheme="minorHAnsi"/>
          <w:sz w:val="22"/>
          <w:lang w:eastAsia="en-AU"/>
        </w:rPr>
      </w:pPr>
      <w:r w:rsidRPr="00060D11">
        <w:rPr>
          <w:rFonts w:cstheme="minorHAnsi"/>
          <w:sz w:val="22"/>
          <w:lang w:eastAsia="en-AU"/>
        </w:rPr>
        <w:t xml:space="preserve">which are feasible for the system itself to introduce, progressively manage and sustain. </w:t>
      </w:r>
    </w:p>
    <w:p w14:paraId="387DF6FB" w14:textId="7CF65655" w:rsidR="00113CFE" w:rsidRPr="00060D11" w:rsidRDefault="001F26A6" w:rsidP="004E780D">
      <w:pPr>
        <w:spacing w:line="276" w:lineRule="auto"/>
        <w:rPr>
          <w:rFonts w:cstheme="minorHAnsi"/>
          <w:lang w:eastAsia="en-AU"/>
        </w:rPr>
      </w:pPr>
      <w:r w:rsidRPr="00060D11">
        <w:rPr>
          <w:rFonts w:cstheme="minorHAnsi"/>
          <w:lang w:eastAsia="en-AU"/>
        </w:rPr>
        <w:t>Five issues have been identified that inform the focus of the investment. Four issues are distinct areas for specific attention with a fifth issue considered as a cross-cutting issue. These are:</w:t>
      </w:r>
    </w:p>
    <w:p w14:paraId="4280E04C" w14:textId="095FF2FD" w:rsidR="00F12118" w:rsidRPr="00060D11" w:rsidRDefault="001F26A6" w:rsidP="00477C43">
      <w:pPr>
        <w:pStyle w:val="ListParagraph"/>
        <w:numPr>
          <w:ilvl w:val="0"/>
          <w:numId w:val="3"/>
        </w:numPr>
        <w:spacing w:before="60" w:after="120" w:line="276" w:lineRule="auto"/>
        <w:ind w:left="357" w:hanging="272"/>
        <w:contextualSpacing w:val="0"/>
        <w:rPr>
          <w:rFonts w:cstheme="minorHAnsi"/>
          <w:sz w:val="22"/>
          <w:lang w:eastAsia="en-AU"/>
        </w:rPr>
      </w:pPr>
      <w:r w:rsidRPr="00060D11">
        <w:rPr>
          <w:rFonts w:cstheme="minorHAnsi"/>
          <w:b/>
          <w:bCs/>
          <w:sz w:val="22"/>
          <w:lang w:eastAsia="en-AU"/>
        </w:rPr>
        <w:t xml:space="preserve">Limited attention by government to participation/retention rates in the early grades: </w:t>
      </w:r>
      <w:r w:rsidRPr="00060D11">
        <w:rPr>
          <w:rFonts w:cstheme="minorHAnsi"/>
          <w:sz w:val="22"/>
          <w:lang w:eastAsia="en-AU"/>
        </w:rPr>
        <w:t>The World Bank, UNICEF and</w:t>
      </w:r>
      <w:r w:rsidR="007D43AC" w:rsidRPr="00060D11">
        <w:rPr>
          <w:rFonts w:cstheme="minorHAnsi"/>
          <w:sz w:val="22"/>
          <w:lang w:eastAsia="en-AU"/>
        </w:rPr>
        <w:t xml:space="preserve"> </w:t>
      </w:r>
      <w:r w:rsidR="007D43AC" w:rsidRPr="00060D11">
        <w:rPr>
          <w:sz w:val="22"/>
          <w:szCs w:val="32"/>
        </w:rPr>
        <w:t>United Nations Education, Scientific and Cultural Organisation</w:t>
      </w:r>
      <w:r w:rsidRPr="00060D11">
        <w:rPr>
          <w:rFonts w:cstheme="minorHAnsi"/>
          <w:sz w:val="32"/>
          <w:szCs w:val="32"/>
          <w:lang w:eastAsia="en-AU"/>
        </w:rPr>
        <w:t xml:space="preserve"> </w:t>
      </w:r>
      <w:r w:rsidR="007D43AC" w:rsidRPr="00060D11">
        <w:rPr>
          <w:rFonts w:cstheme="minorHAnsi"/>
          <w:sz w:val="22"/>
          <w:lang w:eastAsia="en-AU"/>
        </w:rPr>
        <w:t>(</w:t>
      </w:r>
      <w:r w:rsidRPr="00060D11">
        <w:rPr>
          <w:rFonts w:cstheme="minorHAnsi"/>
          <w:sz w:val="22"/>
          <w:lang w:eastAsia="en-AU"/>
        </w:rPr>
        <w:t>UNESCO</w:t>
      </w:r>
      <w:r w:rsidR="007D43AC" w:rsidRPr="00060D11">
        <w:rPr>
          <w:rFonts w:cstheme="minorHAnsi"/>
          <w:sz w:val="22"/>
          <w:lang w:eastAsia="en-AU"/>
        </w:rPr>
        <w:t>)</w:t>
      </w:r>
      <w:r w:rsidRPr="00060D11">
        <w:rPr>
          <w:rFonts w:cstheme="minorHAnsi"/>
          <w:sz w:val="22"/>
          <w:lang w:eastAsia="en-AU"/>
        </w:rPr>
        <w:t xml:space="preserve"> have all identified the primary importance of high-quality early grade education for all children as: i) the foundation for future learning; ii) having the best returns on public investment; and iii) contributing the most benefit to society.</w:t>
      </w:r>
      <w:r w:rsidRPr="00060D11">
        <w:rPr>
          <w:rStyle w:val="FootnoteReference"/>
          <w:rFonts w:cstheme="minorHAnsi"/>
          <w:sz w:val="22"/>
          <w:lang w:eastAsia="en-AU"/>
        </w:rPr>
        <w:footnoteReference w:id="23"/>
      </w:r>
      <w:r w:rsidRPr="00060D11">
        <w:rPr>
          <w:rFonts w:cstheme="minorHAnsi"/>
          <w:sz w:val="22"/>
          <w:lang w:eastAsia="en-AU"/>
        </w:rPr>
        <w:t xml:space="preserve"> Related research from a range of sources also identifies that the single most important contribution to a child’s learning outside the home is quality of teaching.</w:t>
      </w:r>
    </w:p>
    <w:p w14:paraId="5FA5617F" w14:textId="478A63CF" w:rsidR="001F26A6" w:rsidRPr="00060D11" w:rsidRDefault="001F26A6" w:rsidP="004E780D">
      <w:pPr>
        <w:pStyle w:val="ListParagraph"/>
        <w:spacing w:after="120" w:line="276" w:lineRule="auto"/>
        <w:ind w:left="357"/>
        <w:contextualSpacing w:val="0"/>
        <w:rPr>
          <w:lang w:eastAsia="en-AU"/>
        </w:rPr>
      </w:pPr>
      <w:r w:rsidRPr="00060D11">
        <w:rPr>
          <w:rFonts w:cstheme="minorHAnsi"/>
          <w:sz w:val="22"/>
          <w:lang w:eastAsia="en-AU"/>
        </w:rPr>
        <w:t xml:space="preserve">While PNG has recognised the importance of early childhood education (ECE) with the passage of the policy on ECE, this same level of attention does not appear to be reflected in the delivery of early grades education as evidenced by: </w:t>
      </w:r>
    </w:p>
    <w:p w14:paraId="669A4077" w14:textId="2323C64E" w:rsidR="001F26A6" w:rsidRPr="00060D11" w:rsidRDefault="001F26A6" w:rsidP="004E780D">
      <w:pPr>
        <w:pStyle w:val="ListParagraph"/>
        <w:numPr>
          <w:ilvl w:val="0"/>
          <w:numId w:val="51"/>
        </w:numPr>
        <w:spacing w:line="276" w:lineRule="auto"/>
        <w:ind w:left="1077" w:hanging="357"/>
        <w:contextualSpacing w:val="0"/>
        <w:rPr>
          <w:rFonts w:cstheme="minorHAnsi"/>
          <w:sz w:val="22"/>
          <w:lang w:eastAsia="en-AU"/>
        </w:rPr>
      </w:pPr>
      <w:r w:rsidRPr="00060D11">
        <w:rPr>
          <w:rFonts w:cstheme="minorHAnsi"/>
          <w:sz w:val="22"/>
          <w:lang w:eastAsia="en-AU"/>
        </w:rPr>
        <w:t>the relatively low levels of education, limited preparedness and in-service/professional development of school teachers in the early grades under the new 1-6-6 structure</w:t>
      </w:r>
      <w:r w:rsidR="00113CFE" w:rsidRPr="00060D11">
        <w:rPr>
          <w:rFonts w:cstheme="minorHAnsi"/>
          <w:sz w:val="22"/>
          <w:lang w:eastAsia="en-AU"/>
        </w:rPr>
        <w:t>;</w:t>
      </w:r>
    </w:p>
    <w:p w14:paraId="46A814AF" w14:textId="2E7B6A77" w:rsidR="001F26A6" w:rsidRPr="00060D11" w:rsidRDefault="001F26A6" w:rsidP="004E780D">
      <w:pPr>
        <w:pStyle w:val="ListParagraph"/>
        <w:numPr>
          <w:ilvl w:val="0"/>
          <w:numId w:val="51"/>
        </w:numPr>
        <w:spacing w:line="276" w:lineRule="auto"/>
        <w:ind w:left="1077" w:hanging="357"/>
        <w:rPr>
          <w:rFonts w:cstheme="minorHAnsi"/>
          <w:sz w:val="22"/>
          <w:lang w:eastAsia="en-AU"/>
        </w:rPr>
      </w:pPr>
      <w:r w:rsidRPr="00060D11">
        <w:rPr>
          <w:rFonts w:cstheme="minorHAnsi"/>
          <w:sz w:val="22"/>
          <w:lang w:eastAsia="en-AU"/>
        </w:rPr>
        <w:t xml:space="preserve">continuing low </w:t>
      </w:r>
      <w:r w:rsidR="00052FC0" w:rsidRPr="00060D11">
        <w:rPr>
          <w:rFonts w:cstheme="minorHAnsi"/>
          <w:sz w:val="22"/>
          <w:lang w:eastAsia="en-AU"/>
        </w:rPr>
        <w:t>NER</w:t>
      </w:r>
      <w:r w:rsidRPr="00060D11">
        <w:rPr>
          <w:rFonts w:cstheme="minorHAnsi"/>
          <w:sz w:val="22"/>
          <w:lang w:eastAsia="en-AU"/>
        </w:rPr>
        <w:t>s in basic education</w:t>
      </w:r>
      <w:r w:rsidR="00113CFE" w:rsidRPr="00060D11">
        <w:rPr>
          <w:rFonts w:cstheme="minorHAnsi"/>
          <w:sz w:val="22"/>
          <w:lang w:eastAsia="en-AU"/>
        </w:rPr>
        <w:t>;</w:t>
      </w:r>
      <w:r w:rsidRPr="00060D11">
        <w:rPr>
          <w:rFonts w:cstheme="minorHAnsi"/>
          <w:sz w:val="22"/>
          <w:lang w:eastAsia="en-AU"/>
        </w:rPr>
        <w:t xml:space="preserve"> </w:t>
      </w:r>
    </w:p>
    <w:p w14:paraId="392E564A" w14:textId="02036760" w:rsidR="001F26A6" w:rsidRPr="00060D11" w:rsidRDefault="001F26A6" w:rsidP="004E780D">
      <w:pPr>
        <w:pStyle w:val="ListParagraph"/>
        <w:numPr>
          <w:ilvl w:val="0"/>
          <w:numId w:val="51"/>
        </w:numPr>
        <w:spacing w:after="120" w:line="276" w:lineRule="auto"/>
        <w:rPr>
          <w:rFonts w:cstheme="minorHAnsi"/>
          <w:sz w:val="22"/>
          <w:lang w:eastAsia="en-AU"/>
        </w:rPr>
      </w:pPr>
      <w:r w:rsidRPr="00060D11">
        <w:rPr>
          <w:rFonts w:cstheme="minorHAnsi"/>
          <w:sz w:val="22"/>
          <w:lang w:eastAsia="en-AU"/>
        </w:rPr>
        <w:t xml:space="preserve">the decreasing rate of transition of children between early grades, most evident in the transition of children from elementary to primary school (E2/G2 to G3); of </w:t>
      </w:r>
      <w:r w:rsidR="00F12118" w:rsidRPr="00060D11">
        <w:rPr>
          <w:rFonts w:cstheme="minorHAnsi"/>
          <w:sz w:val="22"/>
          <w:lang w:eastAsia="en-AU"/>
        </w:rPr>
        <w:t>ten</w:t>
      </w:r>
      <w:r w:rsidRPr="00060D11">
        <w:rPr>
          <w:rFonts w:cstheme="minorHAnsi"/>
          <w:sz w:val="22"/>
          <w:lang w:eastAsia="en-AU"/>
        </w:rPr>
        <w:t xml:space="preserve"> children enrolled, meta-data analysis reveals that </w:t>
      </w:r>
      <w:r w:rsidR="00F12118" w:rsidRPr="00060D11">
        <w:rPr>
          <w:rFonts w:cstheme="minorHAnsi"/>
          <w:sz w:val="22"/>
          <w:lang w:eastAsia="en-AU"/>
        </w:rPr>
        <w:t>four</w:t>
      </w:r>
      <w:r w:rsidRPr="00060D11">
        <w:rPr>
          <w:rFonts w:cstheme="minorHAnsi"/>
          <w:sz w:val="22"/>
          <w:lang w:eastAsia="en-AU"/>
        </w:rPr>
        <w:t xml:space="preserve"> will not transition to G3 (refer Appendix A)</w:t>
      </w:r>
      <w:r w:rsidR="00113CFE" w:rsidRPr="00060D11">
        <w:rPr>
          <w:rFonts w:cstheme="minorHAnsi"/>
          <w:sz w:val="22"/>
          <w:lang w:eastAsia="en-AU"/>
        </w:rPr>
        <w:t>;</w:t>
      </w:r>
    </w:p>
    <w:p w14:paraId="41B1311F" w14:textId="204EA1BC" w:rsidR="001F26A6" w:rsidRPr="00060D11" w:rsidRDefault="001F26A6" w:rsidP="004E780D">
      <w:pPr>
        <w:pStyle w:val="ListParagraph"/>
        <w:numPr>
          <w:ilvl w:val="0"/>
          <w:numId w:val="51"/>
        </w:numPr>
        <w:spacing w:after="120" w:line="276" w:lineRule="auto"/>
        <w:rPr>
          <w:rFonts w:cstheme="minorHAnsi"/>
          <w:sz w:val="22"/>
          <w:lang w:eastAsia="en-AU"/>
        </w:rPr>
      </w:pPr>
      <w:r w:rsidRPr="00060D11">
        <w:rPr>
          <w:rFonts w:cstheme="minorHAnsi"/>
          <w:sz w:val="22"/>
          <w:lang w:eastAsia="en-AU"/>
        </w:rPr>
        <w:t>the lower academic achievement level of children in the early grades compared to their peers in other countries in the region</w:t>
      </w:r>
      <w:r w:rsidR="00113CFE" w:rsidRPr="00060D11">
        <w:rPr>
          <w:rFonts w:cstheme="minorHAnsi"/>
          <w:sz w:val="22"/>
          <w:lang w:eastAsia="en-AU"/>
        </w:rPr>
        <w:t>;</w:t>
      </w:r>
    </w:p>
    <w:p w14:paraId="45B63CBE" w14:textId="57A191E9" w:rsidR="001F26A6" w:rsidRPr="00060D11" w:rsidRDefault="001F26A6" w:rsidP="004E780D">
      <w:pPr>
        <w:pStyle w:val="ListParagraph"/>
        <w:numPr>
          <w:ilvl w:val="0"/>
          <w:numId w:val="51"/>
        </w:numPr>
        <w:spacing w:after="120" w:line="276" w:lineRule="auto"/>
        <w:rPr>
          <w:rFonts w:cstheme="minorHAnsi"/>
          <w:sz w:val="22"/>
          <w:lang w:eastAsia="en-AU"/>
        </w:rPr>
      </w:pPr>
      <w:r w:rsidRPr="00060D11">
        <w:rPr>
          <w:rFonts w:cstheme="minorHAnsi"/>
          <w:sz w:val="22"/>
          <w:lang w:eastAsia="en-AU"/>
        </w:rPr>
        <w:t>the limited level of supervision/support provided to schools and teachers by district and provincial education officials; even though the National Quality Schools Standards Framework was approved in 2018 there has been limited progress in applying and testing the framework to determine its utility; and</w:t>
      </w:r>
    </w:p>
    <w:p w14:paraId="7B450DA0" w14:textId="7988A630" w:rsidR="001F26A6" w:rsidRPr="00060D11" w:rsidRDefault="001F26A6" w:rsidP="004E780D">
      <w:pPr>
        <w:pStyle w:val="ListParagraph"/>
        <w:numPr>
          <w:ilvl w:val="0"/>
          <w:numId w:val="51"/>
        </w:numPr>
        <w:spacing w:after="120" w:line="276" w:lineRule="auto"/>
        <w:rPr>
          <w:rFonts w:cstheme="minorHAnsi"/>
          <w:sz w:val="22"/>
          <w:lang w:eastAsia="en-AU"/>
        </w:rPr>
      </w:pPr>
      <w:r w:rsidRPr="00060D11">
        <w:rPr>
          <w:rFonts w:cstheme="minorHAnsi"/>
          <w:sz w:val="22"/>
          <w:lang w:eastAsia="en-AU"/>
        </w:rPr>
        <w:t xml:space="preserve">the limited (and declining) government funding provided to education and to schools (in fact a school </w:t>
      </w:r>
      <w:r w:rsidR="00B07C12" w:rsidRPr="00060D11">
        <w:rPr>
          <w:rFonts w:cstheme="minorHAnsi"/>
          <w:sz w:val="22"/>
          <w:lang w:eastAsia="en-AU"/>
        </w:rPr>
        <w:t>c</w:t>
      </w:r>
      <w:r w:rsidRPr="00060D11">
        <w:rPr>
          <w:rFonts w:cstheme="minorHAnsi"/>
          <w:sz w:val="22"/>
          <w:lang w:eastAsia="en-AU"/>
        </w:rPr>
        <w:t>ould</w:t>
      </w:r>
      <w:r w:rsidR="00B07C12" w:rsidRPr="00060D11">
        <w:rPr>
          <w:rFonts w:cstheme="minorHAnsi"/>
          <w:sz w:val="22"/>
          <w:lang w:eastAsia="en-AU"/>
        </w:rPr>
        <w:t xml:space="preserve"> technically</w:t>
      </w:r>
      <w:r w:rsidRPr="00060D11">
        <w:rPr>
          <w:rFonts w:cstheme="minorHAnsi"/>
          <w:sz w:val="22"/>
          <w:lang w:eastAsia="en-AU"/>
        </w:rPr>
        <w:t xml:space="preserve"> receive no funding from government aside from teachers’ salaries if a School Learning Improvement Plan (SLIP) has not been prepared and approved).</w:t>
      </w:r>
    </w:p>
    <w:p w14:paraId="2328B3B4" w14:textId="77777777" w:rsidR="001F26A6" w:rsidRPr="00060D11" w:rsidRDefault="001F26A6" w:rsidP="004E780D">
      <w:pPr>
        <w:pStyle w:val="ListParagraph"/>
        <w:spacing w:after="120" w:line="276" w:lineRule="auto"/>
        <w:ind w:left="1080"/>
        <w:rPr>
          <w:rFonts w:cstheme="minorHAnsi"/>
          <w:sz w:val="22"/>
          <w:lang w:eastAsia="en-AU"/>
        </w:rPr>
      </w:pPr>
    </w:p>
    <w:p w14:paraId="143A6F49" w14:textId="411D27CA" w:rsidR="001F26A6" w:rsidRPr="00060D11" w:rsidRDefault="001F26A6" w:rsidP="004E780D">
      <w:pPr>
        <w:pStyle w:val="ListParagraph"/>
        <w:numPr>
          <w:ilvl w:val="0"/>
          <w:numId w:val="3"/>
        </w:numPr>
        <w:spacing w:after="120" w:line="276" w:lineRule="auto"/>
        <w:ind w:left="357" w:hanging="270"/>
        <w:contextualSpacing w:val="0"/>
        <w:rPr>
          <w:rFonts w:cstheme="minorHAnsi"/>
          <w:b/>
          <w:bCs/>
          <w:lang w:eastAsia="en-AU"/>
        </w:rPr>
      </w:pPr>
      <w:r w:rsidRPr="00060D11">
        <w:rPr>
          <w:rFonts w:cstheme="minorHAnsi"/>
          <w:b/>
          <w:bCs/>
          <w:sz w:val="22"/>
          <w:lang w:eastAsia="en-AU"/>
        </w:rPr>
        <w:t xml:space="preserve">Declining demand for education: </w:t>
      </w:r>
      <w:r w:rsidRPr="00060D11">
        <w:rPr>
          <w:rFonts w:cstheme="minorHAnsi"/>
          <w:sz w:val="22"/>
          <w:lang w:eastAsia="en-AU"/>
        </w:rPr>
        <w:t xml:space="preserve">National level consultations, findings of other programs (e.g., the PPF Education Grants) as well as the information included in the Expressions of Interest from five short-listed provinces (refer Appendix B) indicate that parents may not be placing a high value on education, nor understand the important benefits that a good educational foundation may provide. Low enrolment rates in the early grades suggest that parents are enrolling their children at later ages than expected, if at all, in many locations. Two reasons were provided (which are common in other low-income contexts). </w:t>
      </w:r>
    </w:p>
    <w:p w14:paraId="20CBED68" w14:textId="1DE5EB71" w:rsidR="001F26A6" w:rsidRPr="00060D11" w:rsidRDefault="001F26A6" w:rsidP="004E780D">
      <w:pPr>
        <w:pStyle w:val="ListParagraph"/>
        <w:spacing w:line="276" w:lineRule="auto"/>
        <w:ind w:left="357"/>
        <w:contextualSpacing w:val="0"/>
        <w:rPr>
          <w:rFonts w:cstheme="minorHAnsi"/>
          <w:b/>
          <w:bCs/>
          <w:sz w:val="22"/>
          <w:lang w:eastAsia="en-AU"/>
        </w:rPr>
      </w:pPr>
      <w:r w:rsidRPr="00060D11">
        <w:rPr>
          <w:rFonts w:cstheme="minorHAnsi"/>
          <w:sz w:val="22"/>
          <w:lang w:eastAsia="en-AU"/>
        </w:rPr>
        <w:t xml:space="preserve">One reason is that children may be required to contribute directly and/or indirectly to family survival – directly by engaging in work </w:t>
      </w:r>
      <w:r w:rsidR="003C05F4" w:rsidRPr="00060D11">
        <w:rPr>
          <w:rFonts w:cstheme="minorHAnsi"/>
          <w:sz w:val="22"/>
          <w:lang w:eastAsia="en-AU"/>
        </w:rPr>
        <w:t>–</w:t>
      </w:r>
      <w:r w:rsidRPr="00060D11">
        <w:rPr>
          <w:rFonts w:cstheme="minorHAnsi"/>
          <w:sz w:val="22"/>
          <w:lang w:eastAsia="en-AU"/>
        </w:rPr>
        <w:t xml:space="preserve"> or indirectly by looking after younger children while the parents engage in economic activity. This reason may have a high level of importance given the current economic situation faced by many families in PNG. The second reason cited is that parents and children do not find the education provided to be relevant to their lives or future. A skilled and experienced teacher is better able to bring relevance to the education a child receives. Unfortunately, as discussed above, many teachers in the early grades have neither the skills nor experience to do so, relying heavily on the scripted lessons that are to be given on a particular day of a particular week to all children in the same grade level.</w:t>
      </w:r>
    </w:p>
    <w:p w14:paraId="4A5F76DD" w14:textId="77777777" w:rsidR="001F26A6" w:rsidRPr="00060D11" w:rsidRDefault="001F26A6" w:rsidP="004E780D">
      <w:pPr>
        <w:pStyle w:val="ListParagraph"/>
        <w:spacing w:line="276" w:lineRule="auto"/>
        <w:ind w:left="360"/>
        <w:rPr>
          <w:rFonts w:cstheme="minorHAnsi"/>
          <w:b/>
          <w:bCs/>
          <w:sz w:val="22"/>
          <w:lang w:eastAsia="en-AU"/>
        </w:rPr>
      </w:pPr>
    </w:p>
    <w:p w14:paraId="4B5FCC15" w14:textId="6CC6923B" w:rsidR="001F26A6" w:rsidRPr="00060D11" w:rsidRDefault="001F26A6" w:rsidP="004E780D">
      <w:pPr>
        <w:pStyle w:val="ListParagraph"/>
        <w:numPr>
          <w:ilvl w:val="0"/>
          <w:numId w:val="3"/>
        </w:numPr>
        <w:spacing w:after="120" w:line="276" w:lineRule="auto"/>
        <w:ind w:left="360" w:hanging="270"/>
        <w:contextualSpacing w:val="0"/>
        <w:rPr>
          <w:rFonts w:cstheme="minorHAnsi"/>
          <w:sz w:val="22"/>
          <w:lang w:eastAsia="en-AU"/>
        </w:rPr>
      </w:pPr>
      <w:r w:rsidRPr="00060D11">
        <w:rPr>
          <w:rFonts w:cstheme="minorHAnsi"/>
          <w:b/>
          <w:bCs/>
          <w:sz w:val="22"/>
          <w:lang w:eastAsia="en-AU"/>
        </w:rPr>
        <w:t>Inadequate engagement of all stakeholders to achieve educational outcomes:</w:t>
      </w:r>
      <w:r w:rsidRPr="00060D11">
        <w:rPr>
          <w:rFonts w:cstheme="minorHAnsi"/>
          <w:sz w:val="22"/>
          <w:lang w:eastAsia="en-AU"/>
        </w:rPr>
        <w:t xml:space="preserve"> In fiscally constrained contexts, there is a high need for the engagement of others to contribute to the delivery and quality of education services. This engagement happens at various levels and takes on different forms depending upon the relationship with the education system. In PNG, the potential of partnerships appears to be underutilised in three areas:</w:t>
      </w:r>
    </w:p>
    <w:p w14:paraId="6E2DDEA6" w14:textId="181DB30C" w:rsidR="001F26A6" w:rsidRPr="00060D11" w:rsidRDefault="001F26A6" w:rsidP="00A15506">
      <w:pPr>
        <w:pStyle w:val="ListParagraph"/>
        <w:numPr>
          <w:ilvl w:val="0"/>
          <w:numId w:val="67"/>
        </w:numPr>
        <w:spacing w:before="120" w:after="60" w:line="276" w:lineRule="auto"/>
        <w:ind w:left="714" w:hanging="357"/>
        <w:contextualSpacing w:val="0"/>
        <w:rPr>
          <w:rFonts w:cstheme="minorHAnsi"/>
          <w:lang w:eastAsia="en-AU"/>
        </w:rPr>
      </w:pPr>
      <w:r w:rsidRPr="00060D11">
        <w:rPr>
          <w:rFonts w:cstheme="minorHAnsi"/>
          <w:i/>
          <w:iCs/>
          <w:sz w:val="22"/>
          <w:u w:val="single"/>
          <w:lang w:eastAsia="en-AU"/>
        </w:rPr>
        <w:t>Church Education Service Providers</w:t>
      </w:r>
      <w:r w:rsidRPr="00060D11">
        <w:rPr>
          <w:rFonts w:cstheme="minorHAnsi"/>
          <w:sz w:val="22"/>
          <w:lang w:eastAsia="en-AU"/>
        </w:rPr>
        <w:t xml:space="preserve"> are mandated in the Education Act and clearly relied upon by government to delivery services. Despite this, there do</w:t>
      </w:r>
      <w:r w:rsidR="00B2327D" w:rsidRPr="00060D11">
        <w:rPr>
          <w:rFonts w:cstheme="minorHAnsi"/>
          <w:sz w:val="22"/>
          <w:lang w:eastAsia="en-AU"/>
        </w:rPr>
        <w:t>es</w:t>
      </w:r>
      <w:r w:rsidRPr="00060D11">
        <w:rPr>
          <w:rFonts w:cstheme="minorHAnsi"/>
          <w:sz w:val="22"/>
          <w:lang w:eastAsia="en-AU"/>
        </w:rPr>
        <w:t xml:space="preserve"> not appear to be </w:t>
      </w:r>
      <w:r w:rsidR="00B2327D" w:rsidRPr="00060D11">
        <w:rPr>
          <w:rFonts w:cstheme="minorHAnsi"/>
          <w:sz w:val="22"/>
          <w:lang w:eastAsia="en-AU"/>
        </w:rPr>
        <w:t xml:space="preserve">a </w:t>
      </w:r>
      <w:r w:rsidRPr="00060D11">
        <w:rPr>
          <w:rFonts w:cstheme="minorHAnsi"/>
          <w:sz w:val="22"/>
          <w:lang w:eastAsia="en-AU"/>
        </w:rPr>
        <w:t>formal Memorand</w:t>
      </w:r>
      <w:r w:rsidR="00B2327D" w:rsidRPr="00060D11">
        <w:rPr>
          <w:rFonts w:cstheme="minorHAnsi"/>
          <w:sz w:val="22"/>
          <w:lang w:eastAsia="en-AU"/>
        </w:rPr>
        <w:t>um</w:t>
      </w:r>
      <w:r w:rsidRPr="00060D11">
        <w:rPr>
          <w:rFonts w:cstheme="minorHAnsi"/>
          <w:sz w:val="22"/>
          <w:lang w:eastAsia="en-AU"/>
        </w:rPr>
        <w:t xml:space="preserve"> of Understanding at national or provincial levels to improve collaboration and impact. The 2020 </w:t>
      </w:r>
      <w:r w:rsidR="00686208" w:rsidRPr="00060D11">
        <w:rPr>
          <w:rFonts w:cstheme="minorHAnsi"/>
          <w:sz w:val="22"/>
          <w:lang w:eastAsia="en-AU"/>
        </w:rPr>
        <w:t xml:space="preserve">CEC </w:t>
      </w:r>
      <w:r w:rsidRPr="00060D11">
        <w:rPr>
          <w:rFonts w:cstheme="minorHAnsi"/>
          <w:sz w:val="22"/>
          <w:lang w:eastAsia="en-AU"/>
        </w:rPr>
        <w:t xml:space="preserve">Constitution recognises this problem and establishes, as a key purpose, the intent to strengthen church – government partnership in </w:t>
      </w:r>
      <w:r w:rsidRPr="00060D11">
        <w:rPr>
          <w:rFonts w:cstheme="minorHAnsi"/>
          <w:i/>
          <w:iCs/>
          <w:sz w:val="22"/>
          <w:lang w:eastAsia="en-AU"/>
        </w:rPr>
        <w:t>“more practical ways”</w:t>
      </w:r>
      <w:r w:rsidR="00E5710A" w:rsidRPr="00060D11">
        <w:rPr>
          <w:rFonts w:cstheme="minorHAnsi"/>
          <w:i/>
          <w:iCs/>
          <w:sz w:val="22"/>
          <w:lang w:eastAsia="en-AU"/>
        </w:rPr>
        <w:t>;</w:t>
      </w:r>
      <w:r w:rsidRPr="00060D11">
        <w:rPr>
          <w:rFonts w:cstheme="minorHAnsi"/>
          <w:i/>
          <w:iCs/>
          <w:sz w:val="22"/>
          <w:lang w:eastAsia="en-AU"/>
        </w:rPr>
        <w:t xml:space="preserve"> </w:t>
      </w:r>
    </w:p>
    <w:p w14:paraId="14884388" w14:textId="3E06D397" w:rsidR="001F26A6" w:rsidRPr="00060D11" w:rsidRDefault="001F26A6" w:rsidP="00A15506">
      <w:pPr>
        <w:pStyle w:val="ListParagraph"/>
        <w:numPr>
          <w:ilvl w:val="0"/>
          <w:numId w:val="67"/>
        </w:numPr>
        <w:spacing w:before="120" w:after="60" w:line="276" w:lineRule="auto"/>
        <w:ind w:left="714" w:hanging="357"/>
        <w:contextualSpacing w:val="0"/>
        <w:rPr>
          <w:rFonts w:cstheme="minorHAnsi"/>
          <w:sz w:val="22"/>
          <w:lang w:eastAsia="en-AU"/>
        </w:rPr>
      </w:pPr>
      <w:r w:rsidRPr="00060D11">
        <w:rPr>
          <w:rFonts w:cstheme="minorHAnsi"/>
          <w:i/>
          <w:iCs/>
          <w:sz w:val="22"/>
          <w:u w:val="single"/>
          <w:lang w:eastAsia="en-AU"/>
        </w:rPr>
        <w:t>School Boards of Management</w:t>
      </w:r>
      <w:r w:rsidR="00C3285E" w:rsidRPr="00060D11">
        <w:rPr>
          <w:rStyle w:val="FootnoteReference"/>
          <w:rFonts w:cstheme="minorHAnsi"/>
          <w:i/>
          <w:iCs/>
          <w:sz w:val="22"/>
          <w:u w:val="single"/>
          <w:lang w:eastAsia="en-AU"/>
        </w:rPr>
        <w:footnoteReference w:id="24"/>
      </w:r>
      <w:r w:rsidRPr="00060D11">
        <w:rPr>
          <w:rFonts w:cstheme="minorHAnsi"/>
          <w:i/>
          <w:iCs/>
          <w:sz w:val="22"/>
          <w:u w:val="single"/>
          <w:lang w:eastAsia="en-AU"/>
        </w:rPr>
        <w:t>, Local-level governments and parents</w:t>
      </w:r>
      <w:r w:rsidRPr="00060D11">
        <w:rPr>
          <w:rFonts w:cstheme="minorHAnsi"/>
          <w:sz w:val="22"/>
          <w:lang w:eastAsia="en-AU"/>
        </w:rPr>
        <w:t xml:space="preserve"> tend to be viewed primarily as generators of resources for the school rather than being potential partners who can address issues of enrolment, attendance, retention, curriculum relevance and instilling the value of education in children. While the SLIP is the most probable tool to engage communities and parents in supporting education, many schools do not have SLIPs or if they do </w:t>
      </w:r>
      <w:r w:rsidR="002137DE" w:rsidRPr="00060D11">
        <w:rPr>
          <w:rFonts w:cstheme="minorHAnsi"/>
          <w:sz w:val="22"/>
          <w:lang w:eastAsia="en-AU"/>
        </w:rPr>
        <w:t>-</w:t>
      </w:r>
      <w:r w:rsidRPr="00060D11">
        <w:rPr>
          <w:rFonts w:cstheme="minorHAnsi"/>
          <w:sz w:val="22"/>
          <w:lang w:eastAsia="en-AU"/>
        </w:rPr>
        <w:t xml:space="preserve"> it is outdated or has not been approved by higher levels of the education system</w:t>
      </w:r>
      <w:r w:rsidR="00E5710A" w:rsidRPr="00060D11">
        <w:rPr>
          <w:rFonts w:cstheme="minorHAnsi"/>
          <w:sz w:val="22"/>
          <w:lang w:eastAsia="en-AU"/>
        </w:rPr>
        <w:t>; and</w:t>
      </w:r>
    </w:p>
    <w:p w14:paraId="147C1054" w14:textId="6C2271FF" w:rsidR="001F26A6" w:rsidRPr="00060D11" w:rsidRDefault="001F26A6" w:rsidP="00A15506">
      <w:pPr>
        <w:pStyle w:val="ListParagraph"/>
        <w:numPr>
          <w:ilvl w:val="0"/>
          <w:numId w:val="67"/>
        </w:numPr>
        <w:spacing w:before="120" w:after="60" w:line="276" w:lineRule="auto"/>
        <w:ind w:left="714" w:hanging="357"/>
        <w:contextualSpacing w:val="0"/>
        <w:rPr>
          <w:rFonts w:cstheme="minorHAnsi"/>
          <w:i/>
          <w:iCs/>
          <w:sz w:val="22"/>
          <w:u w:val="single"/>
          <w:lang w:eastAsia="en-AU"/>
        </w:rPr>
      </w:pPr>
      <w:r w:rsidRPr="00060D11">
        <w:rPr>
          <w:rFonts w:cstheme="minorHAnsi"/>
          <w:i/>
          <w:iCs/>
          <w:sz w:val="22"/>
          <w:u w:val="single"/>
          <w:lang w:eastAsia="en-AU"/>
        </w:rPr>
        <w:t>Donors and international development agencies</w:t>
      </w:r>
      <w:r w:rsidRPr="00060D11">
        <w:rPr>
          <w:rFonts w:cstheme="minorHAnsi"/>
          <w:sz w:val="22"/>
          <w:lang w:eastAsia="en-AU"/>
        </w:rPr>
        <w:t xml:space="preserve"> are attempting to contribute to the improvement of education quality and delivery in PNG. The Local Education Group </w:t>
      </w:r>
      <w:r w:rsidR="00256573" w:rsidRPr="00060D11">
        <w:rPr>
          <w:rFonts w:cstheme="minorHAnsi"/>
          <w:sz w:val="22"/>
          <w:lang w:eastAsia="en-AU"/>
        </w:rPr>
        <w:t xml:space="preserve">(LEG) </w:t>
      </w:r>
      <w:r w:rsidRPr="00060D11">
        <w:rPr>
          <w:rFonts w:cstheme="minorHAnsi"/>
          <w:sz w:val="22"/>
          <w:lang w:eastAsia="en-AU"/>
        </w:rPr>
        <w:t xml:space="preserve">under the Global Partnership for Education </w:t>
      </w:r>
      <w:r w:rsidR="00256573" w:rsidRPr="00060D11">
        <w:rPr>
          <w:rFonts w:cstheme="minorHAnsi"/>
          <w:sz w:val="22"/>
          <w:lang w:eastAsia="en-AU"/>
        </w:rPr>
        <w:t xml:space="preserve">(GPE) </w:t>
      </w:r>
      <w:r w:rsidRPr="00060D11">
        <w:rPr>
          <w:rFonts w:cstheme="minorHAnsi"/>
          <w:sz w:val="22"/>
          <w:lang w:eastAsia="en-AU"/>
        </w:rPr>
        <w:t xml:space="preserve">(formerly the Steering Committee of the Education Sector Improvement Program) has set five objectives for coordinating a sector-wide approach for supporting improvements in the education system. There does not appear to be any assessment of the effectiveness of the </w:t>
      </w:r>
      <w:r w:rsidR="00256573" w:rsidRPr="00060D11">
        <w:rPr>
          <w:rFonts w:cstheme="minorHAnsi"/>
          <w:sz w:val="22"/>
          <w:lang w:eastAsia="en-AU"/>
        </w:rPr>
        <w:t>LEG</w:t>
      </w:r>
      <w:r w:rsidRPr="00060D11">
        <w:rPr>
          <w:rFonts w:cstheme="minorHAnsi"/>
          <w:sz w:val="22"/>
          <w:lang w:eastAsia="en-AU"/>
        </w:rPr>
        <w:t xml:space="preserve"> or of ways in which its effectiveness might be improved.</w:t>
      </w:r>
    </w:p>
    <w:p w14:paraId="53092495" w14:textId="466A9AB1" w:rsidR="001F26A6" w:rsidRPr="00060D11" w:rsidRDefault="001F26A6" w:rsidP="00477C43">
      <w:pPr>
        <w:pStyle w:val="ListParagraph"/>
        <w:numPr>
          <w:ilvl w:val="0"/>
          <w:numId w:val="3"/>
        </w:numPr>
        <w:spacing w:before="120" w:after="120" w:line="276" w:lineRule="auto"/>
        <w:ind w:left="357" w:hanging="270"/>
        <w:contextualSpacing w:val="0"/>
        <w:rPr>
          <w:rFonts w:cstheme="minorHAnsi"/>
          <w:lang w:eastAsia="en-AU"/>
        </w:rPr>
      </w:pPr>
      <w:r w:rsidRPr="00060D11">
        <w:rPr>
          <w:rFonts w:cstheme="minorHAnsi"/>
          <w:b/>
          <w:bCs/>
          <w:sz w:val="22"/>
          <w:lang w:eastAsia="en-AU"/>
        </w:rPr>
        <w:t>Limited capacity to operate, manage and improve the education system:</w:t>
      </w:r>
      <w:r w:rsidRPr="00060D11">
        <w:rPr>
          <w:rFonts w:cstheme="minorHAnsi"/>
          <w:sz w:val="22"/>
          <w:lang w:eastAsia="en-AU"/>
        </w:rPr>
        <w:t xml:space="preserve"> Two rounds of intensive consultations were conducted at the sub-national level as part of this design process (refer Appendix B). The approach to these consultations encouraged provincial teams (government, church and </w:t>
      </w:r>
      <w:r w:rsidR="004F1B7A" w:rsidRPr="00060D11">
        <w:rPr>
          <w:rFonts w:cstheme="minorHAnsi"/>
          <w:sz w:val="22"/>
          <w:lang w:eastAsia="en-AU"/>
        </w:rPr>
        <w:t>Disabled People’s Organisations (</w:t>
      </w:r>
      <w:r w:rsidRPr="00060D11">
        <w:rPr>
          <w:rFonts w:cstheme="minorHAnsi"/>
          <w:sz w:val="22"/>
          <w:lang w:eastAsia="en-AU"/>
        </w:rPr>
        <w:t>DPOs</w:t>
      </w:r>
      <w:r w:rsidR="004F1B7A" w:rsidRPr="00060D11">
        <w:rPr>
          <w:rFonts w:cstheme="minorHAnsi"/>
          <w:sz w:val="22"/>
          <w:lang w:eastAsia="en-AU"/>
        </w:rPr>
        <w:t>)</w:t>
      </w:r>
      <w:r w:rsidRPr="00060D11">
        <w:rPr>
          <w:rFonts w:cstheme="minorHAnsi"/>
          <w:sz w:val="22"/>
          <w:lang w:eastAsia="en-AU"/>
        </w:rPr>
        <w:t>) to carry out self-assessments regarding the health of the education system in the province; to consider key education indicators for the province; to reflect upon the factors influencing performance; to self-assess capacity to carry out designated functions; to identify priorities and ways of addressing these priorities.</w:t>
      </w:r>
    </w:p>
    <w:p w14:paraId="20CD37C8" w14:textId="77777777" w:rsidR="001F26A6" w:rsidRPr="00060D11" w:rsidRDefault="001F26A6" w:rsidP="00477C43">
      <w:pPr>
        <w:pStyle w:val="ListParagraph"/>
        <w:spacing w:before="120" w:after="120" w:line="276" w:lineRule="auto"/>
        <w:ind w:left="357"/>
        <w:contextualSpacing w:val="0"/>
        <w:rPr>
          <w:rFonts w:cstheme="minorHAnsi"/>
          <w:sz w:val="22"/>
          <w:lang w:eastAsia="en-AU"/>
        </w:rPr>
      </w:pPr>
      <w:r w:rsidRPr="00060D11">
        <w:rPr>
          <w:rFonts w:cstheme="minorHAnsi"/>
          <w:sz w:val="22"/>
          <w:lang w:eastAsia="en-AU"/>
        </w:rPr>
        <w:t xml:space="preserve">The result of these consultations was a realistic picture of the challenges faced and self-assessed limitations at the sub-national level in leadership and management capacity (at multiple levels); in numbers of qualified teachers; in opportunities for upgrading qualifications and in-service training; in professional support provided to teachers; in materials and logistical constraints.  </w:t>
      </w:r>
    </w:p>
    <w:p w14:paraId="1B512F77" w14:textId="432D2287" w:rsidR="001F26A6" w:rsidRPr="00060D11" w:rsidRDefault="001F26A6" w:rsidP="00477C43">
      <w:pPr>
        <w:pStyle w:val="ListParagraph"/>
        <w:numPr>
          <w:ilvl w:val="0"/>
          <w:numId w:val="3"/>
        </w:numPr>
        <w:spacing w:before="120" w:line="276" w:lineRule="auto"/>
        <w:ind w:left="360" w:hanging="270"/>
        <w:rPr>
          <w:rFonts w:cstheme="minorHAnsi"/>
          <w:sz w:val="22"/>
          <w:lang w:eastAsia="en-AU"/>
        </w:rPr>
      </w:pPr>
      <w:r w:rsidRPr="00060D11">
        <w:rPr>
          <w:rFonts w:cstheme="minorHAnsi"/>
          <w:b/>
          <w:bCs/>
          <w:sz w:val="22"/>
          <w:lang w:eastAsia="en-AU"/>
        </w:rPr>
        <w:t>Limited evidence of effective ‘knowledge to policy’ processes:</w:t>
      </w:r>
      <w:r w:rsidRPr="00060D11">
        <w:rPr>
          <w:rFonts w:cstheme="minorHAnsi"/>
          <w:sz w:val="22"/>
          <w:lang w:eastAsia="en-AU"/>
        </w:rPr>
        <w:t xml:space="preserve"> A common thread in the consultations was an apparent lack of capacity to collect and use information to both inform sub-national decision making and communications with </w:t>
      </w:r>
      <w:r w:rsidR="004F62A5" w:rsidRPr="00060D11">
        <w:rPr>
          <w:rFonts w:cstheme="minorHAnsi"/>
          <w:sz w:val="22"/>
          <w:lang w:eastAsia="en-AU"/>
        </w:rPr>
        <w:t>NDoE</w:t>
      </w:r>
      <w:r w:rsidRPr="00060D11">
        <w:rPr>
          <w:rFonts w:cstheme="minorHAnsi"/>
          <w:sz w:val="22"/>
          <w:lang w:eastAsia="en-AU"/>
        </w:rPr>
        <w:t xml:space="preserve">. For example, while limitations in the numbers of qualified teachers was consistently referred to at the sub-national level as a looming crisis, no hard data on the scale of the problem was readily available. Nor is this data apparently available within </w:t>
      </w:r>
      <w:r w:rsidR="004F62A5" w:rsidRPr="00060D11">
        <w:rPr>
          <w:rFonts w:cstheme="minorHAnsi"/>
          <w:sz w:val="22"/>
          <w:lang w:eastAsia="en-AU"/>
        </w:rPr>
        <w:t>NDoE</w:t>
      </w:r>
      <w:r w:rsidRPr="00060D11">
        <w:rPr>
          <w:rFonts w:cstheme="minorHAnsi"/>
          <w:sz w:val="22"/>
          <w:lang w:eastAsia="en-AU"/>
        </w:rPr>
        <w:t xml:space="preserve">. </w:t>
      </w:r>
    </w:p>
    <w:p w14:paraId="1496A9F2" w14:textId="77777777" w:rsidR="001F26A6" w:rsidRPr="00060D11" w:rsidRDefault="001F26A6" w:rsidP="00477C43">
      <w:pPr>
        <w:pStyle w:val="ListParagraph"/>
        <w:spacing w:before="120" w:line="276" w:lineRule="auto"/>
        <w:ind w:left="360"/>
        <w:rPr>
          <w:rFonts w:cstheme="minorHAnsi"/>
          <w:sz w:val="21"/>
          <w:szCs w:val="21"/>
          <w:lang w:eastAsia="en-AU"/>
        </w:rPr>
      </w:pPr>
    </w:p>
    <w:p w14:paraId="730267DA" w14:textId="02BD4F26" w:rsidR="001F26A6" w:rsidRPr="00060D11" w:rsidRDefault="001F26A6" w:rsidP="00477C43">
      <w:pPr>
        <w:pStyle w:val="ListParagraph"/>
        <w:spacing w:before="120" w:line="276" w:lineRule="auto"/>
        <w:ind w:left="360"/>
        <w:rPr>
          <w:rFonts w:cstheme="minorHAnsi"/>
          <w:sz w:val="22"/>
          <w:lang w:eastAsia="en-AU"/>
        </w:rPr>
      </w:pPr>
      <w:r w:rsidRPr="00060D11">
        <w:rPr>
          <w:rFonts w:cstheme="minorHAnsi"/>
          <w:sz w:val="22"/>
          <w:lang w:eastAsia="en-AU"/>
        </w:rPr>
        <w:t>The limited capacity to gather and use data was most evident in the apparent ‘disconnect’ between what provincial performance data indicates (i.e., NER</w:t>
      </w:r>
      <w:r w:rsidR="00190793" w:rsidRPr="00060D11">
        <w:rPr>
          <w:rFonts w:cstheme="minorHAnsi"/>
          <w:sz w:val="22"/>
          <w:lang w:eastAsia="en-AU"/>
        </w:rPr>
        <w:t xml:space="preserve">, </w:t>
      </w:r>
      <w:r w:rsidRPr="00060D11">
        <w:rPr>
          <w:rFonts w:cstheme="minorHAnsi"/>
          <w:sz w:val="22"/>
          <w:lang w:eastAsia="en-AU"/>
        </w:rPr>
        <w:t>G</w:t>
      </w:r>
      <w:r w:rsidR="00190793" w:rsidRPr="00060D11">
        <w:rPr>
          <w:rFonts w:cstheme="minorHAnsi"/>
          <w:sz w:val="22"/>
          <w:lang w:eastAsia="en-AU"/>
        </w:rPr>
        <w:t xml:space="preserve">ross </w:t>
      </w:r>
      <w:r w:rsidRPr="00060D11">
        <w:rPr>
          <w:rFonts w:cstheme="minorHAnsi"/>
          <w:sz w:val="22"/>
          <w:lang w:eastAsia="en-AU"/>
        </w:rPr>
        <w:t>E</w:t>
      </w:r>
      <w:r w:rsidR="00190793" w:rsidRPr="00060D11">
        <w:rPr>
          <w:rFonts w:cstheme="minorHAnsi"/>
          <w:sz w:val="22"/>
          <w:lang w:eastAsia="en-AU"/>
        </w:rPr>
        <w:t xml:space="preserve">nrolment </w:t>
      </w:r>
      <w:r w:rsidRPr="00060D11">
        <w:rPr>
          <w:rFonts w:cstheme="minorHAnsi"/>
          <w:sz w:val="22"/>
          <w:lang w:eastAsia="en-AU"/>
        </w:rPr>
        <w:t>R</w:t>
      </w:r>
      <w:r w:rsidR="00190793" w:rsidRPr="00060D11">
        <w:rPr>
          <w:rFonts w:cstheme="minorHAnsi"/>
          <w:sz w:val="22"/>
          <w:lang w:eastAsia="en-AU"/>
        </w:rPr>
        <w:t>atio (GER)</w:t>
      </w:r>
      <w:r w:rsidRPr="00060D11">
        <w:rPr>
          <w:rFonts w:cstheme="minorHAnsi"/>
          <w:sz w:val="22"/>
          <w:lang w:eastAsia="en-AU"/>
        </w:rPr>
        <w:t>, Retention and Achievement) and the ability of provincial officers to understand what this data reflects about the state of education service delivery in the province. Particular difficulty appeared to be experienced in understanding that static participation and declining retention of early grades children was a problem that needed urgent attention.</w:t>
      </w:r>
    </w:p>
    <w:p w14:paraId="3E570637" w14:textId="345AB001" w:rsidR="001F26A6" w:rsidRPr="00060D11" w:rsidRDefault="001F26A6" w:rsidP="00C04736">
      <w:pPr>
        <w:rPr>
          <w:lang w:eastAsia="en-AU"/>
        </w:rPr>
      </w:pPr>
    </w:p>
    <w:p w14:paraId="161EEB43" w14:textId="77777777" w:rsidR="00A84D27" w:rsidRPr="00060D11" w:rsidRDefault="00A84D27" w:rsidP="00A84D27">
      <w:pPr>
        <w:pStyle w:val="ListParagraph"/>
        <w:spacing w:line="276" w:lineRule="auto"/>
        <w:ind w:left="360"/>
        <w:rPr>
          <w:lang w:eastAsia="en-AU"/>
        </w:rPr>
      </w:pPr>
    </w:p>
    <w:p w14:paraId="3C71F873" w14:textId="007C2233" w:rsidR="001F26A6" w:rsidRPr="00060D11" w:rsidRDefault="001F26A6" w:rsidP="00C04736">
      <w:pPr>
        <w:pStyle w:val="Heading2"/>
      </w:pPr>
      <w:r w:rsidRPr="00060D11">
        <w:t>B.3</w:t>
      </w:r>
      <w:r w:rsidRPr="00060D11">
        <w:tab/>
      </w:r>
      <w:r w:rsidRPr="00C04736">
        <w:t>EVIDENCE</w:t>
      </w:r>
      <w:r w:rsidRPr="00060D11">
        <w:t>-INFORMED LESSONS</w:t>
      </w:r>
    </w:p>
    <w:p w14:paraId="7B5519AF" w14:textId="1E1BA4B1" w:rsidR="001F26A6" w:rsidRPr="00060D11" w:rsidRDefault="001F26A6" w:rsidP="0039667A">
      <w:pPr>
        <w:pStyle w:val="ListParagraph"/>
        <w:spacing w:line="276" w:lineRule="auto"/>
        <w:ind w:left="0"/>
        <w:rPr>
          <w:rFonts w:cstheme="minorHAnsi"/>
          <w:sz w:val="22"/>
          <w:lang w:eastAsia="en-AU"/>
        </w:rPr>
      </w:pPr>
      <w:r w:rsidRPr="00060D11">
        <w:rPr>
          <w:rFonts w:cstheme="minorHAnsi"/>
          <w:sz w:val="22"/>
          <w:lang w:eastAsia="en-AU"/>
        </w:rPr>
        <w:t xml:space="preserve">The design team sought a ‘line of sight’ between the problem issue/analysis outlined in section B.2 and lessons which may assist in </w:t>
      </w:r>
      <w:r w:rsidR="00EC7DDE" w:rsidRPr="00060D11">
        <w:rPr>
          <w:rFonts w:cstheme="minorHAnsi"/>
          <w:sz w:val="22"/>
          <w:lang w:eastAsia="en-AU"/>
        </w:rPr>
        <w:t>informing</w:t>
      </w:r>
      <w:r w:rsidRPr="00060D11">
        <w:rPr>
          <w:rFonts w:cstheme="minorHAnsi"/>
          <w:sz w:val="22"/>
          <w:lang w:eastAsia="en-AU"/>
        </w:rPr>
        <w:t xml:space="preserve"> a </w:t>
      </w:r>
      <w:r w:rsidR="00EC7DDE" w:rsidRPr="00060D11">
        <w:rPr>
          <w:rFonts w:cstheme="minorHAnsi"/>
          <w:sz w:val="22"/>
          <w:lang w:eastAsia="en-AU"/>
        </w:rPr>
        <w:t xml:space="preserve">quality, </w:t>
      </w:r>
      <w:r w:rsidRPr="00060D11">
        <w:rPr>
          <w:rFonts w:cstheme="minorHAnsi"/>
          <w:sz w:val="22"/>
          <w:lang w:eastAsia="en-AU"/>
        </w:rPr>
        <w:t>design response. With this focus in mind, this section reviews the evidence-informed lessons</w:t>
      </w:r>
      <w:r w:rsidR="00EC7DDE" w:rsidRPr="00060D11">
        <w:rPr>
          <w:rFonts w:cstheme="minorHAnsi"/>
          <w:sz w:val="22"/>
          <w:lang w:eastAsia="en-AU"/>
        </w:rPr>
        <w:t xml:space="preserve"> relevant to PNG’s context</w:t>
      </w:r>
      <w:r w:rsidRPr="00060D11">
        <w:rPr>
          <w:rFonts w:cstheme="minorHAnsi"/>
          <w:sz w:val="22"/>
          <w:lang w:eastAsia="en-AU"/>
        </w:rPr>
        <w:t>.</w:t>
      </w:r>
      <w:r w:rsidR="000E15E5" w:rsidRPr="00060D11">
        <w:rPr>
          <w:rFonts w:cstheme="minorHAnsi"/>
          <w:sz w:val="22"/>
          <w:lang w:eastAsia="en-AU"/>
        </w:rPr>
        <w:t xml:space="preserve"> </w:t>
      </w:r>
      <w:r w:rsidR="00F446FC" w:rsidRPr="00060D11">
        <w:rPr>
          <w:rFonts w:cstheme="minorHAnsi"/>
          <w:sz w:val="22"/>
          <w:lang w:eastAsia="en-AU"/>
        </w:rPr>
        <w:t>DFAT has provided a synthesis of 18 systematic reviews in the education sector to identify what interventions have the greatest impact on student learning and participation in developing country contexts</w:t>
      </w:r>
      <w:r w:rsidR="00F446FC" w:rsidRPr="00060D11">
        <w:rPr>
          <w:rStyle w:val="FootnoteReference"/>
          <w:rFonts w:cstheme="minorHAnsi"/>
          <w:sz w:val="22"/>
          <w:lang w:eastAsia="en-AU"/>
        </w:rPr>
        <w:footnoteReference w:id="25"/>
      </w:r>
      <w:r w:rsidR="00F446FC" w:rsidRPr="00060D11">
        <w:rPr>
          <w:rFonts w:cstheme="minorHAnsi"/>
          <w:sz w:val="22"/>
          <w:lang w:eastAsia="en-AU"/>
        </w:rPr>
        <w:t xml:space="preserve">. </w:t>
      </w:r>
      <w:r w:rsidR="003F4838" w:rsidRPr="00060D11">
        <w:rPr>
          <w:rFonts w:cstheme="minorHAnsi"/>
          <w:sz w:val="22"/>
          <w:lang w:eastAsia="en-AU"/>
        </w:rPr>
        <w:t xml:space="preserve">In addition, </w:t>
      </w:r>
      <w:r w:rsidR="0076671E" w:rsidRPr="00060D11">
        <w:rPr>
          <w:rFonts w:cstheme="minorHAnsi"/>
          <w:sz w:val="22"/>
          <w:lang w:eastAsia="en-AU"/>
        </w:rPr>
        <w:t xml:space="preserve">it is timely that </w:t>
      </w:r>
      <w:r w:rsidR="006B00D0" w:rsidRPr="00060D11">
        <w:rPr>
          <w:rFonts w:cstheme="minorHAnsi"/>
          <w:sz w:val="22"/>
          <w:lang w:eastAsia="en-AU"/>
        </w:rPr>
        <w:t>DFAT</w:t>
      </w:r>
      <w:r w:rsidR="00FD73CA" w:rsidRPr="00060D11">
        <w:rPr>
          <w:rFonts w:cstheme="minorHAnsi"/>
          <w:sz w:val="22"/>
          <w:lang w:eastAsia="en-AU"/>
        </w:rPr>
        <w:t xml:space="preserve"> has been working with Results for Development (R4D)</w:t>
      </w:r>
      <w:r w:rsidR="00B76040" w:rsidRPr="00060D11">
        <w:rPr>
          <w:rFonts w:cstheme="minorHAnsi"/>
          <w:sz w:val="22"/>
          <w:lang w:eastAsia="en-AU"/>
        </w:rPr>
        <w:t xml:space="preserve"> to synthesise the </w:t>
      </w:r>
      <w:r w:rsidR="00E0389F" w:rsidRPr="00060D11">
        <w:rPr>
          <w:rFonts w:cstheme="minorHAnsi"/>
          <w:sz w:val="22"/>
          <w:lang w:eastAsia="en-AU"/>
        </w:rPr>
        <w:t>high-level</w:t>
      </w:r>
      <w:r w:rsidR="00B76040" w:rsidRPr="00060D11">
        <w:rPr>
          <w:rFonts w:cstheme="minorHAnsi"/>
          <w:sz w:val="22"/>
          <w:lang w:eastAsia="en-AU"/>
        </w:rPr>
        <w:t xml:space="preserve"> impacts and emerging trends in education</w:t>
      </w:r>
      <w:r w:rsidR="00885958" w:rsidRPr="00060D11">
        <w:rPr>
          <w:rFonts w:cstheme="minorHAnsi"/>
          <w:sz w:val="22"/>
          <w:lang w:eastAsia="en-AU"/>
        </w:rPr>
        <w:t xml:space="preserve"> </w:t>
      </w:r>
      <w:r w:rsidR="00B76040" w:rsidRPr="00060D11">
        <w:rPr>
          <w:rFonts w:cstheme="minorHAnsi"/>
          <w:sz w:val="22"/>
          <w:lang w:eastAsia="en-AU"/>
        </w:rPr>
        <w:t>in the Indo-Pacific</w:t>
      </w:r>
      <w:r w:rsidR="00885958" w:rsidRPr="00060D11">
        <w:rPr>
          <w:rFonts w:cstheme="minorHAnsi"/>
          <w:sz w:val="22"/>
          <w:lang w:eastAsia="en-AU"/>
        </w:rPr>
        <w:t xml:space="preserve"> </w:t>
      </w:r>
      <w:r w:rsidR="00E8198C" w:rsidRPr="00060D11">
        <w:rPr>
          <w:rFonts w:cstheme="minorHAnsi"/>
          <w:sz w:val="22"/>
          <w:lang w:eastAsia="en-AU"/>
        </w:rPr>
        <w:t xml:space="preserve">in light of the unprecedented </w:t>
      </w:r>
      <w:r w:rsidR="00E0389F" w:rsidRPr="00060D11">
        <w:rPr>
          <w:rFonts w:cstheme="minorHAnsi"/>
          <w:sz w:val="22"/>
          <w:lang w:eastAsia="en-AU"/>
        </w:rPr>
        <w:t>disruption</w:t>
      </w:r>
      <w:r w:rsidR="00E8198C" w:rsidRPr="00060D11">
        <w:rPr>
          <w:rFonts w:cstheme="minorHAnsi"/>
          <w:sz w:val="22"/>
          <w:lang w:eastAsia="en-AU"/>
        </w:rPr>
        <w:t xml:space="preserve"> </w:t>
      </w:r>
      <w:r w:rsidR="005B3459" w:rsidRPr="00060D11">
        <w:rPr>
          <w:rFonts w:cstheme="minorHAnsi"/>
          <w:sz w:val="22"/>
          <w:lang w:eastAsia="en-AU"/>
        </w:rPr>
        <w:t>from</w:t>
      </w:r>
      <w:r w:rsidR="00DC2ECD" w:rsidRPr="00060D11">
        <w:rPr>
          <w:rFonts w:cstheme="minorHAnsi"/>
          <w:sz w:val="22"/>
          <w:lang w:eastAsia="en-AU"/>
        </w:rPr>
        <w:t xml:space="preserve"> COVID-19 on </w:t>
      </w:r>
      <w:r w:rsidR="00E8198C" w:rsidRPr="00060D11">
        <w:rPr>
          <w:rFonts w:cstheme="minorHAnsi"/>
          <w:sz w:val="22"/>
          <w:lang w:eastAsia="en-AU"/>
        </w:rPr>
        <w:t>education systems</w:t>
      </w:r>
      <w:r w:rsidR="00DC2ECD" w:rsidRPr="00060D11">
        <w:rPr>
          <w:rFonts w:cstheme="minorHAnsi"/>
          <w:sz w:val="22"/>
          <w:lang w:eastAsia="en-AU"/>
        </w:rPr>
        <w:t xml:space="preserve">. Five </w:t>
      </w:r>
      <w:r w:rsidR="00E0389F" w:rsidRPr="00060D11">
        <w:rPr>
          <w:rFonts w:cstheme="minorHAnsi"/>
          <w:sz w:val="22"/>
          <w:lang w:eastAsia="en-AU"/>
        </w:rPr>
        <w:t xml:space="preserve">investment priorities have emerged from this research </w:t>
      </w:r>
      <w:r w:rsidR="00FC4EFF" w:rsidRPr="00060D11">
        <w:rPr>
          <w:rFonts w:cstheme="minorHAnsi"/>
          <w:sz w:val="22"/>
          <w:lang w:eastAsia="en-AU"/>
        </w:rPr>
        <w:t>that a</w:t>
      </w:r>
      <w:r w:rsidR="007D0F63" w:rsidRPr="00060D11">
        <w:rPr>
          <w:rFonts w:cstheme="minorHAnsi"/>
          <w:sz w:val="22"/>
          <w:lang w:eastAsia="en-AU"/>
        </w:rPr>
        <w:t>re</w:t>
      </w:r>
      <w:r w:rsidR="00FC4EFF" w:rsidRPr="00060D11">
        <w:rPr>
          <w:rFonts w:cstheme="minorHAnsi"/>
          <w:sz w:val="22"/>
          <w:lang w:eastAsia="en-AU"/>
        </w:rPr>
        <w:t xml:space="preserve"> highly relevant to </w:t>
      </w:r>
      <w:r w:rsidR="007D0F63" w:rsidRPr="00060D11">
        <w:rPr>
          <w:rFonts w:cstheme="minorHAnsi"/>
          <w:sz w:val="22"/>
          <w:lang w:eastAsia="en-AU"/>
        </w:rPr>
        <w:t>situational analysis described in this design</w:t>
      </w:r>
      <w:r w:rsidR="00AC5AF7" w:rsidRPr="00060D11">
        <w:rPr>
          <w:rFonts w:cstheme="minorHAnsi"/>
          <w:sz w:val="22"/>
          <w:lang w:eastAsia="en-AU"/>
        </w:rPr>
        <w:t xml:space="preserve"> (See </w:t>
      </w:r>
      <w:r w:rsidR="00E0389F" w:rsidRPr="00060D11">
        <w:rPr>
          <w:rFonts w:cstheme="minorHAnsi"/>
          <w:sz w:val="22"/>
          <w:lang w:eastAsia="en-AU"/>
        </w:rPr>
        <w:t>Box 1</w:t>
      </w:r>
      <w:r w:rsidR="00AC5AF7" w:rsidRPr="00060D11">
        <w:rPr>
          <w:rFonts w:cstheme="minorHAnsi"/>
          <w:sz w:val="22"/>
          <w:lang w:eastAsia="en-AU"/>
        </w:rPr>
        <w:t>)</w:t>
      </w:r>
      <w:r w:rsidR="00E0389F" w:rsidRPr="00060D11">
        <w:rPr>
          <w:rFonts w:cstheme="minorHAnsi"/>
          <w:sz w:val="22"/>
          <w:lang w:eastAsia="en-AU"/>
        </w:rPr>
        <w:t>.</w:t>
      </w:r>
    </w:p>
    <w:p w14:paraId="0AC73A79" w14:textId="714D7254" w:rsidR="001F26A6" w:rsidRPr="00060D11" w:rsidRDefault="00735473" w:rsidP="001F26A6">
      <w:pPr>
        <w:spacing w:line="276" w:lineRule="auto"/>
        <w:rPr>
          <w:rFonts w:cstheme="minorHAnsi"/>
          <w:b/>
          <w:bCs/>
          <w:lang w:eastAsia="en-AU"/>
        </w:rPr>
      </w:pPr>
      <w:r w:rsidRPr="00060D11">
        <w:rPr>
          <w:rFonts w:cstheme="minorHAnsi"/>
          <w:b/>
          <w:bCs/>
          <w:noProof/>
          <w:lang w:eastAsia="en-AU"/>
        </w:rPr>
        <mc:AlternateContent>
          <mc:Choice Requires="wps">
            <w:drawing>
              <wp:inline distT="0" distB="0" distL="0" distR="0" wp14:anchorId="26FEAA37" wp14:editId="2C37559D">
                <wp:extent cx="5956300" cy="8636000"/>
                <wp:effectExtent l="0" t="0" r="25400" b="12700"/>
                <wp:docPr id="482" name="Text Box 482"/>
                <wp:cNvGraphicFramePr/>
                <a:graphic xmlns:a="http://schemas.openxmlformats.org/drawingml/2006/main">
                  <a:graphicData uri="http://schemas.microsoft.com/office/word/2010/wordprocessingShape">
                    <wps:wsp>
                      <wps:cNvSpPr txBox="1"/>
                      <wps:spPr>
                        <a:xfrm>
                          <a:off x="0" y="0"/>
                          <a:ext cx="5956300" cy="8636000"/>
                        </a:xfrm>
                        <a:prstGeom prst="rect">
                          <a:avLst/>
                        </a:prstGeom>
                        <a:solidFill>
                          <a:schemeClr val="bg2"/>
                        </a:solidFill>
                        <a:ln w="6350">
                          <a:solidFill>
                            <a:prstClr val="black"/>
                          </a:solidFill>
                        </a:ln>
                      </wps:spPr>
                      <wps:txbx>
                        <w:txbxContent>
                          <w:p w14:paraId="6013553C" w14:textId="77777777" w:rsidR="00F96637" w:rsidRPr="00145131" w:rsidRDefault="00F96637" w:rsidP="00F81FB5">
                            <w:pPr>
                              <w:tabs>
                                <w:tab w:val="left" w:pos="2410"/>
                              </w:tabs>
                              <w:rPr>
                                <w:rStyle w:val="m4173277756366121611normaltextrun"/>
                                <w:rFonts w:eastAsiaTheme="majorEastAsia" w:cstheme="minorHAnsi"/>
                                <w:b/>
                                <w:bCs/>
                                <w:color w:val="000000"/>
                                <w:sz w:val="21"/>
                                <w:szCs w:val="21"/>
                                <w:lang w:val="en-US" w:eastAsia="en-GB"/>
                              </w:rPr>
                            </w:pPr>
                            <w:bookmarkStart w:id="8" w:name="_Hlk82178686"/>
                            <w:bookmarkStart w:id="9" w:name="_Hlk82178687"/>
                            <w:r w:rsidRPr="00145131">
                              <w:rPr>
                                <w:rStyle w:val="m4173277756366121611normaltextrun"/>
                                <w:rFonts w:eastAsiaTheme="majorEastAsia" w:cstheme="minorHAnsi"/>
                                <w:b/>
                                <w:bCs/>
                                <w:color w:val="000000"/>
                                <w:sz w:val="21"/>
                                <w:szCs w:val="21"/>
                                <w:lang w:val="en-US" w:eastAsia="en-GB"/>
                              </w:rPr>
                              <w:t>Box 1: Five COVID-responsive investments priorities consistent with the principles of a cost-effective, systems-oriented approach:</w:t>
                            </w:r>
                          </w:p>
                          <w:p w14:paraId="60B9BE54" w14:textId="273F353C" w:rsidR="00F96637" w:rsidRPr="003C1E71" w:rsidRDefault="00F96637" w:rsidP="00F81FB5">
                            <w:pPr>
                              <w:pStyle w:val="m4173277756366121611msolistparagraph"/>
                              <w:numPr>
                                <w:ilvl w:val="0"/>
                                <w:numId w:val="57"/>
                              </w:numPr>
                              <w:shd w:val="clear" w:color="auto" w:fill="E7E6E6" w:themeFill="background2"/>
                              <w:tabs>
                                <w:tab w:val="clear" w:pos="720"/>
                                <w:tab w:val="num" w:pos="360"/>
                                <w:tab w:val="left" w:pos="2410"/>
                              </w:tabs>
                              <w:spacing w:before="0" w:beforeAutospacing="0" w:afterLines="60" w:after="144" w:afterAutospacing="0"/>
                              <w:ind w:left="357"/>
                              <w:rPr>
                                <w:rFonts w:asciiTheme="minorHAnsi" w:hAnsiTheme="minorHAnsi" w:cstheme="minorHAnsi"/>
                                <w:color w:val="000000"/>
                                <w:sz w:val="20"/>
                                <w:szCs w:val="20"/>
                              </w:rPr>
                            </w:pPr>
                            <w:r w:rsidRPr="003C1E71">
                              <w:rPr>
                                <w:rStyle w:val="m4173277756366121611normaltextrun"/>
                                <w:rFonts w:asciiTheme="minorHAnsi" w:eastAsiaTheme="majorEastAsia" w:hAnsiTheme="minorHAnsi" w:cstheme="minorHAnsi"/>
                                <w:b/>
                                <w:bCs/>
                                <w:color w:val="000000"/>
                                <w:sz w:val="20"/>
                                <w:szCs w:val="20"/>
                                <w:lang w:val="en-US"/>
                              </w:rPr>
                              <w:t>Use evidence to inform decision-making and budgets</w:t>
                            </w:r>
                            <w:r w:rsidRPr="003C1E71">
                              <w:rPr>
                                <w:rStyle w:val="m4173277756366121611normaltextrun"/>
                                <w:rFonts w:asciiTheme="minorHAnsi" w:eastAsiaTheme="majorEastAsia" w:hAnsiTheme="minorHAnsi" w:cstheme="minorHAnsi"/>
                                <w:color w:val="000000"/>
                                <w:sz w:val="20"/>
                                <w:szCs w:val="20"/>
                                <w:lang w:val="en-US"/>
                              </w:rPr>
                              <w:t>: There is a scarcity of regional data on a number of critical educational indicators, including on girls, children with disabilities, the number of out-of-school children and rural/</w:t>
                            </w:r>
                            <w:r w:rsidRPr="003C1E71">
                              <w:rPr>
                                <w:rStyle w:val="m4173277756366121611normaltextrun"/>
                                <w:rFonts w:asciiTheme="minorHAnsi" w:eastAsiaTheme="majorEastAsia" w:hAnsiTheme="minorHAnsi" w:cstheme="minorHAnsi"/>
                                <w:color w:val="000000"/>
                                <w:sz w:val="20"/>
                                <w:szCs w:val="20"/>
                              </w:rPr>
                              <w:t>urban</w:t>
                            </w:r>
                            <w:r w:rsidRPr="003C1E71">
                              <w:rPr>
                                <w:rStyle w:val="m4173277756366121611normaltextrun"/>
                                <w:rFonts w:asciiTheme="minorHAnsi" w:eastAsiaTheme="majorEastAsia" w:hAnsiTheme="minorHAnsi" w:cstheme="minorHAnsi"/>
                                <w:color w:val="000000"/>
                                <w:sz w:val="20"/>
                                <w:szCs w:val="20"/>
                                <w:lang w:val="en-US"/>
                              </w:rPr>
                              <w:t> impacts. Without regular, credible, and granular data, decision-makers will struggle to maximize available resources. </w:t>
                            </w:r>
                            <w:r w:rsidRPr="003C1E71">
                              <w:rPr>
                                <w:rFonts w:asciiTheme="minorHAnsi" w:hAnsiTheme="minorHAnsi" w:cstheme="minorHAnsi"/>
                                <w:b/>
                                <w:bCs/>
                                <w:sz w:val="20"/>
                                <w:szCs w:val="20"/>
                              </w:rPr>
                              <w:t>Governments and their partners need to be assured that scarce resources are invested efficiently and effectively</w:t>
                            </w:r>
                            <w:r w:rsidRPr="003C1E71">
                              <w:rPr>
                                <w:rFonts w:asciiTheme="minorHAnsi" w:hAnsiTheme="minorHAnsi" w:cstheme="minorHAnsi"/>
                                <w:sz w:val="20"/>
                                <w:szCs w:val="20"/>
                              </w:rPr>
                              <w:t xml:space="preserve">. DFAT has long prioritised the collection, </w:t>
                            </w:r>
                            <w:proofErr w:type="gramStart"/>
                            <w:r w:rsidRPr="003C1E71">
                              <w:rPr>
                                <w:rFonts w:asciiTheme="minorHAnsi" w:hAnsiTheme="minorHAnsi" w:cstheme="minorHAnsi"/>
                                <w:sz w:val="20"/>
                                <w:szCs w:val="20"/>
                              </w:rPr>
                              <w:t>analysis</w:t>
                            </w:r>
                            <w:proofErr w:type="gramEnd"/>
                            <w:r w:rsidRPr="003C1E71">
                              <w:rPr>
                                <w:rFonts w:asciiTheme="minorHAnsi" w:hAnsiTheme="minorHAnsi" w:cstheme="minorHAnsi"/>
                                <w:sz w:val="20"/>
                                <w:szCs w:val="20"/>
                              </w:rPr>
                              <w:t xml:space="preserve"> and transparent reporting of education data for better decision-making</w:t>
                            </w:r>
                            <w:bookmarkStart w:id="10" w:name="m_4173277756366121611__ednref1"/>
                            <w:r>
                              <w:rPr>
                                <w:rFonts w:asciiTheme="minorHAnsi" w:hAnsiTheme="minorHAnsi" w:cstheme="minorHAnsi"/>
                                <w:sz w:val="20"/>
                                <w:szCs w:val="20"/>
                                <w:vertAlign w:val="superscript"/>
                              </w:rPr>
                              <w:fldChar w:fldCharType="begin"/>
                            </w:r>
                            <w:r>
                              <w:rPr>
                                <w:rFonts w:asciiTheme="minorHAnsi" w:hAnsiTheme="minorHAnsi" w:cstheme="minorHAnsi"/>
                                <w:sz w:val="20"/>
                                <w:szCs w:val="20"/>
                                <w:vertAlign w:val="superscript"/>
                              </w:rPr>
                              <w:instrText>HYPERLINK  \l "m_4173277756366121611__edn1"</w:instrText>
                            </w:r>
                            <w:r>
                              <w:rPr>
                                <w:rFonts w:asciiTheme="minorHAnsi" w:hAnsiTheme="minorHAnsi" w:cstheme="minorHAnsi"/>
                                <w:sz w:val="20"/>
                                <w:szCs w:val="20"/>
                                <w:vertAlign w:val="superscript"/>
                              </w:rPr>
                              <w:fldChar w:fldCharType="separate"/>
                            </w:r>
                            <w:r>
                              <w:rPr>
                                <w:rStyle w:val="Hyperlink"/>
                                <w:rFonts w:asciiTheme="minorHAnsi" w:hAnsiTheme="minorHAnsi" w:cstheme="minorHAnsi"/>
                                <w:sz w:val="20"/>
                                <w:szCs w:val="20"/>
                                <w:vertAlign w:val="superscript"/>
                              </w:rPr>
                              <w:t>[</w:t>
                            </w:r>
                            <w:proofErr w:type="spellStart"/>
                            <w:r>
                              <w:rPr>
                                <w:rStyle w:val="Hyperlink"/>
                                <w:rFonts w:asciiTheme="minorHAnsi" w:hAnsiTheme="minorHAnsi" w:cstheme="minorHAnsi"/>
                                <w:sz w:val="20"/>
                                <w:szCs w:val="20"/>
                                <w:vertAlign w:val="superscript"/>
                              </w:rPr>
                              <w:t>i</w:t>
                            </w:r>
                            <w:proofErr w:type="spellEnd"/>
                            <w:r>
                              <w:rPr>
                                <w:rStyle w:val="Hyperlink"/>
                                <w:rFonts w:asciiTheme="minorHAnsi" w:hAnsiTheme="minorHAnsi" w:cstheme="minorHAnsi"/>
                                <w:sz w:val="20"/>
                                <w:szCs w:val="20"/>
                                <w:vertAlign w:val="superscript"/>
                              </w:rPr>
                              <w:t>]</w:t>
                            </w:r>
                            <w:r>
                              <w:rPr>
                                <w:rFonts w:asciiTheme="minorHAnsi" w:hAnsiTheme="minorHAnsi" w:cstheme="minorHAnsi"/>
                                <w:sz w:val="20"/>
                                <w:szCs w:val="20"/>
                                <w:vertAlign w:val="superscript"/>
                              </w:rPr>
                              <w:fldChar w:fldCharType="end"/>
                            </w:r>
                            <w:bookmarkEnd w:id="10"/>
                            <w:r w:rsidRPr="003C1E71">
                              <w:rPr>
                                <w:rFonts w:asciiTheme="minorHAnsi" w:hAnsiTheme="minorHAnsi" w:cstheme="minorHAnsi"/>
                                <w:sz w:val="20"/>
                                <w:szCs w:val="20"/>
                              </w:rPr>
                              <w:t>. </w:t>
                            </w:r>
                            <w:r w:rsidRPr="003C1E71">
                              <w:rPr>
                                <w:rStyle w:val="m4173277756366121611normaltextrun"/>
                                <w:rFonts w:asciiTheme="minorHAnsi" w:eastAsiaTheme="majorEastAsia" w:hAnsiTheme="minorHAnsi" w:cstheme="minorHAnsi"/>
                                <w:color w:val="000000"/>
                                <w:sz w:val="20"/>
                                <w:szCs w:val="20"/>
                                <w:lang w:val="en-US"/>
                              </w:rPr>
                              <w:t>Information must be presented in such a way that enables evidence-based decision making and reflects stakeholders’ binding constraints (e.g.</w:t>
                            </w:r>
                            <w:r>
                              <w:rPr>
                                <w:rStyle w:val="m4173277756366121611normaltextrun"/>
                                <w:rFonts w:asciiTheme="minorHAnsi" w:eastAsiaTheme="majorEastAsia" w:hAnsiTheme="minorHAnsi" w:cstheme="minorHAnsi"/>
                                <w:color w:val="000000"/>
                                <w:sz w:val="20"/>
                                <w:szCs w:val="20"/>
                                <w:lang w:val="en-US"/>
                              </w:rPr>
                              <w:t>,</w:t>
                            </w:r>
                            <w:r w:rsidRPr="003C1E71">
                              <w:rPr>
                                <w:rStyle w:val="m4173277756366121611normaltextrun"/>
                                <w:rFonts w:asciiTheme="minorHAnsi" w:eastAsiaTheme="majorEastAsia" w:hAnsiTheme="minorHAnsi" w:cstheme="minorHAnsi"/>
                                <w:color w:val="000000"/>
                                <w:sz w:val="20"/>
                                <w:szCs w:val="20"/>
                                <w:lang w:val="en-US"/>
                              </w:rPr>
                              <w:t xml:space="preserve"> time scarcity; clarity in approach).</w:t>
                            </w:r>
                          </w:p>
                          <w:p w14:paraId="50C78D0F" w14:textId="3D15A051" w:rsidR="00F96637" w:rsidRPr="003C1E71" w:rsidRDefault="00F96637" w:rsidP="00F81FB5">
                            <w:pPr>
                              <w:pStyle w:val="m4173277756366121611msolistparagraph"/>
                              <w:numPr>
                                <w:ilvl w:val="0"/>
                                <w:numId w:val="58"/>
                              </w:numPr>
                              <w:shd w:val="clear" w:color="auto" w:fill="E7E6E6" w:themeFill="background2"/>
                              <w:tabs>
                                <w:tab w:val="clear" w:pos="720"/>
                                <w:tab w:val="num" w:pos="360"/>
                                <w:tab w:val="left" w:pos="2410"/>
                              </w:tabs>
                              <w:spacing w:before="0" w:beforeAutospacing="0" w:afterLines="60" w:after="144" w:afterAutospacing="0"/>
                              <w:ind w:left="357"/>
                              <w:rPr>
                                <w:rFonts w:asciiTheme="minorHAnsi" w:hAnsiTheme="minorHAnsi" w:cstheme="minorHAnsi"/>
                                <w:color w:val="000000"/>
                                <w:sz w:val="20"/>
                                <w:szCs w:val="20"/>
                              </w:rPr>
                            </w:pPr>
                            <w:r w:rsidRPr="003C1E71">
                              <w:rPr>
                                <w:rStyle w:val="m4173277756366121611normaltextrun"/>
                                <w:rFonts w:asciiTheme="minorHAnsi" w:eastAsiaTheme="majorEastAsia" w:hAnsiTheme="minorHAnsi" w:cstheme="minorHAnsi"/>
                                <w:b/>
                                <w:bCs/>
                                <w:color w:val="000000"/>
                                <w:sz w:val="20"/>
                                <w:szCs w:val="20"/>
                                <w:lang w:val="en-US"/>
                              </w:rPr>
                              <w:t>Target children at risk of dropout, particularly girls: </w:t>
                            </w:r>
                            <w:r w:rsidRPr="003C1E71">
                              <w:rPr>
                                <w:rStyle w:val="m4173277756366121611normaltextrun"/>
                                <w:rFonts w:asciiTheme="minorHAnsi" w:eastAsiaTheme="majorEastAsia" w:hAnsiTheme="minorHAnsi" w:cstheme="minorHAnsi"/>
                                <w:color w:val="000000"/>
                                <w:sz w:val="20"/>
                                <w:szCs w:val="20"/>
                                <w:lang w:val="en-US"/>
                              </w:rPr>
                              <w:t>Millions more children will be at risk of dropping out or, for those countries where children were not in school, not re-enrolling. There are proven strategies for reducing out of school children, including providing parents and families with information about the benefits of schooling (considered a “best buy” in education), investing in early warning systems to alert school leaders to dropout risks, bringing learning closer to students through the use of innovative technologies, and improving school environments to ensure that they are safe and offer additional non-education services, including health and nutrition.</w:t>
                            </w:r>
                            <w:bookmarkStart w:id="11" w:name="m_4173277756366121611__ednref2"/>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"m_4173277756366121611__edn2"</w:instrText>
                            </w:r>
                            <w:r w:rsidRPr="003C1E71">
                              <w:rPr>
                                <w:rFonts w:asciiTheme="minorHAnsi" w:hAnsiTheme="minorHAnsi" w:cstheme="minorHAnsi"/>
                                <w:color w:val="000000"/>
                                <w:sz w:val="20"/>
                                <w:szCs w:val="20"/>
                              </w:rPr>
                              <w:fldChar w:fldCharType="separate"/>
                            </w:r>
                            <w:r w:rsidRPr="003C1E71">
                              <w:rPr>
                                <w:rStyle w:val="m4173277756366121611msoendnotereference"/>
                                <w:rFonts w:asciiTheme="minorHAnsi" w:hAnsiTheme="minorHAnsi" w:cstheme="minorHAnsi"/>
                                <w:color w:val="000000"/>
                                <w:sz w:val="20"/>
                                <w:szCs w:val="20"/>
                                <w:u w:val="single"/>
                                <w:vertAlign w:val="superscript"/>
                                <w:lang w:val="en-US"/>
                              </w:rPr>
                              <w:t>[ii]</w:t>
                            </w:r>
                            <w:r w:rsidRPr="003C1E71">
                              <w:rPr>
                                <w:rFonts w:asciiTheme="minorHAnsi" w:hAnsiTheme="minorHAnsi" w:cstheme="minorHAnsi"/>
                                <w:color w:val="000000"/>
                                <w:sz w:val="20"/>
                                <w:szCs w:val="20"/>
                              </w:rPr>
                              <w:fldChar w:fldCharType="end"/>
                            </w:r>
                            <w:bookmarkEnd w:id="11"/>
                            <w:r w:rsidRPr="003C1E71">
                              <w:rPr>
                                <w:rStyle w:val="m4173277756366121611normaltextrun"/>
                                <w:rFonts w:asciiTheme="minorHAnsi" w:eastAsiaTheme="majorEastAsia" w:hAnsiTheme="minorHAnsi" w:cstheme="minorHAnsi"/>
                                <w:color w:val="000000"/>
                                <w:sz w:val="20"/>
                                <w:szCs w:val="20"/>
                                <w:lang w:val="en-US"/>
                              </w:rPr>
                              <w:t> </w:t>
                            </w:r>
                            <w:bookmarkStart w:id="12" w:name="m_4173277756366121611__ednref3"/>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"m_4173277756366121611__edn3"</w:instrText>
                            </w:r>
                            <w:r w:rsidRPr="003C1E71">
                              <w:rPr>
                                <w:rFonts w:asciiTheme="minorHAnsi" w:hAnsiTheme="minorHAnsi" w:cstheme="minorHAnsi"/>
                                <w:color w:val="000000"/>
                                <w:sz w:val="20"/>
                                <w:szCs w:val="20"/>
                              </w:rPr>
                              <w:fldChar w:fldCharType="separate"/>
                            </w:r>
                            <w:r w:rsidRPr="003C1E71">
                              <w:rPr>
                                <w:rStyle w:val="m4173277756366121611msoendnotereference"/>
                                <w:rFonts w:asciiTheme="minorHAnsi" w:hAnsiTheme="minorHAnsi" w:cstheme="minorHAnsi"/>
                                <w:color w:val="000000"/>
                                <w:sz w:val="20"/>
                                <w:szCs w:val="20"/>
                                <w:u w:val="single"/>
                                <w:vertAlign w:val="superscript"/>
                                <w:lang w:val="en-US"/>
                              </w:rPr>
                              <w:t>[iii]</w:t>
                            </w:r>
                            <w:r w:rsidRPr="003C1E71">
                              <w:rPr>
                                <w:rFonts w:asciiTheme="minorHAnsi" w:hAnsiTheme="minorHAnsi" w:cstheme="minorHAnsi"/>
                                <w:color w:val="000000"/>
                                <w:sz w:val="20"/>
                                <w:szCs w:val="20"/>
                              </w:rPr>
                              <w:fldChar w:fldCharType="end"/>
                            </w:r>
                            <w:bookmarkStart w:id="13" w:name="m_4173277756366121611__ednref4"/>
                            <w:bookmarkEnd w:id="12"/>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"m_4173277756366121611__edn4"</w:instrText>
                            </w:r>
                            <w:r w:rsidRPr="003C1E71">
                              <w:rPr>
                                <w:rFonts w:asciiTheme="minorHAnsi" w:hAnsiTheme="minorHAnsi" w:cstheme="minorHAnsi"/>
                                <w:color w:val="000000"/>
                                <w:sz w:val="20"/>
                                <w:szCs w:val="20"/>
                              </w:rPr>
                              <w:fldChar w:fldCharType="separate"/>
                            </w:r>
                            <w:r w:rsidRPr="003C1E71">
                              <w:rPr>
                                <w:rStyle w:val="m4173277756366121611msoendnotereference"/>
                                <w:rFonts w:asciiTheme="minorHAnsi" w:hAnsiTheme="minorHAnsi" w:cstheme="minorHAnsi"/>
                                <w:color w:val="000000"/>
                                <w:sz w:val="20"/>
                                <w:szCs w:val="20"/>
                                <w:u w:val="single"/>
                                <w:vertAlign w:val="superscript"/>
                                <w:lang w:val="en-US"/>
                              </w:rPr>
                              <w:t>[iv]</w:t>
                            </w:r>
                            <w:r w:rsidRPr="003C1E71">
                              <w:rPr>
                                <w:rFonts w:asciiTheme="minorHAnsi" w:hAnsiTheme="minorHAnsi" w:cstheme="minorHAnsi"/>
                                <w:color w:val="000000"/>
                                <w:sz w:val="20"/>
                                <w:szCs w:val="20"/>
                              </w:rPr>
                              <w:fldChar w:fldCharType="end"/>
                            </w:r>
                            <w:bookmarkEnd w:id="13"/>
                            <w:r w:rsidRPr="003C1E71">
                              <w:rPr>
                                <w:rStyle w:val="m4173277756366121611normaltextrun"/>
                                <w:rFonts w:asciiTheme="minorHAnsi" w:eastAsiaTheme="majorEastAsia" w:hAnsiTheme="minorHAnsi" w:cstheme="minorHAnsi"/>
                                <w:color w:val="000000"/>
                                <w:sz w:val="20"/>
                                <w:szCs w:val="20"/>
                                <w:lang w:val="en-US"/>
                              </w:rPr>
                              <w:t> </w:t>
                            </w:r>
                            <w:bookmarkStart w:id="14" w:name="m_4173277756366121611__ednref5"/>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"m_4173277756366121611__edn5"</w:instrText>
                            </w:r>
                            <w:r w:rsidRPr="003C1E71">
                              <w:rPr>
                                <w:rFonts w:asciiTheme="minorHAnsi" w:hAnsiTheme="minorHAnsi" w:cstheme="minorHAnsi"/>
                                <w:color w:val="000000"/>
                                <w:sz w:val="20"/>
                                <w:szCs w:val="20"/>
                              </w:rPr>
                              <w:fldChar w:fldCharType="separate"/>
                            </w:r>
                            <w:r w:rsidRPr="003C1E71">
                              <w:rPr>
                                <w:rStyle w:val="m4173277756366121611msoendnotereference"/>
                                <w:rFonts w:asciiTheme="minorHAnsi" w:hAnsiTheme="minorHAnsi" w:cstheme="minorHAnsi"/>
                                <w:color w:val="000000"/>
                                <w:sz w:val="20"/>
                                <w:szCs w:val="20"/>
                                <w:u w:val="single"/>
                                <w:vertAlign w:val="superscript"/>
                                <w:lang w:val="en-US"/>
                              </w:rPr>
                              <w:t>[v]</w:t>
                            </w:r>
                            <w:r w:rsidRPr="003C1E71">
                              <w:rPr>
                                <w:rFonts w:asciiTheme="minorHAnsi" w:hAnsiTheme="minorHAnsi" w:cstheme="minorHAnsi"/>
                                <w:color w:val="000000"/>
                                <w:sz w:val="20"/>
                                <w:szCs w:val="20"/>
                              </w:rPr>
                              <w:fldChar w:fldCharType="end"/>
                            </w:r>
                            <w:bookmarkStart w:id="15" w:name="m_4173277756366121611__ednref6"/>
                            <w:bookmarkEnd w:id="14"/>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"m_4173277756366121611__edn6"</w:instrText>
                            </w:r>
                            <w:r w:rsidRPr="003C1E71">
                              <w:rPr>
                                <w:rFonts w:asciiTheme="minorHAnsi" w:hAnsiTheme="minorHAnsi" w:cstheme="minorHAnsi"/>
                                <w:color w:val="000000"/>
                                <w:sz w:val="20"/>
                                <w:szCs w:val="20"/>
                              </w:rPr>
                              <w:fldChar w:fldCharType="separate"/>
                            </w:r>
                            <w:r w:rsidRPr="003C1E71">
                              <w:rPr>
                                <w:rStyle w:val="m4173277756366121611msoendnotereference"/>
                                <w:rFonts w:asciiTheme="minorHAnsi" w:hAnsiTheme="minorHAnsi" w:cstheme="minorHAnsi"/>
                                <w:color w:val="000000"/>
                                <w:sz w:val="20"/>
                                <w:szCs w:val="20"/>
                                <w:u w:val="single"/>
                                <w:vertAlign w:val="superscript"/>
                                <w:lang w:val="en-US"/>
                              </w:rPr>
                              <w:t>[vi]</w:t>
                            </w:r>
                            <w:r w:rsidRPr="003C1E71">
                              <w:rPr>
                                <w:rFonts w:asciiTheme="minorHAnsi" w:hAnsiTheme="minorHAnsi" w:cstheme="minorHAnsi"/>
                                <w:color w:val="000000"/>
                                <w:sz w:val="20"/>
                                <w:szCs w:val="20"/>
                              </w:rPr>
                              <w:fldChar w:fldCharType="end"/>
                            </w:r>
                            <w:bookmarkEnd w:id="15"/>
                          </w:p>
                          <w:p w14:paraId="127B4B8C" w14:textId="53B9A7E5" w:rsidR="00F96637" w:rsidRPr="003C1E71" w:rsidRDefault="00F96637" w:rsidP="00F81FB5">
                            <w:pPr>
                              <w:pStyle w:val="m4173277756366121611msolistparagraph"/>
                              <w:numPr>
                                <w:ilvl w:val="0"/>
                                <w:numId w:val="59"/>
                              </w:numPr>
                              <w:shd w:val="clear" w:color="auto" w:fill="E7E6E6" w:themeFill="background2"/>
                              <w:tabs>
                                <w:tab w:val="clear" w:pos="720"/>
                                <w:tab w:val="num" w:pos="360"/>
                                <w:tab w:val="left" w:pos="2410"/>
                              </w:tabs>
                              <w:spacing w:before="0" w:beforeAutospacing="0" w:afterLines="60" w:after="144" w:afterAutospacing="0"/>
                              <w:ind w:left="357"/>
                              <w:rPr>
                                <w:rFonts w:asciiTheme="minorHAnsi" w:hAnsiTheme="minorHAnsi" w:cstheme="minorHAnsi"/>
                                <w:color w:val="000000"/>
                                <w:sz w:val="20"/>
                                <w:szCs w:val="20"/>
                              </w:rPr>
                            </w:pPr>
                            <w:r w:rsidRPr="003C1E71">
                              <w:rPr>
                                <w:rFonts w:asciiTheme="minorHAnsi" w:hAnsiTheme="minorHAnsi" w:cstheme="minorHAnsi"/>
                                <w:b/>
                                <w:bCs/>
                                <w:sz w:val="20"/>
                                <w:szCs w:val="20"/>
                              </w:rPr>
                              <w:t>Teach at the right level: </w:t>
                            </w:r>
                            <w:r w:rsidRPr="003C1E71">
                              <w:rPr>
                                <w:rFonts w:asciiTheme="minorHAnsi" w:hAnsiTheme="minorHAnsi" w:cstheme="minorHAnsi"/>
                                <w:sz w:val="20"/>
                                <w:szCs w:val="20"/>
                              </w:rPr>
                              <w:t>Prior to COVID</w:t>
                            </w:r>
                            <w:r>
                              <w:rPr>
                                <w:rFonts w:asciiTheme="minorHAnsi" w:hAnsiTheme="minorHAnsi" w:cstheme="minorHAnsi"/>
                                <w:sz w:val="20"/>
                                <w:szCs w:val="20"/>
                              </w:rPr>
                              <w:t>-19</w:t>
                            </w:r>
                            <w:r w:rsidRPr="003C1E71">
                              <w:rPr>
                                <w:rFonts w:asciiTheme="minorHAnsi" w:hAnsiTheme="minorHAnsi" w:cstheme="minorHAnsi"/>
                                <w:sz w:val="20"/>
                                <w:szCs w:val="20"/>
                              </w:rPr>
                              <w:t>, the world already had a learning crisis, with more than half of children in low- and middle-income countries unable to read and understand a simple story by the end of primary school</w:t>
                            </w:r>
                            <w:bookmarkStart w:id="16" w:name="m_4173277756366121611__ednref7"/>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"m_4173277756366121611__edn7"</w:instrText>
                            </w:r>
                            <w:r w:rsidRPr="003C1E71">
                              <w:rPr>
                                <w:rFonts w:asciiTheme="minorHAnsi" w:hAnsiTheme="minorHAnsi" w:cstheme="minorHAnsi"/>
                                <w:color w:val="000000"/>
                                <w:sz w:val="20"/>
                                <w:szCs w:val="20"/>
                              </w:rPr>
                              <w:fldChar w:fldCharType="separate"/>
                            </w:r>
                            <w:r w:rsidRPr="003C1E71">
                              <w:rPr>
                                <w:rStyle w:val="Hyperlink"/>
                                <w:rFonts w:asciiTheme="minorHAnsi" w:hAnsiTheme="minorHAnsi" w:cstheme="minorHAnsi"/>
                                <w:color w:val="1F497D"/>
                                <w:sz w:val="20"/>
                                <w:szCs w:val="20"/>
                                <w:vertAlign w:val="superscript"/>
                              </w:rPr>
                              <w:t>[vii]</w:t>
                            </w:r>
                            <w:r w:rsidRPr="003C1E71">
                              <w:rPr>
                                <w:rFonts w:asciiTheme="minorHAnsi" w:hAnsiTheme="minorHAnsi" w:cstheme="minorHAnsi"/>
                                <w:color w:val="000000"/>
                                <w:sz w:val="20"/>
                                <w:szCs w:val="20"/>
                              </w:rPr>
                              <w:fldChar w:fldCharType="end"/>
                            </w:r>
                            <w:bookmarkEnd w:id="16"/>
                            <w:r w:rsidRPr="003C1E71">
                              <w:rPr>
                                <w:rFonts w:asciiTheme="minorHAnsi" w:hAnsiTheme="minorHAnsi" w:cstheme="minorHAnsi"/>
                                <w:sz w:val="20"/>
                                <w:szCs w:val="20"/>
                              </w:rPr>
                              <w:t>. With education system closures and disruptions, the pressure on learning is acute. Any remedial and ‘catch-up’ approaches must focus on what young people know and can do, rather than emphasising ‘getting through’ the curriculum. ‘Teaching at the Right Level’ is a proven model, which involves rapid assessments of what students know, and teaching to that standard</w:t>
                            </w:r>
                            <w:bookmarkStart w:id="17" w:name="m_4173277756366121611__ednref8"/>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"m_4173277756366121611__edn8"</w:instrText>
                            </w:r>
                            <w:r w:rsidRPr="003C1E71">
                              <w:rPr>
                                <w:rFonts w:asciiTheme="minorHAnsi" w:hAnsiTheme="minorHAnsi" w:cstheme="minorHAnsi"/>
                                <w:color w:val="000000"/>
                                <w:sz w:val="20"/>
                                <w:szCs w:val="20"/>
                              </w:rPr>
                              <w:fldChar w:fldCharType="separate"/>
                            </w:r>
                            <w:r w:rsidRPr="003C1E71">
                              <w:rPr>
                                <w:rStyle w:val="Hyperlink"/>
                                <w:rFonts w:asciiTheme="minorHAnsi" w:hAnsiTheme="minorHAnsi" w:cstheme="minorHAnsi"/>
                                <w:color w:val="1F497D"/>
                                <w:sz w:val="20"/>
                                <w:szCs w:val="20"/>
                                <w:vertAlign w:val="superscript"/>
                              </w:rPr>
                              <w:t>[viii]</w:t>
                            </w:r>
                            <w:r w:rsidRPr="003C1E71">
                              <w:rPr>
                                <w:rFonts w:asciiTheme="minorHAnsi" w:hAnsiTheme="minorHAnsi" w:cstheme="minorHAnsi"/>
                                <w:color w:val="000000"/>
                                <w:sz w:val="20"/>
                                <w:szCs w:val="20"/>
                              </w:rPr>
                              <w:fldChar w:fldCharType="end"/>
                            </w:r>
                            <w:bookmarkEnd w:id="17"/>
                            <w:r w:rsidRPr="003C1E71">
                              <w:rPr>
                                <w:rFonts w:asciiTheme="minorHAnsi" w:hAnsiTheme="minorHAnsi" w:cstheme="minorHAnsi"/>
                                <w:sz w:val="20"/>
                                <w:szCs w:val="20"/>
                              </w:rPr>
                              <w:t> </w:t>
                            </w:r>
                            <w:bookmarkStart w:id="18" w:name="m_4173277756366121611__ednref9"/>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"m_4173277756366121611__edn9"</w:instrText>
                            </w:r>
                            <w:r w:rsidRPr="003C1E71">
                              <w:rPr>
                                <w:rFonts w:asciiTheme="minorHAnsi" w:hAnsiTheme="minorHAnsi" w:cstheme="minorHAnsi"/>
                                <w:color w:val="000000"/>
                                <w:sz w:val="20"/>
                                <w:szCs w:val="20"/>
                              </w:rPr>
                              <w:fldChar w:fldCharType="separate"/>
                            </w:r>
                            <w:r w:rsidRPr="003C1E71">
                              <w:rPr>
                                <w:rStyle w:val="m4173277756366121611msoendnotereference"/>
                                <w:rFonts w:asciiTheme="minorHAnsi" w:hAnsiTheme="minorHAnsi" w:cstheme="minorHAnsi"/>
                                <w:color w:val="000000"/>
                                <w:sz w:val="20"/>
                                <w:szCs w:val="20"/>
                                <w:u w:val="single"/>
                                <w:vertAlign w:val="superscript"/>
                                <w:lang w:val="en-US"/>
                              </w:rPr>
                              <w:t>[ix]</w:t>
                            </w:r>
                            <w:r w:rsidRPr="003C1E71">
                              <w:rPr>
                                <w:rFonts w:asciiTheme="minorHAnsi" w:hAnsiTheme="minorHAnsi" w:cstheme="minorHAnsi"/>
                                <w:color w:val="000000"/>
                                <w:sz w:val="20"/>
                                <w:szCs w:val="20"/>
                              </w:rPr>
                              <w:fldChar w:fldCharType="end"/>
                            </w:r>
                            <w:bookmarkEnd w:id="18"/>
                            <w:r w:rsidRPr="003C1E71">
                              <w:rPr>
                                <w:rStyle w:val="m4173277756366121611normaltextrun"/>
                                <w:rFonts w:asciiTheme="minorHAnsi" w:eastAsiaTheme="majorEastAsia" w:hAnsiTheme="minorHAnsi" w:cstheme="minorHAnsi"/>
                                <w:color w:val="000000"/>
                                <w:sz w:val="20"/>
                                <w:szCs w:val="20"/>
                                <w:lang w:val="en-US"/>
                              </w:rPr>
                              <w:t> </w:t>
                            </w:r>
                            <w:bookmarkStart w:id="19" w:name="m_4173277756366121611__ednref10"/>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"m_4173277756366121611__edn10"</w:instrText>
                            </w:r>
                            <w:r w:rsidRPr="003C1E71">
                              <w:rPr>
                                <w:rFonts w:asciiTheme="minorHAnsi" w:hAnsiTheme="minorHAnsi" w:cstheme="minorHAnsi"/>
                                <w:color w:val="000000"/>
                                <w:sz w:val="20"/>
                                <w:szCs w:val="20"/>
                              </w:rPr>
                              <w:fldChar w:fldCharType="separate"/>
                            </w:r>
                            <w:r w:rsidRPr="003C1E71">
                              <w:rPr>
                                <w:rStyle w:val="m4173277756366121611msoendnotereference"/>
                                <w:rFonts w:asciiTheme="minorHAnsi" w:hAnsiTheme="minorHAnsi" w:cstheme="minorHAnsi"/>
                                <w:color w:val="000000"/>
                                <w:sz w:val="20"/>
                                <w:szCs w:val="20"/>
                                <w:u w:val="single"/>
                                <w:vertAlign w:val="superscript"/>
                                <w:lang w:val="en-US"/>
                              </w:rPr>
                              <w:t>[x]</w:t>
                            </w:r>
                            <w:r w:rsidRPr="003C1E71">
                              <w:rPr>
                                <w:rFonts w:asciiTheme="minorHAnsi" w:hAnsiTheme="minorHAnsi" w:cstheme="minorHAnsi"/>
                                <w:color w:val="000000"/>
                                <w:sz w:val="20"/>
                                <w:szCs w:val="20"/>
                              </w:rPr>
                              <w:fldChar w:fldCharType="end"/>
                            </w:r>
                            <w:bookmarkEnd w:id="19"/>
                            <w:r w:rsidRPr="003C1E71">
                              <w:rPr>
                                <w:rFonts w:asciiTheme="minorHAnsi" w:hAnsiTheme="minorHAnsi" w:cstheme="minorHAnsi"/>
                                <w:sz w:val="20"/>
                                <w:szCs w:val="20"/>
                              </w:rPr>
                              <w:t>. All systems need to adapt to COVID and related disruptions – </w:t>
                            </w:r>
                            <w:r w:rsidRPr="003C1E71">
                              <w:rPr>
                                <w:rFonts w:asciiTheme="minorHAnsi" w:hAnsiTheme="minorHAnsi" w:cstheme="minorHAnsi"/>
                                <w:b/>
                                <w:bCs/>
                                <w:sz w:val="20"/>
                                <w:szCs w:val="20"/>
                              </w:rPr>
                              <w:t>a learner-centred model will make the greatest difference</w:t>
                            </w:r>
                            <w:r w:rsidRPr="003C1E71">
                              <w:rPr>
                                <w:rFonts w:asciiTheme="minorHAnsi" w:hAnsiTheme="minorHAnsi" w:cstheme="minorHAnsi"/>
                                <w:sz w:val="20"/>
                                <w:szCs w:val="20"/>
                              </w:rPr>
                              <w:t>. </w:t>
                            </w:r>
                          </w:p>
                          <w:p w14:paraId="1F0DFE32" w14:textId="646DFA2C" w:rsidR="00F96637" w:rsidRPr="003C1E71" w:rsidRDefault="00F96637" w:rsidP="00F81FB5">
                            <w:pPr>
                              <w:pStyle w:val="m4173277756366121611msolistparagraph"/>
                              <w:numPr>
                                <w:ilvl w:val="0"/>
                                <w:numId w:val="60"/>
                              </w:numPr>
                              <w:shd w:val="clear" w:color="auto" w:fill="E7E6E6" w:themeFill="background2"/>
                              <w:tabs>
                                <w:tab w:val="clear" w:pos="720"/>
                                <w:tab w:val="num" w:pos="360"/>
                                <w:tab w:val="left" w:pos="2410"/>
                              </w:tabs>
                              <w:spacing w:before="0" w:beforeAutospacing="0" w:afterLines="60" w:after="144" w:afterAutospacing="0"/>
                              <w:ind w:left="357"/>
                              <w:rPr>
                                <w:rFonts w:asciiTheme="minorHAnsi" w:hAnsiTheme="minorHAnsi" w:cstheme="minorHAnsi"/>
                                <w:sz w:val="20"/>
                                <w:szCs w:val="20"/>
                              </w:rPr>
                            </w:pPr>
                            <w:r w:rsidRPr="003C1E71">
                              <w:rPr>
                                <w:rFonts w:asciiTheme="minorHAnsi" w:hAnsiTheme="minorHAnsi" w:cstheme="minorHAnsi"/>
                                <w:b/>
                                <w:bCs/>
                                <w:sz w:val="20"/>
                                <w:szCs w:val="20"/>
                              </w:rPr>
                              <w:t>Reimagine learning: </w:t>
                            </w:r>
                            <w:r w:rsidRPr="003C1E71">
                              <w:rPr>
                                <w:rFonts w:asciiTheme="minorHAnsi" w:hAnsiTheme="minorHAnsi" w:cstheme="minorHAnsi"/>
                                <w:sz w:val="20"/>
                                <w:szCs w:val="20"/>
                              </w:rPr>
                              <w:t>There is a great deal of energy around the power of innovation to drive a step-change in education and training. </w:t>
                            </w:r>
                            <w:r w:rsidRPr="003C1E71">
                              <w:rPr>
                                <w:rFonts w:asciiTheme="minorHAnsi" w:hAnsiTheme="minorHAnsi" w:cstheme="minorHAnsi"/>
                                <w:b/>
                                <w:bCs/>
                                <w:sz w:val="20"/>
                                <w:szCs w:val="20"/>
                              </w:rPr>
                              <w:t>Classrooms have barely changed in a century</w:t>
                            </w:r>
                            <w:r w:rsidRPr="003C1E71">
                              <w:rPr>
                                <w:rFonts w:asciiTheme="minorHAnsi" w:hAnsiTheme="minorHAnsi" w:cstheme="minorHAnsi"/>
                                <w:sz w:val="20"/>
                                <w:szCs w:val="20"/>
                              </w:rPr>
                              <w:t>, and COVID has enabled enormous experimentation in real-time, with at-scale approaches in distance, online and adaptive learning trialled around the world. There have been winners and losers, with the digital divide significant</w:t>
                            </w:r>
                            <w:bookmarkStart w:id="20" w:name="m_4173277756366121611__ednref11"/>
                            <w:r w:rsidRPr="003C1E71">
                              <w:rPr>
                                <w:rFonts w:asciiTheme="minorHAnsi" w:hAnsiTheme="minorHAnsi" w:cstheme="minorHAnsi"/>
                                <w:sz w:val="20"/>
                                <w:szCs w:val="20"/>
                              </w:rPr>
                              <w:fldChar w:fldCharType="begin"/>
                            </w:r>
                            <w:r>
                              <w:rPr>
                                <w:rFonts w:asciiTheme="minorHAnsi" w:hAnsiTheme="minorHAnsi" w:cstheme="minorHAnsi"/>
                                <w:sz w:val="20"/>
                                <w:szCs w:val="20"/>
                              </w:rPr>
                              <w:instrText>HYPERLINK  \l "m_4173277756366121611__edn11"</w:instrText>
                            </w:r>
                            <w:r w:rsidRPr="003C1E71">
                              <w:rPr>
                                <w:rFonts w:asciiTheme="minorHAnsi" w:hAnsiTheme="minorHAnsi" w:cstheme="minorHAnsi"/>
                                <w:sz w:val="20"/>
                                <w:szCs w:val="20"/>
                              </w:rPr>
                              <w:fldChar w:fldCharType="separate"/>
                            </w:r>
                            <w:r w:rsidRPr="003C1E71">
                              <w:rPr>
                                <w:rStyle w:val="Hyperlink"/>
                                <w:rFonts w:asciiTheme="minorHAnsi" w:hAnsiTheme="minorHAnsi" w:cstheme="minorHAnsi"/>
                                <w:color w:val="1F497D"/>
                                <w:sz w:val="20"/>
                                <w:szCs w:val="20"/>
                                <w:vertAlign w:val="superscript"/>
                              </w:rPr>
                              <w:t>[xi]</w:t>
                            </w:r>
                            <w:r w:rsidRPr="003C1E71">
                              <w:rPr>
                                <w:rFonts w:asciiTheme="minorHAnsi" w:hAnsiTheme="minorHAnsi" w:cstheme="minorHAnsi"/>
                                <w:sz w:val="20"/>
                                <w:szCs w:val="20"/>
                              </w:rPr>
                              <w:fldChar w:fldCharType="end"/>
                            </w:r>
                            <w:bookmarkEnd w:id="20"/>
                            <w:r w:rsidRPr="003C1E71">
                              <w:rPr>
                                <w:rFonts w:asciiTheme="minorHAnsi" w:hAnsiTheme="minorHAnsi" w:cstheme="minorHAnsi"/>
                                <w:sz w:val="20"/>
                                <w:szCs w:val="20"/>
                              </w:rPr>
                              <w:t>. </w:t>
                            </w:r>
                            <w:r w:rsidRPr="003C1E71">
                              <w:rPr>
                                <w:rFonts w:asciiTheme="minorHAnsi" w:hAnsiTheme="minorHAnsi" w:cstheme="minorHAnsi"/>
                                <w:b/>
                                <w:bCs/>
                                <w:sz w:val="20"/>
                                <w:szCs w:val="20"/>
                              </w:rPr>
                              <w:t>Australia has great strength in flexible approaches, and there is an opportunity to be a leader in education transformation</w:t>
                            </w:r>
                            <w:r w:rsidRPr="003C1E71">
                              <w:rPr>
                                <w:rFonts w:asciiTheme="minorHAnsi" w:hAnsiTheme="minorHAnsi" w:cstheme="minorHAnsi"/>
                                <w:sz w:val="20"/>
                                <w:szCs w:val="20"/>
                              </w:rPr>
                              <w:t>, featuring no-tech through to online approaches, modularisation of education and training, blended learning, micro-credentials, recognition of prior learning and dynamic approaches in partnership with industry. With a great need for education and training ‘smart catch-up’, and </w:t>
                            </w:r>
                            <w:r w:rsidRPr="003C1E71">
                              <w:rPr>
                                <w:rFonts w:asciiTheme="minorHAnsi" w:hAnsiTheme="minorHAnsi" w:cstheme="minorHAnsi"/>
                                <w:b/>
                                <w:bCs/>
                                <w:sz w:val="20"/>
                                <w:szCs w:val="20"/>
                              </w:rPr>
                              <w:t>with further disruptions likely, the moment for inclusive innovation is now</w:t>
                            </w:r>
                            <w:r w:rsidRPr="003C1E71">
                              <w:rPr>
                                <w:rFonts w:asciiTheme="minorHAnsi" w:hAnsiTheme="minorHAnsi" w:cstheme="minorHAnsi"/>
                                <w:sz w:val="20"/>
                                <w:szCs w:val="20"/>
                              </w:rPr>
                              <w:t>.</w:t>
                            </w:r>
                          </w:p>
                          <w:p w14:paraId="76DD90D0" w14:textId="492371DB" w:rsidR="00F96637" w:rsidRPr="003C1E71" w:rsidRDefault="00F96637" w:rsidP="00F81FB5">
                            <w:pPr>
                              <w:pStyle w:val="m4173277756366121611msolistparagraph"/>
                              <w:numPr>
                                <w:ilvl w:val="0"/>
                                <w:numId w:val="61"/>
                              </w:numPr>
                              <w:shd w:val="clear" w:color="auto" w:fill="E7E6E6" w:themeFill="background2"/>
                              <w:tabs>
                                <w:tab w:val="clear" w:pos="720"/>
                                <w:tab w:val="num" w:pos="360"/>
                                <w:tab w:val="left" w:pos="2410"/>
                              </w:tabs>
                              <w:spacing w:before="0" w:beforeAutospacing="0" w:afterLines="60" w:after="144" w:afterAutospacing="0"/>
                              <w:ind w:left="357"/>
                              <w:rPr>
                                <w:rFonts w:ascii="Calibri" w:hAnsi="Calibri" w:cs="Calibri"/>
                                <w:color w:val="1F497D"/>
                                <w:sz w:val="20"/>
                                <w:szCs w:val="20"/>
                              </w:rPr>
                            </w:pPr>
                            <w:r w:rsidRPr="003C1E71">
                              <w:rPr>
                                <w:rFonts w:ascii="Calibri" w:hAnsi="Calibri" w:cs="Calibri"/>
                                <w:b/>
                                <w:bCs/>
                                <w:sz w:val="20"/>
                                <w:szCs w:val="20"/>
                              </w:rPr>
                              <w:t>People-to-people links: </w:t>
                            </w:r>
                            <w:r w:rsidRPr="003C1E71">
                              <w:rPr>
                                <w:rFonts w:ascii="Calibri" w:hAnsi="Calibri" w:cs="Calibri"/>
                                <w:sz w:val="20"/>
                                <w:szCs w:val="20"/>
                              </w:rPr>
                              <w:t>With Australia Awards and international student flows heavily disrupted, the need to maintain inter-personal, industry level and national education and training connections is a clear priority. International goodwill and respect for Australia’s education and training system remains strong</w:t>
                            </w:r>
                            <w:bookmarkStart w:id="21" w:name="m_4173277756366121611__ednref12"/>
                            <w:r w:rsidRPr="003C1E71">
                              <w:rPr>
                                <w:rFonts w:ascii="Calibri" w:hAnsi="Calibri" w:cs="Calibri"/>
                                <w:color w:val="1F497D"/>
                                <w:sz w:val="20"/>
                                <w:szCs w:val="20"/>
                              </w:rPr>
                              <w:fldChar w:fldCharType="begin"/>
                            </w:r>
                            <w:r>
                              <w:rPr>
                                <w:rFonts w:ascii="Calibri" w:hAnsi="Calibri" w:cs="Calibri"/>
                                <w:color w:val="1F497D"/>
                                <w:sz w:val="20"/>
                                <w:szCs w:val="20"/>
                              </w:rPr>
                              <w:instrText>HYPERLINK  \l "m_4173277756366121611__edn12"</w:instrText>
                            </w:r>
                            <w:r w:rsidRPr="003C1E71">
                              <w:rPr>
                                <w:rFonts w:ascii="Calibri" w:hAnsi="Calibri" w:cs="Calibri"/>
                                <w:color w:val="1F497D"/>
                                <w:sz w:val="20"/>
                                <w:szCs w:val="20"/>
                              </w:rPr>
                              <w:fldChar w:fldCharType="separate"/>
                            </w:r>
                            <w:r w:rsidRPr="003C1E71">
                              <w:rPr>
                                <w:rStyle w:val="Hyperlink"/>
                                <w:rFonts w:ascii="Calibri" w:hAnsi="Calibri" w:cs="Calibri"/>
                                <w:color w:val="1F497D"/>
                                <w:sz w:val="20"/>
                                <w:szCs w:val="20"/>
                                <w:vertAlign w:val="superscript"/>
                              </w:rPr>
                              <w:t>[xii]</w:t>
                            </w:r>
                            <w:r w:rsidRPr="003C1E71">
                              <w:rPr>
                                <w:rFonts w:ascii="Calibri" w:hAnsi="Calibri" w:cs="Calibri"/>
                                <w:color w:val="1F497D"/>
                                <w:sz w:val="20"/>
                                <w:szCs w:val="20"/>
                              </w:rPr>
                              <w:fldChar w:fldCharType="end"/>
                            </w:r>
                            <w:bookmarkEnd w:id="21"/>
                            <w:r w:rsidRPr="003C1E71">
                              <w:rPr>
                                <w:rFonts w:ascii="Calibri" w:hAnsi="Calibri" w:cs="Calibri"/>
                                <w:sz w:val="20"/>
                                <w:szCs w:val="20"/>
                              </w:rPr>
                              <w:t>, but </w:t>
                            </w:r>
                            <w:r w:rsidRPr="003C1E71">
                              <w:rPr>
                                <w:rFonts w:ascii="Calibri" w:hAnsi="Calibri" w:cs="Calibri"/>
                                <w:b/>
                                <w:bCs/>
                                <w:sz w:val="20"/>
                                <w:szCs w:val="20"/>
                              </w:rPr>
                              <w:t>foreign policy, trade and development effort is needed to continually reinforce Australia as a provider of choice</w:t>
                            </w:r>
                            <w:r w:rsidRPr="003C1E71">
                              <w:rPr>
                                <w:rFonts w:ascii="Calibri" w:hAnsi="Calibri" w:cs="Calibri"/>
                                <w:sz w:val="20"/>
                                <w:szCs w:val="20"/>
                              </w:rPr>
                              <w:t>, built on expertise and excellence</w:t>
                            </w:r>
                            <w:bookmarkStart w:id="22" w:name="m_4173277756366121611__ednref13"/>
                            <w:r w:rsidRPr="003C1E71">
                              <w:rPr>
                                <w:rFonts w:ascii="Calibri" w:hAnsi="Calibri" w:cs="Calibri"/>
                                <w:color w:val="1F497D"/>
                                <w:sz w:val="20"/>
                                <w:szCs w:val="20"/>
                              </w:rPr>
                              <w:fldChar w:fldCharType="begin"/>
                            </w:r>
                            <w:r>
                              <w:rPr>
                                <w:rFonts w:ascii="Calibri" w:hAnsi="Calibri" w:cs="Calibri"/>
                                <w:color w:val="1F497D"/>
                                <w:sz w:val="20"/>
                                <w:szCs w:val="20"/>
                              </w:rPr>
                              <w:instrText>HYPERLINK  \l "m_4173277756366121611__edn13"</w:instrText>
                            </w:r>
                            <w:r w:rsidRPr="003C1E71">
                              <w:rPr>
                                <w:rFonts w:ascii="Calibri" w:hAnsi="Calibri" w:cs="Calibri"/>
                                <w:color w:val="1F497D"/>
                                <w:sz w:val="20"/>
                                <w:szCs w:val="20"/>
                              </w:rPr>
                              <w:fldChar w:fldCharType="separate"/>
                            </w:r>
                            <w:r w:rsidRPr="003C1E71">
                              <w:rPr>
                                <w:rStyle w:val="Hyperlink"/>
                                <w:rFonts w:ascii="Calibri" w:hAnsi="Calibri" w:cs="Calibri"/>
                                <w:color w:val="1F497D"/>
                                <w:sz w:val="20"/>
                                <w:szCs w:val="20"/>
                                <w:vertAlign w:val="superscript"/>
                              </w:rPr>
                              <w:t>[xiii]</w:t>
                            </w:r>
                            <w:r w:rsidRPr="003C1E71">
                              <w:rPr>
                                <w:rFonts w:ascii="Calibri" w:hAnsi="Calibri" w:cs="Calibri"/>
                                <w:color w:val="1F497D"/>
                                <w:sz w:val="20"/>
                                <w:szCs w:val="20"/>
                              </w:rPr>
                              <w:fldChar w:fldCharType="end"/>
                            </w:r>
                            <w:bookmarkEnd w:id="22"/>
                            <w:r w:rsidRPr="003C1E71">
                              <w:rPr>
                                <w:rFonts w:ascii="Calibri" w:hAnsi="Calibri" w:cs="Calibri"/>
                                <w:sz w:val="20"/>
                                <w:szCs w:val="20"/>
                              </w:rPr>
                              <w:t xml:space="preserve">. </w:t>
                            </w:r>
                            <w:r w:rsidRPr="000132AC">
                              <w:rPr>
                                <w:rFonts w:ascii="Calibri" w:hAnsi="Calibri" w:cs="Calibri"/>
                                <w:color w:val="000000" w:themeColor="text1"/>
                                <w:sz w:val="20"/>
                                <w:szCs w:val="20"/>
                              </w:rPr>
                              <w:t>(Source: DFAT, Forthcoming)</w:t>
                            </w:r>
                          </w:p>
                          <w:p w14:paraId="2D0974CC" w14:textId="2A2A5357"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78"/>
                              <w:rPr>
                                <w:rFonts w:asciiTheme="minorHAnsi" w:hAnsiTheme="minorHAnsi" w:cstheme="minorHAnsi"/>
                                <w:color w:val="000000" w:themeColor="text1"/>
                                <w:sz w:val="16"/>
                                <w:szCs w:val="16"/>
                              </w:rPr>
                            </w:pPr>
                            <w:bookmarkStart w:id="23" w:name="m_4173277756366121611__edn1"/>
                            <w:r w:rsidRPr="00A8698C">
                              <w:rPr>
                                <w:rStyle w:val="m4173277756366121611msoendnotereference"/>
                                <w:rFonts w:asciiTheme="minorHAnsi" w:eastAsiaTheme="minorEastAsia" w:hAnsiTheme="minorHAnsi" w:cstheme="minorHAnsi"/>
                                <w:color w:val="000000" w:themeColor="text1"/>
                                <w:sz w:val="16"/>
                                <w:szCs w:val="16"/>
                                <w:u w:val="single"/>
                                <w:vertAlign w:val="superscript"/>
                                <w:lang w:val="en-GB"/>
                              </w:rPr>
                              <w:t>[i]</w:t>
                            </w:r>
                            <w:bookmarkEnd w:id="23"/>
                            <w:r w:rsidRPr="00A8698C">
                              <w:rPr>
                                <w:rFonts w:asciiTheme="minorHAnsi" w:hAnsiTheme="minorHAnsi" w:cstheme="minorHAnsi"/>
                                <w:color w:val="000000" w:themeColor="text1"/>
                                <w:sz w:val="16"/>
                                <w:szCs w:val="16"/>
                                <w:lang w:val="en-GB"/>
                              </w:rPr>
                              <w:t> DFAT (2015) </w:t>
                            </w:r>
                            <w:hyperlink r:id="rId12" w:tgtFrame="_blank" w:history="1">
                              <w:r w:rsidRPr="00A8698C">
                                <w:rPr>
                                  <w:rStyle w:val="Hyperlink"/>
                                  <w:rFonts w:asciiTheme="minorHAnsi" w:eastAsiaTheme="majorEastAsia" w:hAnsiTheme="minorHAnsi" w:cstheme="minorHAnsi"/>
                                  <w:i/>
                                  <w:iCs/>
                                  <w:color w:val="000000" w:themeColor="text1"/>
                                  <w:sz w:val="16"/>
                                  <w:szCs w:val="16"/>
                                </w:rPr>
                                <w:t>Strategy for Australia’s aid investments in education 2015–2020</w:t>
                              </w:r>
                            </w:hyperlink>
                            <w:r w:rsidRPr="00A8698C">
                              <w:rPr>
                                <w:rFonts w:asciiTheme="minorHAnsi" w:hAnsiTheme="minorHAnsi" w:cstheme="minorHAnsi"/>
                                <w:color w:val="000000" w:themeColor="text1"/>
                                <w:sz w:val="16"/>
                                <w:szCs w:val="16"/>
                                <w:lang w:val="en-GB"/>
                              </w:rPr>
                              <w:t>.</w:t>
                            </w:r>
                          </w:p>
                          <w:bookmarkStart w:id="24" w:name="m_4173277756366121611__edn2"/>
                          <w:p w14:paraId="5ED28C0D" w14:textId="77777777"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72"/>
                              <w:rPr>
                                <w:rFonts w:asciiTheme="minorHAnsi" w:hAnsiTheme="minorHAnsi" w:cstheme="minorHAnsi"/>
                                <w:color w:val="000000" w:themeColor="text1"/>
                                <w:sz w:val="16"/>
                                <w:szCs w:val="16"/>
                              </w:rPr>
                            </w:pPr>
                            <w:r w:rsidRPr="00A8698C">
                              <w:rPr>
                                <w:rFonts w:asciiTheme="minorHAnsi" w:hAnsiTheme="minorHAnsi" w:cstheme="minorHAnsi"/>
                                <w:color w:val="000000" w:themeColor="text1"/>
                                <w:sz w:val="16"/>
                                <w:szCs w:val="16"/>
                              </w:rPr>
                              <w:fldChar w:fldCharType="begin"/>
                            </w:r>
                            <w:r w:rsidRPr="00A8698C">
                              <w:rPr>
                                <w:rFonts w:asciiTheme="minorHAnsi" w:hAnsiTheme="minorHAnsi" w:cstheme="minorHAnsi"/>
                                <w:color w:val="000000" w:themeColor="text1"/>
                                <w:sz w:val="16"/>
                                <w:szCs w:val="16"/>
                              </w:rPr>
                              <w:instrText xml:space="preserve"> HYPERLINK "https://mail.google.com/mail/u/0/" \l "m_4173277756366121611__ednref2" \o "" </w:instrText>
                            </w:r>
                            <w:r w:rsidRPr="00A8698C">
                              <w:rPr>
                                <w:rFonts w:asciiTheme="minorHAnsi" w:hAnsiTheme="minorHAnsi" w:cstheme="minorHAnsi"/>
                                <w:color w:val="000000" w:themeColor="text1"/>
                                <w:sz w:val="16"/>
                                <w:szCs w:val="16"/>
                              </w:rPr>
                              <w:fldChar w:fldCharType="separate"/>
                            </w:r>
                            <w:r w:rsidRPr="00A8698C">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t>[ii]</w:t>
                            </w:r>
                            <w:r w:rsidRPr="00A8698C">
                              <w:rPr>
                                <w:rFonts w:asciiTheme="minorHAnsi" w:hAnsiTheme="minorHAnsi" w:cstheme="minorHAnsi"/>
                                <w:color w:val="000000" w:themeColor="text1"/>
                                <w:sz w:val="16"/>
                                <w:szCs w:val="16"/>
                              </w:rPr>
                              <w:fldChar w:fldCharType="end"/>
                            </w:r>
                            <w:bookmarkEnd w:id="24"/>
                            <w:r w:rsidRPr="00A8698C">
                              <w:rPr>
                                <w:rFonts w:asciiTheme="minorHAnsi" w:hAnsiTheme="minorHAnsi" w:cstheme="minorHAnsi"/>
                                <w:i/>
                                <w:iCs/>
                                <w:color w:val="000000" w:themeColor="text1"/>
                                <w:sz w:val="16"/>
                                <w:szCs w:val="16"/>
                                <w:lang w:val="en-GB"/>
                              </w:rPr>
                              <w:t> </w:t>
                            </w:r>
                            <w:r w:rsidRPr="00A8698C">
                              <w:rPr>
                                <w:rFonts w:asciiTheme="minorHAnsi" w:hAnsiTheme="minorHAnsi" w:cstheme="minorHAnsi"/>
                                <w:i/>
                                <w:iCs/>
                                <w:color w:val="000000" w:themeColor="text1"/>
                                <w:sz w:val="16"/>
                                <w:szCs w:val="16"/>
                                <w:lang w:val="en-US"/>
                              </w:rPr>
                              <w:t>Ibid</w:t>
                            </w:r>
                          </w:p>
                          <w:bookmarkStart w:id="25" w:name="m_4173277756366121611__edn3"/>
                          <w:p w14:paraId="4E53B5AC" w14:textId="77777777" w:rsidR="00F96637" w:rsidRPr="00A8698C" w:rsidRDefault="00F96637" w:rsidP="00F81FB5">
                            <w:pPr>
                              <w:pStyle w:val="ListParagraph"/>
                              <w:shd w:val="clear" w:color="auto" w:fill="E7E6E6" w:themeFill="background2"/>
                              <w:tabs>
                                <w:tab w:val="left" w:pos="2410"/>
                              </w:tabs>
                              <w:spacing w:line="240" w:lineRule="auto"/>
                              <w:ind w:left="372"/>
                              <w:rPr>
                                <w:rFonts w:cstheme="minorHAnsi"/>
                                <w:color w:val="000000" w:themeColor="text1"/>
                                <w:sz w:val="16"/>
                                <w:szCs w:val="16"/>
                              </w:rPr>
                            </w:pPr>
                            <w:r w:rsidRPr="00A8698C">
                              <w:rPr>
                                <w:rFonts w:cstheme="minorHAnsi"/>
                                <w:color w:val="000000" w:themeColor="text1"/>
                                <w:sz w:val="16"/>
                                <w:szCs w:val="16"/>
                              </w:rPr>
                              <w:fldChar w:fldCharType="begin"/>
                            </w:r>
                            <w:r w:rsidRPr="00A8698C">
                              <w:rPr>
                                <w:rFonts w:cstheme="minorHAnsi"/>
                                <w:color w:val="000000" w:themeColor="text1"/>
                                <w:sz w:val="16"/>
                                <w:szCs w:val="16"/>
                              </w:rPr>
                              <w:instrText xml:space="preserve"> HYPERLINK "https://mail.google.com/mail/u/0/" \l "m_4173277756366121611__ednref3" \o "" </w:instrText>
                            </w:r>
                            <w:r w:rsidRPr="00A8698C">
                              <w:rPr>
                                <w:rFonts w:cstheme="minorHAnsi"/>
                                <w:color w:val="000000" w:themeColor="text1"/>
                                <w:sz w:val="16"/>
                                <w:szCs w:val="16"/>
                              </w:rPr>
                              <w:fldChar w:fldCharType="separate"/>
                            </w:r>
                            <w:r w:rsidRPr="00A8698C">
                              <w:rPr>
                                <w:rStyle w:val="m4173277756366121611msoendnotereference"/>
                                <w:rFonts w:cstheme="minorHAnsi"/>
                                <w:b/>
                                <w:bCs/>
                                <w:i/>
                                <w:iCs/>
                                <w:color w:val="000000" w:themeColor="text1"/>
                                <w:sz w:val="16"/>
                                <w:szCs w:val="16"/>
                                <w:u w:val="single"/>
                                <w:vertAlign w:val="superscript"/>
                              </w:rPr>
                              <w:t>[iii]</w:t>
                            </w:r>
                            <w:r w:rsidRPr="00A8698C">
                              <w:rPr>
                                <w:rFonts w:cstheme="minorHAnsi"/>
                                <w:color w:val="000000" w:themeColor="text1"/>
                                <w:sz w:val="16"/>
                                <w:szCs w:val="16"/>
                              </w:rPr>
                              <w:fldChar w:fldCharType="end"/>
                            </w:r>
                            <w:bookmarkEnd w:id="25"/>
                            <w:r w:rsidRPr="00A8698C">
                              <w:rPr>
                                <w:rFonts w:cstheme="minorHAnsi"/>
                                <w:i/>
                                <w:iCs/>
                                <w:color w:val="000000" w:themeColor="text1"/>
                                <w:sz w:val="16"/>
                                <w:szCs w:val="16"/>
                              </w:rPr>
                              <w:t> UNICEF </w:t>
                            </w:r>
                            <w:r w:rsidRPr="00A8698C">
                              <w:rPr>
                                <w:rFonts w:cstheme="minorHAnsi"/>
                                <w:i/>
                                <w:iCs/>
                                <w:color w:val="000000" w:themeColor="text1"/>
                                <w:sz w:val="16"/>
                                <w:szCs w:val="16"/>
                                <w:lang w:val="en-US"/>
                              </w:rPr>
                              <w:t>(2018) </w:t>
                            </w:r>
                            <w:r w:rsidRPr="00A8698C">
                              <w:rPr>
                                <w:rFonts w:cstheme="minorHAnsi"/>
                                <w:i/>
                                <w:iCs/>
                                <w:color w:val="000000" w:themeColor="text1"/>
                                <w:sz w:val="16"/>
                                <w:szCs w:val="16"/>
                                <w:u w:val="single"/>
                                <w:lang w:val="en-US"/>
                              </w:rPr>
                              <w:t>Early Warning Systems for Students at Risk of Dropping Out: Policy and Practice Pointers for Enrolling All Children and Adolescents in School and Preventing Dropouts</w:t>
                            </w:r>
                          </w:p>
                          <w:bookmarkStart w:id="26" w:name="m_4173277756366121611__edn4"/>
                          <w:p w14:paraId="7C6D7759" w14:textId="718DBA8E" w:rsidR="00F96637" w:rsidRPr="00A8698C" w:rsidRDefault="00F96637" w:rsidP="00F81FB5">
                            <w:pPr>
                              <w:pStyle w:val="ListParagraph"/>
                              <w:shd w:val="clear" w:color="auto" w:fill="E7E6E6" w:themeFill="background2"/>
                              <w:tabs>
                                <w:tab w:val="left" w:pos="2410"/>
                              </w:tabs>
                              <w:spacing w:line="240" w:lineRule="auto"/>
                              <w:ind w:left="372"/>
                              <w:rPr>
                                <w:rFonts w:cstheme="minorHAnsi"/>
                                <w:color w:val="000000" w:themeColor="text1"/>
                                <w:sz w:val="16"/>
                                <w:szCs w:val="16"/>
                              </w:rPr>
                            </w:pPr>
                            <w:r w:rsidRPr="00A8698C">
                              <w:rPr>
                                <w:rFonts w:cstheme="minorHAnsi"/>
                                <w:color w:val="000000" w:themeColor="text1"/>
                                <w:sz w:val="16"/>
                                <w:szCs w:val="16"/>
                              </w:rPr>
                              <w:fldChar w:fldCharType="begin"/>
                            </w:r>
                            <w:r w:rsidRPr="00A8698C">
                              <w:rPr>
                                <w:rFonts w:cstheme="minorHAnsi"/>
                                <w:color w:val="000000" w:themeColor="text1"/>
                                <w:sz w:val="16"/>
                                <w:szCs w:val="16"/>
                              </w:rPr>
                              <w:instrText xml:space="preserve"> HYPERLINK "https://mail.google.com/mail/u/0/" \l "m_4173277756366121611__ednref4" \o "" </w:instrText>
                            </w:r>
                            <w:r w:rsidRPr="00A8698C">
                              <w:rPr>
                                <w:rFonts w:cstheme="minorHAnsi"/>
                                <w:color w:val="000000" w:themeColor="text1"/>
                                <w:sz w:val="16"/>
                                <w:szCs w:val="16"/>
                              </w:rPr>
                              <w:fldChar w:fldCharType="separate"/>
                            </w:r>
                            <w:r w:rsidRPr="00A8698C">
                              <w:rPr>
                                <w:rStyle w:val="m4173277756366121611msoendnotereference"/>
                                <w:rFonts w:cstheme="minorHAnsi"/>
                                <w:b/>
                                <w:bCs/>
                                <w:i/>
                                <w:iCs/>
                                <w:color w:val="000000" w:themeColor="text1"/>
                                <w:sz w:val="16"/>
                                <w:szCs w:val="16"/>
                                <w:u w:val="single"/>
                                <w:vertAlign w:val="superscript"/>
                              </w:rPr>
                              <w:t>[iv]</w:t>
                            </w:r>
                            <w:r w:rsidRPr="00A8698C">
                              <w:rPr>
                                <w:rFonts w:cstheme="minorHAnsi"/>
                                <w:color w:val="000000" w:themeColor="text1"/>
                                <w:sz w:val="16"/>
                                <w:szCs w:val="16"/>
                              </w:rPr>
                              <w:fldChar w:fldCharType="end"/>
                            </w:r>
                            <w:bookmarkEnd w:id="26"/>
                            <w:r w:rsidRPr="00A8698C">
                              <w:rPr>
                                <w:rFonts w:cstheme="minorHAnsi"/>
                                <w:i/>
                                <w:iCs/>
                                <w:color w:val="000000" w:themeColor="text1"/>
                                <w:sz w:val="16"/>
                                <w:szCs w:val="16"/>
                              </w:rPr>
                              <w:t> </w:t>
                            </w:r>
                            <w:r w:rsidRPr="00A8698C">
                              <w:rPr>
                                <w:rFonts w:cstheme="minorHAnsi"/>
                                <w:i/>
                                <w:iCs/>
                                <w:color w:val="000000" w:themeColor="text1"/>
                                <w:sz w:val="16"/>
                                <w:szCs w:val="16"/>
                                <w:lang w:val="en-US"/>
                              </w:rPr>
                              <w:t>UNESCO (2020) </w:t>
                            </w:r>
                            <w:r w:rsidRPr="00A8698C">
                              <w:rPr>
                                <w:rFonts w:cstheme="minorHAnsi"/>
                                <w:i/>
                                <w:iCs/>
                                <w:color w:val="000000" w:themeColor="text1"/>
                                <w:sz w:val="16"/>
                                <w:szCs w:val="16"/>
                                <w:u w:val="single"/>
                                <w:lang w:val="en-US"/>
                              </w:rPr>
                              <w:t>How many students are at risk of not returning to school</w:t>
                            </w:r>
                            <w:r w:rsidRPr="00A8698C">
                              <w:rPr>
                                <w:rFonts w:cstheme="minorHAnsi"/>
                                <w:i/>
                                <w:iCs/>
                                <w:color w:val="000000" w:themeColor="text1"/>
                                <w:sz w:val="16"/>
                                <w:szCs w:val="16"/>
                                <w:lang w:val="en-US"/>
                              </w:rPr>
                              <w:t>?</w:t>
                            </w:r>
                          </w:p>
                          <w:bookmarkStart w:id="27" w:name="m_4173277756366121611__edn5"/>
                          <w:p w14:paraId="0E8898CE" w14:textId="71419187"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72"/>
                              <w:rPr>
                                <w:rFonts w:asciiTheme="minorHAnsi" w:hAnsiTheme="minorHAnsi" w:cstheme="minorHAnsi"/>
                                <w:color w:val="000000" w:themeColor="text1"/>
                                <w:sz w:val="16"/>
                                <w:szCs w:val="16"/>
                              </w:rPr>
                            </w:pPr>
                            <w:r w:rsidRPr="00A8698C">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fldChar w:fldCharType="begin"/>
                            </w:r>
                            <w:r>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instrText>HYPERLINK "https://d.docs.live.net/1f5a5710269a5114/%5Bv%5D"</w:instrText>
                            </w:r>
                            <w:r w:rsidRPr="00A8698C">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fldChar w:fldCharType="separate"/>
                            </w:r>
                            <w:r w:rsidRPr="00A8698C">
                              <w:rPr>
                                <w:rStyle w:val="Hyperlink"/>
                                <w:rFonts w:asciiTheme="minorHAnsi" w:eastAsiaTheme="minorEastAsia" w:hAnsiTheme="minorHAnsi" w:cstheme="minorHAnsi"/>
                                <w:b/>
                                <w:bCs/>
                                <w:i/>
                                <w:iCs/>
                                <w:color w:val="000000" w:themeColor="text1"/>
                                <w:sz w:val="16"/>
                                <w:szCs w:val="16"/>
                                <w:vertAlign w:val="superscript"/>
                                <w:lang w:val="en-GB"/>
                              </w:rPr>
                              <w:t>[v]</w:t>
                            </w:r>
                            <w:bookmarkEnd w:id="27"/>
                            <w:r w:rsidRPr="00A8698C">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fldChar w:fldCharType="end"/>
                            </w:r>
                            <w:r w:rsidRPr="00A8698C">
                              <w:rPr>
                                <w:rFonts w:asciiTheme="minorHAnsi" w:hAnsiTheme="minorHAnsi" w:cstheme="minorHAnsi"/>
                                <w:i/>
                                <w:iCs/>
                                <w:color w:val="000000" w:themeColor="text1"/>
                                <w:sz w:val="16"/>
                                <w:szCs w:val="16"/>
                                <w:lang w:val="en-GB"/>
                              </w:rPr>
                              <w:t> </w:t>
                            </w:r>
                            <w:hyperlink r:id="rId13" w:tgtFrame="_blank" w:history="1">
                              <w:r w:rsidRPr="00A8698C">
                                <w:rPr>
                                  <w:rStyle w:val="Hyperlink"/>
                                  <w:rFonts w:asciiTheme="minorHAnsi" w:eastAsiaTheme="majorEastAsia" w:hAnsiTheme="minorHAnsi" w:cstheme="minorHAnsi"/>
                                  <w:i/>
                                  <w:iCs/>
                                  <w:color w:val="000000" w:themeColor="text1"/>
                                  <w:sz w:val="16"/>
                                  <w:szCs w:val="16"/>
                                </w:rPr>
                                <w:t>https://www.povertyactionlab.org/case-study/parental-engagement-improve-childrens-schooling</w:t>
                              </w:r>
                            </w:hyperlink>
                          </w:p>
                          <w:bookmarkStart w:id="28" w:name="m_4173277756366121611__edn6"/>
                          <w:p w14:paraId="295AD9E6" w14:textId="6F056772"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72"/>
                              <w:rPr>
                                <w:rFonts w:asciiTheme="minorHAnsi" w:hAnsiTheme="minorHAnsi" w:cstheme="minorHAnsi"/>
                                <w:color w:val="000000" w:themeColor="text1"/>
                                <w:sz w:val="16"/>
                                <w:szCs w:val="16"/>
                              </w:rPr>
                            </w:pPr>
                            <w:r w:rsidRPr="00A8698C">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fldChar w:fldCharType="begin"/>
                            </w:r>
                            <w:r>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instrText>HYPERLINK "https://d.docs.live.net/1f5a5710269a5114/%5Bvi%5D"</w:instrText>
                            </w:r>
                            <w:r w:rsidRPr="00A8698C">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fldChar w:fldCharType="separate"/>
                            </w:r>
                            <w:r w:rsidRPr="00A8698C">
                              <w:rPr>
                                <w:rStyle w:val="Hyperlink"/>
                                <w:rFonts w:asciiTheme="minorHAnsi" w:eastAsiaTheme="minorEastAsia" w:hAnsiTheme="minorHAnsi" w:cstheme="minorHAnsi"/>
                                <w:b/>
                                <w:bCs/>
                                <w:i/>
                                <w:iCs/>
                                <w:color w:val="000000" w:themeColor="text1"/>
                                <w:sz w:val="16"/>
                                <w:szCs w:val="16"/>
                                <w:vertAlign w:val="superscript"/>
                                <w:lang w:val="en-GB"/>
                              </w:rPr>
                              <w:t>[vi]</w:t>
                            </w:r>
                            <w:bookmarkEnd w:id="28"/>
                            <w:r w:rsidRPr="00A8698C">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fldChar w:fldCharType="end"/>
                            </w:r>
                            <w:r w:rsidRPr="00A8698C">
                              <w:rPr>
                                <w:rFonts w:asciiTheme="minorHAnsi" w:hAnsiTheme="minorHAnsi" w:cstheme="minorHAnsi"/>
                                <w:i/>
                                <w:iCs/>
                                <w:color w:val="000000" w:themeColor="text1"/>
                                <w:sz w:val="16"/>
                                <w:szCs w:val="16"/>
                                <w:lang w:val="en-GB"/>
                              </w:rPr>
                              <w:t> </w:t>
                            </w:r>
                            <w:hyperlink r:id="rId14" w:tgtFrame="_blank" w:history="1">
                              <w:r w:rsidRPr="00A8698C">
                                <w:rPr>
                                  <w:rStyle w:val="Hyperlink"/>
                                  <w:rFonts w:asciiTheme="minorHAnsi" w:eastAsiaTheme="majorEastAsia" w:hAnsiTheme="minorHAnsi" w:cstheme="minorHAnsi"/>
                                  <w:i/>
                                  <w:iCs/>
                                  <w:color w:val="000000" w:themeColor="text1"/>
                                  <w:sz w:val="16"/>
                                  <w:szCs w:val="16"/>
                                </w:rPr>
                                <w:t>https://www.brookings.edu/blog/education-plus-development/2020/10/21/can-new-forms-of-parent-engagement-be-an-education-game-changer-post-covid-19/</w:t>
                              </w:r>
                            </w:hyperlink>
                          </w:p>
                          <w:bookmarkStart w:id="29" w:name="m_4173277756366121611__edn7"/>
                          <w:p w14:paraId="1D6615D6" w14:textId="77777777"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57"/>
                              <w:rPr>
                                <w:rFonts w:asciiTheme="minorHAnsi" w:hAnsiTheme="minorHAnsi" w:cstheme="minorHAnsi"/>
                                <w:color w:val="000000" w:themeColor="text1"/>
                                <w:sz w:val="16"/>
                                <w:szCs w:val="16"/>
                              </w:rPr>
                            </w:pPr>
                            <w:r w:rsidRPr="00A8698C">
                              <w:rPr>
                                <w:rFonts w:asciiTheme="minorHAnsi" w:hAnsiTheme="minorHAnsi" w:cstheme="minorHAnsi"/>
                                <w:color w:val="000000" w:themeColor="text1"/>
                                <w:sz w:val="16"/>
                                <w:szCs w:val="16"/>
                              </w:rPr>
                              <w:fldChar w:fldCharType="begin"/>
                            </w:r>
                            <w:r w:rsidRPr="00A8698C">
                              <w:rPr>
                                <w:rFonts w:asciiTheme="minorHAnsi" w:hAnsiTheme="minorHAnsi" w:cstheme="minorHAnsi"/>
                                <w:color w:val="000000" w:themeColor="text1"/>
                                <w:sz w:val="16"/>
                                <w:szCs w:val="16"/>
                              </w:rPr>
                              <w:instrText xml:space="preserve"> HYPERLINK "https://mail.google.com/mail/u/0/" \l "m_4173277756366121611__ednref7" \o "" </w:instrText>
                            </w:r>
                            <w:r w:rsidRPr="00A8698C">
                              <w:rPr>
                                <w:rFonts w:asciiTheme="minorHAnsi" w:hAnsiTheme="minorHAnsi" w:cstheme="minorHAnsi"/>
                                <w:color w:val="000000" w:themeColor="text1"/>
                                <w:sz w:val="16"/>
                                <w:szCs w:val="16"/>
                              </w:rPr>
                              <w:fldChar w:fldCharType="separate"/>
                            </w:r>
                            <w:r w:rsidRPr="00A8698C">
                              <w:rPr>
                                <w:rStyle w:val="m4173277756366121611msoendnotereference"/>
                                <w:rFonts w:asciiTheme="minorHAnsi" w:eastAsiaTheme="minorEastAsia" w:hAnsiTheme="minorHAnsi" w:cstheme="minorHAnsi"/>
                                <w:color w:val="000000" w:themeColor="text1"/>
                                <w:sz w:val="16"/>
                                <w:szCs w:val="16"/>
                                <w:u w:val="single"/>
                                <w:vertAlign w:val="superscript"/>
                                <w:lang w:val="en-GB"/>
                              </w:rPr>
                              <w:t>[vii]</w:t>
                            </w:r>
                            <w:r w:rsidRPr="00A8698C">
                              <w:rPr>
                                <w:rFonts w:asciiTheme="minorHAnsi" w:hAnsiTheme="minorHAnsi" w:cstheme="minorHAnsi"/>
                                <w:color w:val="000000" w:themeColor="text1"/>
                                <w:sz w:val="16"/>
                                <w:szCs w:val="16"/>
                              </w:rPr>
                              <w:fldChar w:fldCharType="end"/>
                            </w:r>
                            <w:bookmarkEnd w:id="29"/>
                            <w:r w:rsidRPr="00A8698C">
                              <w:rPr>
                                <w:rFonts w:asciiTheme="minorHAnsi" w:hAnsiTheme="minorHAnsi" w:cstheme="minorHAnsi"/>
                                <w:color w:val="000000" w:themeColor="text1"/>
                                <w:sz w:val="16"/>
                                <w:szCs w:val="16"/>
                                <w:lang w:val="en-GB"/>
                              </w:rPr>
                              <w:t> World Bank (2019) ‘</w:t>
                            </w:r>
                            <w:hyperlink r:id="rId15" w:tgtFrame="_blank" w:history="1">
                              <w:r w:rsidRPr="00A8698C">
                                <w:rPr>
                                  <w:rStyle w:val="Hyperlink"/>
                                  <w:rFonts w:asciiTheme="minorHAnsi" w:eastAsiaTheme="majorEastAsia" w:hAnsiTheme="minorHAnsi" w:cstheme="minorHAnsi"/>
                                  <w:color w:val="000000" w:themeColor="text1"/>
                                  <w:sz w:val="16"/>
                                  <w:szCs w:val="16"/>
                                </w:rPr>
                                <w:t>Learning Poverty</w:t>
                              </w:r>
                            </w:hyperlink>
                            <w:r w:rsidRPr="00A8698C">
                              <w:rPr>
                                <w:rFonts w:asciiTheme="minorHAnsi" w:hAnsiTheme="minorHAnsi" w:cstheme="minorHAnsi"/>
                                <w:color w:val="000000" w:themeColor="text1"/>
                                <w:sz w:val="16"/>
                                <w:szCs w:val="16"/>
                                <w:lang w:val="en-GB"/>
                              </w:rPr>
                              <w:t>’.</w:t>
                            </w:r>
                          </w:p>
                          <w:bookmarkStart w:id="30" w:name="m_4173277756366121611__edn8"/>
                          <w:p w14:paraId="70607EF1" w14:textId="77777777"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57"/>
                              <w:rPr>
                                <w:rFonts w:asciiTheme="minorHAnsi" w:hAnsiTheme="minorHAnsi" w:cstheme="minorHAnsi"/>
                                <w:color w:val="000000" w:themeColor="text1"/>
                                <w:sz w:val="16"/>
                                <w:szCs w:val="16"/>
                              </w:rPr>
                            </w:pPr>
                            <w:r w:rsidRPr="00A8698C">
                              <w:rPr>
                                <w:rFonts w:asciiTheme="minorHAnsi" w:hAnsiTheme="minorHAnsi" w:cstheme="minorHAnsi"/>
                                <w:color w:val="000000" w:themeColor="text1"/>
                                <w:sz w:val="16"/>
                                <w:szCs w:val="16"/>
                              </w:rPr>
                              <w:fldChar w:fldCharType="begin"/>
                            </w:r>
                            <w:r w:rsidRPr="00A8698C">
                              <w:rPr>
                                <w:rFonts w:asciiTheme="minorHAnsi" w:hAnsiTheme="minorHAnsi" w:cstheme="minorHAnsi"/>
                                <w:color w:val="000000" w:themeColor="text1"/>
                                <w:sz w:val="16"/>
                                <w:szCs w:val="16"/>
                              </w:rPr>
                              <w:instrText xml:space="preserve"> HYPERLINK "https://mail.google.com/mail/u/0/" \l "m_4173277756366121611__ednref8" \o "" </w:instrText>
                            </w:r>
                            <w:r w:rsidRPr="00A8698C">
                              <w:rPr>
                                <w:rFonts w:asciiTheme="minorHAnsi" w:hAnsiTheme="minorHAnsi" w:cstheme="minorHAnsi"/>
                                <w:color w:val="000000" w:themeColor="text1"/>
                                <w:sz w:val="16"/>
                                <w:szCs w:val="16"/>
                              </w:rPr>
                              <w:fldChar w:fldCharType="separate"/>
                            </w:r>
                            <w:r w:rsidRPr="00A8698C">
                              <w:rPr>
                                <w:rStyle w:val="m4173277756366121611msoendnotereference"/>
                                <w:rFonts w:asciiTheme="minorHAnsi" w:eastAsiaTheme="minorEastAsia" w:hAnsiTheme="minorHAnsi" w:cstheme="minorHAnsi"/>
                                <w:color w:val="000000" w:themeColor="text1"/>
                                <w:sz w:val="16"/>
                                <w:szCs w:val="16"/>
                                <w:u w:val="single"/>
                                <w:vertAlign w:val="superscript"/>
                                <w:lang w:val="en-GB"/>
                              </w:rPr>
                              <w:t>[viii]</w:t>
                            </w:r>
                            <w:r w:rsidRPr="00A8698C">
                              <w:rPr>
                                <w:rFonts w:asciiTheme="minorHAnsi" w:hAnsiTheme="minorHAnsi" w:cstheme="minorHAnsi"/>
                                <w:color w:val="000000" w:themeColor="text1"/>
                                <w:sz w:val="16"/>
                                <w:szCs w:val="16"/>
                              </w:rPr>
                              <w:fldChar w:fldCharType="end"/>
                            </w:r>
                            <w:bookmarkEnd w:id="30"/>
                            <w:r w:rsidRPr="00A8698C">
                              <w:rPr>
                                <w:rFonts w:asciiTheme="minorHAnsi" w:hAnsiTheme="minorHAnsi" w:cstheme="minorHAnsi"/>
                                <w:color w:val="000000" w:themeColor="text1"/>
                                <w:sz w:val="16"/>
                                <w:szCs w:val="16"/>
                                <w:lang w:val="en-GB"/>
                              </w:rPr>
                              <w:t> J-PAL (n.d.) ‘</w:t>
                            </w:r>
                            <w:hyperlink r:id="rId16" w:tgtFrame="_blank" w:history="1">
                              <w:r w:rsidRPr="00A8698C">
                                <w:rPr>
                                  <w:rStyle w:val="Hyperlink"/>
                                  <w:rFonts w:asciiTheme="minorHAnsi" w:eastAsiaTheme="majorEastAsia" w:hAnsiTheme="minorHAnsi" w:cstheme="minorHAnsi"/>
                                  <w:color w:val="000000" w:themeColor="text1"/>
                                  <w:sz w:val="16"/>
                                  <w:szCs w:val="16"/>
                                </w:rPr>
                                <w:t>Teaching at the Right Level to improve learning</w:t>
                              </w:r>
                            </w:hyperlink>
                            <w:r w:rsidRPr="00A8698C">
                              <w:rPr>
                                <w:rFonts w:asciiTheme="minorHAnsi" w:hAnsiTheme="minorHAnsi" w:cstheme="minorHAnsi"/>
                                <w:color w:val="000000" w:themeColor="text1"/>
                                <w:sz w:val="16"/>
                                <w:szCs w:val="16"/>
                                <w:lang w:val="en-GB"/>
                              </w:rPr>
                              <w:t>’.</w:t>
                            </w:r>
                          </w:p>
                          <w:bookmarkStart w:id="31" w:name="m_4173277756366121611__edn9"/>
                          <w:p w14:paraId="40F2D957" w14:textId="77777777"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60"/>
                              <w:rPr>
                                <w:rFonts w:ascii="Calibri" w:hAnsi="Calibri" w:cs="Calibri"/>
                                <w:color w:val="000000" w:themeColor="text1"/>
                                <w:sz w:val="16"/>
                                <w:szCs w:val="16"/>
                              </w:rPr>
                            </w:pPr>
                            <w:r w:rsidRPr="00A8698C">
                              <w:rPr>
                                <w:rFonts w:ascii="Calibri" w:hAnsi="Calibri" w:cs="Calibri"/>
                                <w:color w:val="000000" w:themeColor="text1"/>
                                <w:sz w:val="16"/>
                                <w:szCs w:val="16"/>
                              </w:rPr>
                              <w:fldChar w:fldCharType="begin"/>
                            </w:r>
                            <w:r w:rsidRPr="00A8698C">
                              <w:rPr>
                                <w:rFonts w:ascii="Calibri" w:hAnsi="Calibri" w:cs="Calibri"/>
                                <w:color w:val="000000" w:themeColor="text1"/>
                                <w:sz w:val="16"/>
                                <w:szCs w:val="16"/>
                              </w:rPr>
                              <w:instrText xml:space="preserve"> HYPERLINK "https://mail.google.com/mail/u/0/" \l "m_4173277756366121611__ednref9" \o "" </w:instrText>
                            </w:r>
                            <w:r w:rsidRPr="00A8698C">
                              <w:rPr>
                                <w:rFonts w:ascii="Calibri" w:hAnsi="Calibri" w:cs="Calibri"/>
                                <w:color w:val="000000" w:themeColor="text1"/>
                                <w:sz w:val="16"/>
                                <w:szCs w:val="16"/>
                              </w:rPr>
                              <w:fldChar w:fldCharType="separate"/>
                            </w:r>
                            <w:r w:rsidRPr="00A8698C">
                              <w:rPr>
                                <w:rStyle w:val="m4173277756366121611msoendnotereference"/>
                                <w:rFonts w:ascii="Calibri" w:eastAsiaTheme="minorEastAsia" w:hAnsi="Calibri" w:cs="Calibri"/>
                                <w:b/>
                                <w:bCs/>
                                <w:i/>
                                <w:iCs/>
                                <w:color w:val="000000" w:themeColor="text1"/>
                                <w:sz w:val="16"/>
                                <w:szCs w:val="16"/>
                                <w:u w:val="single"/>
                                <w:vertAlign w:val="superscript"/>
                                <w:lang w:val="en-GB"/>
                              </w:rPr>
                              <w:t>[ix]</w:t>
                            </w:r>
                            <w:r w:rsidRPr="00A8698C">
                              <w:rPr>
                                <w:rFonts w:ascii="Calibri" w:hAnsi="Calibri" w:cs="Calibri"/>
                                <w:color w:val="000000" w:themeColor="text1"/>
                                <w:sz w:val="16"/>
                                <w:szCs w:val="16"/>
                              </w:rPr>
                              <w:fldChar w:fldCharType="end"/>
                            </w:r>
                            <w:bookmarkEnd w:id="31"/>
                            <w:r w:rsidRPr="00A8698C">
                              <w:rPr>
                                <w:rFonts w:ascii="Calibri" w:hAnsi="Calibri" w:cs="Calibri"/>
                                <w:i/>
                                <w:iCs/>
                                <w:color w:val="000000" w:themeColor="text1"/>
                                <w:sz w:val="16"/>
                                <w:szCs w:val="16"/>
                                <w:lang w:val="en-GB"/>
                              </w:rPr>
                              <w:t> </w:t>
                            </w:r>
                            <w:hyperlink r:id="rId17" w:tgtFrame="_blank" w:history="1">
                              <w:r w:rsidRPr="00A8698C">
                                <w:rPr>
                                  <w:rStyle w:val="Hyperlink"/>
                                  <w:rFonts w:ascii="Calibri" w:eastAsiaTheme="majorEastAsia" w:hAnsi="Calibri" w:cs="Calibri"/>
                                  <w:i/>
                                  <w:iCs/>
                                  <w:color w:val="000000" w:themeColor="text1"/>
                                  <w:sz w:val="16"/>
                                  <w:szCs w:val="16"/>
                                </w:rPr>
                                <w:t>https://www.teachingattherightlevel.org/</w:t>
                              </w:r>
                            </w:hyperlink>
                          </w:p>
                          <w:bookmarkStart w:id="32" w:name="m_4173277756366121611__edn10"/>
                          <w:p w14:paraId="3F88A6C3" w14:textId="77777777"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60"/>
                              <w:rPr>
                                <w:rFonts w:ascii="Calibri" w:hAnsi="Calibri" w:cs="Calibri"/>
                                <w:color w:val="000000" w:themeColor="text1"/>
                                <w:sz w:val="16"/>
                                <w:szCs w:val="16"/>
                              </w:rPr>
                            </w:pPr>
                            <w:r w:rsidRPr="00A8698C">
                              <w:rPr>
                                <w:rFonts w:ascii="Calibri" w:hAnsi="Calibri" w:cs="Calibri"/>
                                <w:color w:val="000000" w:themeColor="text1"/>
                                <w:sz w:val="16"/>
                                <w:szCs w:val="16"/>
                              </w:rPr>
                              <w:fldChar w:fldCharType="begin"/>
                            </w:r>
                            <w:r w:rsidRPr="00A8698C">
                              <w:rPr>
                                <w:rFonts w:ascii="Calibri" w:hAnsi="Calibri" w:cs="Calibri"/>
                                <w:color w:val="000000" w:themeColor="text1"/>
                                <w:sz w:val="16"/>
                                <w:szCs w:val="16"/>
                              </w:rPr>
                              <w:instrText xml:space="preserve"> HYPERLINK "https://mail.google.com/mail/u/0/" \l "m_4173277756366121611__ednref10" \o "" </w:instrText>
                            </w:r>
                            <w:r w:rsidRPr="00A8698C">
                              <w:rPr>
                                <w:rFonts w:ascii="Calibri" w:hAnsi="Calibri" w:cs="Calibri"/>
                                <w:color w:val="000000" w:themeColor="text1"/>
                                <w:sz w:val="16"/>
                                <w:szCs w:val="16"/>
                              </w:rPr>
                              <w:fldChar w:fldCharType="separate"/>
                            </w:r>
                            <w:r w:rsidRPr="00A8698C">
                              <w:rPr>
                                <w:rStyle w:val="m4173277756366121611msoendnotereference"/>
                                <w:rFonts w:ascii="Calibri" w:eastAsiaTheme="minorEastAsia" w:hAnsi="Calibri" w:cs="Calibri"/>
                                <w:b/>
                                <w:bCs/>
                                <w:i/>
                                <w:iCs/>
                                <w:color w:val="000000" w:themeColor="text1"/>
                                <w:sz w:val="16"/>
                                <w:szCs w:val="16"/>
                                <w:u w:val="single"/>
                                <w:vertAlign w:val="superscript"/>
                                <w:lang w:val="en-GB"/>
                              </w:rPr>
                              <w:t>[x]</w:t>
                            </w:r>
                            <w:r w:rsidRPr="00A8698C">
                              <w:rPr>
                                <w:rFonts w:ascii="Calibri" w:hAnsi="Calibri" w:cs="Calibri"/>
                                <w:color w:val="000000" w:themeColor="text1"/>
                                <w:sz w:val="16"/>
                                <w:szCs w:val="16"/>
                              </w:rPr>
                              <w:fldChar w:fldCharType="end"/>
                            </w:r>
                            <w:bookmarkEnd w:id="32"/>
                            <w:r w:rsidRPr="00A8698C">
                              <w:rPr>
                                <w:rFonts w:ascii="Calibri" w:hAnsi="Calibri" w:cs="Calibri"/>
                                <w:i/>
                                <w:iCs/>
                                <w:color w:val="000000" w:themeColor="text1"/>
                                <w:sz w:val="16"/>
                                <w:szCs w:val="16"/>
                                <w:lang w:val="en-GB"/>
                              </w:rPr>
                              <w:t> </w:t>
                            </w:r>
                            <w:r w:rsidRPr="00A8698C">
                              <w:rPr>
                                <w:rFonts w:ascii="Calibri" w:hAnsi="Calibri" w:cs="Calibri"/>
                                <w:i/>
                                <w:iCs/>
                                <w:color w:val="000000" w:themeColor="text1"/>
                                <w:sz w:val="16"/>
                                <w:szCs w:val="16"/>
                                <w:lang w:val="en-US"/>
                              </w:rPr>
                              <w:t>Global Education Advisory Panel (2020): </w:t>
                            </w:r>
                            <w:r w:rsidRPr="00A8698C">
                              <w:rPr>
                                <w:rFonts w:ascii="Calibri" w:hAnsi="Calibri" w:cs="Calibri"/>
                                <w:i/>
                                <w:iCs/>
                                <w:color w:val="000000" w:themeColor="text1"/>
                                <w:sz w:val="16"/>
                                <w:szCs w:val="16"/>
                                <w:u w:val="single"/>
                                <w:lang w:val="en-US"/>
                              </w:rPr>
                              <w:t>Collective approaches to improve global learning: what does recent evidence tell us are “Smart Buys” for improving learning in low and middle-income countrie</w:t>
                            </w:r>
                            <w:r w:rsidRPr="00A8698C">
                              <w:rPr>
                                <w:rFonts w:ascii="Calibri" w:hAnsi="Calibri" w:cs="Calibri"/>
                                <w:i/>
                                <w:iCs/>
                                <w:color w:val="000000" w:themeColor="text1"/>
                                <w:sz w:val="16"/>
                                <w:szCs w:val="16"/>
                                <w:lang w:val="en-US"/>
                              </w:rPr>
                              <w:t>s?</w:t>
                            </w:r>
                          </w:p>
                          <w:bookmarkStart w:id="33" w:name="m_4173277756366121611__edn11"/>
                          <w:p w14:paraId="78725D9B" w14:textId="77777777" w:rsidR="00F96637" w:rsidRPr="004E780D" w:rsidRDefault="00F96637" w:rsidP="00F81FB5">
                            <w:pPr>
                              <w:pStyle w:val="m4173277756366121611msoendnotetext"/>
                              <w:shd w:val="clear" w:color="auto" w:fill="E7E6E6" w:themeFill="background2"/>
                              <w:tabs>
                                <w:tab w:val="left" w:pos="2410"/>
                              </w:tabs>
                              <w:spacing w:before="0" w:beforeAutospacing="0" w:after="0" w:afterAutospacing="0"/>
                              <w:ind w:left="360"/>
                              <w:rPr>
                                <w:rFonts w:ascii="Calibri" w:hAnsi="Calibri" w:cs="Calibri"/>
                                <w:color w:val="000000" w:themeColor="text1"/>
                                <w:sz w:val="20"/>
                                <w:szCs w:val="20"/>
                                <w:lang w:val="nb-NO"/>
                              </w:rPr>
                            </w:pPr>
                            <w:r w:rsidRPr="00A8698C">
                              <w:rPr>
                                <w:rFonts w:ascii="Calibri" w:hAnsi="Calibri" w:cs="Calibri"/>
                                <w:color w:val="000000" w:themeColor="text1"/>
                                <w:sz w:val="20"/>
                                <w:szCs w:val="20"/>
                              </w:rPr>
                              <w:fldChar w:fldCharType="begin"/>
                            </w:r>
                            <w:r w:rsidRPr="004E780D">
                              <w:rPr>
                                <w:rFonts w:ascii="Calibri" w:hAnsi="Calibri" w:cs="Calibri"/>
                                <w:color w:val="000000" w:themeColor="text1"/>
                                <w:sz w:val="20"/>
                                <w:szCs w:val="20"/>
                                <w:lang w:val="nb-NO"/>
                              </w:rPr>
                              <w:instrText xml:space="preserve"> HYPERLINK "https://mail.google.com/mail/u/0/" \l "m_4173277756366121611__ednref11" \o "" </w:instrText>
                            </w:r>
                            <w:r w:rsidRPr="00A8698C">
                              <w:rPr>
                                <w:rFonts w:ascii="Calibri" w:hAnsi="Calibri" w:cs="Calibri"/>
                                <w:color w:val="000000" w:themeColor="text1"/>
                                <w:sz w:val="20"/>
                                <w:szCs w:val="20"/>
                              </w:rPr>
                              <w:fldChar w:fldCharType="separate"/>
                            </w:r>
                            <w:r w:rsidRPr="004E780D">
                              <w:rPr>
                                <w:rStyle w:val="m4173277756366121611msoendnotereference"/>
                                <w:rFonts w:ascii="Calibri" w:eastAsiaTheme="minorEastAsia" w:hAnsi="Calibri" w:cs="Calibri"/>
                                <w:color w:val="000000" w:themeColor="text1"/>
                                <w:sz w:val="20"/>
                                <w:szCs w:val="20"/>
                                <w:u w:val="single"/>
                                <w:vertAlign w:val="superscript"/>
                                <w:lang w:val="nb-NO"/>
                              </w:rPr>
                              <w:t>[xi]</w:t>
                            </w:r>
                            <w:r w:rsidRPr="00A8698C">
                              <w:rPr>
                                <w:rFonts w:ascii="Calibri" w:hAnsi="Calibri" w:cs="Calibri"/>
                                <w:color w:val="000000" w:themeColor="text1"/>
                                <w:sz w:val="20"/>
                                <w:szCs w:val="20"/>
                              </w:rPr>
                              <w:fldChar w:fldCharType="end"/>
                            </w:r>
                            <w:bookmarkEnd w:id="33"/>
                            <w:r w:rsidRPr="004E780D">
                              <w:rPr>
                                <w:rFonts w:ascii="Calibri" w:hAnsi="Calibri" w:cs="Calibri"/>
                                <w:color w:val="000000" w:themeColor="text1"/>
                                <w:sz w:val="20"/>
                                <w:szCs w:val="20"/>
                                <w:lang w:val="nb-NO"/>
                              </w:rPr>
                              <w:t> </w:t>
                            </w:r>
                            <w:r w:rsidRPr="004E780D">
                              <w:rPr>
                                <w:rFonts w:ascii="Calibri" w:hAnsi="Calibri" w:cs="Calibri"/>
                                <w:color w:val="000000" w:themeColor="text1"/>
                                <w:sz w:val="16"/>
                                <w:szCs w:val="16"/>
                                <w:lang w:val="nb-NO"/>
                              </w:rPr>
                              <w:t>UNESCO et. al (</w:t>
                            </w:r>
                            <w:r>
                              <w:fldChar w:fldCharType="begin"/>
                            </w:r>
                            <w:r w:rsidRPr="00C04736">
                              <w:rPr>
                                <w:lang w:val="nb-NO"/>
                              </w:rPr>
                              <w:instrText xml:space="preserve"> HYPERLINK "http://tcg.uis.unesco.org/survey-education-covid-school-closures/" \t "_blank" </w:instrText>
                            </w:r>
                            <w:r>
                              <w:fldChar w:fldCharType="separate"/>
                            </w:r>
                            <w:r w:rsidRPr="004E780D">
                              <w:rPr>
                                <w:rStyle w:val="Hyperlink"/>
                                <w:rFonts w:ascii="Calibri" w:eastAsiaTheme="majorEastAsia" w:hAnsi="Calibri" w:cs="Calibri"/>
                                <w:color w:val="000000" w:themeColor="text1"/>
                                <w:sz w:val="16"/>
                                <w:szCs w:val="16"/>
                                <w:lang w:val="nb-NO"/>
                              </w:rPr>
                              <w:t>Op Cit</w:t>
                            </w:r>
                            <w:r>
                              <w:rPr>
                                <w:rStyle w:val="Hyperlink"/>
                                <w:rFonts w:ascii="Calibri" w:eastAsiaTheme="majorEastAsia" w:hAnsi="Calibri" w:cs="Calibri"/>
                                <w:color w:val="000000" w:themeColor="text1"/>
                                <w:sz w:val="16"/>
                                <w:szCs w:val="16"/>
                                <w:lang w:val="nb-NO"/>
                              </w:rPr>
                              <w:fldChar w:fldCharType="end"/>
                            </w:r>
                            <w:r w:rsidRPr="004E780D">
                              <w:rPr>
                                <w:rFonts w:ascii="Calibri" w:hAnsi="Calibri" w:cs="Calibri"/>
                                <w:color w:val="000000" w:themeColor="text1"/>
                                <w:sz w:val="16"/>
                                <w:szCs w:val="16"/>
                                <w:lang w:val="nb-NO"/>
                              </w:rPr>
                              <w:t>), p. 25.</w:t>
                            </w:r>
                          </w:p>
                          <w:bookmarkStart w:id="34" w:name="m_4173277756366121611__edn12"/>
                          <w:p w14:paraId="567DEA2F" w14:textId="77777777"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60"/>
                              <w:rPr>
                                <w:rFonts w:ascii="Calibri" w:hAnsi="Calibri" w:cs="Calibri"/>
                                <w:color w:val="000000" w:themeColor="text1"/>
                                <w:sz w:val="20"/>
                                <w:szCs w:val="20"/>
                              </w:rPr>
                            </w:pPr>
                            <w:r w:rsidRPr="00A8698C">
                              <w:rPr>
                                <w:rFonts w:ascii="Calibri" w:hAnsi="Calibri" w:cs="Calibri"/>
                                <w:color w:val="000000" w:themeColor="text1"/>
                                <w:sz w:val="20"/>
                                <w:szCs w:val="20"/>
                              </w:rPr>
                              <w:fldChar w:fldCharType="begin"/>
                            </w:r>
                            <w:r w:rsidRPr="00A8698C">
                              <w:rPr>
                                <w:rFonts w:ascii="Calibri" w:hAnsi="Calibri" w:cs="Calibri"/>
                                <w:color w:val="000000" w:themeColor="text1"/>
                                <w:sz w:val="20"/>
                                <w:szCs w:val="20"/>
                              </w:rPr>
                              <w:instrText xml:space="preserve"> HYPERLINK "https://mail.google.com/mail/u/0/" \l "m_4173277756366121611__ednref12" \o "" </w:instrText>
                            </w:r>
                            <w:r w:rsidRPr="00A8698C">
                              <w:rPr>
                                <w:rFonts w:ascii="Calibri" w:hAnsi="Calibri" w:cs="Calibri"/>
                                <w:color w:val="000000" w:themeColor="text1"/>
                                <w:sz w:val="20"/>
                                <w:szCs w:val="20"/>
                              </w:rPr>
                              <w:fldChar w:fldCharType="separate"/>
                            </w:r>
                            <w:r w:rsidRPr="00A8698C">
                              <w:rPr>
                                <w:rStyle w:val="m4173277756366121611msoendnotereference"/>
                                <w:rFonts w:ascii="Calibri" w:eastAsiaTheme="minorEastAsia" w:hAnsi="Calibri" w:cs="Calibri"/>
                                <w:color w:val="000000" w:themeColor="text1"/>
                                <w:sz w:val="16"/>
                                <w:szCs w:val="16"/>
                                <w:u w:val="single"/>
                                <w:vertAlign w:val="superscript"/>
                                <w:lang w:val="en-GB"/>
                              </w:rPr>
                              <w:t>[xii]</w:t>
                            </w:r>
                            <w:r w:rsidRPr="00A8698C">
                              <w:rPr>
                                <w:rFonts w:ascii="Calibri" w:hAnsi="Calibri" w:cs="Calibri"/>
                                <w:color w:val="000000" w:themeColor="text1"/>
                                <w:sz w:val="20"/>
                                <w:szCs w:val="20"/>
                              </w:rPr>
                              <w:fldChar w:fldCharType="end"/>
                            </w:r>
                            <w:bookmarkEnd w:id="34"/>
                            <w:r w:rsidRPr="00A8698C">
                              <w:rPr>
                                <w:rFonts w:ascii="Calibri" w:hAnsi="Calibri" w:cs="Calibri"/>
                                <w:color w:val="000000" w:themeColor="text1"/>
                                <w:sz w:val="16"/>
                                <w:szCs w:val="16"/>
                                <w:lang w:val="en-GB"/>
                              </w:rPr>
                              <w:t> Deloitte Access Economics (2020) ‘Understanding the impact of COVID-19 on international education’.  A report prepared for the Department of Education, Skills and Employment.</w:t>
                            </w:r>
                          </w:p>
                          <w:bookmarkStart w:id="35" w:name="m_4173277756366121611__edn13"/>
                          <w:p w14:paraId="073FC6CC" w14:textId="621A16DB" w:rsidR="00F96637" w:rsidRDefault="00F96637" w:rsidP="00F81FB5">
                            <w:pPr>
                              <w:pStyle w:val="m4173277756366121611msoendnotetext"/>
                              <w:shd w:val="clear" w:color="auto" w:fill="E7E6E6" w:themeFill="background2"/>
                              <w:tabs>
                                <w:tab w:val="left" w:pos="2410"/>
                              </w:tabs>
                              <w:spacing w:before="0" w:beforeAutospacing="0" w:after="0" w:afterAutospacing="0"/>
                              <w:ind w:left="360"/>
                            </w:pPr>
                            <w:r w:rsidRPr="00A8698C">
                              <w:rPr>
                                <w:rFonts w:ascii="Calibri" w:hAnsi="Calibri" w:cs="Calibri"/>
                                <w:color w:val="000000" w:themeColor="text1"/>
                                <w:sz w:val="20"/>
                                <w:szCs w:val="20"/>
                              </w:rPr>
                              <w:fldChar w:fldCharType="begin"/>
                            </w:r>
                            <w:r w:rsidRPr="00A8698C">
                              <w:rPr>
                                <w:rFonts w:ascii="Calibri" w:hAnsi="Calibri" w:cs="Calibri"/>
                                <w:color w:val="000000" w:themeColor="text1"/>
                                <w:sz w:val="20"/>
                                <w:szCs w:val="20"/>
                              </w:rPr>
                              <w:instrText xml:space="preserve"> HYPERLINK "https://mail.google.com/mail/u/0/" \l "m_4173277756366121611__ednref13" \o "" </w:instrText>
                            </w:r>
                            <w:r w:rsidRPr="00A8698C">
                              <w:rPr>
                                <w:rFonts w:ascii="Calibri" w:hAnsi="Calibri" w:cs="Calibri"/>
                                <w:color w:val="000000" w:themeColor="text1"/>
                                <w:sz w:val="20"/>
                                <w:szCs w:val="20"/>
                              </w:rPr>
                              <w:fldChar w:fldCharType="separate"/>
                            </w:r>
                            <w:r w:rsidRPr="00A8698C">
                              <w:rPr>
                                <w:rStyle w:val="m4173277756366121611msoendnotereference"/>
                                <w:rFonts w:ascii="Calibri" w:eastAsiaTheme="minorEastAsia" w:hAnsi="Calibri" w:cs="Calibri"/>
                                <w:color w:val="000000" w:themeColor="text1"/>
                                <w:sz w:val="16"/>
                                <w:szCs w:val="16"/>
                                <w:u w:val="single"/>
                                <w:vertAlign w:val="superscript"/>
                                <w:lang w:val="en-GB"/>
                              </w:rPr>
                              <w:t>[xiii]</w:t>
                            </w:r>
                            <w:r w:rsidRPr="00A8698C">
                              <w:rPr>
                                <w:rFonts w:ascii="Calibri" w:hAnsi="Calibri" w:cs="Calibri"/>
                                <w:color w:val="000000" w:themeColor="text1"/>
                                <w:sz w:val="20"/>
                                <w:szCs w:val="20"/>
                              </w:rPr>
                              <w:fldChar w:fldCharType="end"/>
                            </w:r>
                            <w:bookmarkEnd w:id="35"/>
                            <w:r w:rsidRPr="00A8698C">
                              <w:rPr>
                                <w:rFonts w:ascii="Calibri" w:hAnsi="Calibri" w:cs="Calibri"/>
                                <w:color w:val="000000" w:themeColor="text1"/>
                                <w:sz w:val="16"/>
                                <w:szCs w:val="16"/>
                                <w:lang w:val="en-GB"/>
                              </w:rPr>
                              <w:t> DFAT </w:t>
                            </w:r>
                            <w:hyperlink r:id="rId18" w:tgtFrame="_blank" w:history="1">
                              <w:r w:rsidRPr="00A8698C">
                                <w:rPr>
                                  <w:rStyle w:val="Hyperlink"/>
                                  <w:rFonts w:ascii="Calibri" w:eastAsiaTheme="majorEastAsia" w:hAnsi="Calibri" w:cs="Calibri"/>
                                  <w:color w:val="000000" w:themeColor="text1"/>
                                  <w:sz w:val="16"/>
                                  <w:szCs w:val="16"/>
                                </w:rPr>
                                <w:t>Australia Awards Global Strategy</w:t>
                              </w:r>
                            </w:hyperlink>
                            <w:r w:rsidRPr="00A8698C">
                              <w:rPr>
                                <w:rFonts w:ascii="Calibri" w:hAnsi="Calibri" w:cs="Calibri"/>
                                <w:color w:val="000000" w:themeColor="text1"/>
                                <w:sz w:val="16"/>
                                <w:szCs w:val="16"/>
                                <w:lang w:val="en-GB"/>
                              </w:rPr>
                              <w:t>; DESE </w:t>
                            </w:r>
                            <w:hyperlink r:id="rId19" w:tgtFrame="_blank" w:history="1">
                              <w:r w:rsidRPr="00A8698C">
                                <w:rPr>
                                  <w:rStyle w:val="Hyperlink"/>
                                  <w:rFonts w:ascii="Calibri" w:eastAsiaTheme="majorEastAsia" w:hAnsi="Calibri" w:cs="Calibri"/>
                                  <w:color w:val="000000" w:themeColor="text1"/>
                                  <w:sz w:val="16"/>
                                  <w:szCs w:val="16"/>
                                </w:rPr>
                                <w:t>National Strategy for International Education 2025</w:t>
                              </w:r>
                            </w:hyperlink>
                            <w:r w:rsidRPr="00A8698C">
                              <w:rPr>
                                <w:rFonts w:ascii="Calibri" w:hAnsi="Calibri" w:cs="Calibri"/>
                                <w:color w:val="000000" w:themeColor="text1"/>
                                <w:sz w:val="16"/>
                                <w:szCs w:val="16"/>
                                <w:lang w:val="en-GB"/>
                              </w:rPr>
                              <w:t>.</w:t>
                            </w:r>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FEAA37" id="Text Box 482" o:spid="_x0000_s1034" type="#_x0000_t202" style="width:469pt;height:6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" fillcolor="#e7e6e6 [3214]" strokeweight=".5pt">
                <v:textbox>
                  <w:txbxContent>
                    <w:p w14:paraId="6013553C" w14:textId="77777777" w:rsidR="00F96637" w:rsidRPr="00145131" w:rsidRDefault="00F96637" w:rsidP="00F81FB5">
                      <w:pPr>
                        <w:tabs>
                          <w:tab w:val="left" w:pos="2410"/>
                        </w:tabs>
                        <w:rPr>
                          <w:rStyle w:val="m4173277756366121611normaltextrun"/>
                          <w:rFonts w:eastAsiaTheme="majorEastAsia" w:cstheme="minorHAnsi"/>
                          <w:b/>
                          <w:bCs/>
                          <w:color w:val="000000"/>
                          <w:sz w:val="21"/>
                          <w:szCs w:val="21"/>
                          <w:lang w:val="en-US" w:eastAsia="en-GB"/>
                        </w:rPr>
                      </w:pPr>
                      <w:bookmarkStart w:id="36" w:name="_Hlk82178686"/>
                      <w:bookmarkStart w:id="37" w:name="_Hlk82178687"/>
                      <w:r w:rsidRPr="00145131">
                        <w:rPr>
                          <w:rStyle w:val="m4173277756366121611normaltextrun"/>
                          <w:rFonts w:eastAsiaTheme="majorEastAsia" w:cstheme="minorHAnsi"/>
                          <w:b/>
                          <w:bCs/>
                          <w:color w:val="000000"/>
                          <w:sz w:val="21"/>
                          <w:szCs w:val="21"/>
                          <w:lang w:val="en-US" w:eastAsia="en-GB"/>
                        </w:rPr>
                        <w:t>Box 1: Five COVID-responsive investments priorities consistent with the principles of a cost-effective, systems-oriented approach:</w:t>
                      </w:r>
                    </w:p>
                    <w:p w14:paraId="60B9BE54" w14:textId="273F353C" w:rsidR="00F96637" w:rsidRPr="003C1E71" w:rsidRDefault="00F96637" w:rsidP="00F81FB5">
                      <w:pPr>
                        <w:pStyle w:val="m4173277756366121611msolistparagraph"/>
                        <w:numPr>
                          <w:ilvl w:val="0"/>
                          <w:numId w:val="57"/>
                        </w:numPr>
                        <w:shd w:val="clear" w:color="auto" w:fill="E7E6E6" w:themeFill="background2"/>
                        <w:tabs>
                          <w:tab w:val="clear" w:pos="720"/>
                          <w:tab w:val="num" w:pos="360"/>
                          <w:tab w:val="left" w:pos="2410"/>
                        </w:tabs>
                        <w:spacing w:before="0" w:beforeAutospacing="0" w:afterLines="60" w:after="144" w:afterAutospacing="0"/>
                        <w:ind w:left="357"/>
                        <w:rPr>
                          <w:rFonts w:asciiTheme="minorHAnsi" w:hAnsiTheme="minorHAnsi" w:cstheme="minorHAnsi"/>
                          <w:color w:val="000000"/>
                          <w:sz w:val="20"/>
                          <w:szCs w:val="20"/>
                        </w:rPr>
                      </w:pPr>
                      <w:r w:rsidRPr="003C1E71">
                        <w:rPr>
                          <w:rStyle w:val="m4173277756366121611normaltextrun"/>
                          <w:rFonts w:asciiTheme="minorHAnsi" w:eastAsiaTheme="majorEastAsia" w:hAnsiTheme="minorHAnsi" w:cstheme="minorHAnsi"/>
                          <w:b/>
                          <w:bCs/>
                          <w:color w:val="000000"/>
                          <w:sz w:val="20"/>
                          <w:szCs w:val="20"/>
                          <w:lang w:val="en-US"/>
                        </w:rPr>
                        <w:t>Use evidence to inform decision-making and budgets</w:t>
                      </w:r>
                      <w:r w:rsidRPr="003C1E71">
                        <w:rPr>
                          <w:rStyle w:val="m4173277756366121611normaltextrun"/>
                          <w:rFonts w:asciiTheme="minorHAnsi" w:eastAsiaTheme="majorEastAsia" w:hAnsiTheme="minorHAnsi" w:cstheme="minorHAnsi"/>
                          <w:color w:val="000000"/>
                          <w:sz w:val="20"/>
                          <w:szCs w:val="20"/>
                          <w:lang w:val="en-US"/>
                        </w:rPr>
                        <w:t>: There is a scarcity of regional data on a number of critical educational indicators, including on girls, children with disabilities, the number of out-of-school children and rural/</w:t>
                      </w:r>
                      <w:r w:rsidRPr="003C1E71">
                        <w:rPr>
                          <w:rStyle w:val="m4173277756366121611normaltextrun"/>
                          <w:rFonts w:asciiTheme="minorHAnsi" w:eastAsiaTheme="majorEastAsia" w:hAnsiTheme="minorHAnsi" w:cstheme="minorHAnsi"/>
                          <w:color w:val="000000"/>
                          <w:sz w:val="20"/>
                          <w:szCs w:val="20"/>
                        </w:rPr>
                        <w:t>urban</w:t>
                      </w:r>
                      <w:r w:rsidRPr="003C1E71">
                        <w:rPr>
                          <w:rStyle w:val="m4173277756366121611normaltextrun"/>
                          <w:rFonts w:asciiTheme="minorHAnsi" w:eastAsiaTheme="majorEastAsia" w:hAnsiTheme="minorHAnsi" w:cstheme="minorHAnsi"/>
                          <w:color w:val="000000"/>
                          <w:sz w:val="20"/>
                          <w:szCs w:val="20"/>
                          <w:lang w:val="en-US"/>
                        </w:rPr>
                        <w:t> impacts. Without regular, credible, and granular data, decision-makers will struggle to maximize available resources. </w:t>
                      </w:r>
                      <w:r w:rsidRPr="003C1E71">
                        <w:rPr>
                          <w:rFonts w:asciiTheme="minorHAnsi" w:hAnsiTheme="minorHAnsi" w:cstheme="minorHAnsi"/>
                          <w:b/>
                          <w:bCs/>
                          <w:sz w:val="20"/>
                          <w:szCs w:val="20"/>
                        </w:rPr>
                        <w:t>Governments and their partners need to be assured that scarce resources are invested efficiently and effectively</w:t>
                      </w:r>
                      <w:r w:rsidRPr="003C1E71">
                        <w:rPr>
                          <w:rFonts w:asciiTheme="minorHAnsi" w:hAnsiTheme="minorHAnsi" w:cstheme="minorHAnsi"/>
                          <w:sz w:val="20"/>
                          <w:szCs w:val="20"/>
                        </w:rPr>
                        <w:t xml:space="preserve">. DFAT has long prioritised the collection, </w:t>
                      </w:r>
                      <w:proofErr w:type="gramStart"/>
                      <w:r w:rsidRPr="003C1E71">
                        <w:rPr>
                          <w:rFonts w:asciiTheme="minorHAnsi" w:hAnsiTheme="minorHAnsi" w:cstheme="minorHAnsi"/>
                          <w:sz w:val="20"/>
                          <w:szCs w:val="20"/>
                        </w:rPr>
                        <w:t>analysis</w:t>
                      </w:r>
                      <w:proofErr w:type="gramEnd"/>
                      <w:r w:rsidRPr="003C1E71">
                        <w:rPr>
                          <w:rFonts w:asciiTheme="minorHAnsi" w:hAnsiTheme="minorHAnsi" w:cstheme="minorHAnsi"/>
                          <w:sz w:val="20"/>
                          <w:szCs w:val="20"/>
                        </w:rPr>
                        <w:t xml:space="preserve"> and transparent reporting of education data for better decision-making</w:t>
                      </w:r>
                      <w:bookmarkStart w:id="38" w:name="m_4173277756366121611__ednref1"/>
                      <w:r>
                        <w:rPr>
                          <w:rFonts w:asciiTheme="minorHAnsi" w:hAnsiTheme="minorHAnsi" w:cstheme="minorHAnsi"/>
                          <w:sz w:val="20"/>
                          <w:szCs w:val="20"/>
                          <w:vertAlign w:val="superscript"/>
                        </w:rPr>
                        <w:fldChar w:fldCharType="begin"/>
                      </w:r>
                      <w:r>
                        <w:rPr>
                          <w:rFonts w:asciiTheme="minorHAnsi" w:hAnsiTheme="minorHAnsi" w:cstheme="minorHAnsi"/>
                          <w:sz w:val="20"/>
                          <w:szCs w:val="20"/>
                          <w:vertAlign w:val="superscript"/>
                        </w:rPr>
                        <w:instrText>HYPERLINK  \l "m_4173277756366121611__edn1"</w:instrText>
                      </w:r>
                      <w:r>
                        <w:rPr>
                          <w:rFonts w:asciiTheme="minorHAnsi" w:hAnsiTheme="minorHAnsi" w:cstheme="minorHAnsi"/>
                          <w:sz w:val="20"/>
                          <w:szCs w:val="20"/>
                          <w:vertAlign w:val="superscript"/>
                        </w:rPr>
                        <w:fldChar w:fldCharType="separate"/>
                      </w:r>
                      <w:r>
                        <w:rPr>
                          <w:rStyle w:val="Hyperlink"/>
                          <w:rFonts w:asciiTheme="minorHAnsi" w:hAnsiTheme="minorHAnsi" w:cstheme="minorHAnsi"/>
                          <w:sz w:val="20"/>
                          <w:szCs w:val="20"/>
                          <w:vertAlign w:val="superscript"/>
                        </w:rPr>
                        <w:t>[</w:t>
                      </w:r>
                      <w:proofErr w:type="spellStart"/>
                      <w:r>
                        <w:rPr>
                          <w:rStyle w:val="Hyperlink"/>
                          <w:rFonts w:asciiTheme="minorHAnsi" w:hAnsiTheme="minorHAnsi" w:cstheme="minorHAnsi"/>
                          <w:sz w:val="20"/>
                          <w:szCs w:val="20"/>
                          <w:vertAlign w:val="superscript"/>
                        </w:rPr>
                        <w:t>i</w:t>
                      </w:r>
                      <w:proofErr w:type="spellEnd"/>
                      <w:r>
                        <w:rPr>
                          <w:rStyle w:val="Hyperlink"/>
                          <w:rFonts w:asciiTheme="minorHAnsi" w:hAnsiTheme="minorHAnsi" w:cstheme="minorHAnsi"/>
                          <w:sz w:val="20"/>
                          <w:szCs w:val="20"/>
                          <w:vertAlign w:val="superscript"/>
                        </w:rPr>
                        <w:t>]</w:t>
                      </w:r>
                      <w:r>
                        <w:rPr>
                          <w:rFonts w:asciiTheme="minorHAnsi" w:hAnsiTheme="minorHAnsi" w:cstheme="minorHAnsi"/>
                          <w:sz w:val="20"/>
                          <w:szCs w:val="20"/>
                          <w:vertAlign w:val="superscript"/>
                        </w:rPr>
                        <w:fldChar w:fldCharType="end"/>
                      </w:r>
                      <w:bookmarkEnd w:id="38"/>
                      <w:r w:rsidRPr="003C1E71">
                        <w:rPr>
                          <w:rFonts w:asciiTheme="minorHAnsi" w:hAnsiTheme="minorHAnsi" w:cstheme="minorHAnsi"/>
                          <w:sz w:val="20"/>
                          <w:szCs w:val="20"/>
                        </w:rPr>
                        <w:t>. </w:t>
                      </w:r>
                      <w:r w:rsidRPr="003C1E71">
                        <w:rPr>
                          <w:rStyle w:val="m4173277756366121611normaltextrun"/>
                          <w:rFonts w:asciiTheme="minorHAnsi" w:eastAsiaTheme="majorEastAsia" w:hAnsiTheme="minorHAnsi" w:cstheme="minorHAnsi"/>
                          <w:color w:val="000000"/>
                          <w:sz w:val="20"/>
                          <w:szCs w:val="20"/>
                          <w:lang w:val="en-US"/>
                        </w:rPr>
                        <w:t>Information must be presented in such a way that enables evidence-based decision making and reflects stakeholders’ binding constraints (e.g.</w:t>
                      </w:r>
                      <w:r>
                        <w:rPr>
                          <w:rStyle w:val="m4173277756366121611normaltextrun"/>
                          <w:rFonts w:asciiTheme="minorHAnsi" w:eastAsiaTheme="majorEastAsia" w:hAnsiTheme="minorHAnsi" w:cstheme="minorHAnsi"/>
                          <w:color w:val="000000"/>
                          <w:sz w:val="20"/>
                          <w:szCs w:val="20"/>
                          <w:lang w:val="en-US"/>
                        </w:rPr>
                        <w:t>,</w:t>
                      </w:r>
                      <w:r w:rsidRPr="003C1E71">
                        <w:rPr>
                          <w:rStyle w:val="m4173277756366121611normaltextrun"/>
                          <w:rFonts w:asciiTheme="minorHAnsi" w:eastAsiaTheme="majorEastAsia" w:hAnsiTheme="minorHAnsi" w:cstheme="minorHAnsi"/>
                          <w:color w:val="000000"/>
                          <w:sz w:val="20"/>
                          <w:szCs w:val="20"/>
                          <w:lang w:val="en-US"/>
                        </w:rPr>
                        <w:t xml:space="preserve"> time scarcity; clarity in approach).</w:t>
                      </w:r>
                    </w:p>
                    <w:p w14:paraId="50C78D0F" w14:textId="3D15A051" w:rsidR="00F96637" w:rsidRPr="003C1E71" w:rsidRDefault="00F96637" w:rsidP="00F81FB5">
                      <w:pPr>
                        <w:pStyle w:val="m4173277756366121611msolistparagraph"/>
                        <w:numPr>
                          <w:ilvl w:val="0"/>
                          <w:numId w:val="58"/>
                        </w:numPr>
                        <w:shd w:val="clear" w:color="auto" w:fill="E7E6E6" w:themeFill="background2"/>
                        <w:tabs>
                          <w:tab w:val="clear" w:pos="720"/>
                          <w:tab w:val="num" w:pos="360"/>
                          <w:tab w:val="left" w:pos="2410"/>
                        </w:tabs>
                        <w:spacing w:before="0" w:beforeAutospacing="0" w:afterLines="60" w:after="144" w:afterAutospacing="0"/>
                        <w:ind w:left="357"/>
                        <w:rPr>
                          <w:rFonts w:asciiTheme="minorHAnsi" w:hAnsiTheme="minorHAnsi" w:cstheme="minorHAnsi"/>
                          <w:color w:val="000000"/>
                          <w:sz w:val="20"/>
                          <w:szCs w:val="20"/>
                        </w:rPr>
                      </w:pPr>
                      <w:r w:rsidRPr="003C1E71">
                        <w:rPr>
                          <w:rStyle w:val="m4173277756366121611normaltextrun"/>
                          <w:rFonts w:asciiTheme="minorHAnsi" w:eastAsiaTheme="majorEastAsia" w:hAnsiTheme="minorHAnsi" w:cstheme="minorHAnsi"/>
                          <w:b/>
                          <w:bCs/>
                          <w:color w:val="000000"/>
                          <w:sz w:val="20"/>
                          <w:szCs w:val="20"/>
                          <w:lang w:val="en-US"/>
                        </w:rPr>
                        <w:t>Target children at risk of dropout, particularly girls: </w:t>
                      </w:r>
                      <w:r w:rsidRPr="003C1E71">
                        <w:rPr>
                          <w:rStyle w:val="m4173277756366121611normaltextrun"/>
                          <w:rFonts w:asciiTheme="minorHAnsi" w:eastAsiaTheme="majorEastAsia" w:hAnsiTheme="minorHAnsi" w:cstheme="minorHAnsi"/>
                          <w:color w:val="000000"/>
                          <w:sz w:val="20"/>
                          <w:szCs w:val="20"/>
                          <w:lang w:val="en-US"/>
                        </w:rPr>
                        <w:t>Millions more children will be at risk of dropping out or, for those countries where children were not in school, not re-enrolling. There are proven strategies for reducing out of school children, including providing parents and families with information about the benefits of schooling (considered a “best buy” in education), investing in early warning systems to alert school leaders to dropout risks, bringing learning closer to students through the use of innovative technologies, and improving school environments to ensure that they are safe and offer additional non-education services, including health and nutrition.</w:t>
                      </w:r>
                      <w:bookmarkStart w:id="39" w:name="m_4173277756366121611__ednref2"/>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"m_4173277756366121611__edn2"</w:instrText>
                      </w:r>
                      <w:r w:rsidRPr="003C1E71">
                        <w:rPr>
                          <w:rFonts w:asciiTheme="minorHAnsi" w:hAnsiTheme="minorHAnsi" w:cstheme="minorHAnsi"/>
                          <w:color w:val="000000"/>
                          <w:sz w:val="20"/>
                          <w:szCs w:val="20"/>
                        </w:rPr>
                        <w:fldChar w:fldCharType="separate"/>
                      </w:r>
                      <w:r w:rsidRPr="003C1E71">
                        <w:rPr>
                          <w:rStyle w:val="m4173277756366121611msoendnotereference"/>
                          <w:rFonts w:asciiTheme="minorHAnsi" w:hAnsiTheme="minorHAnsi" w:cstheme="minorHAnsi"/>
                          <w:color w:val="000000"/>
                          <w:sz w:val="20"/>
                          <w:szCs w:val="20"/>
                          <w:u w:val="single"/>
                          <w:vertAlign w:val="superscript"/>
                          <w:lang w:val="en-US"/>
                        </w:rPr>
                        <w:t>[ii]</w:t>
                      </w:r>
                      <w:r w:rsidRPr="003C1E71">
                        <w:rPr>
                          <w:rFonts w:asciiTheme="minorHAnsi" w:hAnsiTheme="minorHAnsi" w:cstheme="minorHAnsi"/>
                          <w:color w:val="000000"/>
                          <w:sz w:val="20"/>
                          <w:szCs w:val="20"/>
                        </w:rPr>
                        <w:fldChar w:fldCharType="end"/>
                      </w:r>
                      <w:bookmarkEnd w:id="39"/>
                      <w:r w:rsidRPr="003C1E71">
                        <w:rPr>
                          <w:rStyle w:val="m4173277756366121611normaltextrun"/>
                          <w:rFonts w:asciiTheme="minorHAnsi" w:eastAsiaTheme="majorEastAsia" w:hAnsiTheme="minorHAnsi" w:cstheme="minorHAnsi"/>
                          <w:color w:val="000000"/>
                          <w:sz w:val="20"/>
                          <w:szCs w:val="20"/>
                          <w:lang w:val="en-US"/>
                        </w:rPr>
                        <w:t> </w:t>
                      </w:r>
                      <w:bookmarkStart w:id="40" w:name="m_4173277756366121611__ednref3"/>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"m_4173277756366121611__edn3"</w:instrText>
                      </w:r>
                      <w:r w:rsidRPr="003C1E71">
                        <w:rPr>
                          <w:rFonts w:asciiTheme="minorHAnsi" w:hAnsiTheme="minorHAnsi" w:cstheme="minorHAnsi"/>
                          <w:color w:val="000000"/>
                          <w:sz w:val="20"/>
                          <w:szCs w:val="20"/>
                        </w:rPr>
                        <w:fldChar w:fldCharType="separate"/>
                      </w:r>
                      <w:r w:rsidRPr="003C1E71">
                        <w:rPr>
                          <w:rStyle w:val="m4173277756366121611msoendnotereference"/>
                          <w:rFonts w:asciiTheme="minorHAnsi" w:hAnsiTheme="minorHAnsi" w:cstheme="minorHAnsi"/>
                          <w:color w:val="000000"/>
                          <w:sz w:val="20"/>
                          <w:szCs w:val="20"/>
                          <w:u w:val="single"/>
                          <w:vertAlign w:val="superscript"/>
                          <w:lang w:val="en-US"/>
                        </w:rPr>
                        <w:t>[iii]</w:t>
                      </w:r>
                      <w:r w:rsidRPr="003C1E71">
                        <w:rPr>
                          <w:rFonts w:asciiTheme="minorHAnsi" w:hAnsiTheme="minorHAnsi" w:cstheme="minorHAnsi"/>
                          <w:color w:val="000000"/>
                          <w:sz w:val="20"/>
                          <w:szCs w:val="20"/>
                        </w:rPr>
                        <w:fldChar w:fldCharType="end"/>
                      </w:r>
                      <w:bookmarkStart w:id="41" w:name="m_4173277756366121611__ednref4"/>
                      <w:bookmarkEnd w:id="40"/>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"m_4173277756366121611__edn4"</w:instrText>
                      </w:r>
                      <w:r w:rsidRPr="003C1E71">
                        <w:rPr>
                          <w:rFonts w:asciiTheme="minorHAnsi" w:hAnsiTheme="minorHAnsi" w:cstheme="minorHAnsi"/>
                          <w:color w:val="000000"/>
                          <w:sz w:val="20"/>
                          <w:szCs w:val="20"/>
                        </w:rPr>
                        <w:fldChar w:fldCharType="separate"/>
                      </w:r>
                      <w:r w:rsidRPr="003C1E71">
                        <w:rPr>
                          <w:rStyle w:val="m4173277756366121611msoendnotereference"/>
                          <w:rFonts w:asciiTheme="minorHAnsi" w:hAnsiTheme="minorHAnsi" w:cstheme="minorHAnsi"/>
                          <w:color w:val="000000"/>
                          <w:sz w:val="20"/>
                          <w:szCs w:val="20"/>
                          <w:u w:val="single"/>
                          <w:vertAlign w:val="superscript"/>
                          <w:lang w:val="en-US"/>
                        </w:rPr>
                        <w:t>[iv]</w:t>
                      </w:r>
                      <w:r w:rsidRPr="003C1E71">
                        <w:rPr>
                          <w:rFonts w:asciiTheme="minorHAnsi" w:hAnsiTheme="minorHAnsi" w:cstheme="minorHAnsi"/>
                          <w:color w:val="000000"/>
                          <w:sz w:val="20"/>
                          <w:szCs w:val="20"/>
                        </w:rPr>
                        <w:fldChar w:fldCharType="end"/>
                      </w:r>
                      <w:bookmarkEnd w:id="41"/>
                      <w:r w:rsidRPr="003C1E71">
                        <w:rPr>
                          <w:rStyle w:val="m4173277756366121611normaltextrun"/>
                          <w:rFonts w:asciiTheme="minorHAnsi" w:eastAsiaTheme="majorEastAsia" w:hAnsiTheme="minorHAnsi" w:cstheme="minorHAnsi"/>
                          <w:color w:val="000000"/>
                          <w:sz w:val="20"/>
                          <w:szCs w:val="20"/>
                          <w:lang w:val="en-US"/>
                        </w:rPr>
                        <w:t> </w:t>
                      </w:r>
                      <w:bookmarkStart w:id="42" w:name="m_4173277756366121611__ednref5"/>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"m_4173277756366121611__edn5"</w:instrText>
                      </w:r>
                      <w:r w:rsidRPr="003C1E71">
                        <w:rPr>
                          <w:rFonts w:asciiTheme="minorHAnsi" w:hAnsiTheme="minorHAnsi" w:cstheme="minorHAnsi"/>
                          <w:color w:val="000000"/>
                          <w:sz w:val="20"/>
                          <w:szCs w:val="20"/>
                        </w:rPr>
                        <w:fldChar w:fldCharType="separate"/>
                      </w:r>
                      <w:r w:rsidRPr="003C1E71">
                        <w:rPr>
                          <w:rStyle w:val="m4173277756366121611msoendnotereference"/>
                          <w:rFonts w:asciiTheme="minorHAnsi" w:hAnsiTheme="minorHAnsi" w:cstheme="minorHAnsi"/>
                          <w:color w:val="000000"/>
                          <w:sz w:val="20"/>
                          <w:szCs w:val="20"/>
                          <w:u w:val="single"/>
                          <w:vertAlign w:val="superscript"/>
                          <w:lang w:val="en-US"/>
                        </w:rPr>
                        <w:t>[v]</w:t>
                      </w:r>
                      <w:r w:rsidRPr="003C1E71">
                        <w:rPr>
                          <w:rFonts w:asciiTheme="minorHAnsi" w:hAnsiTheme="minorHAnsi" w:cstheme="minorHAnsi"/>
                          <w:color w:val="000000"/>
                          <w:sz w:val="20"/>
                          <w:szCs w:val="20"/>
                        </w:rPr>
                        <w:fldChar w:fldCharType="end"/>
                      </w:r>
                      <w:bookmarkStart w:id="43" w:name="m_4173277756366121611__ednref6"/>
                      <w:bookmarkEnd w:id="42"/>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"m_4173277756366121611__edn6"</w:instrText>
                      </w:r>
                      <w:r w:rsidRPr="003C1E71">
                        <w:rPr>
                          <w:rFonts w:asciiTheme="minorHAnsi" w:hAnsiTheme="minorHAnsi" w:cstheme="minorHAnsi"/>
                          <w:color w:val="000000"/>
                          <w:sz w:val="20"/>
                          <w:szCs w:val="20"/>
                        </w:rPr>
                        <w:fldChar w:fldCharType="separate"/>
                      </w:r>
                      <w:r w:rsidRPr="003C1E71">
                        <w:rPr>
                          <w:rStyle w:val="m4173277756366121611msoendnotereference"/>
                          <w:rFonts w:asciiTheme="minorHAnsi" w:hAnsiTheme="minorHAnsi" w:cstheme="minorHAnsi"/>
                          <w:color w:val="000000"/>
                          <w:sz w:val="20"/>
                          <w:szCs w:val="20"/>
                          <w:u w:val="single"/>
                          <w:vertAlign w:val="superscript"/>
                          <w:lang w:val="en-US"/>
                        </w:rPr>
                        <w:t>[vi]</w:t>
                      </w:r>
                      <w:r w:rsidRPr="003C1E71">
                        <w:rPr>
                          <w:rFonts w:asciiTheme="minorHAnsi" w:hAnsiTheme="minorHAnsi" w:cstheme="minorHAnsi"/>
                          <w:color w:val="000000"/>
                          <w:sz w:val="20"/>
                          <w:szCs w:val="20"/>
                        </w:rPr>
                        <w:fldChar w:fldCharType="end"/>
                      </w:r>
                      <w:bookmarkEnd w:id="43"/>
                    </w:p>
                    <w:p w14:paraId="127B4B8C" w14:textId="53B9A7E5" w:rsidR="00F96637" w:rsidRPr="003C1E71" w:rsidRDefault="00F96637" w:rsidP="00F81FB5">
                      <w:pPr>
                        <w:pStyle w:val="m4173277756366121611msolistparagraph"/>
                        <w:numPr>
                          <w:ilvl w:val="0"/>
                          <w:numId w:val="59"/>
                        </w:numPr>
                        <w:shd w:val="clear" w:color="auto" w:fill="E7E6E6" w:themeFill="background2"/>
                        <w:tabs>
                          <w:tab w:val="clear" w:pos="720"/>
                          <w:tab w:val="num" w:pos="360"/>
                          <w:tab w:val="left" w:pos="2410"/>
                        </w:tabs>
                        <w:spacing w:before="0" w:beforeAutospacing="0" w:afterLines="60" w:after="144" w:afterAutospacing="0"/>
                        <w:ind w:left="357"/>
                        <w:rPr>
                          <w:rFonts w:asciiTheme="minorHAnsi" w:hAnsiTheme="minorHAnsi" w:cstheme="minorHAnsi"/>
                          <w:color w:val="000000"/>
                          <w:sz w:val="20"/>
                          <w:szCs w:val="20"/>
                        </w:rPr>
                      </w:pPr>
                      <w:r w:rsidRPr="003C1E71">
                        <w:rPr>
                          <w:rFonts w:asciiTheme="minorHAnsi" w:hAnsiTheme="minorHAnsi" w:cstheme="minorHAnsi"/>
                          <w:b/>
                          <w:bCs/>
                          <w:sz w:val="20"/>
                          <w:szCs w:val="20"/>
                        </w:rPr>
                        <w:t>Teach at the right level: </w:t>
                      </w:r>
                      <w:r w:rsidRPr="003C1E71">
                        <w:rPr>
                          <w:rFonts w:asciiTheme="minorHAnsi" w:hAnsiTheme="minorHAnsi" w:cstheme="minorHAnsi"/>
                          <w:sz w:val="20"/>
                          <w:szCs w:val="20"/>
                        </w:rPr>
                        <w:t>Prior to COVID</w:t>
                      </w:r>
                      <w:r>
                        <w:rPr>
                          <w:rFonts w:asciiTheme="minorHAnsi" w:hAnsiTheme="minorHAnsi" w:cstheme="minorHAnsi"/>
                          <w:sz w:val="20"/>
                          <w:szCs w:val="20"/>
                        </w:rPr>
                        <w:t>-19</w:t>
                      </w:r>
                      <w:r w:rsidRPr="003C1E71">
                        <w:rPr>
                          <w:rFonts w:asciiTheme="minorHAnsi" w:hAnsiTheme="minorHAnsi" w:cstheme="minorHAnsi"/>
                          <w:sz w:val="20"/>
                          <w:szCs w:val="20"/>
                        </w:rPr>
                        <w:t>, the world already had a learning crisis, with more than half of children in low- and middle-income countries unable to read and understand a simple story by the end of primary school</w:t>
                      </w:r>
                      <w:bookmarkStart w:id="44" w:name="m_4173277756366121611__ednref7"/>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"m_4173277756366121611__edn7"</w:instrText>
                      </w:r>
                      <w:r w:rsidRPr="003C1E71">
                        <w:rPr>
                          <w:rFonts w:asciiTheme="minorHAnsi" w:hAnsiTheme="minorHAnsi" w:cstheme="minorHAnsi"/>
                          <w:color w:val="000000"/>
                          <w:sz w:val="20"/>
                          <w:szCs w:val="20"/>
                        </w:rPr>
                        <w:fldChar w:fldCharType="separate"/>
                      </w:r>
                      <w:r w:rsidRPr="003C1E71">
                        <w:rPr>
                          <w:rStyle w:val="Hyperlink"/>
                          <w:rFonts w:asciiTheme="minorHAnsi" w:hAnsiTheme="minorHAnsi" w:cstheme="minorHAnsi"/>
                          <w:color w:val="1F497D"/>
                          <w:sz w:val="20"/>
                          <w:szCs w:val="20"/>
                          <w:vertAlign w:val="superscript"/>
                        </w:rPr>
                        <w:t>[vii]</w:t>
                      </w:r>
                      <w:r w:rsidRPr="003C1E71">
                        <w:rPr>
                          <w:rFonts w:asciiTheme="minorHAnsi" w:hAnsiTheme="minorHAnsi" w:cstheme="minorHAnsi"/>
                          <w:color w:val="000000"/>
                          <w:sz w:val="20"/>
                          <w:szCs w:val="20"/>
                        </w:rPr>
                        <w:fldChar w:fldCharType="end"/>
                      </w:r>
                      <w:bookmarkEnd w:id="44"/>
                      <w:r w:rsidRPr="003C1E71">
                        <w:rPr>
                          <w:rFonts w:asciiTheme="minorHAnsi" w:hAnsiTheme="minorHAnsi" w:cstheme="minorHAnsi"/>
                          <w:sz w:val="20"/>
                          <w:szCs w:val="20"/>
                        </w:rPr>
                        <w:t>. With education system closures and disruptions, the pressure on learning is acute. Any remedial and ‘catch-up’ approaches must focus on what young people know and can do, rather than emphasising ‘getting through’ the curriculum. ‘Teaching at the Right Level’ is a proven model, which involves rapid assessments of what students know, and teaching to that standard</w:t>
                      </w:r>
                      <w:bookmarkStart w:id="45" w:name="m_4173277756366121611__ednref8"/>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"m_4173277756366121611__edn8"</w:instrText>
                      </w:r>
                      <w:r w:rsidRPr="003C1E71">
                        <w:rPr>
                          <w:rFonts w:asciiTheme="minorHAnsi" w:hAnsiTheme="minorHAnsi" w:cstheme="minorHAnsi"/>
                          <w:color w:val="000000"/>
                          <w:sz w:val="20"/>
                          <w:szCs w:val="20"/>
                        </w:rPr>
                        <w:fldChar w:fldCharType="separate"/>
                      </w:r>
                      <w:r w:rsidRPr="003C1E71">
                        <w:rPr>
                          <w:rStyle w:val="Hyperlink"/>
                          <w:rFonts w:asciiTheme="minorHAnsi" w:hAnsiTheme="minorHAnsi" w:cstheme="minorHAnsi"/>
                          <w:color w:val="1F497D"/>
                          <w:sz w:val="20"/>
                          <w:szCs w:val="20"/>
                          <w:vertAlign w:val="superscript"/>
                        </w:rPr>
                        <w:t>[viii]</w:t>
                      </w:r>
                      <w:r w:rsidRPr="003C1E71">
                        <w:rPr>
                          <w:rFonts w:asciiTheme="minorHAnsi" w:hAnsiTheme="minorHAnsi" w:cstheme="minorHAnsi"/>
                          <w:color w:val="000000"/>
                          <w:sz w:val="20"/>
                          <w:szCs w:val="20"/>
                        </w:rPr>
                        <w:fldChar w:fldCharType="end"/>
                      </w:r>
                      <w:bookmarkEnd w:id="45"/>
                      <w:r w:rsidRPr="003C1E71">
                        <w:rPr>
                          <w:rFonts w:asciiTheme="minorHAnsi" w:hAnsiTheme="minorHAnsi" w:cstheme="minorHAnsi"/>
                          <w:sz w:val="20"/>
                          <w:szCs w:val="20"/>
                        </w:rPr>
                        <w:t> </w:t>
                      </w:r>
                      <w:bookmarkStart w:id="46" w:name="m_4173277756366121611__ednref9"/>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"m_4173277756366121611__edn9"</w:instrText>
                      </w:r>
                      <w:r w:rsidRPr="003C1E71">
                        <w:rPr>
                          <w:rFonts w:asciiTheme="minorHAnsi" w:hAnsiTheme="minorHAnsi" w:cstheme="minorHAnsi"/>
                          <w:color w:val="000000"/>
                          <w:sz w:val="20"/>
                          <w:szCs w:val="20"/>
                        </w:rPr>
                        <w:fldChar w:fldCharType="separate"/>
                      </w:r>
                      <w:r w:rsidRPr="003C1E71">
                        <w:rPr>
                          <w:rStyle w:val="m4173277756366121611msoendnotereference"/>
                          <w:rFonts w:asciiTheme="minorHAnsi" w:hAnsiTheme="minorHAnsi" w:cstheme="minorHAnsi"/>
                          <w:color w:val="000000"/>
                          <w:sz w:val="20"/>
                          <w:szCs w:val="20"/>
                          <w:u w:val="single"/>
                          <w:vertAlign w:val="superscript"/>
                          <w:lang w:val="en-US"/>
                        </w:rPr>
                        <w:t>[ix]</w:t>
                      </w:r>
                      <w:r w:rsidRPr="003C1E71">
                        <w:rPr>
                          <w:rFonts w:asciiTheme="minorHAnsi" w:hAnsiTheme="minorHAnsi" w:cstheme="minorHAnsi"/>
                          <w:color w:val="000000"/>
                          <w:sz w:val="20"/>
                          <w:szCs w:val="20"/>
                        </w:rPr>
                        <w:fldChar w:fldCharType="end"/>
                      </w:r>
                      <w:bookmarkEnd w:id="46"/>
                      <w:r w:rsidRPr="003C1E71">
                        <w:rPr>
                          <w:rStyle w:val="m4173277756366121611normaltextrun"/>
                          <w:rFonts w:asciiTheme="minorHAnsi" w:eastAsiaTheme="majorEastAsia" w:hAnsiTheme="minorHAnsi" w:cstheme="minorHAnsi"/>
                          <w:color w:val="000000"/>
                          <w:sz w:val="20"/>
                          <w:szCs w:val="20"/>
                          <w:lang w:val="en-US"/>
                        </w:rPr>
                        <w:t> </w:t>
                      </w:r>
                      <w:bookmarkStart w:id="47" w:name="m_4173277756366121611__ednref10"/>
                      <w:r w:rsidRPr="003C1E71">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HYPERLINK  \l "m_4173277756366121611__edn10"</w:instrText>
                      </w:r>
                      <w:r w:rsidRPr="003C1E71">
                        <w:rPr>
                          <w:rFonts w:asciiTheme="minorHAnsi" w:hAnsiTheme="minorHAnsi" w:cstheme="minorHAnsi"/>
                          <w:color w:val="000000"/>
                          <w:sz w:val="20"/>
                          <w:szCs w:val="20"/>
                        </w:rPr>
                        <w:fldChar w:fldCharType="separate"/>
                      </w:r>
                      <w:r w:rsidRPr="003C1E71">
                        <w:rPr>
                          <w:rStyle w:val="m4173277756366121611msoendnotereference"/>
                          <w:rFonts w:asciiTheme="minorHAnsi" w:hAnsiTheme="minorHAnsi" w:cstheme="minorHAnsi"/>
                          <w:color w:val="000000"/>
                          <w:sz w:val="20"/>
                          <w:szCs w:val="20"/>
                          <w:u w:val="single"/>
                          <w:vertAlign w:val="superscript"/>
                          <w:lang w:val="en-US"/>
                        </w:rPr>
                        <w:t>[x]</w:t>
                      </w:r>
                      <w:r w:rsidRPr="003C1E71">
                        <w:rPr>
                          <w:rFonts w:asciiTheme="minorHAnsi" w:hAnsiTheme="minorHAnsi" w:cstheme="minorHAnsi"/>
                          <w:color w:val="000000"/>
                          <w:sz w:val="20"/>
                          <w:szCs w:val="20"/>
                        </w:rPr>
                        <w:fldChar w:fldCharType="end"/>
                      </w:r>
                      <w:bookmarkEnd w:id="47"/>
                      <w:r w:rsidRPr="003C1E71">
                        <w:rPr>
                          <w:rFonts w:asciiTheme="minorHAnsi" w:hAnsiTheme="minorHAnsi" w:cstheme="minorHAnsi"/>
                          <w:sz w:val="20"/>
                          <w:szCs w:val="20"/>
                        </w:rPr>
                        <w:t>. All systems need to adapt to COVID and related disruptions – </w:t>
                      </w:r>
                      <w:r w:rsidRPr="003C1E71">
                        <w:rPr>
                          <w:rFonts w:asciiTheme="minorHAnsi" w:hAnsiTheme="minorHAnsi" w:cstheme="minorHAnsi"/>
                          <w:b/>
                          <w:bCs/>
                          <w:sz w:val="20"/>
                          <w:szCs w:val="20"/>
                        </w:rPr>
                        <w:t>a learner-centred model will make the greatest difference</w:t>
                      </w:r>
                      <w:r w:rsidRPr="003C1E71">
                        <w:rPr>
                          <w:rFonts w:asciiTheme="minorHAnsi" w:hAnsiTheme="minorHAnsi" w:cstheme="minorHAnsi"/>
                          <w:sz w:val="20"/>
                          <w:szCs w:val="20"/>
                        </w:rPr>
                        <w:t>. </w:t>
                      </w:r>
                    </w:p>
                    <w:p w14:paraId="1F0DFE32" w14:textId="646DFA2C" w:rsidR="00F96637" w:rsidRPr="003C1E71" w:rsidRDefault="00F96637" w:rsidP="00F81FB5">
                      <w:pPr>
                        <w:pStyle w:val="m4173277756366121611msolistparagraph"/>
                        <w:numPr>
                          <w:ilvl w:val="0"/>
                          <w:numId w:val="60"/>
                        </w:numPr>
                        <w:shd w:val="clear" w:color="auto" w:fill="E7E6E6" w:themeFill="background2"/>
                        <w:tabs>
                          <w:tab w:val="clear" w:pos="720"/>
                          <w:tab w:val="num" w:pos="360"/>
                          <w:tab w:val="left" w:pos="2410"/>
                        </w:tabs>
                        <w:spacing w:before="0" w:beforeAutospacing="0" w:afterLines="60" w:after="144" w:afterAutospacing="0"/>
                        <w:ind w:left="357"/>
                        <w:rPr>
                          <w:rFonts w:asciiTheme="minorHAnsi" w:hAnsiTheme="minorHAnsi" w:cstheme="minorHAnsi"/>
                          <w:sz w:val="20"/>
                          <w:szCs w:val="20"/>
                        </w:rPr>
                      </w:pPr>
                      <w:r w:rsidRPr="003C1E71">
                        <w:rPr>
                          <w:rFonts w:asciiTheme="minorHAnsi" w:hAnsiTheme="minorHAnsi" w:cstheme="minorHAnsi"/>
                          <w:b/>
                          <w:bCs/>
                          <w:sz w:val="20"/>
                          <w:szCs w:val="20"/>
                        </w:rPr>
                        <w:t>Reimagine learning: </w:t>
                      </w:r>
                      <w:r w:rsidRPr="003C1E71">
                        <w:rPr>
                          <w:rFonts w:asciiTheme="minorHAnsi" w:hAnsiTheme="minorHAnsi" w:cstheme="minorHAnsi"/>
                          <w:sz w:val="20"/>
                          <w:szCs w:val="20"/>
                        </w:rPr>
                        <w:t>There is a great deal of energy around the power of innovation to drive a step-change in education and training. </w:t>
                      </w:r>
                      <w:r w:rsidRPr="003C1E71">
                        <w:rPr>
                          <w:rFonts w:asciiTheme="minorHAnsi" w:hAnsiTheme="minorHAnsi" w:cstheme="minorHAnsi"/>
                          <w:b/>
                          <w:bCs/>
                          <w:sz w:val="20"/>
                          <w:szCs w:val="20"/>
                        </w:rPr>
                        <w:t>Classrooms have barely changed in a century</w:t>
                      </w:r>
                      <w:r w:rsidRPr="003C1E71">
                        <w:rPr>
                          <w:rFonts w:asciiTheme="minorHAnsi" w:hAnsiTheme="minorHAnsi" w:cstheme="minorHAnsi"/>
                          <w:sz w:val="20"/>
                          <w:szCs w:val="20"/>
                        </w:rPr>
                        <w:t>, and COVID has enabled enormous experimentation in real-time, with at-scale approaches in distance, online and adaptive learning trialled around the world. There have been winners and losers, with the digital divide significant</w:t>
                      </w:r>
                      <w:bookmarkStart w:id="48" w:name="m_4173277756366121611__ednref11"/>
                      <w:r w:rsidRPr="003C1E71">
                        <w:rPr>
                          <w:rFonts w:asciiTheme="minorHAnsi" w:hAnsiTheme="minorHAnsi" w:cstheme="minorHAnsi"/>
                          <w:sz w:val="20"/>
                          <w:szCs w:val="20"/>
                        </w:rPr>
                        <w:fldChar w:fldCharType="begin"/>
                      </w:r>
                      <w:r>
                        <w:rPr>
                          <w:rFonts w:asciiTheme="minorHAnsi" w:hAnsiTheme="minorHAnsi" w:cstheme="minorHAnsi"/>
                          <w:sz w:val="20"/>
                          <w:szCs w:val="20"/>
                        </w:rPr>
                        <w:instrText>HYPERLINK  \l "m_4173277756366121611__edn11"</w:instrText>
                      </w:r>
                      <w:r w:rsidRPr="003C1E71">
                        <w:rPr>
                          <w:rFonts w:asciiTheme="minorHAnsi" w:hAnsiTheme="minorHAnsi" w:cstheme="minorHAnsi"/>
                          <w:sz w:val="20"/>
                          <w:szCs w:val="20"/>
                        </w:rPr>
                        <w:fldChar w:fldCharType="separate"/>
                      </w:r>
                      <w:r w:rsidRPr="003C1E71">
                        <w:rPr>
                          <w:rStyle w:val="Hyperlink"/>
                          <w:rFonts w:asciiTheme="minorHAnsi" w:hAnsiTheme="minorHAnsi" w:cstheme="minorHAnsi"/>
                          <w:color w:val="1F497D"/>
                          <w:sz w:val="20"/>
                          <w:szCs w:val="20"/>
                          <w:vertAlign w:val="superscript"/>
                        </w:rPr>
                        <w:t>[xi]</w:t>
                      </w:r>
                      <w:r w:rsidRPr="003C1E71">
                        <w:rPr>
                          <w:rFonts w:asciiTheme="minorHAnsi" w:hAnsiTheme="minorHAnsi" w:cstheme="minorHAnsi"/>
                          <w:sz w:val="20"/>
                          <w:szCs w:val="20"/>
                        </w:rPr>
                        <w:fldChar w:fldCharType="end"/>
                      </w:r>
                      <w:bookmarkEnd w:id="48"/>
                      <w:r w:rsidRPr="003C1E71">
                        <w:rPr>
                          <w:rFonts w:asciiTheme="minorHAnsi" w:hAnsiTheme="minorHAnsi" w:cstheme="minorHAnsi"/>
                          <w:sz w:val="20"/>
                          <w:szCs w:val="20"/>
                        </w:rPr>
                        <w:t>. </w:t>
                      </w:r>
                      <w:r w:rsidRPr="003C1E71">
                        <w:rPr>
                          <w:rFonts w:asciiTheme="minorHAnsi" w:hAnsiTheme="minorHAnsi" w:cstheme="minorHAnsi"/>
                          <w:b/>
                          <w:bCs/>
                          <w:sz w:val="20"/>
                          <w:szCs w:val="20"/>
                        </w:rPr>
                        <w:t>Australia has great strength in flexible approaches, and there is an opportunity to be a leader in education transformation</w:t>
                      </w:r>
                      <w:r w:rsidRPr="003C1E71">
                        <w:rPr>
                          <w:rFonts w:asciiTheme="minorHAnsi" w:hAnsiTheme="minorHAnsi" w:cstheme="minorHAnsi"/>
                          <w:sz w:val="20"/>
                          <w:szCs w:val="20"/>
                        </w:rPr>
                        <w:t>, featuring no-tech through to online approaches, modularisation of education and training, blended learning, micro-credentials, recognition of prior learning and dynamic approaches in partnership with industry. With a great need for education and training ‘smart catch-up’, and </w:t>
                      </w:r>
                      <w:r w:rsidRPr="003C1E71">
                        <w:rPr>
                          <w:rFonts w:asciiTheme="minorHAnsi" w:hAnsiTheme="minorHAnsi" w:cstheme="minorHAnsi"/>
                          <w:b/>
                          <w:bCs/>
                          <w:sz w:val="20"/>
                          <w:szCs w:val="20"/>
                        </w:rPr>
                        <w:t>with further disruptions likely, the moment for inclusive innovation is now</w:t>
                      </w:r>
                      <w:r w:rsidRPr="003C1E71">
                        <w:rPr>
                          <w:rFonts w:asciiTheme="minorHAnsi" w:hAnsiTheme="minorHAnsi" w:cstheme="minorHAnsi"/>
                          <w:sz w:val="20"/>
                          <w:szCs w:val="20"/>
                        </w:rPr>
                        <w:t>.</w:t>
                      </w:r>
                    </w:p>
                    <w:p w14:paraId="76DD90D0" w14:textId="492371DB" w:rsidR="00F96637" w:rsidRPr="003C1E71" w:rsidRDefault="00F96637" w:rsidP="00F81FB5">
                      <w:pPr>
                        <w:pStyle w:val="m4173277756366121611msolistparagraph"/>
                        <w:numPr>
                          <w:ilvl w:val="0"/>
                          <w:numId w:val="61"/>
                        </w:numPr>
                        <w:shd w:val="clear" w:color="auto" w:fill="E7E6E6" w:themeFill="background2"/>
                        <w:tabs>
                          <w:tab w:val="clear" w:pos="720"/>
                          <w:tab w:val="num" w:pos="360"/>
                          <w:tab w:val="left" w:pos="2410"/>
                        </w:tabs>
                        <w:spacing w:before="0" w:beforeAutospacing="0" w:afterLines="60" w:after="144" w:afterAutospacing="0"/>
                        <w:ind w:left="357"/>
                        <w:rPr>
                          <w:rFonts w:ascii="Calibri" w:hAnsi="Calibri" w:cs="Calibri"/>
                          <w:color w:val="1F497D"/>
                          <w:sz w:val="20"/>
                          <w:szCs w:val="20"/>
                        </w:rPr>
                      </w:pPr>
                      <w:r w:rsidRPr="003C1E71">
                        <w:rPr>
                          <w:rFonts w:ascii="Calibri" w:hAnsi="Calibri" w:cs="Calibri"/>
                          <w:b/>
                          <w:bCs/>
                          <w:sz w:val="20"/>
                          <w:szCs w:val="20"/>
                        </w:rPr>
                        <w:t>People-to-people links: </w:t>
                      </w:r>
                      <w:r w:rsidRPr="003C1E71">
                        <w:rPr>
                          <w:rFonts w:ascii="Calibri" w:hAnsi="Calibri" w:cs="Calibri"/>
                          <w:sz w:val="20"/>
                          <w:szCs w:val="20"/>
                        </w:rPr>
                        <w:t>With Australia Awards and international student flows heavily disrupted, the need to maintain inter-personal, industry level and national education and training connections is a clear priority. International goodwill and respect for Australia’s education and training system remains strong</w:t>
                      </w:r>
                      <w:bookmarkStart w:id="49" w:name="m_4173277756366121611__ednref12"/>
                      <w:r w:rsidRPr="003C1E71">
                        <w:rPr>
                          <w:rFonts w:ascii="Calibri" w:hAnsi="Calibri" w:cs="Calibri"/>
                          <w:color w:val="1F497D"/>
                          <w:sz w:val="20"/>
                          <w:szCs w:val="20"/>
                        </w:rPr>
                        <w:fldChar w:fldCharType="begin"/>
                      </w:r>
                      <w:r>
                        <w:rPr>
                          <w:rFonts w:ascii="Calibri" w:hAnsi="Calibri" w:cs="Calibri"/>
                          <w:color w:val="1F497D"/>
                          <w:sz w:val="20"/>
                          <w:szCs w:val="20"/>
                        </w:rPr>
                        <w:instrText>HYPERLINK  \l "m_4173277756366121611__edn12"</w:instrText>
                      </w:r>
                      <w:r w:rsidRPr="003C1E71">
                        <w:rPr>
                          <w:rFonts w:ascii="Calibri" w:hAnsi="Calibri" w:cs="Calibri"/>
                          <w:color w:val="1F497D"/>
                          <w:sz w:val="20"/>
                          <w:szCs w:val="20"/>
                        </w:rPr>
                        <w:fldChar w:fldCharType="separate"/>
                      </w:r>
                      <w:r w:rsidRPr="003C1E71">
                        <w:rPr>
                          <w:rStyle w:val="Hyperlink"/>
                          <w:rFonts w:ascii="Calibri" w:hAnsi="Calibri" w:cs="Calibri"/>
                          <w:color w:val="1F497D"/>
                          <w:sz w:val="20"/>
                          <w:szCs w:val="20"/>
                          <w:vertAlign w:val="superscript"/>
                        </w:rPr>
                        <w:t>[xii]</w:t>
                      </w:r>
                      <w:r w:rsidRPr="003C1E71">
                        <w:rPr>
                          <w:rFonts w:ascii="Calibri" w:hAnsi="Calibri" w:cs="Calibri"/>
                          <w:color w:val="1F497D"/>
                          <w:sz w:val="20"/>
                          <w:szCs w:val="20"/>
                        </w:rPr>
                        <w:fldChar w:fldCharType="end"/>
                      </w:r>
                      <w:bookmarkEnd w:id="49"/>
                      <w:r w:rsidRPr="003C1E71">
                        <w:rPr>
                          <w:rFonts w:ascii="Calibri" w:hAnsi="Calibri" w:cs="Calibri"/>
                          <w:sz w:val="20"/>
                          <w:szCs w:val="20"/>
                        </w:rPr>
                        <w:t>, but </w:t>
                      </w:r>
                      <w:r w:rsidRPr="003C1E71">
                        <w:rPr>
                          <w:rFonts w:ascii="Calibri" w:hAnsi="Calibri" w:cs="Calibri"/>
                          <w:b/>
                          <w:bCs/>
                          <w:sz w:val="20"/>
                          <w:szCs w:val="20"/>
                        </w:rPr>
                        <w:t>foreign policy, trade and development effort is needed to continually reinforce Australia as a provider of choice</w:t>
                      </w:r>
                      <w:r w:rsidRPr="003C1E71">
                        <w:rPr>
                          <w:rFonts w:ascii="Calibri" w:hAnsi="Calibri" w:cs="Calibri"/>
                          <w:sz w:val="20"/>
                          <w:szCs w:val="20"/>
                        </w:rPr>
                        <w:t>, built on expertise and excellence</w:t>
                      </w:r>
                      <w:bookmarkStart w:id="50" w:name="m_4173277756366121611__ednref13"/>
                      <w:r w:rsidRPr="003C1E71">
                        <w:rPr>
                          <w:rFonts w:ascii="Calibri" w:hAnsi="Calibri" w:cs="Calibri"/>
                          <w:color w:val="1F497D"/>
                          <w:sz w:val="20"/>
                          <w:szCs w:val="20"/>
                        </w:rPr>
                        <w:fldChar w:fldCharType="begin"/>
                      </w:r>
                      <w:r>
                        <w:rPr>
                          <w:rFonts w:ascii="Calibri" w:hAnsi="Calibri" w:cs="Calibri"/>
                          <w:color w:val="1F497D"/>
                          <w:sz w:val="20"/>
                          <w:szCs w:val="20"/>
                        </w:rPr>
                        <w:instrText>HYPERLINK  \l "m_4173277756366121611__edn13"</w:instrText>
                      </w:r>
                      <w:r w:rsidRPr="003C1E71">
                        <w:rPr>
                          <w:rFonts w:ascii="Calibri" w:hAnsi="Calibri" w:cs="Calibri"/>
                          <w:color w:val="1F497D"/>
                          <w:sz w:val="20"/>
                          <w:szCs w:val="20"/>
                        </w:rPr>
                        <w:fldChar w:fldCharType="separate"/>
                      </w:r>
                      <w:r w:rsidRPr="003C1E71">
                        <w:rPr>
                          <w:rStyle w:val="Hyperlink"/>
                          <w:rFonts w:ascii="Calibri" w:hAnsi="Calibri" w:cs="Calibri"/>
                          <w:color w:val="1F497D"/>
                          <w:sz w:val="20"/>
                          <w:szCs w:val="20"/>
                          <w:vertAlign w:val="superscript"/>
                        </w:rPr>
                        <w:t>[xiii]</w:t>
                      </w:r>
                      <w:r w:rsidRPr="003C1E71">
                        <w:rPr>
                          <w:rFonts w:ascii="Calibri" w:hAnsi="Calibri" w:cs="Calibri"/>
                          <w:color w:val="1F497D"/>
                          <w:sz w:val="20"/>
                          <w:szCs w:val="20"/>
                        </w:rPr>
                        <w:fldChar w:fldCharType="end"/>
                      </w:r>
                      <w:bookmarkEnd w:id="50"/>
                      <w:r w:rsidRPr="003C1E71">
                        <w:rPr>
                          <w:rFonts w:ascii="Calibri" w:hAnsi="Calibri" w:cs="Calibri"/>
                          <w:sz w:val="20"/>
                          <w:szCs w:val="20"/>
                        </w:rPr>
                        <w:t xml:space="preserve">. </w:t>
                      </w:r>
                      <w:r w:rsidRPr="000132AC">
                        <w:rPr>
                          <w:rFonts w:ascii="Calibri" w:hAnsi="Calibri" w:cs="Calibri"/>
                          <w:color w:val="000000" w:themeColor="text1"/>
                          <w:sz w:val="20"/>
                          <w:szCs w:val="20"/>
                        </w:rPr>
                        <w:t>(Source: DFAT, Forthcoming)</w:t>
                      </w:r>
                    </w:p>
                    <w:p w14:paraId="2D0974CC" w14:textId="2A2A5357"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78"/>
                        <w:rPr>
                          <w:rFonts w:asciiTheme="minorHAnsi" w:hAnsiTheme="minorHAnsi" w:cstheme="minorHAnsi"/>
                          <w:color w:val="000000" w:themeColor="text1"/>
                          <w:sz w:val="16"/>
                          <w:szCs w:val="16"/>
                        </w:rPr>
                      </w:pPr>
                      <w:bookmarkStart w:id="51" w:name="m_4173277756366121611__edn1"/>
                      <w:r w:rsidRPr="00A8698C">
                        <w:rPr>
                          <w:rStyle w:val="m4173277756366121611msoendnotereference"/>
                          <w:rFonts w:asciiTheme="minorHAnsi" w:eastAsiaTheme="minorEastAsia" w:hAnsiTheme="minorHAnsi" w:cstheme="minorHAnsi"/>
                          <w:color w:val="000000" w:themeColor="text1"/>
                          <w:sz w:val="16"/>
                          <w:szCs w:val="16"/>
                          <w:u w:val="single"/>
                          <w:vertAlign w:val="superscript"/>
                          <w:lang w:val="en-GB"/>
                        </w:rPr>
                        <w:t>[i]</w:t>
                      </w:r>
                      <w:bookmarkEnd w:id="51"/>
                      <w:r w:rsidRPr="00A8698C">
                        <w:rPr>
                          <w:rFonts w:asciiTheme="minorHAnsi" w:hAnsiTheme="minorHAnsi" w:cstheme="minorHAnsi"/>
                          <w:color w:val="000000" w:themeColor="text1"/>
                          <w:sz w:val="16"/>
                          <w:szCs w:val="16"/>
                          <w:lang w:val="en-GB"/>
                        </w:rPr>
                        <w:t> DFAT (2015) </w:t>
                      </w:r>
                      <w:hyperlink r:id="rId20" w:tgtFrame="_blank" w:history="1">
                        <w:r w:rsidRPr="00A8698C">
                          <w:rPr>
                            <w:rStyle w:val="Hyperlink"/>
                            <w:rFonts w:asciiTheme="minorHAnsi" w:eastAsiaTheme="majorEastAsia" w:hAnsiTheme="minorHAnsi" w:cstheme="minorHAnsi"/>
                            <w:i/>
                            <w:iCs/>
                            <w:color w:val="000000" w:themeColor="text1"/>
                            <w:sz w:val="16"/>
                            <w:szCs w:val="16"/>
                          </w:rPr>
                          <w:t>Strategy for Australia’s aid investments in education 2015–2020</w:t>
                        </w:r>
                      </w:hyperlink>
                      <w:r w:rsidRPr="00A8698C">
                        <w:rPr>
                          <w:rFonts w:asciiTheme="minorHAnsi" w:hAnsiTheme="minorHAnsi" w:cstheme="minorHAnsi"/>
                          <w:color w:val="000000" w:themeColor="text1"/>
                          <w:sz w:val="16"/>
                          <w:szCs w:val="16"/>
                          <w:lang w:val="en-GB"/>
                        </w:rPr>
                        <w:t>.</w:t>
                      </w:r>
                    </w:p>
                    <w:bookmarkStart w:id="52" w:name="m_4173277756366121611__edn2"/>
                    <w:p w14:paraId="5ED28C0D" w14:textId="77777777"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72"/>
                        <w:rPr>
                          <w:rFonts w:asciiTheme="minorHAnsi" w:hAnsiTheme="minorHAnsi" w:cstheme="minorHAnsi"/>
                          <w:color w:val="000000" w:themeColor="text1"/>
                          <w:sz w:val="16"/>
                          <w:szCs w:val="16"/>
                        </w:rPr>
                      </w:pPr>
                      <w:r w:rsidRPr="00A8698C">
                        <w:rPr>
                          <w:rFonts w:asciiTheme="minorHAnsi" w:hAnsiTheme="minorHAnsi" w:cstheme="minorHAnsi"/>
                          <w:color w:val="000000" w:themeColor="text1"/>
                          <w:sz w:val="16"/>
                          <w:szCs w:val="16"/>
                        </w:rPr>
                        <w:fldChar w:fldCharType="begin"/>
                      </w:r>
                      <w:r w:rsidRPr="00A8698C">
                        <w:rPr>
                          <w:rFonts w:asciiTheme="minorHAnsi" w:hAnsiTheme="minorHAnsi" w:cstheme="minorHAnsi"/>
                          <w:color w:val="000000" w:themeColor="text1"/>
                          <w:sz w:val="16"/>
                          <w:szCs w:val="16"/>
                        </w:rPr>
                        <w:instrText xml:space="preserve"> HYPERLINK "https://mail.google.com/mail/u/0/" \l "m_4173277756366121611__ednref2" \o "" </w:instrText>
                      </w:r>
                      <w:r w:rsidRPr="00A8698C">
                        <w:rPr>
                          <w:rFonts w:asciiTheme="minorHAnsi" w:hAnsiTheme="minorHAnsi" w:cstheme="minorHAnsi"/>
                          <w:color w:val="000000" w:themeColor="text1"/>
                          <w:sz w:val="16"/>
                          <w:szCs w:val="16"/>
                        </w:rPr>
                        <w:fldChar w:fldCharType="separate"/>
                      </w:r>
                      <w:r w:rsidRPr="00A8698C">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t>[ii]</w:t>
                      </w:r>
                      <w:r w:rsidRPr="00A8698C">
                        <w:rPr>
                          <w:rFonts w:asciiTheme="minorHAnsi" w:hAnsiTheme="minorHAnsi" w:cstheme="minorHAnsi"/>
                          <w:color w:val="000000" w:themeColor="text1"/>
                          <w:sz w:val="16"/>
                          <w:szCs w:val="16"/>
                        </w:rPr>
                        <w:fldChar w:fldCharType="end"/>
                      </w:r>
                      <w:bookmarkEnd w:id="52"/>
                      <w:r w:rsidRPr="00A8698C">
                        <w:rPr>
                          <w:rFonts w:asciiTheme="minorHAnsi" w:hAnsiTheme="minorHAnsi" w:cstheme="minorHAnsi"/>
                          <w:i/>
                          <w:iCs/>
                          <w:color w:val="000000" w:themeColor="text1"/>
                          <w:sz w:val="16"/>
                          <w:szCs w:val="16"/>
                          <w:lang w:val="en-GB"/>
                        </w:rPr>
                        <w:t> </w:t>
                      </w:r>
                      <w:r w:rsidRPr="00A8698C">
                        <w:rPr>
                          <w:rFonts w:asciiTheme="minorHAnsi" w:hAnsiTheme="minorHAnsi" w:cstheme="minorHAnsi"/>
                          <w:i/>
                          <w:iCs/>
                          <w:color w:val="000000" w:themeColor="text1"/>
                          <w:sz w:val="16"/>
                          <w:szCs w:val="16"/>
                          <w:lang w:val="en-US"/>
                        </w:rPr>
                        <w:t>Ibid</w:t>
                      </w:r>
                    </w:p>
                    <w:bookmarkStart w:id="53" w:name="m_4173277756366121611__edn3"/>
                    <w:p w14:paraId="4E53B5AC" w14:textId="77777777" w:rsidR="00F96637" w:rsidRPr="00A8698C" w:rsidRDefault="00F96637" w:rsidP="00F81FB5">
                      <w:pPr>
                        <w:pStyle w:val="ListParagraph"/>
                        <w:shd w:val="clear" w:color="auto" w:fill="E7E6E6" w:themeFill="background2"/>
                        <w:tabs>
                          <w:tab w:val="left" w:pos="2410"/>
                        </w:tabs>
                        <w:spacing w:line="240" w:lineRule="auto"/>
                        <w:ind w:left="372"/>
                        <w:rPr>
                          <w:rFonts w:cstheme="minorHAnsi"/>
                          <w:color w:val="000000" w:themeColor="text1"/>
                          <w:sz w:val="16"/>
                          <w:szCs w:val="16"/>
                        </w:rPr>
                      </w:pPr>
                      <w:r w:rsidRPr="00A8698C">
                        <w:rPr>
                          <w:rFonts w:cstheme="minorHAnsi"/>
                          <w:color w:val="000000" w:themeColor="text1"/>
                          <w:sz w:val="16"/>
                          <w:szCs w:val="16"/>
                        </w:rPr>
                        <w:fldChar w:fldCharType="begin"/>
                      </w:r>
                      <w:r w:rsidRPr="00A8698C">
                        <w:rPr>
                          <w:rFonts w:cstheme="minorHAnsi"/>
                          <w:color w:val="000000" w:themeColor="text1"/>
                          <w:sz w:val="16"/>
                          <w:szCs w:val="16"/>
                        </w:rPr>
                        <w:instrText xml:space="preserve"> HYPERLINK "https://mail.google.com/mail/u/0/" \l "m_4173277756366121611__ednref3" \o "" </w:instrText>
                      </w:r>
                      <w:r w:rsidRPr="00A8698C">
                        <w:rPr>
                          <w:rFonts w:cstheme="minorHAnsi"/>
                          <w:color w:val="000000" w:themeColor="text1"/>
                          <w:sz w:val="16"/>
                          <w:szCs w:val="16"/>
                        </w:rPr>
                        <w:fldChar w:fldCharType="separate"/>
                      </w:r>
                      <w:r w:rsidRPr="00A8698C">
                        <w:rPr>
                          <w:rStyle w:val="m4173277756366121611msoendnotereference"/>
                          <w:rFonts w:cstheme="minorHAnsi"/>
                          <w:b/>
                          <w:bCs/>
                          <w:i/>
                          <w:iCs/>
                          <w:color w:val="000000" w:themeColor="text1"/>
                          <w:sz w:val="16"/>
                          <w:szCs w:val="16"/>
                          <w:u w:val="single"/>
                          <w:vertAlign w:val="superscript"/>
                        </w:rPr>
                        <w:t>[iii]</w:t>
                      </w:r>
                      <w:r w:rsidRPr="00A8698C">
                        <w:rPr>
                          <w:rFonts w:cstheme="minorHAnsi"/>
                          <w:color w:val="000000" w:themeColor="text1"/>
                          <w:sz w:val="16"/>
                          <w:szCs w:val="16"/>
                        </w:rPr>
                        <w:fldChar w:fldCharType="end"/>
                      </w:r>
                      <w:bookmarkEnd w:id="53"/>
                      <w:r w:rsidRPr="00A8698C">
                        <w:rPr>
                          <w:rFonts w:cstheme="minorHAnsi"/>
                          <w:i/>
                          <w:iCs/>
                          <w:color w:val="000000" w:themeColor="text1"/>
                          <w:sz w:val="16"/>
                          <w:szCs w:val="16"/>
                        </w:rPr>
                        <w:t> UNICEF </w:t>
                      </w:r>
                      <w:r w:rsidRPr="00A8698C">
                        <w:rPr>
                          <w:rFonts w:cstheme="minorHAnsi"/>
                          <w:i/>
                          <w:iCs/>
                          <w:color w:val="000000" w:themeColor="text1"/>
                          <w:sz w:val="16"/>
                          <w:szCs w:val="16"/>
                          <w:lang w:val="en-US"/>
                        </w:rPr>
                        <w:t>(2018) </w:t>
                      </w:r>
                      <w:r w:rsidRPr="00A8698C">
                        <w:rPr>
                          <w:rFonts w:cstheme="minorHAnsi"/>
                          <w:i/>
                          <w:iCs/>
                          <w:color w:val="000000" w:themeColor="text1"/>
                          <w:sz w:val="16"/>
                          <w:szCs w:val="16"/>
                          <w:u w:val="single"/>
                          <w:lang w:val="en-US"/>
                        </w:rPr>
                        <w:t>Early Warning Systems for Students at Risk of Dropping Out: Policy and Practice Pointers for Enrolling All Children and Adolescents in School and Preventing Dropouts</w:t>
                      </w:r>
                    </w:p>
                    <w:bookmarkStart w:id="54" w:name="m_4173277756366121611__edn4"/>
                    <w:p w14:paraId="7C6D7759" w14:textId="718DBA8E" w:rsidR="00F96637" w:rsidRPr="00A8698C" w:rsidRDefault="00F96637" w:rsidP="00F81FB5">
                      <w:pPr>
                        <w:pStyle w:val="ListParagraph"/>
                        <w:shd w:val="clear" w:color="auto" w:fill="E7E6E6" w:themeFill="background2"/>
                        <w:tabs>
                          <w:tab w:val="left" w:pos="2410"/>
                        </w:tabs>
                        <w:spacing w:line="240" w:lineRule="auto"/>
                        <w:ind w:left="372"/>
                        <w:rPr>
                          <w:rFonts w:cstheme="minorHAnsi"/>
                          <w:color w:val="000000" w:themeColor="text1"/>
                          <w:sz w:val="16"/>
                          <w:szCs w:val="16"/>
                        </w:rPr>
                      </w:pPr>
                      <w:r w:rsidRPr="00A8698C">
                        <w:rPr>
                          <w:rFonts w:cstheme="minorHAnsi"/>
                          <w:color w:val="000000" w:themeColor="text1"/>
                          <w:sz w:val="16"/>
                          <w:szCs w:val="16"/>
                        </w:rPr>
                        <w:fldChar w:fldCharType="begin"/>
                      </w:r>
                      <w:r w:rsidRPr="00A8698C">
                        <w:rPr>
                          <w:rFonts w:cstheme="minorHAnsi"/>
                          <w:color w:val="000000" w:themeColor="text1"/>
                          <w:sz w:val="16"/>
                          <w:szCs w:val="16"/>
                        </w:rPr>
                        <w:instrText xml:space="preserve"> HYPERLINK "https://mail.google.com/mail/u/0/" \l "m_4173277756366121611__ednref4" \o "" </w:instrText>
                      </w:r>
                      <w:r w:rsidRPr="00A8698C">
                        <w:rPr>
                          <w:rFonts w:cstheme="minorHAnsi"/>
                          <w:color w:val="000000" w:themeColor="text1"/>
                          <w:sz w:val="16"/>
                          <w:szCs w:val="16"/>
                        </w:rPr>
                        <w:fldChar w:fldCharType="separate"/>
                      </w:r>
                      <w:r w:rsidRPr="00A8698C">
                        <w:rPr>
                          <w:rStyle w:val="m4173277756366121611msoendnotereference"/>
                          <w:rFonts w:cstheme="minorHAnsi"/>
                          <w:b/>
                          <w:bCs/>
                          <w:i/>
                          <w:iCs/>
                          <w:color w:val="000000" w:themeColor="text1"/>
                          <w:sz w:val="16"/>
                          <w:szCs w:val="16"/>
                          <w:u w:val="single"/>
                          <w:vertAlign w:val="superscript"/>
                        </w:rPr>
                        <w:t>[iv]</w:t>
                      </w:r>
                      <w:r w:rsidRPr="00A8698C">
                        <w:rPr>
                          <w:rFonts w:cstheme="minorHAnsi"/>
                          <w:color w:val="000000" w:themeColor="text1"/>
                          <w:sz w:val="16"/>
                          <w:szCs w:val="16"/>
                        </w:rPr>
                        <w:fldChar w:fldCharType="end"/>
                      </w:r>
                      <w:bookmarkEnd w:id="54"/>
                      <w:r w:rsidRPr="00A8698C">
                        <w:rPr>
                          <w:rFonts w:cstheme="minorHAnsi"/>
                          <w:i/>
                          <w:iCs/>
                          <w:color w:val="000000" w:themeColor="text1"/>
                          <w:sz w:val="16"/>
                          <w:szCs w:val="16"/>
                        </w:rPr>
                        <w:t> </w:t>
                      </w:r>
                      <w:r w:rsidRPr="00A8698C">
                        <w:rPr>
                          <w:rFonts w:cstheme="minorHAnsi"/>
                          <w:i/>
                          <w:iCs/>
                          <w:color w:val="000000" w:themeColor="text1"/>
                          <w:sz w:val="16"/>
                          <w:szCs w:val="16"/>
                          <w:lang w:val="en-US"/>
                        </w:rPr>
                        <w:t>UNESCO (2020) </w:t>
                      </w:r>
                      <w:r w:rsidRPr="00A8698C">
                        <w:rPr>
                          <w:rFonts w:cstheme="minorHAnsi"/>
                          <w:i/>
                          <w:iCs/>
                          <w:color w:val="000000" w:themeColor="text1"/>
                          <w:sz w:val="16"/>
                          <w:szCs w:val="16"/>
                          <w:u w:val="single"/>
                          <w:lang w:val="en-US"/>
                        </w:rPr>
                        <w:t>How many students are at risk of not returning to school</w:t>
                      </w:r>
                      <w:r w:rsidRPr="00A8698C">
                        <w:rPr>
                          <w:rFonts w:cstheme="minorHAnsi"/>
                          <w:i/>
                          <w:iCs/>
                          <w:color w:val="000000" w:themeColor="text1"/>
                          <w:sz w:val="16"/>
                          <w:szCs w:val="16"/>
                          <w:lang w:val="en-US"/>
                        </w:rPr>
                        <w:t>?</w:t>
                      </w:r>
                    </w:p>
                    <w:bookmarkStart w:id="55" w:name="m_4173277756366121611__edn5"/>
                    <w:p w14:paraId="0E8898CE" w14:textId="71419187"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72"/>
                        <w:rPr>
                          <w:rFonts w:asciiTheme="minorHAnsi" w:hAnsiTheme="minorHAnsi" w:cstheme="minorHAnsi"/>
                          <w:color w:val="000000" w:themeColor="text1"/>
                          <w:sz w:val="16"/>
                          <w:szCs w:val="16"/>
                        </w:rPr>
                      </w:pPr>
                      <w:r w:rsidRPr="00A8698C">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fldChar w:fldCharType="begin"/>
                      </w:r>
                      <w:r>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instrText>HYPERLINK "https://d.docs.live.net/1f5a5710269a5114/%5Bv%5D"</w:instrText>
                      </w:r>
                      <w:r w:rsidRPr="00A8698C">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fldChar w:fldCharType="separate"/>
                      </w:r>
                      <w:r w:rsidRPr="00A8698C">
                        <w:rPr>
                          <w:rStyle w:val="Hyperlink"/>
                          <w:rFonts w:asciiTheme="minorHAnsi" w:eastAsiaTheme="minorEastAsia" w:hAnsiTheme="minorHAnsi" w:cstheme="minorHAnsi"/>
                          <w:b/>
                          <w:bCs/>
                          <w:i/>
                          <w:iCs/>
                          <w:color w:val="000000" w:themeColor="text1"/>
                          <w:sz w:val="16"/>
                          <w:szCs w:val="16"/>
                          <w:vertAlign w:val="superscript"/>
                          <w:lang w:val="en-GB"/>
                        </w:rPr>
                        <w:t>[v]</w:t>
                      </w:r>
                      <w:bookmarkEnd w:id="55"/>
                      <w:r w:rsidRPr="00A8698C">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fldChar w:fldCharType="end"/>
                      </w:r>
                      <w:r w:rsidRPr="00A8698C">
                        <w:rPr>
                          <w:rFonts w:asciiTheme="minorHAnsi" w:hAnsiTheme="minorHAnsi" w:cstheme="minorHAnsi"/>
                          <w:i/>
                          <w:iCs/>
                          <w:color w:val="000000" w:themeColor="text1"/>
                          <w:sz w:val="16"/>
                          <w:szCs w:val="16"/>
                          <w:lang w:val="en-GB"/>
                        </w:rPr>
                        <w:t> </w:t>
                      </w:r>
                      <w:hyperlink r:id="rId21" w:tgtFrame="_blank" w:history="1">
                        <w:r w:rsidRPr="00A8698C">
                          <w:rPr>
                            <w:rStyle w:val="Hyperlink"/>
                            <w:rFonts w:asciiTheme="minorHAnsi" w:eastAsiaTheme="majorEastAsia" w:hAnsiTheme="minorHAnsi" w:cstheme="minorHAnsi"/>
                            <w:i/>
                            <w:iCs/>
                            <w:color w:val="000000" w:themeColor="text1"/>
                            <w:sz w:val="16"/>
                            <w:szCs w:val="16"/>
                          </w:rPr>
                          <w:t>https://www.povertyactionlab.org/case-study/parental-engagement-improve-childrens-schooling</w:t>
                        </w:r>
                      </w:hyperlink>
                    </w:p>
                    <w:bookmarkStart w:id="56" w:name="m_4173277756366121611__edn6"/>
                    <w:p w14:paraId="295AD9E6" w14:textId="6F056772"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72"/>
                        <w:rPr>
                          <w:rFonts w:asciiTheme="minorHAnsi" w:hAnsiTheme="minorHAnsi" w:cstheme="minorHAnsi"/>
                          <w:color w:val="000000" w:themeColor="text1"/>
                          <w:sz w:val="16"/>
                          <w:szCs w:val="16"/>
                        </w:rPr>
                      </w:pPr>
                      <w:r w:rsidRPr="00A8698C">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fldChar w:fldCharType="begin"/>
                      </w:r>
                      <w:r>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instrText>HYPERLINK "https://d.docs.live.net/1f5a5710269a5114/%5Bvi%5D"</w:instrText>
                      </w:r>
                      <w:r w:rsidRPr="00A8698C">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fldChar w:fldCharType="separate"/>
                      </w:r>
                      <w:r w:rsidRPr="00A8698C">
                        <w:rPr>
                          <w:rStyle w:val="Hyperlink"/>
                          <w:rFonts w:asciiTheme="minorHAnsi" w:eastAsiaTheme="minorEastAsia" w:hAnsiTheme="minorHAnsi" w:cstheme="minorHAnsi"/>
                          <w:b/>
                          <w:bCs/>
                          <w:i/>
                          <w:iCs/>
                          <w:color w:val="000000" w:themeColor="text1"/>
                          <w:sz w:val="16"/>
                          <w:szCs w:val="16"/>
                          <w:vertAlign w:val="superscript"/>
                          <w:lang w:val="en-GB"/>
                        </w:rPr>
                        <w:t>[vi]</w:t>
                      </w:r>
                      <w:bookmarkEnd w:id="56"/>
                      <w:r w:rsidRPr="00A8698C">
                        <w:rPr>
                          <w:rStyle w:val="m4173277756366121611msoendnotereference"/>
                          <w:rFonts w:asciiTheme="minorHAnsi" w:eastAsiaTheme="minorEastAsia" w:hAnsiTheme="minorHAnsi" w:cstheme="minorHAnsi"/>
                          <w:b/>
                          <w:bCs/>
                          <w:i/>
                          <w:iCs/>
                          <w:color w:val="000000" w:themeColor="text1"/>
                          <w:sz w:val="16"/>
                          <w:szCs w:val="16"/>
                          <w:u w:val="single"/>
                          <w:vertAlign w:val="superscript"/>
                          <w:lang w:val="en-GB"/>
                        </w:rPr>
                        <w:fldChar w:fldCharType="end"/>
                      </w:r>
                      <w:r w:rsidRPr="00A8698C">
                        <w:rPr>
                          <w:rFonts w:asciiTheme="minorHAnsi" w:hAnsiTheme="minorHAnsi" w:cstheme="minorHAnsi"/>
                          <w:i/>
                          <w:iCs/>
                          <w:color w:val="000000" w:themeColor="text1"/>
                          <w:sz w:val="16"/>
                          <w:szCs w:val="16"/>
                          <w:lang w:val="en-GB"/>
                        </w:rPr>
                        <w:t> </w:t>
                      </w:r>
                      <w:hyperlink r:id="rId22" w:tgtFrame="_blank" w:history="1">
                        <w:r w:rsidRPr="00A8698C">
                          <w:rPr>
                            <w:rStyle w:val="Hyperlink"/>
                            <w:rFonts w:asciiTheme="minorHAnsi" w:eastAsiaTheme="majorEastAsia" w:hAnsiTheme="minorHAnsi" w:cstheme="minorHAnsi"/>
                            <w:i/>
                            <w:iCs/>
                            <w:color w:val="000000" w:themeColor="text1"/>
                            <w:sz w:val="16"/>
                            <w:szCs w:val="16"/>
                          </w:rPr>
                          <w:t>https://www.brookings.edu/blog/education-plus-development/2020/10/21/can-new-forms-of-parent-engagement-be-an-education-game-changer-post-covid-19/</w:t>
                        </w:r>
                      </w:hyperlink>
                    </w:p>
                    <w:bookmarkStart w:id="57" w:name="m_4173277756366121611__edn7"/>
                    <w:p w14:paraId="1D6615D6" w14:textId="77777777"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57"/>
                        <w:rPr>
                          <w:rFonts w:asciiTheme="minorHAnsi" w:hAnsiTheme="minorHAnsi" w:cstheme="minorHAnsi"/>
                          <w:color w:val="000000" w:themeColor="text1"/>
                          <w:sz w:val="16"/>
                          <w:szCs w:val="16"/>
                        </w:rPr>
                      </w:pPr>
                      <w:r w:rsidRPr="00A8698C">
                        <w:rPr>
                          <w:rFonts w:asciiTheme="minorHAnsi" w:hAnsiTheme="minorHAnsi" w:cstheme="minorHAnsi"/>
                          <w:color w:val="000000" w:themeColor="text1"/>
                          <w:sz w:val="16"/>
                          <w:szCs w:val="16"/>
                        </w:rPr>
                        <w:fldChar w:fldCharType="begin"/>
                      </w:r>
                      <w:r w:rsidRPr="00A8698C">
                        <w:rPr>
                          <w:rFonts w:asciiTheme="minorHAnsi" w:hAnsiTheme="minorHAnsi" w:cstheme="minorHAnsi"/>
                          <w:color w:val="000000" w:themeColor="text1"/>
                          <w:sz w:val="16"/>
                          <w:szCs w:val="16"/>
                        </w:rPr>
                        <w:instrText xml:space="preserve"> HYPERLINK "https://mail.google.com/mail/u/0/" \l "m_4173277756366121611__ednref7" \o "" </w:instrText>
                      </w:r>
                      <w:r w:rsidRPr="00A8698C">
                        <w:rPr>
                          <w:rFonts w:asciiTheme="minorHAnsi" w:hAnsiTheme="minorHAnsi" w:cstheme="minorHAnsi"/>
                          <w:color w:val="000000" w:themeColor="text1"/>
                          <w:sz w:val="16"/>
                          <w:szCs w:val="16"/>
                        </w:rPr>
                        <w:fldChar w:fldCharType="separate"/>
                      </w:r>
                      <w:r w:rsidRPr="00A8698C">
                        <w:rPr>
                          <w:rStyle w:val="m4173277756366121611msoendnotereference"/>
                          <w:rFonts w:asciiTheme="minorHAnsi" w:eastAsiaTheme="minorEastAsia" w:hAnsiTheme="minorHAnsi" w:cstheme="minorHAnsi"/>
                          <w:color w:val="000000" w:themeColor="text1"/>
                          <w:sz w:val="16"/>
                          <w:szCs w:val="16"/>
                          <w:u w:val="single"/>
                          <w:vertAlign w:val="superscript"/>
                          <w:lang w:val="en-GB"/>
                        </w:rPr>
                        <w:t>[vii]</w:t>
                      </w:r>
                      <w:r w:rsidRPr="00A8698C">
                        <w:rPr>
                          <w:rFonts w:asciiTheme="minorHAnsi" w:hAnsiTheme="minorHAnsi" w:cstheme="minorHAnsi"/>
                          <w:color w:val="000000" w:themeColor="text1"/>
                          <w:sz w:val="16"/>
                          <w:szCs w:val="16"/>
                        </w:rPr>
                        <w:fldChar w:fldCharType="end"/>
                      </w:r>
                      <w:bookmarkEnd w:id="57"/>
                      <w:r w:rsidRPr="00A8698C">
                        <w:rPr>
                          <w:rFonts w:asciiTheme="minorHAnsi" w:hAnsiTheme="minorHAnsi" w:cstheme="minorHAnsi"/>
                          <w:color w:val="000000" w:themeColor="text1"/>
                          <w:sz w:val="16"/>
                          <w:szCs w:val="16"/>
                          <w:lang w:val="en-GB"/>
                        </w:rPr>
                        <w:t> World Bank (2019) ‘</w:t>
                      </w:r>
                      <w:hyperlink r:id="rId23" w:tgtFrame="_blank" w:history="1">
                        <w:r w:rsidRPr="00A8698C">
                          <w:rPr>
                            <w:rStyle w:val="Hyperlink"/>
                            <w:rFonts w:asciiTheme="minorHAnsi" w:eastAsiaTheme="majorEastAsia" w:hAnsiTheme="minorHAnsi" w:cstheme="minorHAnsi"/>
                            <w:color w:val="000000" w:themeColor="text1"/>
                            <w:sz w:val="16"/>
                            <w:szCs w:val="16"/>
                          </w:rPr>
                          <w:t>Learning Poverty</w:t>
                        </w:r>
                      </w:hyperlink>
                      <w:r w:rsidRPr="00A8698C">
                        <w:rPr>
                          <w:rFonts w:asciiTheme="minorHAnsi" w:hAnsiTheme="minorHAnsi" w:cstheme="minorHAnsi"/>
                          <w:color w:val="000000" w:themeColor="text1"/>
                          <w:sz w:val="16"/>
                          <w:szCs w:val="16"/>
                          <w:lang w:val="en-GB"/>
                        </w:rPr>
                        <w:t>’.</w:t>
                      </w:r>
                    </w:p>
                    <w:bookmarkStart w:id="58" w:name="m_4173277756366121611__edn8"/>
                    <w:p w14:paraId="70607EF1" w14:textId="77777777"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57"/>
                        <w:rPr>
                          <w:rFonts w:asciiTheme="minorHAnsi" w:hAnsiTheme="minorHAnsi" w:cstheme="minorHAnsi"/>
                          <w:color w:val="000000" w:themeColor="text1"/>
                          <w:sz w:val="16"/>
                          <w:szCs w:val="16"/>
                        </w:rPr>
                      </w:pPr>
                      <w:r w:rsidRPr="00A8698C">
                        <w:rPr>
                          <w:rFonts w:asciiTheme="minorHAnsi" w:hAnsiTheme="minorHAnsi" w:cstheme="minorHAnsi"/>
                          <w:color w:val="000000" w:themeColor="text1"/>
                          <w:sz w:val="16"/>
                          <w:szCs w:val="16"/>
                        </w:rPr>
                        <w:fldChar w:fldCharType="begin"/>
                      </w:r>
                      <w:r w:rsidRPr="00A8698C">
                        <w:rPr>
                          <w:rFonts w:asciiTheme="minorHAnsi" w:hAnsiTheme="minorHAnsi" w:cstheme="minorHAnsi"/>
                          <w:color w:val="000000" w:themeColor="text1"/>
                          <w:sz w:val="16"/>
                          <w:szCs w:val="16"/>
                        </w:rPr>
                        <w:instrText xml:space="preserve"> HYPERLINK "https://mail.google.com/mail/u/0/" \l "m_4173277756366121611__ednref8" \o "" </w:instrText>
                      </w:r>
                      <w:r w:rsidRPr="00A8698C">
                        <w:rPr>
                          <w:rFonts w:asciiTheme="minorHAnsi" w:hAnsiTheme="minorHAnsi" w:cstheme="minorHAnsi"/>
                          <w:color w:val="000000" w:themeColor="text1"/>
                          <w:sz w:val="16"/>
                          <w:szCs w:val="16"/>
                        </w:rPr>
                        <w:fldChar w:fldCharType="separate"/>
                      </w:r>
                      <w:r w:rsidRPr="00A8698C">
                        <w:rPr>
                          <w:rStyle w:val="m4173277756366121611msoendnotereference"/>
                          <w:rFonts w:asciiTheme="minorHAnsi" w:eastAsiaTheme="minorEastAsia" w:hAnsiTheme="minorHAnsi" w:cstheme="minorHAnsi"/>
                          <w:color w:val="000000" w:themeColor="text1"/>
                          <w:sz w:val="16"/>
                          <w:szCs w:val="16"/>
                          <w:u w:val="single"/>
                          <w:vertAlign w:val="superscript"/>
                          <w:lang w:val="en-GB"/>
                        </w:rPr>
                        <w:t>[viii]</w:t>
                      </w:r>
                      <w:r w:rsidRPr="00A8698C">
                        <w:rPr>
                          <w:rFonts w:asciiTheme="minorHAnsi" w:hAnsiTheme="minorHAnsi" w:cstheme="minorHAnsi"/>
                          <w:color w:val="000000" w:themeColor="text1"/>
                          <w:sz w:val="16"/>
                          <w:szCs w:val="16"/>
                        </w:rPr>
                        <w:fldChar w:fldCharType="end"/>
                      </w:r>
                      <w:bookmarkEnd w:id="58"/>
                      <w:r w:rsidRPr="00A8698C">
                        <w:rPr>
                          <w:rFonts w:asciiTheme="minorHAnsi" w:hAnsiTheme="minorHAnsi" w:cstheme="minorHAnsi"/>
                          <w:color w:val="000000" w:themeColor="text1"/>
                          <w:sz w:val="16"/>
                          <w:szCs w:val="16"/>
                          <w:lang w:val="en-GB"/>
                        </w:rPr>
                        <w:t> J-PAL (n.d.) ‘</w:t>
                      </w:r>
                      <w:hyperlink r:id="rId24" w:tgtFrame="_blank" w:history="1">
                        <w:r w:rsidRPr="00A8698C">
                          <w:rPr>
                            <w:rStyle w:val="Hyperlink"/>
                            <w:rFonts w:asciiTheme="minorHAnsi" w:eastAsiaTheme="majorEastAsia" w:hAnsiTheme="minorHAnsi" w:cstheme="minorHAnsi"/>
                            <w:color w:val="000000" w:themeColor="text1"/>
                            <w:sz w:val="16"/>
                            <w:szCs w:val="16"/>
                          </w:rPr>
                          <w:t>Teaching at the Right Level to improve learning</w:t>
                        </w:r>
                      </w:hyperlink>
                      <w:r w:rsidRPr="00A8698C">
                        <w:rPr>
                          <w:rFonts w:asciiTheme="minorHAnsi" w:hAnsiTheme="minorHAnsi" w:cstheme="minorHAnsi"/>
                          <w:color w:val="000000" w:themeColor="text1"/>
                          <w:sz w:val="16"/>
                          <w:szCs w:val="16"/>
                          <w:lang w:val="en-GB"/>
                        </w:rPr>
                        <w:t>’.</w:t>
                      </w:r>
                    </w:p>
                    <w:bookmarkStart w:id="59" w:name="m_4173277756366121611__edn9"/>
                    <w:p w14:paraId="40F2D957" w14:textId="77777777"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60"/>
                        <w:rPr>
                          <w:rFonts w:ascii="Calibri" w:hAnsi="Calibri" w:cs="Calibri"/>
                          <w:color w:val="000000" w:themeColor="text1"/>
                          <w:sz w:val="16"/>
                          <w:szCs w:val="16"/>
                        </w:rPr>
                      </w:pPr>
                      <w:r w:rsidRPr="00A8698C">
                        <w:rPr>
                          <w:rFonts w:ascii="Calibri" w:hAnsi="Calibri" w:cs="Calibri"/>
                          <w:color w:val="000000" w:themeColor="text1"/>
                          <w:sz w:val="16"/>
                          <w:szCs w:val="16"/>
                        </w:rPr>
                        <w:fldChar w:fldCharType="begin"/>
                      </w:r>
                      <w:r w:rsidRPr="00A8698C">
                        <w:rPr>
                          <w:rFonts w:ascii="Calibri" w:hAnsi="Calibri" w:cs="Calibri"/>
                          <w:color w:val="000000" w:themeColor="text1"/>
                          <w:sz w:val="16"/>
                          <w:szCs w:val="16"/>
                        </w:rPr>
                        <w:instrText xml:space="preserve"> HYPERLINK "https://mail.google.com/mail/u/0/" \l "m_4173277756366121611__ednref9" \o "" </w:instrText>
                      </w:r>
                      <w:r w:rsidRPr="00A8698C">
                        <w:rPr>
                          <w:rFonts w:ascii="Calibri" w:hAnsi="Calibri" w:cs="Calibri"/>
                          <w:color w:val="000000" w:themeColor="text1"/>
                          <w:sz w:val="16"/>
                          <w:szCs w:val="16"/>
                        </w:rPr>
                        <w:fldChar w:fldCharType="separate"/>
                      </w:r>
                      <w:r w:rsidRPr="00A8698C">
                        <w:rPr>
                          <w:rStyle w:val="m4173277756366121611msoendnotereference"/>
                          <w:rFonts w:ascii="Calibri" w:eastAsiaTheme="minorEastAsia" w:hAnsi="Calibri" w:cs="Calibri"/>
                          <w:b/>
                          <w:bCs/>
                          <w:i/>
                          <w:iCs/>
                          <w:color w:val="000000" w:themeColor="text1"/>
                          <w:sz w:val="16"/>
                          <w:szCs w:val="16"/>
                          <w:u w:val="single"/>
                          <w:vertAlign w:val="superscript"/>
                          <w:lang w:val="en-GB"/>
                        </w:rPr>
                        <w:t>[ix]</w:t>
                      </w:r>
                      <w:r w:rsidRPr="00A8698C">
                        <w:rPr>
                          <w:rFonts w:ascii="Calibri" w:hAnsi="Calibri" w:cs="Calibri"/>
                          <w:color w:val="000000" w:themeColor="text1"/>
                          <w:sz w:val="16"/>
                          <w:szCs w:val="16"/>
                        </w:rPr>
                        <w:fldChar w:fldCharType="end"/>
                      </w:r>
                      <w:bookmarkEnd w:id="59"/>
                      <w:r w:rsidRPr="00A8698C">
                        <w:rPr>
                          <w:rFonts w:ascii="Calibri" w:hAnsi="Calibri" w:cs="Calibri"/>
                          <w:i/>
                          <w:iCs/>
                          <w:color w:val="000000" w:themeColor="text1"/>
                          <w:sz w:val="16"/>
                          <w:szCs w:val="16"/>
                          <w:lang w:val="en-GB"/>
                        </w:rPr>
                        <w:t> </w:t>
                      </w:r>
                      <w:hyperlink r:id="rId25" w:tgtFrame="_blank" w:history="1">
                        <w:r w:rsidRPr="00A8698C">
                          <w:rPr>
                            <w:rStyle w:val="Hyperlink"/>
                            <w:rFonts w:ascii="Calibri" w:eastAsiaTheme="majorEastAsia" w:hAnsi="Calibri" w:cs="Calibri"/>
                            <w:i/>
                            <w:iCs/>
                            <w:color w:val="000000" w:themeColor="text1"/>
                            <w:sz w:val="16"/>
                            <w:szCs w:val="16"/>
                          </w:rPr>
                          <w:t>https://www.teachingattherightlevel.org/</w:t>
                        </w:r>
                      </w:hyperlink>
                    </w:p>
                    <w:bookmarkStart w:id="60" w:name="m_4173277756366121611__edn10"/>
                    <w:p w14:paraId="3F88A6C3" w14:textId="77777777"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60"/>
                        <w:rPr>
                          <w:rFonts w:ascii="Calibri" w:hAnsi="Calibri" w:cs="Calibri"/>
                          <w:color w:val="000000" w:themeColor="text1"/>
                          <w:sz w:val="16"/>
                          <w:szCs w:val="16"/>
                        </w:rPr>
                      </w:pPr>
                      <w:r w:rsidRPr="00A8698C">
                        <w:rPr>
                          <w:rFonts w:ascii="Calibri" w:hAnsi="Calibri" w:cs="Calibri"/>
                          <w:color w:val="000000" w:themeColor="text1"/>
                          <w:sz w:val="16"/>
                          <w:szCs w:val="16"/>
                        </w:rPr>
                        <w:fldChar w:fldCharType="begin"/>
                      </w:r>
                      <w:r w:rsidRPr="00A8698C">
                        <w:rPr>
                          <w:rFonts w:ascii="Calibri" w:hAnsi="Calibri" w:cs="Calibri"/>
                          <w:color w:val="000000" w:themeColor="text1"/>
                          <w:sz w:val="16"/>
                          <w:szCs w:val="16"/>
                        </w:rPr>
                        <w:instrText xml:space="preserve"> HYPERLINK "https://mail.google.com/mail/u/0/" \l "m_4173277756366121611__ednref10" \o "" </w:instrText>
                      </w:r>
                      <w:r w:rsidRPr="00A8698C">
                        <w:rPr>
                          <w:rFonts w:ascii="Calibri" w:hAnsi="Calibri" w:cs="Calibri"/>
                          <w:color w:val="000000" w:themeColor="text1"/>
                          <w:sz w:val="16"/>
                          <w:szCs w:val="16"/>
                        </w:rPr>
                        <w:fldChar w:fldCharType="separate"/>
                      </w:r>
                      <w:r w:rsidRPr="00A8698C">
                        <w:rPr>
                          <w:rStyle w:val="m4173277756366121611msoendnotereference"/>
                          <w:rFonts w:ascii="Calibri" w:eastAsiaTheme="minorEastAsia" w:hAnsi="Calibri" w:cs="Calibri"/>
                          <w:b/>
                          <w:bCs/>
                          <w:i/>
                          <w:iCs/>
                          <w:color w:val="000000" w:themeColor="text1"/>
                          <w:sz w:val="16"/>
                          <w:szCs w:val="16"/>
                          <w:u w:val="single"/>
                          <w:vertAlign w:val="superscript"/>
                          <w:lang w:val="en-GB"/>
                        </w:rPr>
                        <w:t>[x]</w:t>
                      </w:r>
                      <w:r w:rsidRPr="00A8698C">
                        <w:rPr>
                          <w:rFonts w:ascii="Calibri" w:hAnsi="Calibri" w:cs="Calibri"/>
                          <w:color w:val="000000" w:themeColor="text1"/>
                          <w:sz w:val="16"/>
                          <w:szCs w:val="16"/>
                        </w:rPr>
                        <w:fldChar w:fldCharType="end"/>
                      </w:r>
                      <w:bookmarkEnd w:id="60"/>
                      <w:r w:rsidRPr="00A8698C">
                        <w:rPr>
                          <w:rFonts w:ascii="Calibri" w:hAnsi="Calibri" w:cs="Calibri"/>
                          <w:i/>
                          <w:iCs/>
                          <w:color w:val="000000" w:themeColor="text1"/>
                          <w:sz w:val="16"/>
                          <w:szCs w:val="16"/>
                          <w:lang w:val="en-GB"/>
                        </w:rPr>
                        <w:t> </w:t>
                      </w:r>
                      <w:r w:rsidRPr="00A8698C">
                        <w:rPr>
                          <w:rFonts w:ascii="Calibri" w:hAnsi="Calibri" w:cs="Calibri"/>
                          <w:i/>
                          <w:iCs/>
                          <w:color w:val="000000" w:themeColor="text1"/>
                          <w:sz w:val="16"/>
                          <w:szCs w:val="16"/>
                          <w:lang w:val="en-US"/>
                        </w:rPr>
                        <w:t>Global Education Advisory Panel (2020): </w:t>
                      </w:r>
                      <w:r w:rsidRPr="00A8698C">
                        <w:rPr>
                          <w:rFonts w:ascii="Calibri" w:hAnsi="Calibri" w:cs="Calibri"/>
                          <w:i/>
                          <w:iCs/>
                          <w:color w:val="000000" w:themeColor="text1"/>
                          <w:sz w:val="16"/>
                          <w:szCs w:val="16"/>
                          <w:u w:val="single"/>
                          <w:lang w:val="en-US"/>
                        </w:rPr>
                        <w:t>Collective approaches to improve global learning: what does recent evidence tell us are “Smart Buys” for improving learning in low and middle-income countrie</w:t>
                      </w:r>
                      <w:r w:rsidRPr="00A8698C">
                        <w:rPr>
                          <w:rFonts w:ascii="Calibri" w:hAnsi="Calibri" w:cs="Calibri"/>
                          <w:i/>
                          <w:iCs/>
                          <w:color w:val="000000" w:themeColor="text1"/>
                          <w:sz w:val="16"/>
                          <w:szCs w:val="16"/>
                          <w:lang w:val="en-US"/>
                        </w:rPr>
                        <w:t>s?</w:t>
                      </w:r>
                    </w:p>
                    <w:bookmarkStart w:id="61" w:name="m_4173277756366121611__edn11"/>
                    <w:p w14:paraId="78725D9B" w14:textId="77777777" w:rsidR="00F96637" w:rsidRPr="004E780D" w:rsidRDefault="00F96637" w:rsidP="00F81FB5">
                      <w:pPr>
                        <w:pStyle w:val="m4173277756366121611msoendnotetext"/>
                        <w:shd w:val="clear" w:color="auto" w:fill="E7E6E6" w:themeFill="background2"/>
                        <w:tabs>
                          <w:tab w:val="left" w:pos="2410"/>
                        </w:tabs>
                        <w:spacing w:before="0" w:beforeAutospacing="0" w:after="0" w:afterAutospacing="0"/>
                        <w:ind w:left="360"/>
                        <w:rPr>
                          <w:rFonts w:ascii="Calibri" w:hAnsi="Calibri" w:cs="Calibri"/>
                          <w:color w:val="000000" w:themeColor="text1"/>
                          <w:sz w:val="20"/>
                          <w:szCs w:val="20"/>
                          <w:lang w:val="nb-NO"/>
                        </w:rPr>
                      </w:pPr>
                      <w:r w:rsidRPr="00A8698C">
                        <w:rPr>
                          <w:rFonts w:ascii="Calibri" w:hAnsi="Calibri" w:cs="Calibri"/>
                          <w:color w:val="000000" w:themeColor="text1"/>
                          <w:sz w:val="20"/>
                          <w:szCs w:val="20"/>
                        </w:rPr>
                        <w:fldChar w:fldCharType="begin"/>
                      </w:r>
                      <w:r w:rsidRPr="004E780D">
                        <w:rPr>
                          <w:rFonts w:ascii="Calibri" w:hAnsi="Calibri" w:cs="Calibri"/>
                          <w:color w:val="000000" w:themeColor="text1"/>
                          <w:sz w:val="20"/>
                          <w:szCs w:val="20"/>
                          <w:lang w:val="nb-NO"/>
                        </w:rPr>
                        <w:instrText xml:space="preserve"> HYPERLINK "https://mail.google.com/mail/u/0/" \l "m_4173277756366121611__ednref11" \o "" </w:instrText>
                      </w:r>
                      <w:r w:rsidRPr="00A8698C">
                        <w:rPr>
                          <w:rFonts w:ascii="Calibri" w:hAnsi="Calibri" w:cs="Calibri"/>
                          <w:color w:val="000000" w:themeColor="text1"/>
                          <w:sz w:val="20"/>
                          <w:szCs w:val="20"/>
                        </w:rPr>
                        <w:fldChar w:fldCharType="separate"/>
                      </w:r>
                      <w:r w:rsidRPr="004E780D">
                        <w:rPr>
                          <w:rStyle w:val="m4173277756366121611msoendnotereference"/>
                          <w:rFonts w:ascii="Calibri" w:eastAsiaTheme="minorEastAsia" w:hAnsi="Calibri" w:cs="Calibri"/>
                          <w:color w:val="000000" w:themeColor="text1"/>
                          <w:sz w:val="20"/>
                          <w:szCs w:val="20"/>
                          <w:u w:val="single"/>
                          <w:vertAlign w:val="superscript"/>
                          <w:lang w:val="nb-NO"/>
                        </w:rPr>
                        <w:t>[xi]</w:t>
                      </w:r>
                      <w:r w:rsidRPr="00A8698C">
                        <w:rPr>
                          <w:rFonts w:ascii="Calibri" w:hAnsi="Calibri" w:cs="Calibri"/>
                          <w:color w:val="000000" w:themeColor="text1"/>
                          <w:sz w:val="20"/>
                          <w:szCs w:val="20"/>
                        </w:rPr>
                        <w:fldChar w:fldCharType="end"/>
                      </w:r>
                      <w:bookmarkEnd w:id="61"/>
                      <w:r w:rsidRPr="004E780D">
                        <w:rPr>
                          <w:rFonts w:ascii="Calibri" w:hAnsi="Calibri" w:cs="Calibri"/>
                          <w:color w:val="000000" w:themeColor="text1"/>
                          <w:sz w:val="20"/>
                          <w:szCs w:val="20"/>
                          <w:lang w:val="nb-NO"/>
                        </w:rPr>
                        <w:t> </w:t>
                      </w:r>
                      <w:r w:rsidRPr="004E780D">
                        <w:rPr>
                          <w:rFonts w:ascii="Calibri" w:hAnsi="Calibri" w:cs="Calibri"/>
                          <w:color w:val="000000" w:themeColor="text1"/>
                          <w:sz w:val="16"/>
                          <w:szCs w:val="16"/>
                          <w:lang w:val="nb-NO"/>
                        </w:rPr>
                        <w:t>UNESCO et. al (</w:t>
                      </w:r>
                      <w:r>
                        <w:fldChar w:fldCharType="begin"/>
                      </w:r>
                      <w:r w:rsidRPr="00C04736">
                        <w:rPr>
                          <w:lang w:val="nb-NO"/>
                        </w:rPr>
                        <w:instrText xml:space="preserve"> HYPERLINK "http://tcg.uis.unesco.org/survey-education-covid-school-closures/" \t "_blank" </w:instrText>
                      </w:r>
                      <w:r>
                        <w:fldChar w:fldCharType="separate"/>
                      </w:r>
                      <w:r w:rsidRPr="004E780D">
                        <w:rPr>
                          <w:rStyle w:val="Hyperlink"/>
                          <w:rFonts w:ascii="Calibri" w:eastAsiaTheme="majorEastAsia" w:hAnsi="Calibri" w:cs="Calibri"/>
                          <w:color w:val="000000" w:themeColor="text1"/>
                          <w:sz w:val="16"/>
                          <w:szCs w:val="16"/>
                          <w:lang w:val="nb-NO"/>
                        </w:rPr>
                        <w:t>Op Cit</w:t>
                      </w:r>
                      <w:r>
                        <w:rPr>
                          <w:rStyle w:val="Hyperlink"/>
                          <w:rFonts w:ascii="Calibri" w:eastAsiaTheme="majorEastAsia" w:hAnsi="Calibri" w:cs="Calibri"/>
                          <w:color w:val="000000" w:themeColor="text1"/>
                          <w:sz w:val="16"/>
                          <w:szCs w:val="16"/>
                          <w:lang w:val="nb-NO"/>
                        </w:rPr>
                        <w:fldChar w:fldCharType="end"/>
                      </w:r>
                      <w:r w:rsidRPr="004E780D">
                        <w:rPr>
                          <w:rFonts w:ascii="Calibri" w:hAnsi="Calibri" w:cs="Calibri"/>
                          <w:color w:val="000000" w:themeColor="text1"/>
                          <w:sz w:val="16"/>
                          <w:szCs w:val="16"/>
                          <w:lang w:val="nb-NO"/>
                        </w:rPr>
                        <w:t>), p. 25.</w:t>
                      </w:r>
                    </w:p>
                    <w:bookmarkStart w:id="62" w:name="m_4173277756366121611__edn12"/>
                    <w:p w14:paraId="567DEA2F" w14:textId="77777777" w:rsidR="00F96637" w:rsidRPr="00A8698C" w:rsidRDefault="00F96637" w:rsidP="00F81FB5">
                      <w:pPr>
                        <w:pStyle w:val="m4173277756366121611msoendnotetext"/>
                        <w:shd w:val="clear" w:color="auto" w:fill="E7E6E6" w:themeFill="background2"/>
                        <w:tabs>
                          <w:tab w:val="left" w:pos="2410"/>
                        </w:tabs>
                        <w:spacing w:before="0" w:beforeAutospacing="0" w:after="0" w:afterAutospacing="0"/>
                        <w:ind w:left="360"/>
                        <w:rPr>
                          <w:rFonts w:ascii="Calibri" w:hAnsi="Calibri" w:cs="Calibri"/>
                          <w:color w:val="000000" w:themeColor="text1"/>
                          <w:sz w:val="20"/>
                          <w:szCs w:val="20"/>
                        </w:rPr>
                      </w:pPr>
                      <w:r w:rsidRPr="00A8698C">
                        <w:rPr>
                          <w:rFonts w:ascii="Calibri" w:hAnsi="Calibri" w:cs="Calibri"/>
                          <w:color w:val="000000" w:themeColor="text1"/>
                          <w:sz w:val="20"/>
                          <w:szCs w:val="20"/>
                        </w:rPr>
                        <w:fldChar w:fldCharType="begin"/>
                      </w:r>
                      <w:r w:rsidRPr="00A8698C">
                        <w:rPr>
                          <w:rFonts w:ascii="Calibri" w:hAnsi="Calibri" w:cs="Calibri"/>
                          <w:color w:val="000000" w:themeColor="text1"/>
                          <w:sz w:val="20"/>
                          <w:szCs w:val="20"/>
                        </w:rPr>
                        <w:instrText xml:space="preserve"> HYPERLINK "https://mail.google.com/mail/u/0/" \l "m_4173277756366121611__ednref12" \o "" </w:instrText>
                      </w:r>
                      <w:r w:rsidRPr="00A8698C">
                        <w:rPr>
                          <w:rFonts w:ascii="Calibri" w:hAnsi="Calibri" w:cs="Calibri"/>
                          <w:color w:val="000000" w:themeColor="text1"/>
                          <w:sz w:val="20"/>
                          <w:szCs w:val="20"/>
                        </w:rPr>
                        <w:fldChar w:fldCharType="separate"/>
                      </w:r>
                      <w:r w:rsidRPr="00A8698C">
                        <w:rPr>
                          <w:rStyle w:val="m4173277756366121611msoendnotereference"/>
                          <w:rFonts w:ascii="Calibri" w:eastAsiaTheme="minorEastAsia" w:hAnsi="Calibri" w:cs="Calibri"/>
                          <w:color w:val="000000" w:themeColor="text1"/>
                          <w:sz w:val="16"/>
                          <w:szCs w:val="16"/>
                          <w:u w:val="single"/>
                          <w:vertAlign w:val="superscript"/>
                          <w:lang w:val="en-GB"/>
                        </w:rPr>
                        <w:t>[xii]</w:t>
                      </w:r>
                      <w:r w:rsidRPr="00A8698C">
                        <w:rPr>
                          <w:rFonts w:ascii="Calibri" w:hAnsi="Calibri" w:cs="Calibri"/>
                          <w:color w:val="000000" w:themeColor="text1"/>
                          <w:sz w:val="20"/>
                          <w:szCs w:val="20"/>
                        </w:rPr>
                        <w:fldChar w:fldCharType="end"/>
                      </w:r>
                      <w:bookmarkEnd w:id="62"/>
                      <w:r w:rsidRPr="00A8698C">
                        <w:rPr>
                          <w:rFonts w:ascii="Calibri" w:hAnsi="Calibri" w:cs="Calibri"/>
                          <w:color w:val="000000" w:themeColor="text1"/>
                          <w:sz w:val="16"/>
                          <w:szCs w:val="16"/>
                          <w:lang w:val="en-GB"/>
                        </w:rPr>
                        <w:t> Deloitte Access Economics (2020) ‘Understanding the impact of COVID-19 on international education’.  A report prepared for the Department of Education, Skills and Employment.</w:t>
                      </w:r>
                    </w:p>
                    <w:bookmarkStart w:id="63" w:name="m_4173277756366121611__edn13"/>
                    <w:p w14:paraId="073FC6CC" w14:textId="621A16DB" w:rsidR="00F96637" w:rsidRDefault="00F96637" w:rsidP="00F81FB5">
                      <w:pPr>
                        <w:pStyle w:val="m4173277756366121611msoendnotetext"/>
                        <w:shd w:val="clear" w:color="auto" w:fill="E7E6E6" w:themeFill="background2"/>
                        <w:tabs>
                          <w:tab w:val="left" w:pos="2410"/>
                        </w:tabs>
                        <w:spacing w:before="0" w:beforeAutospacing="0" w:after="0" w:afterAutospacing="0"/>
                        <w:ind w:left="360"/>
                      </w:pPr>
                      <w:r w:rsidRPr="00A8698C">
                        <w:rPr>
                          <w:rFonts w:ascii="Calibri" w:hAnsi="Calibri" w:cs="Calibri"/>
                          <w:color w:val="000000" w:themeColor="text1"/>
                          <w:sz w:val="20"/>
                          <w:szCs w:val="20"/>
                        </w:rPr>
                        <w:fldChar w:fldCharType="begin"/>
                      </w:r>
                      <w:r w:rsidRPr="00A8698C">
                        <w:rPr>
                          <w:rFonts w:ascii="Calibri" w:hAnsi="Calibri" w:cs="Calibri"/>
                          <w:color w:val="000000" w:themeColor="text1"/>
                          <w:sz w:val="20"/>
                          <w:szCs w:val="20"/>
                        </w:rPr>
                        <w:instrText xml:space="preserve"> HYPERLINK "https://mail.google.com/mail/u/0/" \l "m_4173277756366121611__ednref13" \o "" </w:instrText>
                      </w:r>
                      <w:r w:rsidRPr="00A8698C">
                        <w:rPr>
                          <w:rFonts w:ascii="Calibri" w:hAnsi="Calibri" w:cs="Calibri"/>
                          <w:color w:val="000000" w:themeColor="text1"/>
                          <w:sz w:val="20"/>
                          <w:szCs w:val="20"/>
                        </w:rPr>
                        <w:fldChar w:fldCharType="separate"/>
                      </w:r>
                      <w:r w:rsidRPr="00A8698C">
                        <w:rPr>
                          <w:rStyle w:val="m4173277756366121611msoendnotereference"/>
                          <w:rFonts w:ascii="Calibri" w:eastAsiaTheme="minorEastAsia" w:hAnsi="Calibri" w:cs="Calibri"/>
                          <w:color w:val="000000" w:themeColor="text1"/>
                          <w:sz w:val="16"/>
                          <w:szCs w:val="16"/>
                          <w:u w:val="single"/>
                          <w:vertAlign w:val="superscript"/>
                          <w:lang w:val="en-GB"/>
                        </w:rPr>
                        <w:t>[xiii]</w:t>
                      </w:r>
                      <w:r w:rsidRPr="00A8698C">
                        <w:rPr>
                          <w:rFonts w:ascii="Calibri" w:hAnsi="Calibri" w:cs="Calibri"/>
                          <w:color w:val="000000" w:themeColor="text1"/>
                          <w:sz w:val="20"/>
                          <w:szCs w:val="20"/>
                        </w:rPr>
                        <w:fldChar w:fldCharType="end"/>
                      </w:r>
                      <w:bookmarkEnd w:id="63"/>
                      <w:r w:rsidRPr="00A8698C">
                        <w:rPr>
                          <w:rFonts w:ascii="Calibri" w:hAnsi="Calibri" w:cs="Calibri"/>
                          <w:color w:val="000000" w:themeColor="text1"/>
                          <w:sz w:val="16"/>
                          <w:szCs w:val="16"/>
                          <w:lang w:val="en-GB"/>
                        </w:rPr>
                        <w:t> DFAT </w:t>
                      </w:r>
                      <w:hyperlink r:id="rId26" w:tgtFrame="_blank" w:history="1">
                        <w:r w:rsidRPr="00A8698C">
                          <w:rPr>
                            <w:rStyle w:val="Hyperlink"/>
                            <w:rFonts w:ascii="Calibri" w:eastAsiaTheme="majorEastAsia" w:hAnsi="Calibri" w:cs="Calibri"/>
                            <w:color w:val="000000" w:themeColor="text1"/>
                            <w:sz w:val="16"/>
                            <w:szCs w:val="16"/>
                          </w:rPr>
                          <w:t>Australia Awards Global Strategy</w:t>
                        </w:r>
                      </w:hyperlink>
                      <w:r w:rsidRPr="00A8698C">
                        <w:rPr>
                          <w:rFonts w:ascii="Calibri" w:hAnsi="Calibri" w:cs="Calibri"/>
                          <w:color w:val="000000" w:themeColor="text1"/>
                          <w:sz w:val="16"/>
                          <w:szCs w:val="16"/>
                          <w:lang w:val="en-GB"/>
                        </w:rPr>
                        <w:t>; DESE </w:t>
                      </w:r>
                      <w:hyperlink r:id="rId27" w:tgtFrame="_blank" w:history="1">
                        <w:r w:rsidRPr="00A8698C">
                          <w:rPr>
                            <w:rStyle w:val="Hyperlink"/>
                            <w:rFonts w:ascii="Calibri" w:eastAsiaTheme="majorEastAsia" w:hAnsi="Calibri" w:cs="Calibri"/>
                            <w:color w:val="000000" w:themeColor="text1"/>
                            <w:sz w:val="16"/>
                            <w:szCs w:val="16"/>
                          </w:rPr>
                          <w:t>National Strategy for International Education 2025</w:t>
                        </w:r>
                      </w:hyperlink>
                      <w:r w:rsidRPr="00A8698C">
                        <w:rPr>
                          <w:rFonts w:ascii="Calibri" w:hAnsi="Calibri" w:cs="Calibri"/>
                          <w:color w:val="000000" w:themeColor="text1"/>
                          <w:sz w:val="16"/>
                          <w:szCs w:val="16"/>
                          <w:lang w:val="en-GB"/>
                        </w:rPr>
                        <w:t>.</w:t>
                      </w:r>
                      <w:bookmarkEnd w:id="36"/>
                      <w:bookmarkEnd w:id="37"/>
                    </w:p>
                  </w:txbxContent>
                </v:textbox>
                <w10:anchorlock/>
              </v:shape>
            </w:pict>
          </mc:Fallback>
        </mc:AlternateContent>
      </w:r>
    </w:p>
    <w:p w14:paraId="29EA28D8" w14:textId="77777777" w:rsidR="00832B17" w:rsidRDefault="00832B17">
      <w:pPr>
        <w:rPr>
          <w:rFonts w:cstheme="minorHAnsi"/>
          <w:b/>
          <w:bCs/>
          <w:lang w:eastAsia="en-AU"/>
        </w:rPr>
      </w:pPr>
      <w:r>
        <w:rPr>
          <w:rFonts w:cstheme="minorHAnsi"/>
          <w:b/>
          <w:bCs/>
          <w:lang w:eastAsia="en-AU"/>
        </w:rPr>
        <w:br w:type="page"/>
      </w:r>
    </w:p>
    <w:p w14:paraId="05D9568B" w14:textId="40D797DF" w:rsidR="001F26A6" w:rsidRPr="00060D11" w:rsidRDefault="001F26A6" w:rsidP="004E780D">
      <w:pPr>
        <w:spacing w:after="120" w:line="276" w:lineRule="auto"/>
        <w:rPr>
          <w:rFonts w:cstheme="minorHAnsi"/>
          <w:b/>
          <w:bCs/>
          <w:lang w:eastAsia="en-AU"/>
        </w:rPr>
      </w:pPr>
      <w:r w:rsidRPr="00060D11">
        <w:rPr>
          <w:rFonts w:cstheme="minorHAnsi"/>
          <w:b/>
          <w:bCs/>
          <w:lang w:eastAsia="en-AU"/>
        </w:rPr>
        <w:t>Lessons on generating demand for education</w:t>
      </w:r>
    </w:p>
    <w:p w14:paraId="23BB3397" w14:textId="6AFBDBC6" w:rsidR="001F26A6" w:rsidRPr="00060D11" w:rsidRDefault="001F26A6" w:rsidP="004E780D">
      <w:pPr>
        <w:pStyle w:val="ListParagraph"/>
        <w:spacing w:after="120" w:line="276" w:lineRule="auto"/>
        <w:ind w:left="0"/>
        <w:contextualSpacing w:val="0"/>
        <w:rPr>
          <w:sz w:val="16"/>
          <w:szCs w:val="16"/>
        </w:rPr>
      </w:pPr>
      <w:r w:rsidRPr="00060D11">
        <w:rPr>
          <w:rFonts w:cstheme="minorHAnsi"/>
          <w:sz w:val="22"/>
          <w:lang w:eastAsia="en-AU"/>
        </w:rPr>
        <w:t>A comprehensive summary and analysis of research on education policies, programs and interventions in developing countries</w:t>
      </w:r>
      <w:r w:rsidRPr="00060D11">
        <w:rPr>
          <w:rStyle w:val="FootnoteReference"/>
          <w:rFonts w:cstheme="minorHAnsi"/>
          <w:sz w:val="22"/>
          <w:lang w:eastAsia="en-AU"/>
        </w:rPr>
        <w:footnoteReference w:id="26"/>
      </w:r>
      <w:r w:rsidRPr="00060D11">
        <w:rPr>
          <w:rFonts w:cstheme="minorHAnsi"/>
          <w:sz w:val="22"/>
          <w:lang w:eastAsia="en-AU"/>
        </w:rPr>
        <w:t xml:space="preserve"> found that the two most effective interventions to increase time in school where attendance and enrolment are suboptimal are: </w:t>
      </w:r>
      <w:r w:rsidRPr="00060D11">
        <w:rPr>
          <w:sz w:val="22"/>
        </w:rPr>
        <w:t>(1) provision of conditional cash transfers (24 studies)</w:t>
      </w:r>
      <w:r w:rsidR="002137DE" w:rsidRPr="00060D11">
        <w:rPr>
          <w:sz w:val="22"/>
        </w:rPr>
        <w:t>;</w:t>
      </w:r>
      <w:r w:rsidRPr="00060D11">
        <w:rPr>
          <w:sz w:val="22"/>
        </w:rPr>
        <w:t xml:space="preserve"> and (2) building new schools where local access is lacking (6 studies). Both of these interventions reduce the “cost” of attending school for students. </w:t>
      </w:r>
    </w:p>
    <w:p w14:paraId="0A83DE71" w14:textId="3A4C938B" w:rsidR="001F26A6" w:rsidRPr="00060D11" w:rsidRDefault="001F26A6" w:rsidP="004E780D">
      <w:pPr>
        <w:pStyle w:val="ListParagraph"/>
        <w:spacing w:after="120" w:line="276" w:lineRule="auto"/>
        <w:ind w:left="0"/>
        <w:contextualSpacing w:val="0"/>
        <w:rPr>
          <w:sz w:val="16"/>
          <w:szCs w:val="16"/>
        </w:rPr>
      </w:pPr>
      <w:r w:rsidRPr="00060D11">
        <w:rPr>
          <w:sz w:val="22"/>
        </w:rPr>
        <w:t>Promising interventions that need more evidence (only 1 to 2 studies reviewed) relate to providing information directly to students and parents in the form of school counselling and information on the returns to education; merit-based scholarships; labelled cash transfers; unconditional cash transfers; bicycles for student transportation; and matching remittances for educational purposes.</w:t>
      </w:r>
    </w:p>
    <w:p w14:paraId="1CA1CF36" w14:textId="3538BAFF" w:rsidR="001F26A6" w:rsidRPr="00060D11" w:rsidRDefault="001F26A6" w:rsidP="00477C43">
      <w:pPr>
        <w:pStyle w:val="ListParagraph"/>
        <w:spacing w:after="120" w:line="276" w:lineRule="auto"/>
        <w:ind w:left="0"/>
        <w:contextualSpacing w:val="0"/>
      </w:pPr>
      <w:r w:rsidRPr="00060D11">
        <w:rPr>
          <w:sz w:val="22"/>
        </w:rPr>
        <w:t>Similarly, a 2016 research paper</w:t>
      </w:r>
      <w:r w:rsidRPr="00060D11">
        <w:rPr>
          <w:rStyle w:val="FootnoteReference"/>
          <w:sz w:val="22"/>
        </w:rPr>
        <w:footnoteReference w:id="27"/>
      </w:r>
      <w:r w:rsidRPr="00060D11">
        <w:rPr>
          <w:sz w:val="22"/>
        </w:rPr>
        <w:t xml:space="preserve"> reviewed the evidence from 223 rigorous impact evaluations of educational initiatives conducted in 56 low and middle-income countries. Key lessons derived from these studies included: (i) reducing the costs of going to school and expanding schooling options increased attendance and retention, but did not consistently increase student achievement; (ii) providing information about school quality, developmentally appropriate parenting practices, and the economic returns to schooling affects the actions of parents and the achievement of children and adolescents. A 2013 and 2015 systematic review of the interventions for improving access to education in low- and middle-income countries found that cash transfer programs have the </w:t>
      </w:r>
      <w:r w:rsidRPr="00060D11">
        <w:rPr>
          <w:i/>
          <w:iCs/>
          <w:sz w:val="22"/>
        </w:rPr>
        <w:t>‘most substantial and consistent beneficial effects on school participation’</w:t>
      </w:r>
      <w:r w:rsidRPr="00060D11">
        <w:rPr>
          <w:sz w:val="22"/>
        </w:rPr>
        <w:t xml:space="preserve"> but do not appear to lead to improvements in learning achievement.</w:t>
      </w:r>
      <w:r w:rsidRPr="00060D11">
        <w:rPr>
          <w:rStyle w:val="FootnoteReference"/>
          <w:sz w:val="22"/>
        </w:rPr>
        <w:footnoteReference w:id="28"/>
      </w:r>
      <w:r w:rsidRPr="00060D11">
        <w:rPr>
          <w:rStyle w:val="FootnoteReference"/>
          <w:sz w:val="22"/>
        </w:rPr>
        <w:footnoteReference w:id="29"/>
      </w:r>
    </w:p>
    <w:p w14:paraId="06971E2B" w14:textId="46AB309B" w:rsidR="001F26A6" w:rsidRPr="00060D11" w:rsidRDefault="001F26A6" w:rsidP="004E780D">
      <w:pPr>
        <w:pStyle w:val="ListParagraph"/>
        <w:spacing w:after="120" w:line="276" w:lineRule="auto"/>
        <w:ind w:left="0"/>
        <w:contextualSpacing w:val="0"/>
        <w:rPr>
          <w:b/>
          <w:bCs/>
          <w:sz w:val="22"/>
        </w:rPr>
      </w:pPr>
      <w:r w:rsidRPr="00060D11">
        <w:rPr>
          <w:b/>
          <w:bCs/>
          <w:sz w:val="22"/>
        </w:rPr>
        <w:t>Lessons on engaging parents/communities in school planning and management</w:t>
      </w:r>
    </w:p>
    <w:p w14:paraId="659ACEEB" w14:textId="47394575" w:rsidR="001F26A6" w:rsidRPr="00060D11" w:rsidRDefault="001F26A6" w:rsidP="004E780D">
      <w:pPr>
        <w:pStyle w:val="ListParagraph"/>
        <w:spacing w:after="120" w:line="276" w:lineRule="auto"/>
        <w:ind w:left="0"/>
        <w:contextualSpacing w:val="0"/>
        <w:rPr>
          <w:b/>
          <w:bCs/>
          <w:sz w:val="22"/>
        </w:rPr>
      </w:pPr>
      <w:r w:rsidRPr="00060D11">
        <w:rPr>
          <w:sz w:val="22"/>
        </w:rPr>
        <w:t>A 2016 review of school-based decision-making on educational outcomes found that there ‘</w:t>
      </w:r>
      <w:r w:rsidRPr="00060D11">
        <w:rPr>
          <w:i/>
          <w:iCs/>
          <w:sz w:val="22"/>
        </w:rPr>
        <w:t>is a moderate positive effect on average test scores…for children in younger grade levels’</w:t>
      </w:r>
      <w:r w:rsidRPr="00060D11">
        <w:rPr>
          <w:sz w:val="22"/>
        </w:rPr>
        <w:t xml:space="preserve"> with improved school-based decision-making that engages parents and the community.</w:t>
      </w:r>
      <w:r w:rsidRPr="00060D11">
        <w:rPr>
          <w:rStyle w:val="FootnoteReference"/>
          <w:sz w:val="22"/>
        </w:rPr>
        <w:footnoteReference w:id="30"/>
      </w:r>
      <w:r w:rsidRPr="00060D11">
        <w:rPr>
          <w:sz w:val="22"/>
        </w:rPr>
        <w:t xml:space="preserve">  </w:t>
      </w:r>
    </w:p>
    <w:p w14:paraId="7F0108ED" w14:textId="77777777" w:rsidR="001F26A6" w:rsidRPr="00060D11" w:rsidRDefault="001F26A6" w:rsidP="004E780D">
      <w:pPr>
        <w:pStyle w:val="ListParagraph"/>
        <w:spacing w:after="120" w:line="276" w:lineRule="auto"/>
        <w:ind w:left="0"/>
        <w:contextualSpacing w:val="0"/>
        <w:rPr>
          <w:b/>
          <w:bCs/>
          <w:sz w:val="22"/>
        </w:rPr>
      </w:pPr>
      <w:r w:rsidRPr="00060D11">
        <w:rPr>
          <w:sz w:val="22"/>
        </w:rPr>
        <w:t xml:space="preserve">However, a 2019 systematic review of citizen participation in public service provision in low- and middle-income countries found that </w:t>
      </w:r>
      <w:r w:rsidRPr="00060D11">
        <w:rPr>
          <w:i/>
          <w:iCs/>
          <w:sz w:val="22"/>
        </w:rPr>
        <w:t>‘…improving direct engagement between service users and service providers are often effective in…realizing improvements in access to services and quality of service provision’</w:t>
      </w:r>
      <w:r w:rsidRPr="00060D11">
        <w:rPr>
          <w:sz w:val="22"/>
        </w:rPr>
        <w:t>.</w:t>
      </w:r>
      <w:r w:rsidRPr="00060D11">
        <w:rPr>
          <w:rStyle w:val="FootnoteReference"/>
          <w:sz w:val="22"/>
        </w:rPr>
        <w:footnoteReference w:id="31"/>
      </w:r>
    </w:p>
    <w:p w14:paraId="1F4D1713" w14:textId="77777777" w:rsidR="001F26A6" w:rsidRPr="00060D11" w:rsidRDefault="001F26A6" w:rsidP="004E780D">
      <w:pPr>
        <w:spacing w:after="120" w:line="276" w:lineRule="auto"/>
        <w:rPr>
          <w:rFonts w:cstheme="minorHAnsi"/>
          <w:b/>
          <w:bCs/>
          <w:lang w:eastAsia="en-AU"/>
        </w:rPr>
      </w:pPr>
      <w:r w:rsidRPr="00060D11">
        <w:rPr>
          <w:rFonts w:cstheme="minorHAnsi"/>
          <w:b/>
          <w:bCs/>
          <w:lang w:eastAsia="en-AU"/>
        </w:rPr>
        <w:t>Lessons on investing in improving teacher knowledge, skills and teaching practice</w:t>
      </w:r>
    </w:p>
    <w:p w14:paraId="6B7AEAE6" w14:textId="7B2A701E" w:rsidR="001F26A6" w:rsidRPr="00060D11" w:rsidRDefault="001F26A6" w:rsidP="004E780D">
      <w:pPr>
        <w:spacing w:after="120" w:line="276" w:lineRule="auto"/>
        <w:rPr>
          <w:rFonts w:cstheme="minorHAnsi"/>
          <w:b/>
          <w:bCs/>
          <w:lang w:eastAsia="en-AU"/>
        </w:rPr>
      </w:pPr>
      <w:r w:rsidRPr="00060D11">
        <w:t>The importance of teacher quality and quality of teaching cannot be understated. Th</w:t>
      </w:r>
      <w:r w:rsidR="00E60271" w:rsidRPr="00060D11">
        <w:t>is</w:t>
      </w:r>
      <w:r w:rsidRPr="00060D11">
        <w:t xml:space="preserve"> statement for the 2015 Oslo Summit on Education for Development points out that </w:t>
      </w:r>
      <w:r w:rsidRPr="00060D11">
        <w:rPr>
          <w:i/>
          <w:iCs/>
        </w:rPr>
        <w:t>‘</w:t>
      </w:r>
      <w:r w:rsidR="00216EFC" w:rsidRPr="00060D11">
        <w:rPr>
          <w:i/>
          <w:iCs/>
        </w:rPr>
        <w:t>e</w:t>
      </w:r>
      <w:r w:rsidRPr="00060D11">
        <w:rPr>
          <w:i/>
          <w:iCs/>
        </w:rPr>
        <w:t>nsuring that qualified, professionally trained, motivated, and well-supported teachers are available for all learners is essential for addressing today’s key education challenges in poor and rich countries alike. The quality of an education system can exceed neither the quality of its teachers nor the quality of its teaching’</w:t>
      </w:r>
      <w:r w:rsidRPr="00060D11">
        <w:rPr>
          <w:rStyle w:val="FootnoteReference"/>
          <w:i/>
          <w:iCs/>
        </w:rPr>
        <w:footnoteReference w:id="32"/>
      </w:r>
    </w:p>
    <w:p w14:paraId="65925FD4" w14:textId="77777777" w:rsidR="001F26A6" w:rsidRPr="00060D11" w:rsidRDefault="001F26A6" w:rsidP="004E780D">
      <w:pPr>
        <w:spacing w:after="120" w:line="276" w:lineRule="auto"/>
      </w:pPr>
      <w:r w:rsidRPr="00060D11">
        <w:t xml:space="preserve">The World Bank has consistently observed that ‘teacher effectiveness is the most important school-based predictor of student learning’. </w:t>
      </w:r>
      <w:r w:rsidRPr="00060D11">
        <w:rPr>
          <w:rStyle w:val="FootnoteReference"/>
        </w:rPr>
        <w:footnoteReference w:id="33"/>
      </w:r>
      <w:r w:rsidRPr="00060D11">
        <w:t xml:space="preserve"> The 2019 World Bank Policy Approach to Teachers draws on extensive research, pointing to the importance of investing in teachers as well as how it can be accomplished.</w:t>
      </w:r>
      <w:r w:rsidRPr="00060D11">
        <w:rPr>
          <w:rStyle w:val="FootnoteReference"/>
        </w:rPr>
        <w:footnoteReference w:id="34"/>
      </w:r>
      <w:r w:rsidRPr="00060D11">
        <w:rPr>
          <w:rStyle w:val="FootnoteReference"/>
        </w:rPr>
        <w:footnoteReference w:id="35"/>
      </w:r>
    </w:p>
    <w:p w14:paraId="3B7345F8" w14:textId="28A062FA" w:rsidR="001F26A6" w:rsidRPr="00060D11" w:rsidRDefault="001F26A6" w:rsidP="004E780D">
      <w:pPr>
        <w:spacing w:after="120" w:line="276" w:lineRule="auto"/>
      </w:pPr>
      <w:r w:rsidRPr="00060D11">
        <w:t>A critical source of evidence is DFAT’s 2015 study ‘</w:t>
      </w:r>
      <w:r w:rsidRPr="00060D11">
        <w:rPr>
          <w:i/>
          <w:iCs/>
        </w:rPr>
        <w:t>Investing in Teachers</w:t>
      </w:r>
      <w:r w:rsidRPr="00060D11">
        <w:t>’ by the Office of Development Effectiveness which analyses Australia’s own investments in improving teacher quality and the quality of teaching in developing countries. This study found that improving the quality of teaching must be part of a systematic agenda for improving the quality of education.</w:t>
      </w:r>
      <w:r w:rsidRPr="00060D11">
        <w:rPr>
          <w:rStyle w:val="FootnoteReference"/>
        </w:rPr>
        <w:footnoteReference w:id="36"/>
      </w:r>
      <w:r w:rsidR="00B52F80" w:rsidRPr="00060D11">
        <w:t xml:space="preserve"> Subsequent studies in Laos, Timor Leste and Vanuatu </w:t>
      </w:r>
      <w:r w:rsidR="00EC2561" w:rsidRPr="00060D11">
        <w:t xml:space="preserve">seek to highlight how Australian </w:t>
      </w:r>
      <w:r w:rsidR="0039694A" w:rsidRPr="00060D11">
        <w:t xml:space="preserve">investment </w:t>
      </w:r>
      <w:r w:rsidR="009A1BEA" w:rsidRPr="00060D11">
        <w:t xml:space="preserve">in teacher professional development </w:t>
      </w:r>
      <w:r w:rsidR="0039694A" w:rsidRPr="00060D11">
        <w:t xml:space="preserve">has </w:t>
      </w:r>
      <w:r w:rsidR="009A1BEA" w:rsidRPr="00060D11">
        <w:t>contributed to improved learning outcomes</w:t>
      </w:r>
      <w:r w:rsidR="009A1BEA" w:rsidRPr="00060D11">
        <w:rPr>
          <w:rStyle w:val="FootnoteReference"/>
        </w:rPr>
        <w:footnoteReference w:id="37"/>
      </w:r>
      <w:r w:rsidR="009A1BEA" w:rsidRPr="00060D11">
        <w:t>.</w:t>
      </w:r>
    </w:p>
    <w:p w14:paraId="53B3D017" w14:textId="06F2D61A" w:rsidR="00E5710A" w:rsidRPr="00060D11" w:rsidRDefault="001F26A6" w:rsidP="004E780D">
      <w:pPr>
        <w:spacing w:after="120" w:line="276" w:lineRule="auto"/>
      </w:pPr>
      <w:r w:rsidRPr="00060D11">
        <w:t>A 2018 meta-analysis revealed that teacher professional development (TPD) programs that include ongoing individualized feedback have been shown to have large positive effects on teachers’ instruction, and, subsequently, on student learning outcomes.</w:t>
      </w:r>
      <w:r w:rsidRPr="00060D11">
        <w:rPr>
          <w:rStyle w:val="FootnoteReference"/>
        </w:rPr>
        <w:footnoteReference w:id="38"/>
      </w:r>
    </w:p>
    <w:p w14:paraId="530FFE9C" w14:textId="18F541EF" w:rsidR="001F26A6" w:rsidRPr="00060D11" w:rsidRDefault="001F26A6" w:rsidP="004E780D">
      <w:pPr>
        <w:spacing w:after="120" w:line="276" w:lineRule="auto"/>
        <w:rPr>
          <w:rFonts w:cstheme="minorHAnsi"/>
          <w:b/>
          <w:bCs/>
          <w:lang w:eastAsia="en-AU"/>
        </w:rPr>
      </w:pPr>
      <w:r w:rsidRPr="00060D11">
        <w:rPr>
          <w:rFonts w:cstheme="minorHAnsi"/>
          <w:b/>
          <w:bCs/>
          <w:lang w:eastAsia="en-AU"/>
        </w:rPr>
        <w:t>Lessons on effective approaches to capacity development in developing co</w:t>
      </w:r>
      <w:r w:rsidR="00644169" w:rsidRPr="00060D11">
        <w:rPr>
          <w:rFonts w:cstheme="minorHAnsi"/>
          <w:b/>
          <w:bCs/>
          <w:lang w:eastAsia="en-AU"/>
        </w:rPr>
        <w:t>untries</w:t>
      </w:r>
      <w:r w:rsidR="00A81477" w:rsidRPr="00060D11">
        <w:rPr>
          <w:rStyle w:val="FootnoteReference"/>
          <w:rFonts w:cstheme="minorHAnsi"/>
          <w:b/>
          <w:bCs/>
          <w:lang w:eastAsia="en-AU"/>
        </w:rPr>
        <w:footnoteReference w:id="39"/>
      </w:r>
    </w:p>
    <w:p w14:paraId="611C164E" w14:textId="69EEB5C1" w:rsidR="00EC4934" w:rsidRPr="00060D11" w:rsidRDefault="004E2E55" w:rsidP="004E780D">
      <w:pPr>
        <w:spacing w:after="120" w:line="276" w:lineRule="auto"/>
      </w:pPr>
      <w:r w:rsidRPr="00060D11">
        <w:t xml:space="preserve">Supporting capacity development is a complex, long-term and highly political process. Individuals have skills and competencies and make decisions, use services and behave in ways that impact on the performance of organisations. </w:t>
      </w:r>
      <w:r w:rsidR="00805849" w:rsidRPr="00060D11">
        <w:t>O</w:t>
      </w:r>
      <w:r w:rsidRPr="00060D11">
        <w:t xml:space="preserve">rganisations have capacity and require a range of capabilities to be effective, and these capabilities are not solely technical. </w:t>
      </w:r>
      <w:r w:rsidR="007512A3" w:rsidRPr="00060D11">
        <w:t xml:space="preserve">A whole range of important ‘soft’ capabilities – from leadership to organisational culture and incentives – contribute to capacity; sometimes an organisation or state may have the capacity to get things done but not have sufficient authority or legitimacy. </w:t>
      </w:r>
      <w:r w:rsidR="007E2DF3" w:rsidRPr="00060D11">
        <w:t>According to Baser and Morgan (2008), o</w:t>
      </w:r>
      <w:r w:rsidRPr="00060D11">
        <w:t xml:space="preserve">rganisations require both the capability to carry out service delivery, technical and logistical tasks, and a range of other, less tangible capabilities that allow them to remain independent, plot a strategic direction and secure a political mandate for their work. Organisations operate in a wider institutional environment that may either support or circumvent the organisation’s ability to carry out its formal goals. </w:t>
      </w:r>
      <w:r w:rsidR="00E60271" w:rsidRPr="00060D11">
        <w:t>Institutions</w:t>
      </w:r>
      <w:r w:rsidRPr="00060D11">
        <w:t xml:space="preserve"> are the rules of the game – the formal and</w:t>
      </w:r>
      <w:r w:rsidR="00E60271" w:rsidRPr="00060D11">
        <w:t xml:space="preserve"> </w:t>
      </w:r>
      <w:r w:rsidRPr="00060D11">
        <w:t xml:space="preserve">informal that govern society and can have a positive or negative impact on the capacity of individuals and organisations. It’s only when there is alignment across individuals, organisations and institutions that organisations are able to perform effectively. </w:t>
      </w:r>
      <w:r w:rsidR="002508AB" w:rsidRPr="00060D11">
        <w:t>We conceptualize motivation, ability and opportunity as three interrelated but distinct antecedents of absorptive capacity</w:t>
      </w:r>
      <w:r w:rsidR="00A728D2" w:rsidRPr="00060D11">
        <w:rPr>
          <w:rStyle w:val="FootnoteReference"/>
        </w:rPr>
        <w:footnoteReference w:id="40"/>
      </w:r>
      <w:r w:rsidR="00A728D2" w:rsidRPr="00060D11">
        <w:t>.</w:t>
      </w:r>
      <w:r w:rsidR="002508AB" w:rsidRPr="00060D11">
        <w:t xml:space="preserve"> </w:t>
      </w:r>
    </w:p>
    <w:p w14:paraId="6A21D5F2" w14:textId="7536FE75" w:rsidR="00E5710A" w:rsidRPr="00060D11" w:rsidRDefault="00595BD6" w:rsidP="00E5710A">
      <w:pPr>
        <w:spacing w:after="120" w:line="276" w:lineRule="auto"/>
        <w:rPr>
          <w:sz w:val="20"/>
        </w:rPr>
      </w:pPr>
      <w:r w:rsidRPr="00060D11">
        <w:t xml:space="preserve">To support the process of capacity </w:t>
      </w:r>
      <w:r w:rsidR="00E2489B" w:rsidRPr="00060D11">
        <w:t>development</w:t>
      </w:r>
      <w:r w:rsidR="004C5306" w:rsidRPr="00060D11">
        <w:t xml:space="preserve"> in partner countries, DFAT has released guidance</w:t>
      </w:r>
      <w:r w:rsidR="003802A6" w:rsidRPr="00060D11">
        <w:rPr>
          <w:rStyle w:val="FootnoteReference"/>
        </w:rPr>
        <w:footnoteReference w:id="41"/>
      </w:r>
      <w:r w:rsidR="004C5306" w:rsidRPr="00060D11">
        <w:t xml:space="preserve"> </w:t>
      </w:r>
      <w:r w:rsidR="0030469A" w:rsidRPr="00060D11">
        <w:t xml:space="preserve">for program managers and implementing partners </w:t>
      </w:r>
      <w:r w:rsidR="004C5306" w:rsidRPr="00060D11">
        <w:t xml:space="preserve">based on </w:t>
      </w:r>
      <w:r w:rsidR="00530E98" w:rsidRPr="00060D11">
        <w:t>latest research</w:t>
      </w:r>
      <w:r w:rsidR="002D4903" w:rsidRPr="00060D11">
        <w:t>,</w:t>
      </w:r>
      <w:r w:rsidR="008439E5" w:rsidRPr="00060D11">
        <w:t xml:space="preserve"> Organisation for Economic</w:t>
      </w:r>
      <w:r w:rsidR="002D4903" w:rsidRPr="00060D11">
        <w:t xml:space="preserve"> </w:t>
      </w:r>
      <w:r w:rsidR="008439E5" w:rsidRPr="00060D11">
        <w:t>Cooperation and Development – Development Assistance Committee (</w:t>
      </w:r>
      <w:r w:rsidR="002D4903" w:rsidRPr="00060D11">
        <w:t>OECD DAC</w:t>
      </w:r>
      <w:r w:rsidR="008439E5" w:rsidRPr="00060D11">
        <w:t>)</w:t>
      </w:r>
      <w:r w:rsidR="00530E98" w:rsidRPr="00060D11">
        <w:t xml:space="preserve"> and DFAT’s own experience and lessons from evaluations.</w:t>
      </w:r>
      <w:r w:rsidR="00847669" w:rsidRPr="00060D11">
        <w:t xml:space="preserve"> </w:t>
      </w:r>
      <w:r w:rsidR="007544C4" w:rsidRPr="00060D11">
        <w:t xml:space="preserve">Aligned with these lessons DFAT has advocated for an approach that is </w:t>
      </w:r>
      <w:r w:rsidR="00D771A4" w:rsidRPr="00060D11">
        <w:t>politically aware</w:t>
      </w:r>
      <w:r w:rsidR="00A44ACA" w:rsidRPr="00060D11">
        <w:t>, partner-driven, incremental, problem-focused and adapt</w:t>
      </w:r>
      <w:r w:rsidR="00D026B5" w:rsidRPr="00060D11">
        <w:t>ive</w:t>
      </w:r>
      <w:r w:rsidR="00555F86" w:rsidRPr="00060D11">
        <w:t xml:space="preserve">, </w:t>
      </w:r>
      <w:r w:rsidR="00847669" w:rsidRPr="00060D11">
        <w:t xml:space="preserve">summarised in </w:t>
      </w:r>
      <w:r w:rsidR="00555F86" w:rsidRPr="00060D11">
        <w:t xml:space="preserve">the </w:t>
      </w:r>
      <w:r w:rsidR="00847669" w:rsidRPr="00060D11">
        <w:t>5 steps below.</w:t>
      </w:r>
      <w:r w:rsidR="00530E98" w:rsidRPr="00060D11">
        <w:rPr>
          <w:b/>
        </w:rPr>
        <w:t xml:space="preserve"> </w:t>
      </w:r>
      <w:r w:rsidR="00EE5451" w:rsidRPr="00060D11">
        <w:rPr>
          <w:noProof/>
          <w:lang w:eastAsia="en-AU"/>
        </w:rPr>
        <w:drawing>
          <wp:inline distT="0" distB="0" distL="0" distR="0" wp14:anchorId="2BAAB4E8" wp14:editId="5130164D">
            <wp:extent cx="5486400" cy="699715"/>
            <wp:effectExtent l="0" t="0" r="38100" b="0"/>
            <wp:docPr id="17" name="Diagram 17" descr="5 step process map. &#10;1. Understand Context.&#10;2. Break the issue down.&#10;3. Choose a starting point. &#10;4. Decide what to do.&#10;5. Test, learn and persis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0EFE1C2" w14:textId="4E31DE16" w:rsidR="001F26A6" w:rsidRPr="00060D11" w:rsidRDefault="001F26A6" w:rsidP="004E780D">
      <w:pPr>
        <w:spacing w:after="120" w:line="276" w:lineRule="auto"/>
        <w:rPr>
          <w:rFonts w:eastAsiaTheme="majorEastAsia" w:cstheme="minorHAnsi"/>
          <w:b/>
          <w:bCs/>
          <w:lang w:eastAsia="en-AU"/>
        </w:rPr>
      </w:pPr>
      <w:r w:rsidRPr="00060D11">
        <w:rPr>
          <w:rFonts w:eastAsiaTheme="majorEastAsia" w:cstheme="minorHAnsi"/>
          <w:b/>
          <w:bCs/>
          <w:lang w:eastAsia="en-AU"/>
        </w:rPr>
        <w:t>Lessons on developing ‘knowledge to policy’ mechanisms in education systems</w:t>
      </w:r>
    </w:p>
    <w:p w14:paraId="62A3CA64" w14:textId="1B750FA5" w:rsidR="002137DE" w:rsidRPr="00060D11" w:rsidRDefault="001F26A6" w:rsidP="00A728D2">
      <w:pPr>
        <w:spacing w:after="120" w:line="276" w:lineRule="auto"/>
        <w:rPr>
          <w:rFonts w:eastAsiaTheme="majorEastAsia" w:cstheme="minorHAnsi"/>
          <w:lang w:eastAsia="en-AU"/>
        </w:rPr>
      </w:pPr>
      <w:r w:rsidRPr="00060D11">
        <w:rPr>
          <w:rFonts w:eastAsiaTheme="majorEastAsia" w:cstheme="minorHAnsi"/>
          <w:lang w:eastAsia="en-AU"/>
        </w:rPr>
        <w:t>Over the past 20 years, there has been a growing interest in and demand for evidence (knowledge) to inform policy and program decisions. Two important sources provide guidance on the development of ‘knowledge to policy’ mechanisms based on research and practice. One is the International Institute for Educational Planning which calls for an initial scan of the education sector (the evidence/knowledge) from which constraints and supportive factors are identified. Policy and strategy options are then developed which drive plans, budget allocations and actions. The other key resource is the World Bank’s SABER project which provides a wide range of resources, including their 2019 annual report that discusses extensively the process for using data effectively to influence education policy.</w:t>
      </w:r>
      <w:r w:rsidRPr="00060D11">
        <w:rPr>
          <w:rStyle w:val="FootnoteReference"/>
          <w:rFonts w:eastAsiaTheme="majorEastAsia" w:cstheme="minorHAnsi"/>
          <w:lang w:eastAsia="en-AU"/>
        </w:rPr>
        <w:footnoteReference w:id="42"/>
      </w:r>
    </w:p>
    <w:p w14:paraId="1535DAEF" w14:textId="169FA5D2" w:rsidR="001F26A6" w:rsidRPr="00060D11" w:rsidRDefault="001F26A6" w:rsidP="00F12B71">
      <w:pPr>
        <w:spacing w:line="276" w:lineRule="auto"/>
        <w:rPr>
          <w:rFonts w:eastAsiaTheme="majorEastAsia" w:cstheme="minorHAnsi"/>
          <w:b/>
          <w:bCs/>
          <w:lang w:eastAsia="en-AU"/>
        </w:rPr>
      </w:pPr>
      <w:r w:rsidRPr="00060D11">
        <w:rPr>
          <w:rFonts w:eastAsiaTheme="majorEastAsia" w:cstheme="minorHAnsi"/>
          <w:b/>
          <w:bCs/>
          <w:sz w:val="20"/>
          <w:szCs w:val="20"/>
          <w:lang w:eastAsia="en-AU"/>
        </w:rPr>
        <w:t xml:space="preserve">Figure </w:t>
      </w:r>
      <w:r w:rsidR="00FC4782" w:rsidRPr="00060D11">
        <w:rPr>
          <w:rFonts w:eastAsiaTheme="majorEastAsia" w:cstheme="minorHAnsi"/>
          <w:b/>
          <w:bCs/>
          <w:sz w:val="20"/>
          <w:szCs w:val="20"/>
          <w:lang w:eastAsia="en-AU"/>
        </w:rPr>
        <w:t>1</w:t>
      </w:r>
      <w:r w:rsidRPr="00060D11">
        <w:rPr>
          <w:rFonts w:eastAsiaTheme="majorEastAsia" w:cstheme="minorHAnsi"/>
          <w:b/>
          <w:bCs/>
          <w:sz w:val="20"/>
          <w:szCs w:val="20"/>
          <w:lang w:eastAsia="en-AU"/>
        </w:rPr>
        <w:t xml:space="preserve">: </w:t>
      </w:r>
      <w:r w:rsidRPr="00060D11">
        <w:rPr>
          <w:rFonts w:eastAsiaTheme="majorEastAsia" w:cstheme="minorHAnsi"/>
          <w:b/>
          <w:bCs/>
          <w:sz w:val="20"/>
          <w:szCs w:val="20"/>
          <w:lang w:eastAsia="en-AU"/>
        </w:rPr>
        <w:tab/>
        <w:t>Example Knowledge to Policy considerations for Education Sector in PNG</w:t>
      </w:r>
    </w:p>
    <w:p w14:paraId="4E1CC283" w14:textId="20D82075" w:rsidR="001F26A6" w:rsidRPr="00060D11" w:rsidRDefault="001A1CE6" w:rsidP="007A77AF">
      <w:r w:rsidRPr="00060D11">
        <w:rPr>
          <w:rFonts w:eastAsiaTheme="majorEastAsia" w:cstheme="minorHAnsi"/>
          <w:noProof/>
          <w:lang w:eastAsia="en-AU"/>
        </w:rPr>
        <mc:AlternateContent>
          <mc:Choice Requires="wpg">
            <w:drawing>
              <wp:inline distT="0" distB="0" distL="0" distR="0" wp14:anchorId="56423B43" wp14:editId="5967891D">
                <wp:extent cx="5613868" cy="2959806"/>
                <wp:effectExtent l="0" t="0" r="25400" b="0"/>
                <wp:docPr id="1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868" cy="2959806"/>
                          <a:chOff x="-233512" y="645461"/>
                          <a:chExt cx="11379384" cy="5049610"/>
                        </a:xfrm>
                      </wpg:grpSpPr>
                      <wps:wsp>
                        <wps:cNvPr id="12" name="Rectangle 12"/>
                        <wps:cNvSpPr/>
                        <wps:spPr>
                          <a:xfrm>
                            <a:off x="-233512" y="645461"/>
                            <a:ext cx="875933" cy="4777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4FE0D8" w14:textId="77777777" w:rsidR="00F96637" w:rsidRPr="009D7D04" w:rsidRDefault="00F96637" w:rsidP="001F26A6">
                              <w:pPr>
                                <w:jc w:val="center"/>
                                <w:rPr>
                                  <w:rFonts w:hAnsi="Calibri"/>
                                  <w:b/>
                                  <w:bCs/>
                                  <w:color w:val="000000" w:themeColor="text1"/>
                                  <w:kern w:val="24"/>
                                  <w:sz w:val="20"/>
                                  <w:szCs w:val="20"/>
                                  <w:lang w:val="en-AU"/>
                                </w:rPr>
                              </w:pPr>
                              <w:r w:rsidRPr="009D7D04">
                                <w:rPr>
                                  <w:rFonts w:hAnsi="Calibri"/>
                                  <w:b/>
                                  <w:bCs/>
                                  <w:color w:val="000000" w:themeColor="text1"/>
                                  <w:kern w:val="24"/>
                                  <w:sz w:val="20"/>
                                  <w:szCs w:val="20"/>
                                  <w:lang w:val="en-AU"/>
                                </w:rPr>
                                <w:t>Data and Information</w:t>
                              </w:r>
                            </w:p>
                          </w:txbxContent>
                        </wps:txbx>
                        <wps:bodyPr vert="vert270" rtlCol="0" anchor="ctr"/>
                      </wps:wsp>
                      <wps:wsp>
                        <wps:cNvPr id="13" name="Oval 13"/>
                        <wps:cNvSpPr/>
                        <wps:spPr>
                          <a:xfrm>
                            <a:off x="5974840" y="954499"/>
                            <a:ext cx="2246099" cy="222636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TextBox 6"/>
                        <wps:cNvSpPr txBox="1"/>
                        <wps:spPr>
                          <a:xfrm>
                            <a:off x="6025408" y="1553998"/>
                            <a:ext cx="2027554" cy="1398271"/>
                          </a:xfrm>
                          <a:prstGeom prst="rect">
                            <a:avLst/>
                          </a:prstGeom>
                          <a:noFill/>
                        </wps:spPr>
                        <wps:txbx>
                          <w:txbxContent>
                            <w:p w14:paraId="4CA27AC1" w14:textId="77777777" w:rsidR="00F96637" w:rsidRPr="009D7D04" w:rsidRDefault="00F96637" w:rsidP="001F26A6">
                              <w:pPr>
                                <w:jc w:val="center"/>
                                <w:rPr>
                                  <w:rFonts w:hAnsi="Calibri"/>
                                  <w:b/>
                                  <w:bCs/>
                                  <w:color w:val="000000" w:themeColor="text1"/>
                                  <w:kern w:val="24"/>
                                  <w:sz w:val="20"/>
                                  <w:szCs w:val="20"/>
                                  <w:lang w:val="en-AU"/>
                                </w:rPr>
                              </w:pPr>
                              <w:r w:rsidRPr="009D7D04">
                                <w:rPr>
                                  <w:rFonts w:hAnsi="Calibri"/>
                                  <w:b/>
                                  <w:bCs/>
                                  <w:color w:val="000000" w:themeColor="text1"/>
                                  <w:kern w:val="24"/>
                                  <w:sz w:val="20"/>
                                  <w:szCs w:val="20"/>
                                  <w:lang w:val="en-AU"/>
                                </w:rPr>
                                <w:t xml:space="preserve">Recognized Accumulated Knowledge </w:t>
                              </w:r>
                            </w:p>
                            <w:p w14:paraId="104C1436" w14:textId="77777777" w:rsidR="00F96637" w:rsidRPr="009D7D04" w:rsidRDefault="00F96637" w:rsidP="001F26A6">
                              <w:pPr>
                                <w:jc w:val="center"/>
                                <w:rPr>
                                  <w:rFonts w:hAnsi="Calibri"/>
                                  <w:b/>
                                  <w:bCs/>
                                  <w:color w:val="000000" w:themeColor="text1"/>
                                  <w:kern w:val="24"/>
                                  <w:sz w:val="20"/>
                                  <w:szCs w:val="20"/>
                                  <w:lang w:val="en-AU"/>
                                </w:rPr>
                              </w:pPr>
                              <w:r w:rsidRPr="009D7D04">
                                <w:rPr>
                                  <w:rFonts w:hAnsi="Calibri"/>
                                  <w:b/>
                                  <w:bCs/>
                                  <w:color w:val="000000" w:themeColor="text1"/>
                                  <w:kern w:val="24"/>
                                  <w:sz w:val="20"/>
                                  <w:szCs w:val="20"/>
                                  <w:lang w:val="en-AU"/>
                                </w:rPr>
                                <w:t>‘Basket’</w:t>
                              </w:r>
                            </w:p>
                          </w:txbxContent>
                        </wps:txbx>
                        <wps:bodyPr wrap="square" rtlCol="0">
                          <a:noAutofit/>
                        </wps:bodyPr>
                      </wps:wsp>
                      <wps:wsp>
                        <wps:cNvPr id="15" name="Isosceles Triangle 15"/>
                        <wps:cNvSpPr/>
                        <wps:spPr>
                          <a:xfrm rot="5400000">
                            <a:off x="9189675" y="1267483"/>
                            <a:ext cx="2124126" cy="1702693"/>
                          </a:xfrm>
                          <a:prstGeom prst="triangle">
                            <a:avLst>
                              <a:gd name="adj" fmla="val 48084"/>
                            </a:avLst>
                          </a:prstGeom>
                          <a:noFill/>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6" name="TextBox 8"/>
                        <wps:cNvSpPr txBox="1"/>
                        <wps:spPr>
                          <a:xfrm>
                            <a:off x="9400398" y="1954802"/>
                            <a:ext cx="1291746" cy="524245"/>
                          </a:xfrm>
                          <a:prstGeom prst="rect">
                            <a:avLst/>
                          </a:prstGeom>
                          <a:noFill/>
                        </wps:spPr>
                        <wps:txbx>
                          <w:txbxContent>
                            <w:p w14:paraId="688DD0EB" w14:textId="77777777" w:rsidR="00F96637" w:rsidRPr="009D7D04" w:rsidRDefault="00F96637" w:rsidP="001F26A6">
                              <w:pPr>
                                <w:rPr>
                                  <w:rFonts w:hAnsi="Calibri"/>
                                  <w:b/>
                                  <w:bCs/>
                                  <w:color w:val="000000" w:themeColor="text1"/>
                                  <w:kern w:val="24"/>
                                  <w:sz w:val="20"/>
                                  <w:szCs w:val="20"/>
                                  <w:lang w:val="en-AU"/>
                                </w:rPr>
                              </w:pPr>
                              <w:r w:rsidRPr="009D7D04">
                                <w:rPr>
                                  <w:rFonts w:hAnsi="Calibri"/>
                                  <w:b/>
                                  <w:bCs/>
                                  <w:color w:val="000000" w:themeColor="text1"/>
                                  <w:kern w:val="24"/>
                                  <w:sz w:val="20"/>
                                  <w:szCs w:val="20"/>
                                  <w:lang w:val="en-AU"/>
                                </w:rPr>
                                <w:t>Policy</w:t>
                              </w:r>
                            </w:p>
                          </w:txbxContent>
                        </wps:txbx>
                        <wps:bodyPr wrap="square" rtlCol="0">
                          <a:noAutofit/>
                        </wps:bodyPr>
                      </wps:wsp>
                      <wps:wsp>
                        <wps:cNvPr id="28" name="TextBox 10"/>
                        <wps:cNvSpPr txBox="1"/>
                        <wps:spPr>
                          <a:xfrm>
                            <a:off x="4406694" y="3452484"/>
                            <a:ext cx="2526029" cy="2242587"/>
                          </a:xfrm>
                          <a:prstGeom prst="rect">
                            <a:avLst/>
                          </a:prstGeom>
                          <a:noFill/>
                        </wps:spPr>
                        <wps:txbx>
                          <w:txbxContent>
                            <w:p w14:paraId="192CF874" w14:textId="77777777" w:rsidR="00F96637" w:rsidRPr="004E780D" w:rsidRDefault="00F96637" w:rsidP="001F26A6">
                              <w:pPr>
                                <w:rPr>
                                  <w:rFonts w:hAnsi="Calibri"/>
                                  <w:color w:val="000000" w:themeColor="text1"/>
                                  <w:kern w:val="24"/>
                                  <w:sz w:val="18"/>
                                  <w:szCs w:val="18"/>
                                  <w:lang w:val="en-AU"/>
                                </w:rPr>
                              </w:pPr>
                              <w:r w:rsidRPr="004E780D">
                                <w:rPr>
                                  <w:rFonts w:hAnsi="Calibri"/>
                                  <w:color w:val="000000" w:themeColor="text1"/>
                                  <w:kern w:val="24"/>
                                  <w:sz w:val="18"/>
                                  <w:szCs w:val="18"/>
                                  <w:lang w:val="en-AU"/>
                                </w:rPr>
                                <w:t>The Value, Credibility, Accessibility, and Presentation of Knowledge affect the degree to which sources are considered</w:t>
                              </w:r>
                            </w:p>
                          </w:txbxContent>
                        </wps:txbx>
                        <wps:bodyPr wrap="square" rtlCol="0">
                          <a:noAutofit/>
                        </wps:bodyPr>
                      </wps:wsp>
                      <wps:wsp>
                        <wps:cNvPr id="29" name="Arrow: Right 29"/>
                        <wps:cNvSpPr/>
                        <wps:spPr>
                          <a:xfrm rot="16200000">
                            <a:off x="4556630" y="2532776"/>
                            <a:ext cx="1057726" cy="671683"/>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TextBox 13"/>
                        <wps:cNvSpPr txBox="1"/>
                        <wps:spPr>
                          <a:xfrm>
                            <a:off x="7153627" y="3368785"/>
                            <a:ext cx="3992245" cy="1322069"/>
                          </a:xfrm>
                          <a:prstGeom prst="rect">
                            <a:avLst/>
                          </a:prstGeom>
                          <a:noFill/>
                        </wps:spPr>
                        <wps:txbx>
                          <w:txbxContent>
                            <w:p w14:paraId="6E6E1759" w14:textId="77777777" w:rsidR="00F96637" w:rsidRPr="004E780D" w:rsidRDefault="00F96637" w:rsidP="001F26A6">
                              <w:pPr>
                                <w:rPr>
                                  <w:rFonts w:hAnsi="Calibri"/>
                                  <w:color w:val="000000" w:themeColor="text1"/>
                                  <w:kern w:val="24"/>
                                  <w:sz w:val="18"/>
                                  <w:szCs w:val="18"/>
                                  <w:lang w:val="en-AU"/>
                                </w:rPr>
                              </w:pPr>
                              <w:r w:rsidRPr="004E780D">
                                <w:rPr>
                                  <w:rFonts w:hAnsi="Calibri"/>
                                  <w:color w:val="000000" w:themeColor="text1"/>
                                  <w:kern w:val="24"/>
                                  <w:sz w:val="18"/>
                                  <w:szCs w:val="18"/>
                                  <w:lang w:val="en-AU"/>
                                </w:rPr>
                                <w:t xml:space="preserve">The nature of Governance, Power Structures (formal and informal) and Decision-making processes affect the use of Knowledge in Policy Development </w:t>
                              </w:r>
                            </w:p>
                          </w:txbxContent>
                        </wps:txbx>
                        <wps:bodyPr wrap="square" rtlCol="0">
                          <a:noAutofit/>
                        </wps:bodyPr>
                      </wps:wsp>
                      <wps:wsp>
                        <wps:cNvPr id="31" name="Arrow: Right 31"/>
                        <wps:cNvSpPr/>
                        <wps:spPr>
                          <a:xfrm rot="16200000">
                            <a:off x="8139473" y="2445101"/>
                            <a:ext cx="1057726" cy="671683"/>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8" name="Arrow: Right 448"/>
                        <wps:cNvSpPr/>
                        <wps:spPr>
                          <a:xfrm>
                            <a:off x="8332473" y="1519411"/>
                            <a:ext cx="1018071" cy="67168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9" name="Arrow: Right 449"/>
                        <wps:cNvSpPr/>
                        <wps:spPr>
                          <a:xfrm>
                            <a:off x="4370820" y="1536706"/>
                            <a:ext cx="1618704" cy="67168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0" name="Arrow: Right 450"/>
                        <wps:cNvSpPr/>
                        <wps:spPr>
                          <a:xfrm>
                            <a:off x="806228" y="1554092"/>
                            <a:ext cx="1244835" cy="671683"/>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1" name="TextBox 19" descr="Figure 1 shows how &#10;Reliability, Validity and Integrity affect the Value of Data and Information."/>
                        <wps:cNvSpPr txBox="1"/>
                        <wps:spPr>
                          <a:xfrm>
                            <a:off x="567961" y="3452556"/>
                            <a:ext cx="1560196" cy="2056790"/>
                          </a:xfrm>
                          <a:prstGeom prst="rect">
                            <a:avLst/>
                          </a:prstGeom>
                          <a:noFill/>
                        </wps:spPr>
                        <wps:txbx>
                          <w:txbxContent>
                            <w:p w14:paraId="7FCDB2EE" w14:textId="77777777" w:rsidR="00F96637" w:rsidRPr="004E780D" w:rsidRDefault="00F96637" w:rsidP="001F26A6">
                              <w:pPr>
                                <w:rPr>
                                  <w:rFonts w:hAnsi="Calibri"/>
                                  <w:color w:val="000000" w:themeColor="text1"/>
                                  <w:kern w:val="24"/>
                                  <w:sz w:val="18"/>
                                  <w:szCs w:val="18"/>
                                  <w:lang w:val="en-AU"/>
                                </w:rPr>
                              </w:pPr>
                              <w:r w:rsidRPr="004E780D">
                                <w:rPr>
                                  <w:rFonts w:hAnsi="Calibri"/>
                                  <w:color w:val="000000" w:themeColor="text1"/>
                                  <w:kern w:val="24"/>
                                  <w:sz w:val="18"/>
                                  <w:szCs w:val="18"/>
                                  <w:lang w:val="en-AU"/>
                                </w:rPr>
                                <w:t>Reliability, Validity and Integrity affect the Value of Data and Information</w:t>
                              </w:r>
                            </w:p>
                          </w:txbxContent>
                        </wps:txbx>
                        <wps:bodyPr wrap="square" rtlCol="0">
                          <a:noAutofit/>
                        </wps:bodyPr>
                      </wps:wsp>
                      <wps:wsp>
                        <wps:cNvPr id="452" name="Arrow: Right 452"/>
                        <wps:cNvSpPr/>
                        <wps:spPr>
                          <a:xfrm rot="16200000">
                            <a:off x="789456" y="2481992"/>
                            <a:ext cx="1101976" cy="671683"/>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4" name="Rectangle 454"/>
                        <wps:cNvSpPr/>
                        <wps:spPr>
                          <a:xfrm>
                            <a:off x="2050989" y="645463"/>
                            <a:ext cx="2246099" cy="477833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5" name="TextBox 23"/>
                        <wps:cNvSpPr txBox="1"/>
                        <wps:spPr>
                          <a:xfrm>
                            <a:off x="2128001" y="833058"/>
                            <a:ext cx="2242659" cy="4675659"/>
                          </a:xfrm>
                          <a:prstGeom prst="rect">
                            <a:avLst/>
                          </a:prstGeom>
                          <a:noFill/>
                          <a:ln w="6350">
                            <a:noFill/>
                          </a:ln>
                        </wps:spPr>
                        <wps:txbx>
                          <w:txbxContent>
                            <w:p w14:paraId="21679AEC" w14:textId="71623E29" w:rsidR="00F96637" w:rsidRPr="004E780D" w:rsidRDefault="00F96637" w:rsidP="001A1CE6">
                              <w:pPr>
                                <w:jc w:val="center"/>
                                <w:rPr>
                                  <w:rFonts w:hAnsi="Calibri"/>
                                  <w:b/>
                                  <w:bCs/>
                                  <w:color w:val="000000" w:themeColor="text1"/>
                                  <w:kern w:val="24"/>
                                  <w:sz w:val="18"/>
                                  <w:szCs w:val="18"/>
                                  <w:lang w:val="en-AU"/>
                                </w:rPr>
                              </w:pPr>
                              <w:r w:rsidRPr="004E780D">
                                <w:rPr>
                                  <w:rFonts w:hAnsi="Calibri"/>
                                  <w:b/>
                                  <w:bCs/>
                                  <w:color w:val="000000" w:themeColor="text1"/>
                                  <w:kern w:val="24"/>
                                  <w:sz w:val="18"/>
                                  <w:szCs w:val="18"/>
                                  <w:lang w:val="en-AU"/>
                                </w:rPr>
                                <w:t>Selected Evidence and Knowledge Sources</w:t>
                              </w:r>
                            </w:p>
                            <w:p w14:paraId="1EAF09BB" w14:textId="77777777" w:rsidR="00F96637" w:rsidRPr="004E780D" w:rsidRDefault="00F96637" w:rsidP="001F26A6">
                              <w:pPr>
                                <w:rPr>
                                  <w:rFonts w:hAnsi="Calibri"/>
                                  <w:color w:val="000000" w:themeColor="text1"/>
                                  <w:kern w:val="24"/>
                                  <w:sz w:val="18"/>
                                  <w:szCs w:val="18"/>
                                  <w:lang w:val="en-AU"/>
                                </w:rPr>
                              </w:pPr>
                              <w:r w:rsidRPr="004E780D">
                                <w:rPr>
                                  <w:rFonts w:hAnsi="Calibri"/>
                                  <w:color w:val="000000" w:themeColor="text1"/>
                                  <w:kern w:val="24"/>
                                  <w:sz w:val="18"/>
                                  <w:szCs w:val="18"/>
                                  <w:lang w:val="en-AU"/>
                                </w:rPr>
                                <w:t>Research (e.g., NRI)</w:t>
                              </w:r>
                            </w:p>
                            <w:p w14:paraId="3C15150A" w14:textId="77777777" w:rsidR="00F96637" w:rsidRPr="004E780D" w:rsidRDefault="00F96637" w:rsidP="001F26A6">
                              <w:pPr>
                                <w:rPr>
                                  <w:rFonts w:hAnsi="Calibri"/>
                                  <w:color w:val="000000" w:themeColor="text1"/>
                                  <w:kern w:val="24"/>
                                  <w:sz w:val="18"/>
                                  <w:szCs w:val="18"/>
                                  <w:lang w:val="en-AU"/>
                                </w:rPr>
                              </w:pPr>
                            </w:p>
                            <w:p w14:paraId="0FD4ECC3" w14:textId="77777777" w:rsidR="00F96637" w:rsidRPr="004E780D" w:rsidRDefault="00F96637" w:rsidP="001F26A6">
                              <w:pPr>
                                <w:rPr>
                                  <w:rFonts w:hAnsi="Calibri"/>
                                  <w:color w:val="000000" w:themeColor="text1"/>
                                  <w:kern w:val="24"/>
                                  <w:sz w:val="18"/>
                                  <w:szCs w:val="18"/>
                                  <w:lang w:val="en-AU"/>
                                </w:rPr>
                              </w:pPr>
                              <w:r w:rsidRPr="004E780D">
                                <w:rPr>
                                  <w:rFonts w:hAnsi="Calibri"/>
                                  <w:color w:val="000000" w:themeColor="text1"/>
                                  <w:kern w:val="24"/>
                                  <w:sz w:val="18"/>
                                  <w:szCs w:val="18"/>
                                  <w:lang w:val="en-AU"/>
                                </w:rPr>
                                <w:t>Projects/Programs (e.g., donors)</w:t>
                              </w:r>
                            </w:p>
                            <w:p w14:paraId="768BBD4B" w14:textId="77777777" w:rsidR="00F96637" w:rsidRPr="004E780D" w:rsidRDefault="00F96637" w:rsidP="001F26A6">
                              <w:pPr>
                                <w:rPr>
                                  <w:rFonts w:hAnsi="Calibri"/>
                                  <w:color w:val="000000" w:themeColor="text1"/>
                                  <w:kern w:val="24"/>
                                  <w:sz w:val="18"/>
                                  <w:szCs w:val="18"/>
                                  <w:lang w:val="en-AU"/>
                                </w:rPr>
                              </w:pPr>
                            </w:p>
                            <w:p w14:paraId="69E9D8E2" w14:textId="77777777" w:rsidR="00F96637" w:rsidRPr="004E780D" w:rsidRDefault="00F96637" w:rsidP="001F26A6">
                              <w:pPr>
                                <w:rPr>
                                  <w:rFonts w:hAnsi="Calibri"/>
                                  <w:color w:val="000000" w:themeColor="text1"/>
                                  <w:kern w:val="24"/>
                                  <w:sz w:val="18"/>
                                  <w:szCs w:val="18"/>
                                  <w:lang w:val="en-AU"/>
                                </w:rPr>
                              </w:pPr>
                              <w:r w:rsidRPr="004E780D">
                                <w:rPr>
                                  <w:rFonts w:hAnsi="Calibri"/>
                                  <w:color w:val="000000" w:themeColor="text1"/>
                                  <w:kern w:val="24"/>
                                  <w:sz w:val="18"/>
                                  <w:szCs w:val="18"/>
                                  <w:lang w:val="en-AU"/>
                                </w:rPr>
                                <w:t>Participatory (e.g., citizen voice)</w:t>
                              </w:r>
                            </w:p>
                            <w:p w14:paraId="4B325302" w14:textId="77777777" w:rsidR="00F96637" w:rsidRPr="004E780D" w:rsidRDefault="00F96637" w:rsidP="001F26A6">
                              <w:pPr>
                                <w:rPr>
                                  <w:rFonts w:hAnsi="Calibri"/>
                                  <w:color w:val="000000" w:themeColor="text1"/>
                                  <w:kern w:val="24"/>
                                  <w:sz w:val="18"/>
                                  <w:szCs w:val="18"/>
                                  <w:lang w:val="en-AU"/>
                                </w:rPr>
                              </w:pPr>
                            </w:p>
                            <w:p w14:paraId="64A745B2" w14:textId="77777777" w:rsidR="00F96637" w:rsidRPr="004E780D" w:rsidRDefault="00F96637" w:rsidP="001F26A6">
                              <w:pPr>
                                <w:rPr>
                                  <w:rFonts w:hAnsi="Calibri"/>
                                  <w:color w:val="000000" w:themeColor="text1"/>
                                  <w:kern w:val="24"/>
                                  <w:sz w:val="18"/>
                                  <w:szCs w:val="18"/>
                                  <w:lang w:val="en-AU"/>
                                </w:rPr>
                              </w:pPr>
                              <w:r w:rsidRPr="004E780D">
                                <w:rPr>
                                  <w:rFonts w:hAnsi="Calibri"/>
                                  <w:color w:val="000000" w:themeColor="text1"/>
                                  <w:kern w:val="24"/>
                                  <w:sz w:val="18"/>
                                  <w:szCs w:val="18"/>
                                  <w:lang w:val="en-AU"/>
                                </w:rPr>
                                <w:t>Experiential (e.g., of stakeholders/ decision-makers)</w:t>
                              </w:r>
                            </w:p>
                            <w:p w14:paraId="0029B2EE" w14:textId="77777777" w:rsidR="00F96637" w:rsidRPr="009D7D04" w:rsidRDefault="00F96637" w:rsidP="001F26A6">
                              <w:pPr>
                                <w:rPr>
                                  <w:rFonts w:hAnsi="Calibri"/>
                                  <w:color w:val="000000" w:themeColor="text1"/>
                                  <w:kern w:val="24"/>
                                  <w:sz w:val="20"/>
                                  <w:szCs w:val="20"/>
                                  <w:lang w:val="en-AU"/>
                                </w:rPr>
                              </w:pPr>
                            </w:p>
                            <w:p w14:paraId="5AC21233" w14:textId="77777777" w:rsidR="00F96637" w:rsidRPr="0021747F" w:rsidRDefault="00F96637" w:rsidP="001F26A6">
                              <w:pPr>
                                <w:rPr>
                                  <w:rFonts w:hAnsi="Calibri"/>
                                  <w:color w:val="000000" w:themeColor="text1"/>
                                  <w:kern w:val="24"/>
                                  <w:sz w:val="18"/>
                                  <w:szCs w:val="18"/>
                                  <w:lang w:val="en-AU"/>
                                </w:rPr>
                              </w:pPr>
                              <w:r w:rsidRPr="0021747F">
                                <w:rPr>
                                  <w:rFonts w:hAnsi="Calibri"/>
                                  <w:color w:val="000000" w:themeColor="text1"/>
                                  <w:kern w:val="24"/>
                                  <w:sz w:val="18"/>
                                  <w:szCs w:val="18"/>
                                  <w:lang w:val="en-AU"/>
                                </w:rPr>
                                <w:t>Socio-cultural (e.g., values, beliefs)</w:t>
                              </w:r>
                            </w:p>
                          </w:txbxContent>
                        </wps:txbx>
                        <wps:bodyPr wrap="square" rtlCol="0">
                          <a:noAutofit/>
                        </wps:bodyPr>
                      </wps:wsp>
                    </wpg:wgp>
                  </a:graphicData>
                </a:graphic>
              </wp:inline>
            </w:drawing>
          </mc:Choice>
          <mc:Fallback>
            <w:pict>
              <v:group w14:anchorId="56423B43" id="Group 1" o:spid="_x0000_s1035" alt="&quot;&quot;" style="width:442.05pt;height:233.05pt;mso-position-horizontal-relative:char;mso-position-vertical-relative:line" coordorigin="-2335,6454" coordsize="113793,50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">
                <v:rect id="Rectangle 12" o:spid="_x0000_s1036" style="position:absolute;left:-2335;top:6454;width:8759;height:47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" filled="f" strokecolor="#1f3763 [1604]" strokeweight="1pt">
                  <v:textbox style="layout-flow:vertical;mso-layout-flow-alt:bottom-to-top">
                    <w:txbxContent>
                      <w:p w14:paraId="0F4FE0D8" w14:textId="77777777" w:rsidR="00F96637" w:rsidRPr="009D7D04" w:rsidRDefault="00F96637" w:rsidP="001F26A6">
                        <w:pPr>
                          <w:jc w:val="center"/>
                          <w:rPr>
                            <w:rFonts w:hAnsi="Calibri"/>
                            <w:b/>
                            <w:bCs/>
                            <w:color w:val="000000" w:themeColor="text1"/>
                            <w:kern w:val="24"/>
                            <w:sz w:val="20"/>
                            <w:szCs w:val="20"/>
                            <w:lang w:val="en-AU"/>
                          </w:rPr>
                        </w:pPr>
                        <w:r w:rsidRPr="009D7D04">
                          <w:rPr>
                            <w:rFonts w:hAnsi="Calibri"/>
                            <w:b/>
                            <w:bCs/>
                            <w:color w:val="000000" w:themeColor="text1"/>
                            <w:kern w:val="24"/>
                            <w:sz w:val="20"/>
                            <w:szCs w:val="20"/>
                            <w:lang w:val="en-AU"/>
                          </w:rPr>
                          <w:t>Data and Information</w:t>
                        </w:r>
                      </w:p>
                    </w:txbxContent>
                  </v:textbox>
                </v:rect>
                <v:oval id="Oval 13" o:spid="_x0000_s1037" style="position:absolute;left:59748;top:9544;width:22461;height:22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" filled="f" strokecolor="#1f3763 [1604]" strokeweight="1pt">
                  <v:stroke joinstyle="miter"/>
                </v:oval>
                <v:shape id="TextBox 6" o:spid="_x0000_s1038" type="#_x0000_t202" style="position:absolute;left:60254;top:15539;width:20275;height:13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4CA27AC1" w14:textId="77777777" w:rsidR="00F96637" w:rsidRPr="009D7D04" w:rsidRDefault="00F96637" w:rsidP="001F26A6">
                        <w:pPr>
                          <w:jc w:val="center"/>
                          <w:rPr>
                            <w:rFonts w:hAnsi="Calibri"/>
                            <w:b/>
                            <w:bCs/>
                            <w:color w:val="000000" w:themeColor="text1"/>
                            <w:kern w:val="24"/>
                            <w:sz w:val="20"/>
                            <w:szCs w:val="20"/>
                            <w:lang w:val="en-AU"/>
                          </w:rPr>
                        </w:pPr>
                        <w:r w:rsidRPr="009D7D04">
                          <w:rPr>
                            <w:rFonts w:hAnsi="Calibri"/>
                            <w:b/>
                            <w:bCs/>
                            <w:color w:val="000000" w:themeColor="text1"/>
                            <w:kern w:val="24"/>
                            <w:sz w:val="20"/>
                            <w:szCs w:val="20"/>
                            <w:lang w:val="en-AU"/>
                          </w:rPr>
                          <w:t xml:space="preserve">Recognized Accumulated Knowledge </w:t>
                        </w:r>
                      </w:p>
                      <w:p w14:paraId="104C1436" w14:textId="77777777" w:rsidR="00F96637" w:rsidRPr="009D7D04" w:rsidRDefault="00F96637" w:rsidP="001F26A6">
                        <w:pPr>
                          <w:jc w:val="center"/>
                          <w:rPr>
                            <w:rFonts w:hAnsi="Calibri"/>
                            <w:b/>
                            <w:bCs/>
                            <w:color w:val="000000" w:themeColor="text1"/>
                            <w:kern w:val="24"/>
                            <w:sz w:val="20"/>
                            <w:szCs w:val="20"/>
                            <w:lang w:val="en-AU"/>
                          </w:rPr>
                        </w:pPr>
                        <w:r w:rsidRPr="009D7D04">
                          <w:rPr>
                            <w:rFonts w:hAnsi="Calibri"/>
                            <w:b/>
                            <w:bCs/>
                            <w:color w:val="000000" w:themeColor="text1"/>
                            <w:kern w:val="24"/>
                            <w:sz w:val="20"/>
                            <w:szCs w:val="20"/>
                            <w:lang w:val="en-AU"/>
                          </w:rPr>
                          <w:t>‘Basket’</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39" type="#_x0000_t5" style="position:absolute;left:91896;top:12674;width:21241;height:170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" adj="10386" filled="f" strokecolor="#1f3763 [1604]" strokeweight="1pt"/>
                <v:shape id="TextBox 8" o:spid="_x0000_s1040" type="#_x0000_t202" style="position:absolute;left:94003;top:19548;width:12918;height:5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88DD0EB" w14:textId="77777777" w:rsidR="00F96637" w:rsidRPr="009D7D04" w:rsidRDefault="00F96637" w:rsidP="001F26A6">
                        <w:pPr>
                          <w:rPr>
                            <w:rFonts w:hAnsi="Calibri"/>
                            <w:b/>
                            <w:bCs/>
                            <w:color w:val="000000" w:themeColor="text1"/>
                            <w:kern w:val="24"/>
                            <w:sz w:val="20"/>
                            <w:szCs w:val="20"/>
                            <w:lang w:val="en-AU"/>
                          </w:rPr>
                        </w:pPr>
                        <w:r w:rsidRPr="009D7D04">
                          <w:rPr>
                            <w:rFonts w:hAnsi="Calibri"/>
                            <w:b/>
                            <w:bCs/>
                            <w:color w:val="000000" w:themeColor="text1"/>
                            <w:kern w:val="24"/>
                            <w:sz w:val="20"/>
                            <w:szCs w:val="20"/>
                            <w:lang w:val="en-AU"/>
                          </w:rPr>
                          <w:t>Policy</w:t>
                        </w:r>
                      </w:p>
                    </w:txbxContent>
                  </v:textbox>
                </v:shape>
                <v:shape id="TextBox 10" o:spid="_x0000_s1041" type="#_x0000_t202" style="position:absolute;left:44066;top:34524;width:25261;height:2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92CF874" w14:textId="77777777" w:rsidR="00F96637" w:rsidRPr="004E780D" w:rsidRDefault="00F96637" w:rsidP="001F26A6">
                        <w:pPr>
                          <w:rPr>
                            <w:rFonts w:hAnsi="Calibri"/>
                            <w:color w:val="000000" w:themeColor="text1"/>
                            <w:kern w:val="24"/>
                            <w:sz w:val="18"/>
                            <w:szCs w:val="18"/>
                            <w:lang w:val="en-AU"/>
                          </w:rPr>
                        </w:pPr>
                        <w:r w:rsidRPr="004E780D">
                          <w:rPr>
                            <w:rFonts w:hAnsi="Calibri"/>
                            <w:color w:val="000000" w:themeColor="text1"/>
                            <w:kern w:val="24"/>
                            <w:sz w:val="18"/>
                            <w:szCs w:val="18"/>
                            <w:lang w:val="en-AU"/>
                          </w:rPr>
                          <w:t>The Value, Credibility, Accessibility, and Presentation of Knowledge affect the degree to which sources are considered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9" o:spid="_x0000_s1042" type="#_x0000_t13" style="position:absolute;left:45566;top:25327;width:10577;height:67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" adj="14742" filled="f" strokecolor="#1f3763 [1604]" strokeweight="1pt"/>
                <v:shape id="TextBox 13" o:spid="_x0000_s1043" type="#_x0000_t202" style="position:absolute;left:71536;top:33687;width:39922;height:1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E6E1759" w14:textId="77777777" w:rsidR="00F96637" w:rsidRPr="004E780D" w:rsidRDefault="00F96637" w:rsidP="001F26A6">
                        <w:pPr>
                          <w:rPr>
                            <w:rFonts w:hAnsi="Calibri"/>
                            <w:color w:val="000000" w:themeColor="text1"/>
                            <w:kern w:val="24"/>
                            <w:sz w:val="18"/>
                            <w:szCs w:val="18"/>
                            <w:lang w:val="en-AU"/>
                          </w:rPr>
                        </w:pPr>
                        <w:r w:rsidRPr="004E780D">
                          <w:rPr>
                            <w:rFonts w:hAnsi="Calibri"/>
                            <w:color w:val="000000" w:themeColor="text1"/>
                            <w:kern w:val="24"/>
                            <w:sz w:val="18"/>
                            <w:szCs w:val="18"/>
                            <w:lang w:val="en-AU"/>
                          </w:rPr>
                          <w:t xml:space="preserve">The nature of Governance, Power Structures (formal and informal) and Decision-making processes affect the use of Knowledge in Policy Development </w:t>
                        </w:r>
                      </w:p>
                    </w:txbxContent>
                  </v:textbox>
                </v:shape>
                <v:shape id="Arrow: Right 31" o:spid="_x0000_s1044" type="#_x0000_t13" style="position:absolute;left:81394;top:24450;width:10578;height:67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" adj="14742" filled="f" strokecolor="#1f3763 [1604]" strokeweight="1pt"/>
                <v:shape id="Arrow: Right 448" o:spid="_x0000_s1045" type="#_x0000_t13" style="position:absolute;left:83324;top:15194;width:10181;height:6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" adj="14475" filled="f" strokecolor="#1f3763 [1604]" strokeweight="1pt"/>
                <v:shape id="Arrow: Right 449" o:spid="_x0000_s1046" type="#_x0000_t13" style="position:absolute;left:43708;top:15367;width:16187;height:6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" adj="17119" filled="f" strokecolor="#1f3763 [1604]" strokeweight="1pt"/>
                <v:shape id="Arrow: Right 450" o:spid="_x0000_s1047" type="#_x0000_t13" style="position:absolute;left:8062;top:15540;width:12448;height:6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" adj="15773" filled="f" strokecolor="#1f3763 [1604]" strokeweight="1pt"/>
                <v:shape id="TextBox 19" o:spid="_x0000_s1048" type="#_x0000_t202" alt="Figure 1 shows how &#10;Reliability, Validity and Integrity affect the Value of Data and Information." style="position:absolute;left:5679;top:34525;width:15602;height:20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14:paraId="7FCDB2EE" w14:textId="77777777" w:rsidR="00F96637" w:rsidRPr="004E780D" w:rsidRDefault="00F96637" w:rsidP="001F26A6">
                        <w:pPr>
                          <w:rPr>
                            <w:rFonts w:hAnsi="Calibri"/>
                            <w:color w:val="000000" w:themeColor="text1"/>
                            <w:kern w:val="24"/>
                            <w:sz w:val="18"/>
                            <w:szCs w:val="18"/>
                            <w:lang w:val="en-AU"/>
                          </w:rPr>
                        </w:pPr>
                        <w:r w:rsidRPr="004E780D">
                          <w:rPr>
                            <w:rFonts w:hAnsi="Calibri"/>
                            <w:color w:val="000000" w:themeColor="text1"/>
                            <w:kern w:val="24"/>
                            <w:sz w:val="18"/>
                            <w:szCs w:val="18"/>
                            <w:lang w:val="en-AU"/>
                          </w:rPr>
                          <w:t>Reliability, Validity and Integrity affect the Value of Data and Information</w:t>
                        </w:r>
                      </w:p>
                    </w:txbxContent>
                  </v:textbox>
                </v:shape>
                <v:shape id="Arrow: Right 452" o:spid="_x0000_s1049" type="#_x0000_t13" style="position:absolute;left:7894;top:24820;width:11020;height:67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" adj="15017" filled="f" strokecolor="#1f3763 [1604]" strokeweight="1pt"/>
                <v:rect id="Rectangle 454" o:spid="_x0000_s1050" style="position:absolute;left:20509;top:6454;width:22461;height:47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" filled="f" strokecolor="#1f3763 [1604]" strokeweight="1pt"/>
                <v:shape id="TextBox 23" o:spid="_x0000_s1051" type="#_x0000_t202" style="position:absolute;left:21280;top:8330;width:22426;height:46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UCxQAAANwAAAAPAAAAZHJzL2Rvd25yZXYueG1sRI9Pi8Iw&#10;FMTvwn6H8Ba8abpi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AHPiUCxQAAANwAAAAP&#10;AAAAAAAAAAAAAAAAAAcCAABkcnMvZG93bnJldi54bWxQSwUGAAAAAAMAAwC3AAAA+QIAAAAA&#10;" filled="f" stroked="f" strokeweight=".5pt">
                  <v:textbox>
                    <w:txbxContent>
                      <w:p w14:paraId="21679AEC" w14:textId="71623E29" w:rsidR="00F96637" w:rsidRPr="004E780D" w:rsidRDefault="00F96637" w:rsidP="001A1CE6">
                        <w:pPr>
                          <w:jc w:val="center"/>
                          <w:rPr>
                            <w:rFonts w:hAnsi="Calibri"/>
                            <w:b/>
                            <w:bCs/>
                            <w:color w:val="000000" w:themeColor="text1"/>
                            <w:kern w:val="24"/>
                            <w:sz w:val="18"/>
                            <w:szCs w:val="18"/>
                            <w:lang w:val="en-AU"/>
                          </w:rPr>
                        </w:pPr>
                        <w:r w:rsidRPr="004E780D">
                          <w:rPr>
                            <w:rFonts w:hAnsi="Calibri"/>
                            <w:b/>
                            <w:bCs/>
                            <w:color w:val="000000" w:themeColor="text1"/>
                            <w:kern w:val="24"/>
                            <w:sz w:val="18"/>
                            <w:szCs w:val="18"/>
                            <w:lang w:val="en-AU"/>
                          </w:rPr>
                          <w:t>Selected Evidence and Knowledge Sources</w:t>
                        </w:r>
                      </w:p>
                      <w:p w14:paraId="1EAF09BB" w14:textId="77777777" w:rsidR="00F96637" w:rsidRPr="004E780D" w:rsidRDefault="00F96637" w:rsidP="001F26A6">
                        <w:pPr>
                          <w:rPr>
                            <w:rFonts w:hAnsi="Calibri"/>
                            <w:color w:val="000000" w:themeColor="text1"/>
                            <w:kern w:val="24"/>
                            <w:sz w:val="18"/>
                            <w:szCs w:val="18"/>
                            <w:lang w:val="en-AU"/>
                          </w:rPr>
                        </w:pPr>
                        <w:r w:rsidRPr="004E780D">
                          <w:rPr>
                            <w:rFonts w:hAnsi="Calibri"/>
                            <w:color w:val="000000" w:themeColor="text1"/>
                            <w:kern w:val="24"/>
                            <w:sz w:val="18"/>
                            <w:szCs w:val="18"/>
                            <w:lang w:val="en-AU"/>
                          </w:rPr>
                          <w:t>Research (e.g., NRI)</w:t>
                        </w:r>
                      </w:p>
                      <w:p w14:paraId="3C15150A" w14:textId="77777777" w:rsidR="00F96637" w:rsidRPr="004E780D" w:rsidRDefault="00F96637" w:rsidP="001F26A6">
                        <w:pPr>
                          <w:rPr>
                            <w:rFonts w:hAnsi="Calibri"/>
                            <w:color w:val="000000" w:themeColor="text1"/>
                            <w:kern w:val="24"/>
                            <w:sz w:val="18"/>
                            <w:szCs w:val="18"/>
                            <w:lang w:val="en-AU"/>
                          </w:rPr>
                        </w:pPr>
                      </w:p>
                      <w:p w14:paraId="0FD4ECC3" w14:textId="77777777" w:rsidR="00F96637" w:rsidRPr="004E780D" w:rsidRDefault="00F96637" w:rsidP="001F26A6">
                        <w:pPr>
                          <w:rPr>
                            <w:rFonts w:hAnsi="Calibri"/>
                            <w:color w:val="000000" w:themeColor="text1"/>
                            <w:kern w:val="24"/>
                            <w:sz w:val="18"/>
                            <w:szCs w:val="18"/>
                            <w:lang w:val="en-AU"/>
                          </w:rPr>
                        </w:pPr>
                        <w:r w:rsidRPr="004E780D">
                          <w:rPr>
                            <w:rFonts w:hAnsi="Calibri"/>
                            <w:color w:val="000000" w:themeColor="text1"/>
                            <w:kern w:val="24"/>
                            <w:sz w:val="18"/>
                            <w:szCs w:val="18"/>
                            <w:lang w:val="en-AU"/>
                          </w:rPr>
                          <w:t>Projects/Programs (e.g., donors)</w:t>
                        </w:r>
                      </w:p>
                      <w:p w14:paraId="768BBD4B" w14:textId="77777777" w:rsidR="00F96637" w:rsidRPr="004E780D" w:rsidRDefault="00F96637" w:rsidP="001F26A6">
                        <w:pPr>
                          <w:rPr>
                            <w:rFonts w:hAnsi="Calibri"/>
                            <w:color w:val="000000" w:themeColor="text1"/>
                            <w:kern w:val="24"/>
                            <w:sz w:val="18"/>
                            <w:szCs w:val="18"/>
                            <w:lang w:val="en-AU"/>
                          </w:rPr>
                        </w:pPr>
                      </w:p>
                      <w:p w14:paraId="69E9D8E2" w14:textId="77777777" w:rsidR="00F96637" w:rsidRPr="004E780D" w:rsidRDefault="00F96637" w:rsidP="001F26A6">
                        <w:pPr>
                          <w:rPr>
                            <w:rFonts w:hAnsi="Calibri"/>
                            <w:color w:val="000000" w:themeColor="text1"/>
                            <w:kern w:val="24"/>
                            <w:sz w:val="18"/>
                            <w:szCs w:val="18"/>
                            <w:lang w:val="en-AU"/>
                          </w:rPr>
                        </w:pPr>
                        <w:r w:rsidRPr="004E780D">
                          <w:rPr>
                            <w:rFonts w:hAnsi="Calibri"/>
                            <w:color w:val="000000" w:themeColor="text1"/>
                            <w:kern w:val="24"/>
                            <w:sz w:val="18"/>
                            <w:szCs w:val="18"/>
                            <w:lang w:val="en-AU"/>
                          </w:rPr>
                          <w:t>Participatory (e.g., citizen voice)</w:t>
                        </w:r>
                      </w:p>
                      <w:p w14:paraId="4B325302" w14:textId="77777777" w:rsidR="00F96637" w:rsidRPr="004E780D" w:rsidRDefault="00F96637" w:rsidP="001F26A6">
                        <w:pPr>
                          <w:rPr>
                            <w:rFonts w:hAnsi="Calibri"/>
                            <w:color w:val="000000" w:themeColor="text1"/>
                            <w:kern w:val="24"/>
                            <w:sz w:val="18"/>
                            <w:szCs w:val="18"/>
                            <w:lang w:val="en-AU"/>
                          </w:rPr>
                        </w:pPr>
                      </w:p>
                      <w:p w14:paraId="64A745B2" w14:textId="77777777" w:rsidR="00F96637" w:rsidRPr="004E780D" w:rsidRDefault="00F96637" w:rsidP="001F26A6">
                        <w:pPr>
                          <w:rPr>
                            <w:rFonts w:hAnsi="Calibri"/>
                            <w:color w:val="000000" w:themeColor="text1"/>
                            <w:kern w:val="24"/>
                            <w:sz w:val="18"/>
                            <w:szCs w:val="18"/>
                            <w:lang w:val="en-AU"/>
                          </w:rPr>
                        </w:pPr>
                        <w:r w:rsidRPr="004E780D">
                          <w:rPr>
                            <w:rFonts w:hAnsi="Calibri"/>
                            <w:color w:val="000000" w:themeColor="text1"/>
                            <w:kern w:val="24"/>
                            <w:sz w:val="18"/>
                            <w:szCs w:val="18"/>
                            <w:lang w:val="en-AU"/>
                          </w:rPr>
                          <w:t>Experiential (e.g., of stakeholders/ decision-makers)</w:t>
                        </w:r>
                      </w:p>
                      <w:p w14:paraId="0029B2EE" w14:textId="77777777" w:rsidR="00F96637" w:rsidRPr="009D7D04" w:rsidRDefault="00F96637" w:rsidP="001F26A6">
                        <w:pPr>
                          <w:rPr>
                            <w:rFonts w:hAnsi="Calibri"/>
                            <w:color w:val="000000" w:themeColor="text1"/>
                            <w:kern w:val="24"/>
                            <w:sz w:val="20"/>
                            <w:szCs w:val="20"/>
                            <w:lang w:val="en-AU"/>
                          </w:rPr>
                        </w:pPr>
                      </w:p>
                      <w:p w14:paraId="5AC21233" w14:textId="77777777" w:rsidR="00F96637" w:rsidRPr="0021747F" w:rsidRDefault="00F96637" w:rsidP="001F26A6">
                        <w:pPr>
                          <w:rPr>
                            <w:rFonts w:hAnsi="Calibri"/>
                            <w:color w:val="000000" w:themeColor="text1"/>
                            <w:kern w:val="24"/>
                            <w:sz w:val="18"/>
                            <w:szCs w:val="18"/>
                            <w:lang w:val="en-AU"/>
                          </w:rPr>
                        </w:pPr>
                        <w:r w:rsidRPr="0021747F">
                          <w:rPr>
                            <w:rFonts w:hAnsi="Calibri"/>
                            <w:color w:val="000000" w:themeColor="text1"/>
                            <w:kern w:val="24"/>
                            <w:sz w:val="18"/>
                            <w:szCs w:val="18"/>
                            <w:lang w:val="en-AU"/>
                          </w:rPr>
                          <w:t>Socio-cultural (e.g., values, beliefs)</w:t>
                        </w:r>
                      </w:p>
                    </w:txbxContent>
                  </v:textbox>
                </v:shape>
                <w10:anchorlock/>
              </v:group>
            </w:pict>
          </mc:Fallback>
        </mc:AlternateContent>
      </w:r>
    </w:p>
    <w:p w14:paraId="405F0491" w14:textId="3D6683B9" w:rsidR="001F26A6" w:rsidRPr="00060D11" w:rsidRDefault="001F26A6" w:rsidP="004E780D">
      <w:pPr>
        <w:spacing w:after="160"/>
        <w:rPr>
          <w:rFonts w:eastAsiaTheme="majorEastAsia" w:cstheme="minorHAnsi"/>
          <w:color w:val="2F5496" w:themeColor="accent1" w:themeShade="BF"/>
          <w:lang w:eastAsia="en-AU"/>
        </w:rPr>
      </w:pPr>
      <w:r w:rsidRPr="00060D11">
        <w:rPr>
          <w:rFonts w:eastAsiaTheme="majorEastAsia" w:cstheme="minorHAnsi"/>
          <w:color w:val="2F5496" w:themeColor="accent1" w:themeShade="BF"/>
          <w:lang w:eastAsia="en-AU"/>
        </w:rPr>
        <w:br w:type="page"/>
      </w:r>
    </w:p>
    <w:p w14:paraId="183EF483" w14:textId="77777777" w:rsidR="001F26A6" w:rsidRPr="00060D11" w:rsidRDefault="001F26A6" w:rsidP="004E780D">
      <w:pPr>
        <w:pStyle w:val="ListParagraph"/>
        <w:spacing w:line="240" w:lineRule="auto"/>
        <w:ind w:left="0"/>
        <w:rPr>
          <w:rFonts w:asciiTheme="majorHAnsi" w:eastAsiaTheme="majorEastAsia" w:hAnsiTheme="majorHAnsi" w:cstheme="majorBidi"/>
          <w:color w:val="2F5496" w:themeColor="accent1" w:themeShade="BF"/>
          <w:sz w:val="38"/>
          <w:szCs w:val="38"/>
          <w:lang w:eastAsia="en-AU"/>
        </w:rPr>
        <w:sectPr w:rsidR="001F26A6" w:rsidRPr="00060D11">
          <w:pgSz w:w="11906" w:h="16838"/>
          <w:pgMar w:top="1440" w:right="1440" w:bottom="1440" w:left="1440" w:header="708" w:footer="708" w:gutter="0"/>
          <w:cols w:space="708"/>
          <w:docGrid w:linePitch="360"/>
        </w:sectPr>
      </w:pPr>
    </w:p>
    <w:p w14:paraId="42370428" w14:textId="66F30677" w:rsidR="001F26A6" w:rsidRPr="00060D11" w:rsidRDefault="001F26A6" w:rsidP="007A77AF">
      <w:pPr>
        <w:pStyle w:val="Heading1"/>
        <w:spacing w:before="0"/>
        <w:rPr>
          <w:b/>
          <w:bCs/>
          <w:color w:val="44546A" w:themeColor="text2"/>
          <w:sz w:val="38"/>
          <w:szCs w:val="38"/>
          <w:lang w:val="en-GB"/>
        </w:rPr>
      </w:pPr>
      <w:bookmarkStart w:id="36" w:name="_Toc82182418"/>
      <w:bookmarkStart w:id="37" w:name="_Hlk67217422"/>
      <w:r w:rsidRPr="00060D11">
        <w:rPr>
          <w:noProof/>
          <w:sz w:val="38"/>
          <w:szCs w:val="38"/>
          <w:lang w:val="en-GB"/>
        </w:rPr>
        <w:drawing>
          <wp:anchor distT="0" distB="0" distL="114300" distR="114300" simplePos="0" relativeHeight="251659264" behindDoc="1" locked="1" layoutInCell="1" allowOverlap="1" wp14:anchorId="7BAC6A50" wp14:editId="740412B8">
            <wp:simplePos x="0" y="0"/>
            <wp:positionH relativeFrom="page">
              <wp:posOffset>-30480</wp:posOffset>
            </wp:positionH>
            <wp:positionV relativeFrom="page">
              <wp:posOffset>-91440</wp:posOffset>
            </wp:positionV>
            <wp:extent cx="7559675" cy="251968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0" cstate="print">
                      <a:duotone>
                        <a:prstClr val="black"/>
                        <a:srgbClr val="0098A8">
                          <a:tint val="45000"/>
                          <a:satMod val="400000"/>
                        </a:srgbClr>
                      </a:duotone>
                      <a:extLst>
                        <a:ext uri="{BEBA8EAE-BF5A-486C-A8C5-ECC9F3942E4B}">
                          <a14:imgProps xmlns:a14="http://schemas.microsoft.com/office/drawing/2010/main">
                            <a14:imgLayer r:embed="rId11">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7559675" cy="2519680"/>
                    </a:xfrm>
                    <a:prstGeom prst="rect">
                      <a:avLst/>
                    </a:prstGeom>
                  </pic:spPr>
                </pic:pic>
              </a:graphicData>
            </a:graphic>
            <wp14:sizeRelH relativeFrom="margin">
              <wp14:pctWidth>0</wp14:pctWidth>
            </wp14:sizeRelH>
            <wp14:sizeRelV relativeFrom="margin">
              <wp14:pctHeight>0</wp14:pctHeight>
            </wp14:sizeRelV>
          </wp:anchor>
        </w:drawing>
      </w:r>
      <w:r w:rsidRPr="00060D11">
        <w:rPr>
          <w:b/>
          <w:bCs/>
          <w:color w:val="44546A" w:themeColor="text2"/>
          <w:sz w:val="38"/>
          <w:szCs w:val="38"/>
          <w:lang w:val="en-GB"/>
        </w:rPr>
        <w:t>C</w:t>
      </w:r>
      <w:r w:rsidRPr="00060D11">
        <w:rPr>
          <w:b/>
          <w:bCs/>
          <w:color w:val="44546A" w:themeColor="text2"/>
          <w:lang w:val="en-GB"/>
        </w:rPr>
        <w:t>.</w:t>
      </w:r>
      <w:r w:rsidRPr="00060D11">
        <w:rPr>
          <w:b/>
          <w:bCs/>
          <w:color w:val="44546A" w:themeColor="text2"/>
          <w:lang w:val="en-GB"/>
        </w:rPr>
        <w:tab/>
      </w:r>
      <w:r w:rsidRPr="00060D11">
        <w:rPr>
          <w:b/>
          <w:bCs/>
          <w:color w:val="44546A" w:themeColor="text2"/>
          <w:sz w:val="38"/>
          <w:szCs w:val="38"/>
          <w:lang w:val="en-GB"/>
        </w:rPr>
        <w:t>STRATEGIC INTENT AND RATIONALE</w:t>
      </w:r>
      <w:bookmarkEnd w:id="36"/>
    </w:p>
    <w:p w14:paraId="53A73FB5" w14:textId="77777777" w:rsidR="001F26A6" w:rsidRPr="00060D11" w:rsidRDefault="001F26A6" w:rsidP="007A77AF">
      <w:pPr>
        <w:rPr>
          <w:lang w:eastAsia="en-AU"/>
        </w:rPr>
      </w:pPr>
    </w:p>
    <w:p w14:paraId="5243E00A" w14:textId="77777777" w:rsidR="001F26A6" w:rsidRPr="00060D11" w:rsidRDefault="001F26A6" w:rsidP="007A77AF">
      <w:pPr>
        <w:rPr>
          <w:lang w:eastAsia="en-AU"/>
        </w:rPr>
      </w:pPr>
    </w:p>
    <w:p w14:paraId="10F6BEF2" w14:textId="77777777" w:rsidR="001F26A6" w:rsidRPr="00060D11" w:rsidRDefault="001F26A6" w:rsidP="007A77AF">
      <w:pPr>
        <w:rPr>
          <w:lang w:eastAsia="en-AU"/>
        </w:rPr>
      </w:pPr>
    </w:p>
    <w:p w14:paraId="5E1BAA55" w14:textId="77777777" w:rsidR="00D52EF6" w:rsidRPr="00060D11" w:rsidRDefault="00D52EF6" w:rsidP="0039667A">
      <w:pPr>
        <w:spacing w:after="120" w:line="276" w:lineRule="auto"/>
        <w:ind w:right="74"/>
        <w:rPr>
          <w:rFonts w:asciiTheme="majorHAnsi" w:hAnsiTheme="majorHAnsi" w:cstheme="majorHAnsi"/>
          <w:b/>
          <w:bCs/>
          <w:sz w:val="32"/>
          <w:szCs w:val="32"/>
        </w:rPr>
      </w:pPr>
    </w:p>
    <w:p w14:paraId="6507FF30" w14:textId="09F02DDA" w:rsidR="001F26A6" w:rsidRPr="00060D11" w:rsidRDefault="001F26A6" w:rsidP="00C04736">
      <w:pPr>
        <w:pStyle w:val="Heading2"/>
      </w:pPr>
      <w:r w:rsidRPr="00060D11">
        <w:t>C.1</w:t>
      </w:r>
      <w:r w:rsidRPr="00060D11">
        <w:tab/>
        <w:t>POLICY AND PLANNING FRAMEWORK</w:t>
      </w:r>
    </w:p>
    <w:p w14:paraId="5896A568" w14:textId="4B6359B2" w:rsidR="00C367A2" w:rsidRPr="00060D11" w:rsidRDefault="001F26A6" w:rsidP="004E780D">
      <w:pPr>
        <w:spacing w:after="120" w:line="276" w:lineRule="auto"/>
        <w:ind w:right="74"/>
        <w:rPr>
          <w:rFonts w:cstheme="minorHAnsi"/>
          <w:color w:val="495964"/>
        </w:rPr>
      </w:pPr>
      <w:r w:rsidRPr="00060D11">
        <w:rPr>
          <w:rFonts w:cstheme="minorHAnsi"/>
          <w:color w:val="495964"/>
        </w:rPr>
        <w:t xml:space="preserve">While the </w:t>
      </w:r>
      <w:r w:rsidRPr="00060D11">
        <w:rPr>
          <w:rFonts w:cstheme="minorHAnsi"/>
          <w:i/>
          <w:color w:val="495964"/>
        </w:rPr>
        <w:t xml:space="preserve">Papua New Guinea-Australia Comprehensive Strategic and Economic Partnership </w:t>
      </w:r>
      <w:r w:rsidRPr="00060D11">
        <w:rPr>
          <w:rFonts w:cstheme="minorHAnsi"/>
          <w:color w:val="495964"/>
        </w:rPr>
        <w:t xml:space="preserve">(CSEP) policy framework offers broad guidance for deepening bilateral cooperation, the influence of the COVID-19 pandemic has required some refocusing of this cooperation. Australia’s </w:t>
      </w:r>
      <w:r w:rsidRPr="00060D11">
        <w:rPr>
          <w:rFonts w:cstheme="minorHAnsi"/>
          <w:i/>
          <w:iCs/>
          <w:color w:val="495964"/>
        </w:rPr>
        <w:t>Partnership for Recovery</w:t>
      </w:r>
      <w:r w:rsidRPr="00060D11">
        <w:rPr>
          <w:rFonts w:cstheme="minorHAnsi"/>
          <w:color w:val="495964"/>
        </w:rPr>
        <w:t xml:space="preserve"> (P4R) statement in </w:t>
      </w:r>
      <w:r w:rsidR="00490714" w:rsidRPr="00060D11">
        <w:rPr>
          <w:rFonts w:cstheme="minorHAnsi"/>
          <w:color w:val="495964"/>
        </w:rPr>
        <w:t>May</w:t>
      </w:r>
      <w:r w:rsidRPr="00060D11">
        <w:rPr>
          <w:rFonts w:cstheme="minorHAnsi"/>
          <w:color w:val="495964"/>
        </w:rPr>
        <w:t xml:space="preserve"> 2020, sought to reorient all planning and development assistance, including in PNG, to fight the COVID-19 pandemic within the context of three core action areas – health security, stability and economic recovery.</w:t>
      </w:r>
    </w:p>
    <w:p w14:paraId="676341C3" w14:textId="3A92F5D3" w:rsidR="001F26A6" w:rsidRPr="00060D11" w:rsidRDefault="001F26A6" w:rsidP="004E780D">
      <w:pPr>
        <w:spacing w:after="120" w:line="276" w:lineRule="auto"/>
        <w:ind w:right="74"/>
        <w:rPr>
          <w:rFonts w:cstheme="minorHAnsi"/>
          <w:color w:val="495964"/>
        </w:rPr>
      </w:pPr>
      <w:r w:rsidRPr="00060D11">
        <w:rPr>
          <w:rFonts w:cstheme="minorHAnsi"/>
          <w:color w:val="495964"/>
        </w:rPr>
        <w:t xml:space="preserve">Support for education is embedded in both the CSEP and the P4R statement. The CSEP reaffirmed the commitment of both governments to achieve the 2030 Sustainable Development Goals, including SDG 4 </w:t>
      </w:r>
      <w:r w:rsidR="003C05F4" w:rsidRPr="00060D11">
        <w:rPr>
          <w:rFonts w:cstheme="minorHAnsi"/>
          <w:color w:val="495964"/>
        </w:rPr>
        <w:t>–</w:t>
      </w:r>
      <w:r w:rsidRPr="00060D11">
        <w:rPr>
          <w:rFonts w:cstheme="minorHAnsi"/>
          <w:color w:val="495964"/>
        </w:rPr>
        <w:t xml:space="preserve"> inclusive and equitable quality education and the promotion of lifelong learning opportunities for all.</w:t>
      </w:r>
      <w:r w:rsidRPr="00060D11">
        <w:rPr>
          <w:rStyle w:val="FootnoteReference"/>
          <w:rFonts w:cstheme="minorHAnsi"/>
          <w:color w:val="495964"/>
        </w:rPr>
        <w:footnoteReference w:id="43"/>
      </w:r>
      <w:r w:rsidRPr="00060D11">
        <w:rPr>
          <w:rFonts w:cstheme="minorHAnsi"/>
          <w:color w:val="495964"/>
        </w:rPr>
        <w:t xml:space="preserve"> The P4R statement recognised the central role of education across all action areas; education is integral to the development of national human capital, strengthening social cohesion, promoting gender equality/social inclusion, as well as driving economic recovery.</w:t>
      </w:r>
      <w:r w:rsidRPr="00060D11">
        <w:rPr>
          <w:rStyle w:val="FootnoteReference"/>
          <w:rFonts w:cstheme="minorHAnsi"/>
          <w:color w:val="495964"/>
        </w:rPr>
        <w:footnoteReference w:id="44"/>
      </w:r>
    </w:p>
    <w:p w14:paraId="65DED37E" w14:textId="7361F22C" w:rsidR="001F26A6" w:rsidRPr="00060D11" w:rsidRDefault="001F26A6" w:rsidP="0039667A">
      <w:pPr>
        <w:spacing w:line="276" w:lineRule="auto"/>
        <w:ind w:right="74"/>
        <w:rPr>
          <w:rFonts w:cstheme="minorHAnsi"/>
          <w:color w:val="495964"/>
        </w:rPr>
      </w:pPr>
      <w:r w:rsidRPr="00060D11">
        <w:rPr>
          <w:rFonts w:cstheme="minorHAnsi"/>
          <w:color w:val="495964"/>
        </w:rPr>
        <w:t>A commitment to education for all is enshrined in all of PNG’s medium and long-term economic and social planning. This includes the PNG Vision 2050, the PNG Development Strategic Plan 2010-30, the Medium-Term Development Plan III 2018-22, the Education Sector Strategic Plan 2011 – 2030 and the NEP 2020-2029. The NEP proposes significant systems and structural reforms to the national education system.</w:t>
      </w:r>
    </w:p>
    <w:p w14:paraId="30647A11" w14:textId="4D7EB230" w:rsidR="001F26A6" w:rsidRPr="00060D11" w:rsidRDefault="001F26A6" w:rsidP="0039667A">
      <w:pPr>
        <w:pStyle w:val="BodyText"/>
        <w:spacing w:before="120" w:after="60" w:line="276" w:lineRule="auto"/>
        <w:ind w:left="0" w:right="279"/>
        <w:jc w:val="both"/>
        <w:rPr>
          <w:rFonts w:asciiTheme="minorHAnsi" w:hAnsiTheme="minorHAnsi" w:cstheme="minorHAnsi"/>
          <w:color w:val="495964"/>
          <w:lang w:val="en-GB"/>
        </w:rPr>
      </w:pPr>
      <w:r w:rsidRPr="00060D11">
        <w:rPr>
          <w:rFonts w:asciiTheme="minorHAnsi" w:hAnsiTheme="minorHAnsi" w:cstheme="minorHAnsi"/>
          <w:color w:val="495964"/>
          <w:lang w:val="en-GB"/>
        </w:rPr>
        <w:t xml:space="preserve">Despite these commitments, PNG’s capacity to implement high-level policies and plans has been negatively affected by financial constraints. </w:t>
      </w:r>
      <w:bookmarkStart w:id="38" w:name="_Hlk68538971"/>
      <w:r w:rsidRPr="00060D11">
        <w:rPr>
          <w:rFonts w:asciiTheme="minorHAnsi" w:hAnsiTheme="minorHAnsi" w:cstheme="minorHAnsi"/>
          <w:color w:val="495964"/>
          <w:lang w:val="en-GB"/>
        </w:rPr>
        <w:t xml:space="preserve">Since 2014, the country has had consecutive budget deficits and falling </w:t>
      </w:r>
      <w:r w:rsidR="000566F7" w:rsidRPr="00060D11">
        <w:rPr>
          <w:rFonts w:asciiTheme="minorHAnsi" w:hAnsiTheme="minorHAnsi" w:cstheme="minorHAnsi"/>
          <w:color w:val="495964"/>
          <w:lang w:val="en-GB"/>
        </w:rPr>
        <w:t>Gross Domestic Product (</w:t>
      </w:r>
      <w:r w:rsidRPr="00060D11">
        <w:rPr>
          <w:rFonts w:asciiTheme="minorHAnsi" w:hAnsiTheme="minorHAnsi" w:cstheme="minorHAnsi"/>
          <w:color w:val="495964"/>
          <w:lang w:val="en-GB"/>
        </w:rPr>
        <w:t>GDP</w:t>
      </w:r>
      <w:r w:rsidR="000566F7" w:rsidRPr="00060D11">
        <w:rPr>
          <w:rFonts w:asciiTheme="minorHAnsi" w:hAnsiTheme="minorHAnsi" w:cstheme="minorHAnsi"/>
          <w:color w:val="495964"/>
          <w:lang w:val="en-GB"/>
        </w:rPr>
        <w:t>)</w:t>
      </w:r>
      <w:r w:rsidRPr="00060D11">
        <w:rPr>
          <w:rFonts w:asciiTheme="minorHAnsi" w:hAnsiTheme="minorHAnsi" w:cstheme="minorHAnsi"/>
          <w:color w:val="495964"/>
          <w:lang w:val="en-GB"/>
        </w:rPr>
        <w:t xml:space="preserve"> per capita. In 2019 PNG recorded a Government Budget deficit equal to 4.9 percent of GDP.</w:t>
      </w:r>
      <w:r w:rsidRPr="00060D11">
        <w:rPr>
          <w:rStyle w:val="FootnoteReference"/>
          <w:rFonts w:asciiTheme="minorHAnsi" w:hAnsiTheme="minorHAnsi" w:cstheme="minorHAnsi"/>
          <w:color w:val="495964"/>
          <w:lang w:val="en-GB"/>
        </w:rPr>
        <w:footnoteReference w:id="45"/>
      </w:r>
      <w:r w:rsidRPr="00060D11">
        <w:rPr>
          <w:rFonts w:asciiTheme="minorHAnsi" w:hAnsiTheme="minorHAnsi" w:cstheme="minorHAnsi"/>
          <w:color w:val="495964"/>
          <w:lang w:val="en-GB"/>
        </w:rPr>
        <w:t xml:space="preserve"> The recent PNG Government budget forecast a decline in real GDP of </w:t>
      </w:r>
      <w:r w:rsidRPr="00060D11">
        <w:rPr>
          <w:rFonts w:asciiTheme="minorHAnsi" w:hAnsiTheme="minorHAnsi" w:cstheme="minorHAnsi"/>
          <w:color w:val="44546A" w:themeColor="text2"/>
          <w:lang w:val="en-GB"/>
        </w:rPr>
        <w:t>-3.5 percent in 2021 and -3.3 percent in 2022</w:t>
      </w:r>
      <w:r w:rsidR="002D6E05" w:rsidRPr="00060D11">
        <w:rPr>
          <w:rFonts w:asciiTheme="minorHAnsi" w:hAnsiTheme="minorHAnsi" w:cstheme="minorHAnsi"/>
          <w:color w:val="44546A" w:themeColor="text2"/>
          <w:lang w:val="en-GB"/>
        </w:rPr>
        <w:t>.</w:t>
      </w:r>
      <w:bookmarkEnd w:id="38"/>
      <w:r w:rsidRPr="00060D11">
        <w:rPr>
          <w:rStyle w:val="FootnoteReference"/>
          <w:rFonts w:asciiTheme="minorHAnsi" w:hAnsiTheme="minorHAnsi" w:cstheme="minorHAnsi"/>
          <w:color w:val="495964"/>
          <w:lang w:val="en-GB"/>
        </w:rPr>
        <w:footnoteReference w:id="46"/>
      </w:r>
      <w:r w:rsidRPr="00060D11">
        <w:rPr>
          <w:rFonts w:asciiTheme="minorHAnsi" w:hAnsiTheme="minorHAnsi" w:cstheme="minorHAnsi"/>
          <w:color w:val="495964"/>
          <w:lang w:val="en-GB"/>
        </w:rPr>
        <w:t xml:space="preserve">  </w:t>
      </w:r>
    </w:p>
    <w:p w14:paraId="19ABAA3B" w14:textId="3FF90E4F" w:rsidR="001F26A6" w:rsidRPr="00060D11" w:rsidRDefault="001F26A6" w:rsidP="0039667A">
      <w:pPr>
        <w:pStyle w:val="BodyText"/>
        <w:spacing w:before="120" w:after="60" w:line="276" w:lineRule="auto"/>
        <w:ind w:left="0" w:right="279"/>
        <w:jc w:val="both"/>
        <w:rPr>
          <w:rFonts w:asciiTheme="minorHAnsi" w:hAnsiTheme="minorHAnsi" w:cstheme="minorHAnsi"/>
          <w:color w:val="495964"/>
          <w:lang w:val="en-GB"/>
        </w:rPr>
      </w:pPr>
      <w:r w:rsidRPr="00060D11">
        <w:rPr>
          <w:rFonts w:asciiTheme="minorHAnsi" w:hAnsiTheme="minorHAnsi" w:cstheme="minorHAnsi"/>
          <w:color w:val="495964"/>
          <w:lang w:val="en-GB"/>
        </w:rPr>
        <w:t>In addition, a recent World Bank PNG Economic Update</w:t>
      </w:r>
      <w:r w:rsidRPr="00060D11">
        <w:rPr>
          <w:rStyle w:val="FootnoteReference"/>
          <w:rFonts w:asciiTheme="minorHAnsi" w:hAnsiTheme="minorHAnsi" w:cstheme="minorHAnsi"/>
          <w:color w:val="495964"/>
          <w:lang w:val="en-GB"/>
        </w:rPr>
        <w:footnoteReference w:id="47"/>
      </w:r>
      <w:r w:rsidRPr="00060D11">
        <w:rPr>
          <w:rFonts w:asciiTheme="minorHAnsi" w:hAnsiTheme="minorHAnsi" w:cstheme="minorHAnsi"/>
          <w:color w:val="495964"/>
          <w:lang w:val="en-GB"/>
        </w:rPr>
        <w:t xml:space="preserve"> noted that while the spread of COVID-19 had been relatively limited in PNG as of July 2020, the economy had been hit hard by the pandemic due to weaker demand and less </w:t>
      </w:r>
      <w:r w:rsidR="00490714" w:rsidRPr="00060D11">
        <w:rPr>
          <w:rFonts w:asciiTheme="minorHAnsi" w:hAnsiTheme="minorHAnsi" w:cstheme="minorHAnsi"/>
          <w:color w:val="495964"/>
          <w:lang w:val="en-GB"/>
        </w:rPr>
        <w:t>favourable</w:t>
      </w:r>
      <w:r w:rsidRPr="00060D11">
        <w:rPr>
          <w:rFonts w:asciiTheme="minorHAnsi" w:hAnsiTheme="minorHAnsi" w:cstheme="minorHAnsi"/>
          <w:color w:val="495964"/>
          <w:lang w:val="en-GB"/>
        </w:rPr>
        <w:t xml:space="preserve"> terms of trade. In June 2020, a World Bank/I</w:t>
      </w:r>
      <w:r w:rsidR="00567DFA" w:rsidRPr="00060D11">
        <w:rPr>
          <w:rFonts w:asciiTheme="minorHAnsi" w:hAnsiTheme="minorHAnsi" w:cstheme="minorHAnsi"/>
          <w:color w:val="495964"/>
          <w:lang w:val="en-GB"/>
        </w:rPr>
        <w:t xml:space="preserve">nternational </w:t>
      </w:r>
      <w:r w:rsidRPr="00060D11">
        <w:rPr>
          <w:rFonts w:asciiTheme="minorHAnsi" w:hAnsiTheme="minorHAnsi" w:cstheme="minorHAnsi"/>
          <w:color w:val="495964"/>
          <w:lang w:val="en-GB"/>
        </w:rPr>
        <w:t>M</w:t>
      </w:r>
      <w:r w:rsidR="00567DFA" w:rsidRPr="00060D11">
        <w:rPr>
          <w:rFonts w:asciiTheme="minorHAnsi" w:hAnsiTheme="minorHAnsi" w:cstheme="minorHAnsi"/>
          <w:color w:val="495964"/>
          <w:lang w:val="en-GB"/>
        </w:rPr>
        <w:t xml:space="preserve">onetary </w:t>
      </w:r>
      <w:r w:rsidRPr="00060D11">
        <w:rPr>
          <w:rFonts w:asciiTheme="minorHAnsi" w:hAnsiTheme="minorHAnsi" w:cstheme="minorHAnsi"/>
          <w:color w:val="495964"/>
          <w:lang w:val="en-GB"/>
        </w:rPr>
        <w:t>F</w:t>
      </w:r>
      <w:r w:rsidR="00567DFA" w:rsidRPr="00060D11">
        <w:rPr>
          <w:rFonts w:asciiTheme="minorHAnsi" w:hAnsiTheme="minorHAnsi" w:cstheme="minorHAnsi"/>
          <w:color w:val="495964"/>
          <w:lang w:val="en-GB"/>
        </w:rPr>
        <w:t>und</w:t>
      </w:r>
      <w:r w:rsidRPr="00060D11">
        <w:rPr>
          <w:rFonts w:asciiTheme="minorHAnsi" w:hAnsiTheme="minorHAnsi" w:cstheme="minorHAnsi"/>
          <w:color w:val="495964"/>
          <w:lang w:val="en-GB"/>
        </w:rPr>
        <w:t xml:space="preserve"> Debt Sustainability Assessment also found that PNG was at high risk of debt distress</w:t>
      </w:r>
      <w:r w:rsidR="002D6E05" w:rsidRPr="00060D11">
        <w:rPr>
          <w:rFonts w:asciiTheme="minorHAnsi" w:hAnsiTheme="minorHAnsi" w:cstheme="minorHAnsi"/>
          <w:color w:val="495964"/>
          <w:lang w:val="en-GB"/>
        </w:rPr>
        <w:t>.</w:t>
      </w:r>
      <w:r w:rsidRPr="00060D11">
        <w:rPr>
          <w:rStyle w:val="FootnoteReference"/>
          <w:rFonts w:asciiTheme="minorHAnsi" w:hAnsiTheme="minorHAnsi" w:cstheme="minorHAnsi"/>
          <w:color w:val="495964"/>
          <w:lang w:val="en-GB"/>
        </w:rPr>
        <w:footnoteReference w:id="48"/>
      </w:r>
      <w:r w:rsidRPr="00060D11">
        <w:rPr>
          <w:rFonts w:asciiTheme="minorHAnsi" w:hAnsiTheme="minorHAnsi" w:cstheme="minorHAnsi"/>
          <w:color w:val="495964"/>
          <w:lang w:val="en-GB"/>
        </w:rPr>
        <w:t xml:space="preserve"> </w:t>
      </w:r>
      <w:bookmarkStart w:id="39" w:name="_Hlk68539007"/>
      <w:r w:rsidRPr="00060D11">
        <w:rPr>
          <w:rFonts w:asciiTheme="minorHAnsi" w:hAnsiTheme="minorHAnsi" w:cstheme="minorHAnsi"/>
          <w:color w:val="495964"/>
          <w:lang w:val="en-GB"/>
        </w:rPr>
        <w:t xml:space="preserve">This is straining the Government’s ability to meet salaries and operational costs and to fund essential services. </w:t>
      </w:r>
      <w:bookmarkEnd w:id="39"/>
    </w:p>
    <w:p w14:paraId="69AE5AEB" w14:textId="77777777" w:rsidR="001F26A6" w:rsidRPr="00060D11" w:rsidRDefault="001F26A6" w:rsidP="0039667A">
      <w:pPr>
        <w:pStyle w:val="BodyText"/>
        <w:spacing w:before="120" w:after="60" w:line="276" w:lineRule="auto"/>
        <w:ind w:left="0" w:right="279"/>
        <w:jc w:val="both"/>
        <w:rPr>
          <w:rFonts w:asciiTheme="minorHAnsi" w:hAnsiTheme="minorHAnsi" w:cstheme="minorHAnsi"/>
          <w:color w:val="495964"/>
          <w:lang w:val="en-GB"/>
        </w:rPr>
      </w:pPr>
      <w:bookmarkStart w:id="40" w:name="_Hlk68539052"/>
      <w:r w:rsidRPr="00060D11">
        <w:rPr>
          <w:rFonts w:asciiTheme="minorHAnsi" w:hAnsiTheme="minorHAnsi" w:cstheme="minorHAnsi"/>
          <w:color w:val="495964"/>
          <w:lang w:val="en-GB"/>
        </w:rPr>
        <w:t xml:space="preserve">Clear evidence of the budget constraints has been seen in the shift from the Tuition Free Fee Education (TFFE) policy introduced in 2012 to the Government Tuition Fee Subsidy (GTFS) from 2020 onwards. In 2021, this policy requires parental contribution of 38 percent of approved tuition fees. </w:t>
      </w:r>
    </w:p>
    <w:bookmarkEnd w:id="40"/>
    <w:p w14:paraId="60E2E021" w14:textId="6CF721B1" w:rsidR="001F26A6" w:rsidRPr="00060D11" w:rsidRDefault="001F26A6" w:rsidP="0039667A">
      <w:pPr>
        <w:spacing w:line="276" w:lineRule="auto"/>
        <w:ind w:right="74"/>
        <w:rPr>
          <w:rFonts w:cstheme="minorHAnsi"/>
          <w:color w:val="495964"/>
        </w:rPr>
      </w:pPr>
      <w:r w:rsidRPr="00060D11">
        <w:rPr>
          <w:rFonts w:cstheme="minorHAnsi"/>
          <w:color w:val="495964"/>
        </w:rPr>
        <w:t xml:space="preserve">This deteriorating context was recognised in DFAT’s </w:t>
      </w:r>
      <w:r w:rsidRPr="00060D11">
        <w:rPr>
          <w:rFonts w:cstheme="minorHAnsi"/>
          <w:i/>
          <w:iCs/>
          <w:color w:val="495964"/>
        </w:rPr>
        <w:t>PNG COVID-19 Response Plan</w:t>
      </w:r>
      <w:r w:rsidR="00686208" w:rsidRPr="00060D11">
        <w:rPr>
          <w:rFonts w:cstheme="minorHAnsi"/>
          <w:i/>
          <w:iCs/>
          <w:color w:val="495964"/>
        </w:rPr>
        <w:t xml:space="preserve"> (CRP)</w:t>
      </w:r>
      <w:r w:rsidRPr="00060D11">
        <w:rPr>
          <w:rStyle w:val="FootnoteReference"/>
          <w:rFonts w:cstheme="minorHAnsi"/>
          <w:i/>
          <w:iCs/>
          <w:color w:val="495964"/>
        </w:rPr>
        <w:footnoteReference w:id="49"/>
      </w:r>
      <w:r w:rsidRPr="00060D11">
        <w:rPr>
          <w:rFonts w:cstheme="minorHAnsi"/>
          <w:color w:val="495964"/>
        </w:rPr>
        <w:t xml:space="preserve"> </w:t>
      </w:r>
      <w:bookmarkStart w:id="41" w:name="_Hlk68540310"/>
      <w:r w:rsidRPr="00060D11">
        <w:rPr>
          <w:rFonts w:cstheme="minorHAnsi"/>
          <w:color w:val="495964"/>
        </w:rPr>
        <w:t>which noted not only the disruptive effect that COVID-19 was having on education, but also predicted that many more households would be pushed into extreme poverty, further reducing their capacity to keep children in school.</w:t>
      </w:r>
      <w:bookmarkEnd w:id="41"/>
      <w:r w:rsidRPr="00060D11">
        <w:rPr>
          <w:rFonts w:cstheme="minorHAnsi"/>
          <w:color w:val="495964"/>
        </w:rPr>
        <w:t xml:space="preserve"> The ‘</w:t>
      </w:r>
      <w:r w:rsidRPr="00060D11">
        <w:rPr>
          <w:rFonts w:cstheme="minorHAnsi"/>
          <w:i/>
          <w:iCs/>
          <w:color w:val="495964"/>
        </w:rPr>
        <w:t xml:space="preserve">Response Plan’ </w:t>
      </w:r>
      <w:r w:rsidRPr="00060D11">
        <w:rPr>
          <w:rFonts w:cstheme="minorHAnsi"/>
          <w:color w:val="495964"/>
        </w:rPr>
        <w:t xml:space="preserve">also noted that declining GDP and a significant fiscal deficit </w:t>
      </w:r>
      <w:r w:rsidR="00031C7E" w:rsidRPr="00060D11">
        <w:rPr>
          <w:rFonts w:cstheme="minorHAnsi"/>
          <w:color w:val="495964"/>
        </w:rPr>
        <w:t xml:space="preserve">is </w:t>
      </w:r>
      <w:r w:rsidRPr="00060D11">
        <w:rPr>
          <w:rFonts w:cstheme="minorHAnsi"/>
          <w:color w:val="495964"/>
        </w:rPr>
        <w:t xml:space="preserve">affecting the Government’s ability to deliver services, including education. </w:t>
      </w:r>
    </w:p>
    <w:p w14:paraId="7ABD4E5E" w14:textId="77777777" w:rsidR="001F26A6" w:rsidRPr="00060D11" w:rsidRDefault="001F26A6" w:rsidP="00C04736">
      <w:pPr>
        <w:pStyle w:val="Heading2"/>
      </w:pPr>
      <w:r w:rsidRPr="00060D11">
        <w:t>C.2</w:t>
      </w:r>
      <w:r w:rsidRPr="00060D11">
        <w:tab/>
        <w:t>STRATEGIC FOCUS</w:t>
      </w:r>
    </w:p>
    <w:p w14:paraId="4B745A11" w14:textId="74853A9E" w:rsidR="001F26A6" w:rsidRPr="00060D11" w:rsidRDefault="00D8520A" w:rsidP="004E780D">
      <w:pPr>
        <w:pStyle w:val="BodyText"/>
        <w:spacing w:before="117" w:after="120" w:line="276" w:lineRule="auto"/>
        <w:ind w:left="0" w:right="23"/>
        <w:rPr>
          <w:rFonts w:cstheme="minorHAnsi"/>
          <w:color w:val="495964"/>
          <w:lang w:val="en-GB"/>
        </w:rPr>
      </w:pPr>
      <w:r>
        <w:rPr>
          <w:rFonts w:asciiTheme="minorHAnsi" w:hAnsiTheme="minorHAnsi" w:cstheme="minorHAnsi"/>
          <w:color w:val="495964"/>
          <w:lang w:val="en-GB"/>
        </w:rPr>
        <w:t>T</w:t>
      </w:r>
      <w:r w:rsidR="00490714" w:rsidRPr="00060D11">
        <w:rPr>
          <w:rFonts w:asciiTheme="minorHAnsi" w:hAnsiTheme="minorHAnsi" w:cstheme="minorHAnsi"/>
          <w:color w:val="495964"/>
          <w:lang w:val="en-GB"/>
        </w:rPr>
        <w:t>he</w:t>
      </w:r>
      <w:r w:rsidR="001F26A6" w:rsidRPr="00060D11">
        <w:rPr>
          <w:rFonts w:asciiTheme="minorHAnsi" w:hAnsiTheme="minorHAnsi" w:cstheme="minorHAnsi"/>
          <w:color w:val="495964"/>
          <w:lang w:val="en-GB"/>
        </w:rPr>
        <w:t xml:space="preserve"> 2017 Foreign Policy White Paper, </w:t>
      </w:r>
      <w:r w:rsidR="006F246A" w:rsidRPr="00060D11">
        <w:rPr>
          <w:rFonts w:asciiTheme="minorHAnsi" w:hAnsiTheme="minorHAnsi" w:cstheme="minorHAnsi"/>
          <w:color w:val="495964"/>
          <w:lang w:val="en-GB"/>
        </w:rPr>
        <w:t xml:space="preserve">the PNG CRP and </w:t>
      </w:r>
      <w:r w:rsidR="001F26A6" w:rsidRPr="00060D11">
        <w:rPr>
          <w:rFonts w:asciiTheme="minorHAnsi" w:hAnsiTheme="minorHAnsi" w:cstheme="minorHAnsi"/>
          <w:color w:val="495964"/>
          <w:lang w:val="en-GB"/>
        </w:rPr>
        <w:t xml:space="preserve">the ELPP 2018-2022 </w:t>
      </w:r>
      <w:r>
        <w:rPr>
          <w:rFonts w:asciiTheme="minorHAnsi" w:hAnsiTheme="minorHAnsi" w:cstheme="minorHAnsi"/>
          <w:color w:val="495964"/>
          <w:lang w:val="en-GB"/>
        </w:rPr>
        <w:t>all</w:t>
      </w:r>
      <w:r w:rsidRPr="00060D11">
        <w:rPr>
          <w:rFonts w:asciiTheme="minorHAnsi" w:hAnsiTheme="minorHAnsi" w:cstheme="minorHAnsi"/>
          <w:color w:val="495964"/>
          <w:lang w:val="en-GB"/>
        </w:rPr>
        <w:t xml:space="preserve"> </w:t>
      </w:r>
      <w:r w:rsidR="001F26A6" w:rsidRPr="00060D11">
        <w:rPr>
          <w:rFonts w:asciiTheme="minorHAnsi" w:hAnsiTheme="minorHAnsi" w:cstheme="minorHAnsi"/>
          <w:color w:val="495964"/>
          <w:lang w:val="en-GB"/>
        </w:rPr>
        <w:t xml:space="preserve">provide a broad strategic framework for this investment. </w:t>
      </w:r>
      <w:r w:rsidR="006F246A" w:rsidRPr="00060D11">
        <w:rPr>
          <w:rFonts w:asciiTheme="minorHAnsi" w:hAnsiTheme="minorHAnsi" w:cstheme="minorHAnsi"/>
          <w:color w:val="495964"/>
          <w:lang w:val="en-GB"/>
        </w:rPr>
        <w:t>As set out in the White Paper, supporting a stable and prosperous Papua New Guinea, including through a commitment to partner in education development, is one of our most important foreign policy objectives</w:t>
      </w:r>
      <w:r w:rsidR="006F246A" w:rsidRPr="00060D11">
        <w:rPr>
          <w:rFonts w:ascii="Arial" w:hAnsi="Arial" w:cs="Arial"/>
          <w:color w:val="4F4C62"/>
          <w:shd w:val="clear" w:color="auto" w:fill="FFFFFF"/>
          <w:lang w:val="en-GB"/>
        </w:rPr>
        <w:t xml:space="preserve">. </w:t>
      </w:r>
      <w:r w:rsidR="006F246A" w:rsidRPr="00060D11">
        <w:rPr>
          <w:rFonts w:asciiTheme="minorHAnsi" w:hAnsiTheme="minorHAnsi" w:cstheme="minorHAnsi"/>
          <w:color w:val="495964"/>
          <w:lang w:val="en-GB"/>
        </w:rPr>
        <w:t>The Partnerships for Improving Education (</w:t>
      </w:r>
      <w:r w:rsidR="00490714" w:rsidRPr="00060D11">
        <w:rPr>
          <w:rFonts w:asciiTheme="minorHAnsi" w:hAnsiTheme="minorHAnsi" w:cstheme="minorHAnsi"/>
          <w:color w:val="495964"/>
          <w:lang w:val="en-GB"/>
        </w:rPr>
        <w:t>PIE) contributes</w:t>
      </w:r>
      <w:r w:rsidR="006F246A" w:rsidRPr="00060D11">
        <w:rPr>
          <w:rFonts w:asciiTheme="minorHAnsi" w:hAnsiTheme="minorHAnsi" w:cstheme="minorHAnsi"/>
          <w:color w:val="495964"/>
          <w:lang w:val="en-GB"/>
        </w:rPr>
        <w:t xml:space="preserve"> to the ‘Stability’ pillar under the CRP. </w:t>
      </w:r>
      <w:r w:rsidR="001F26A6" w:rsidRPr="00060D11">
        <w:rPr>
          <w:rFonts w:asciiTheme="minorHAnsi" w:hAnsiTheme="minorHAnsi" w:cstheme="minorHAnsi"/>
          <w:color w:val="495964"/>
          <w:lang w:val="en-GB"/>
        </w:rPr>
        <w:t xml:space="preserve">Specifically, </w:t>
      </w:r>
      <w:r w:rsidR="006F246A" w:rsidRPr="00060D11">
        <w:rPr>
          <w:rFonts w:asciiTheme="minorHAnsi" w:hAnsiTheme="minorHAnsi" w:cstheme="minorHAnsi"/>
          <w:color w:val="495964"/>
          <w:lang w:val="en-GB"/>
        </w:rPr>
        <w:t xml:space="preserve">the PIE </w:t>
      </w:r>
      <w:r w:rsidR="00CC47FB" w:rsidRPr="00060D11">
        <w:rPr>
          <w:rFonts w:asciiTheme="minorHAnsi" w:hAnsiTheme="minorHAnsi" w:cstheme="minorHAnsi"/>
          <w:color w:val="495964"/>
          <w:lang w:val="en-GB"/>
        </w:rPr>
        <w:t>Partnerships for Improving Education (</w:t>
      </w:r>
      <w:r w:rsidR="001F26A6" w:rsidRPr="00060D11">
        <w:rPr>
          <w:rFonts w:asciiTheme="minorHAnsi" w:hAnsiTheme="minorHAnsi" w:cstheme="minorHAnsi"/>
          <w:color w:val="495964"/>
          <w:lang w:val="en-GB"/>
        </w:rPr>
        <w:t>PIE</w:t>
      </w:r>
      <w:r w:rsidR="00CC47FB" w:rsidRPr="00060D11">
        <w:rPr>
          <w:rFonts w:asciiTheme="minorHAnsi" w:hAnsiTheme="minorHAnsi" w:cstheme="minorHAnsi"/>
          <w:color w:val="495964"/>
          <w:lang w:val="en-GB"/>
        </w:rPr>
        <w:t>)</w:t>
      </w:r>
      <w:r w:rsidR="001F26A6" w:rsidRPr="00060D11">
        <w:rPr>
          <w:rFonts w:asciiTheme="minorHAnsi" w:hAnsiTheme="minorHAnsi" w:cstheme="minorHAnsi"/>
          <w:color w:val="495964"/>
          <w:lang w:val="en-GB"/>
        </w:rPr>
        <w:t xml:space="preserve"> investment aligns with </w:t>
      </w:r>
      <w:r w:rsidR="00490714" w:rsidRPr="00060D11">
        <w:rPr>
          <w:rFonts w:asciiTheme="minorHAnsi" w:hAnsiTheme="minorHAnsi" w:cstheme="minorHAnsi"/>
          <w:color w:val="495964"/>
          <w:lang w:val="en-GB"/>
        </w:rPr>
        <w:t>the ELPP</w:t>
      </w:r>
      <w:r w:rsidR="001F26A6" w:rsidRPr="00060D11">
        <w:rPr>
          <w:rFonts w:asciiTheme="minorHAnsi" w:hAnsiTheme="minorHAnsi" w:cstheme="minorHAnsi"/>
          <w:color w:val="495964"/>
          <w:lang w:val="en-GB"/>
        </w:rPr>
        <w:t xml:space="preserve"> pillar</w:t>
      </w:r>
      <w:r w:rsidR="006F246A" w:rsidRPr="00060D11">
        <w:rPr>
          <w:rFonts w:asciiTheme="minorHAnsi" w:hAnsiTheme="minorHAnsi" w:cstheme="minorHAnsi"/>
          <w:color w:val="495964"/>
          <w:lang w:val="en-GB"/>
        </w:rPr>
        <w:t>s</w:t>
      </w:r>
      <w:r w:rsidR="001F26A6" w:rsidRPr="00060D11">
        <w:rPr>
          <w:rFonts w:asciiTheme="minorHAnsi" w:hAnsiTheme="minorHAnsi" w:cstheme="minorHAnsi"/>
          <w:color w:val="495964"/>
          <w:lang w:val="en-GB"/>
        </w:rPr>
        <w:t xml:space="preserve"> related to Early grade education (with an increased focus on access) and also the p</w:t>
      </w:r>
      <w:r w:rsidR="00842253" w:rsidRPr="00060D11">
        <w:rPr>
          <w:rFonts w:asciiTheme="minorHAnsi" w:hAnsiTheme="minorHAnsi" w:cstheme="minorHAnsi"/>
          <w:color w:val="495964"/>
          <w:lang w:val="en-GB"/>
        </w:rPr>
        <w:t>riority</w:t>
      </w:r>
      <w:r w:rsidR="001F26A6" w:rsidRPr="00060D11">
        <w:rPr>
          <w:rFonts w:asciiTheme="minorHAnsi" w:hAnsiTheme="minorHAnsi" w:cstheme="minorHAnsi"/>
          <w:color w:val="495964"/>
          <w:lang w:val="en-GB"/>
        </w:rPr>
        <w:t xml:space="preserve"> that focuses on systems strengthening for </w:t>
      </w:r>
      <w:r w:rsidR="004F62A5" w:rsidRPr="00060D11">
        <w:rPr>
          <w:rFonts w:asciiTheme="minorHAnsi" w:hAnsiTheme="minorHAnsi" w:cstheme="minorHAnsi"/>
          <w:color w:val="495964"/>
          <w:lang w:val="en-GB"/>
        </w:rPr>
        <w:t>NDoE</w:t>
      </w:r>
      <w:r w:rsidR="001F26A6" w:rsidRPr="00060D11">
        <w:rPr>
          <w:rFonts w:asciiTheme="minorHAnsi" w:hAnsiTheme="minorHAnsi" w:cstheme="minorHAnsi"/>
          <w:color w:val="495964"/>
          <w:lang w:val="en-GB"/>
        </w:rPr>
        <w:t>,</w:t>
      </w:r>
      <w:r w:rsidR="008439E5" w:rsidRPr="00060D11">
        <w:rPr>
          <w:rFonts w:asciiTheme="minorHAnsi" w:hAnsiTheme="minorHAnsi" w:cstheme="minorHAnsi"/>
          <w:color w:val="495964"/>
          <w:lang w:val="en-GB"/>
        </w:rPr>
        <w:t xml:space="preserve"> Provincial Department of Education</w:t>
      </w:r>
      <w:r w:rsidR="001F26A6" w:rsidRPr="00060D11">
        <w:rPr>
          <w:rFonts w:asciiTheme="minorHAnsi" w:hAnsiTheme="minorHAnsi" w:cstheme="minorHAnsi"/>
          <w:color w:val="495964"/>
          <w:lang w:val="en-GB"/>
        </w:rPr>
        <w:t xml:space="preserve"> </w:t>
      </w:r>
      <w:r w:rsidR="008439E5" w:rsidRPr="00060D11">
        <w:rPr>
          <w:rFonts w:asciiTheme="minorHAnsi" w:hAnsiTheme="minorHAnsi" w:cstheme="minorHAnsi"/>
          <w:color w:val="495964"/>
          <w:lang w:val="en-GB"/>
        </w:rPr>
        <w:t>(</w:t>
      </w:r>
      <w:r w:rsidR="004F62A5" w:rsidRPr="00060D11">
        <w:rPr>
          <w:rFonts w:asciiTheme="minorHAnsi" w:hAnsiTheme="minorHAnsi" w:cstheme="minorHAnsi"/>
          <w:color w:val="495964"/>
          <w:lang w:val="en-GB"/>
        </w:rPr>
        <w:t>PDoE</w:t>
      </w:r>
      <w:r w:rsidR="008439E5" w:rsidRPr="00060D11">
        <w:rPr>
          <w:rFonts w:asciiTheme="minorHAnsi" w:hAnsiTheme="minorHAnsi" w:cstheme="minorHAnsi"/>
          <w:color w:val="495964"/>
          <w:lang w:val="en-GB"/>
        </w:rPr>
        <w:t>)</w:t>
      </w:r>
      <w:r w:rsidR="001F26A6" w:rsidRPr="00060D11">
        <w:rPr>
          <w:rFonts w:asciiTheme="minorHAnsi" w:hAnsiTheme="minorHAnsi" w:cstheme="minorHAnsi"/>
          <w:color w:val="495964"/>
          <w:lang w:val="en-GB"/>
        </w:rPr>
        <w:t xml:space="preserve"> and DHERST. An additional focus related to Secondary Education in line with the current ELPP outcome will be added to the PIE investment over time. </w:t>
      </w:r>
      <w:bookmarkStart w:id="42" w:name="_Hlk62460129"/>
    </w:p>
    <w:p w14:paraId="49B029FF" w14:textId="77777777" w:rsidR="001F26A6" w:rsidRPr="00060D11" w:rsidRDefault="001F26A6" w:rsidP="00C04736">
      <w:pPr>
        <w:pStyle w:val="Heading2"/>
      </w:pPr>
      <w:r w:rsidRPr="00060D11">
        <w:t>C.3</w:t>
      </w:r>
      <w:r w:rsidRPr="00060D11">
        <w:tab/>
        <w:t xml:space="preserve">INVESTMENT RATIONALE </w:t>
      </w:r>
    </w:p>
    <w:p w14:paraId="0CEEC23C" w14:textId="6C55020C" w:rsidR="00C367A2" w:rsidRPr="00060D11" w:rsidRDefault="001F26A6" w:rsidP="004E780D">
      <w:pPr>
        <w:spacing w:before="120" w:after="120" w:line="276" w:lineRule="auto"/>
        <w:ind w:right="74"/>
        <w:rPr>
          <w:rFonts w:cstheme="minorHAnsi"/>
          <w:color w:val="495964"/>
        </w:rPr>
      </w:pPr>
      <w:r w:rsidRPr="00060D11">
        <w:rPr>
          <w:rFonts w:cstheme="minorHAnsi"/>
          <w:b/>
          <w:bCs/>
          <w:color w:val="495964"/>
        </w:rPr>
        <w:t xml:space="preserve">Early Grade Education: </w:t>
      </w:r>
      <w:r w:rsidRPr="00060D11">
        <w:rPr>
          <w:rFonts w:cstheme="minorHAnsi"/>
          <w:color w:val="495964"/>
        </w:rPr>
        <w:t xml:space="preserve">There continues to be a high level of need for investment in early grades learning, but GoPNG is struggling to meet the full financial and capacity requirements of the proposed sector reforms. This situation has been exacerbated by the effects of the COVID-19 pandemic. Support from Australia, via the PIE investment, will be important in demonstrating ways in which critical reforms (informed by effective national and international practices) may be implemented in selected provinces, and ensuring that the evidence of effective approaches is disseminated, through a ‘knowledge-to-policy’ mechanism embedded within </w:t>
      </w:r>
      <w:r w:rsidR="004F62A5" w:rsidRPr="00060D11">
        <w:rPr>
          <w:rFonts w:cstheme="minorHAnsi"/>
          <w:color w:val="495964"/>
        </w:rPr>
        <w:t>NDoE</w:t>
      </w:r>
      <w:r w:rsidRPr="00060D11">
        <w:rPr>
          <w:rFonts w:cstheme="minorHAnsi"/>
          <w:color w:val="495964"/>
        </w:rPr>
        <w:t xml:space="preserve"> and the education system as a whole. </w:t>
      </w:r>
    </w:p>
    <w:p w14:paraId="13D1A1C7" w14:textId="6BB3D9C0" w:rsidR="001F26A6" w:rsidRPr="00060D11" w:rsidRDefault="001F26A6" w:rsidP="004E780D">
      <w:pPr>
        <w:pStyle w:val="BodyText"/>
        <w:spacing w:after="120" w:line="276" w:lineRule="auto"/>
        <w:ind w:left="0" w:right="141"/>
        <w:rPr>
          <w:rFonts w:asciiTheme="minorHAnsi" w:hAnsiTheme="minorHAnsi" w:cstheme="minorHAnsi"/>
          <w:color w:val="495964"/>
          <w:lang w:val="en-GB"/>
        </w:rPr>
      </w:pPr>
      <w:r w:rsidRPr="00060D11">
        <w:rPr>
          <w:rFonts w:asciiTheme="minorHAnsi" w:hAnsiTheme="minorHAnsi" w:cstheme="minorHAnsi"/>
          <w:color w:val="495964"/>
          <w:lang w:val="en-GB"/>
        </w:rPr>
        <w:t xml:space="preserve">This will support </w:t>
      </w:r>
      <w:r w:rsidR="004F62A5" w:rsidRPr="00060D11">
        <w:rPr>
          <w:rFonts w:asciiTheme="minorHAnsi" w:hAnsiTheme="minorHAnsi" w:cstheme="minorHAnsi"/>
          <w:color w:val="495964"/>
          <w:lang w:val="en-GB"/>
        </w:rPr>
        <w:t>NDoE</w:t>
      </w:r>
      <w:r w:rsidRPr="00060D11">
        <w:rPr>
          <w:rFonts w:asciiTheme="minorHAnsi" w:hAnsiTheme="minorHAnsi" w:cstheme="minorHAnsi"/>
          <w:color w:val="495964"/>
          <w:lang w:val="en-GB"/>
        </w:rPr>
        <w:t>’s efforts to identify and support better practice in the implementation of education sector reforms. The evidence and lessons identified will also provide significant input to policy dialogue between</w:t>
      </w:r>
      <w:r w:rsidR="000566F7" w:rsidRPr="00060D11">
        <w:rPr>
          <w:rFonts w:asciiTheme="minorHAnsi" w:hAnsiTheme="minorHAnsi" w:cstheme="minorHAnsi"/>
          <w:color w:val="495964"/>
          <w:lang w:val="en-GB"/>
        </w:rPr>
        <w:t xml:space="preserve"> Government of Australia</w:t>
      </w:r>
      <w:r w:rsidRPr="00060D11">
        <w:rPr>
          <w:rFonts w:asciiTheme="minorHAnsi" w:hAnsiTheme="minorHAnsi" w:cstheme="minorHAnsi"/>
          <w:color w:val="495964"/>
          <w:lang w:val="en-GB"/>
        </w:rPr>
        <w:t xml:space="preserve"> </w:t>
      </w:r>
      <w:r w:rsidR="000566F7" w:rsidRPr="00060D11">
        <w:rPr>
          <w:rFonts w:asciiTheme="minorHAnsi" w:hAnsiTheme="minorHAnsi" w:cstheme="minorHAnsi"/>
          <w:color w:val="495964"/>
          <w:lang w:val="en-GB"/>
        </w:rPr>
        <w:t>(</w:t>
      </w:r>
      <w:r w:rsidRPr="00060D11">
        <w:rPr>
          <w:rFonts w:asciiTheme="minorHAnsi" w:hAnsiTheme="minorHAnsi" w:cstheme="minorHAnsi"/>
          <w:color w:val="495964"/>
          <w:lang w:val="en-GB"/>
        </w:rPr>
        <w:t>GoA</w:t>
      </w:r>
      <w:r w:rsidR="000566F7" w:rsidRPr="00060D11">
        <w:rPr>
          <w:rFonts w:asciiTheme="minorHAnsi" w:hAnsiTheme="minorHAnsi" w:cstheme="minorHAnsi"/>
          <w:color w:val="495964"/>
          <w:lang w:val="en-GB"/>
        </w:rPr>
        <w:t>)</w:t>
      </w:r>
      <w:r w:rsidRPr="00060D11">
        <w:rPr>
          <w:rFonts w:asciiTheme="minorHAnsi" w:hAnsiTheme="minorHAnsi" w:cstheme="minorHAnsi"/>
          <w:color w:val="495964"/>
          <w:lang w:val="en-GB"/>
        </w:rPr>
        <w:t xml:space="preserve"> and GoPNG, as well as between GoA and other donors in the sector.</w:t>
      </w:r>
    </w:p>
    <w:p w14:paraId="6C380457" w14:textId="14EB19C3" w:rsidR="001F26A6" w:rsidRPr="00060D11" w:rsidRDefault="001F26A6" w:rsidP="004E780D">
      <w:pPr>
        <w:spacing w:after="120" w:line="276" w:lineRule="auto"/>
        <w:ind w:right="74"/>
        <w:rPr>
          <w:rFonts w:cstheme="minorHAnsi"/>
          <w:color w:val="FF0000"/>
        </w:rPr>
      </w:pPr>
      <w:r w:rsidRPr="00060D11">
        <w:rPr>
          <w:rFonts w:cstheme="minorHAnsi"/>
          <w:color w:val="495964"/>
        </w:rPr>
        <w:t>Initial data analysis carried revealed a ‘creeping crisis’ in enrolments and retention of students</w:t>
      </w:r>
      <w:r w:rsidRPr="00060D11">
        <w:rPr>
          <w:rStyle w:val="FootnoteReference"/>
          <w:rFonts w:cstheme="minorHAnsi"/>
          <w:color w:val="495964"/>
        </w:rPr>
        <w:footnoteReference w:id="50"/>
      </w:r>
      <w:r w:rsidRPr="00060D11">
        <w:rPr>
          <w:rFonts w:cstheme="minorHAnsi"/>
          <w:color w:val="495964"/>
        </w:rPr>
        <w:t xml:space="preserve">, particularly in the early grades. </w:t>
      </w:r>
    </w:p>
    <w:p w14:paraId="40CBBD8F" w14:textId="77777777" w:rsidR="00C367A2" w:rsidRPr="00060D11" w:rsidRDefault="00C367A2" w:rsidP="0039667A">
      <w:pPr>
        <w:pStyle w:val="BodyText"/>
        <w:spacing w:line="276" w:lineRule="auto"/>
        <w:ind w:left="0" w:right="141"/>
        <w:rPr>
          <w:rFonts w:asciiTheme="minorHAnsi" w:hAnsiTheme="minorHAnsi" w:cstheme="minorHAnsi"/>
          <w:b/>
          <w:bCs/>
          <w:color w:val="495964"/>
          <w:lang w:val="en-GB"/>
        </w:rPr>
      </w:pPr>
    </w:p>
    <w:p w14:paraId="3234916A" w14:textId="59401BE9" w:rsidR="008B54F7" w:rsidRPr="00060D11" w:rsidRDefault="001F26A6" w:rsidP="0039667A">
      <w:pPr>
        <w:pStyle w:val="BodyText"/>
        <w:spacing w:line="276" w:lineRule="auto"/>
        <w:ind w:left="0" w:right="141"/>
        <w:rPr>
          <w:rFonts w:asciiTheme="minorHAnsi" w:hAnsiTheme="minorHAnsi" w:cstheme="minorHAnsi"/>
          <w:color w:val="495964"/>
          <w:lang w:val="en-GB"/>
        </w:rPr>
      </w:pPr>
      <w:r w:rsidRPr="00060D11">
        <w:rPr>
          <w:rFonts w:asciiTheme="minorHAnsi" w:hAnsiTheme="minorHAnsi" w:cstheme="minorHAnsi"/>
          <w:b/>
          <w:bCs/>
          <w:color w:val="495964"/>
          <w:lang w:val="en-GB"/>
        </w:rPr>
        <w:t>Geographic focus:</w:t>
      </w:r>
      <w:r w:rsidRPr="00060D11">
        <w:rPr>
          <w:rFonts w:asciiTheme="minorHAnsi" w:hAnsiTheme="minorHAnsi" w:cstheme="minorHAnsi"/>
          <w:color w:val="495964"/>
          <w:lang w:val="en-GB"/>
        </w:rPr>
        <w:t xml:space="preserve"> The process for selecting the initial two provinces (see Appendix B) took into account, among other factors, the potential they offered for demonstrating effective approaches to system level change. Through this process Enga and Sandaun were selected as target provinces. Subsequent to the initial design consultations, at the request of </w:t>
      </w:r>
      <w:r w:rsidR="004F62A5" w:rsidRPr="00060D11">
        <w:rPr>
          <w:rFonts w:asciiTheme="minorHAnsi" w:hAnsiTheme="minorHAnsi" w:cstheme="minorHAnsi"/>
          <w:color w:val="495964"/>
          <w:lang w:val="en-GB"/>
        </w:rPr>
        <w:t>NDoE</w:t>
      </w:r>
      <w:r w:rsidRPr="00060D11">
        <w:rPr>
          <w:rFonts w:asciiTheme="minorHAnsi" w:hAnsiTheme="minorHAnsi" w:cstheme="minorHAnsi"/>
          <w:color w:val="495964"/>
          <w:lang w:val="en-GB"/>
        </w:rPr>
        <w:t xml:space="preserve">, additional provinces were added to ensure each geographic region is represented. The additional provinces included Central (next on the short list) and </w:t>
      </w:r>
      <w:r w:rsidR="005210D0" w:rsidRPr="00060D11">
        <w:rPr>
          <w:rFonts w:asciiTheme="minorHAnsi" w:hAnsiTheme="minorHAnsi" w:cstheme="minorHAnsi"/>
          <w:color w:val="495964"/>
          <w:lang w:val="en-GB"/>
        </w:rPr>
        <w:t>ARoB is proposed to represent the islands region.</w:t>
      </w:r>
    </w:p>
    <w:p w14:paraId="6D2B014E" w14:textId="77777777" w:rsidR="00CB24F5" w:rsidRPr="00060D11" w:rsidRDefault="00CB24F5" w:rsidP="0039667A">
      <w:pPr>
        <w:pStyle w:val="BodyText"/>
        <w:spacing w:line="276" w:lineRule="auto"/>
        <w:ind w:left="0" w:right="141"/>
        <w:rPr>
          <w:rFonts w:asciiTheme="minorHAnsi" w:hAnsiTheme="minorHAnsi" w:cstheme="minorHAnsi"/>
          <w:color w:val="495964"/>
          <w:lang w:val="en-GB"/>
        </w:rPr>
      </w:pPr>
    </w:p>
    <w:p w14:paraId="3C0B6E86" w14:textId="1EC67695" w:rsidR="001F26A6" w:rsidRPr="00060D11" w:rsidRDefault="008523DF" w:rsidP="0039667A">
      <w:pPr>
        <w:pStyle w:val="BodyText"/>
        <w:spacing w:line="276" w:lineRule="auto"/>
        <w:ind w:left="0" w:right="141"/>
        <w:rPr>
          <w:rFonts w:asciiTheme="minorHAnsi" w:hAnsiTheme="minorHAnsi" w:cstheme="minorHAnsi"/>
          <w:color w:val="495964"/>
          <w:lang w:val="en-GB"/>
        </w:rPr>
      </w:pPr>
      <w:r w:rsidRPr="00060D11">
        <w:rPr>
          <w:rFonts w:asciiTheme="minorHAnsi" w:hAnsiTheme="minorHAnsi" w:cstheme="minorHAnsi"/>
          <w:b/>
          <w:bCs/>
          <w:color w:val="495964"/>
          <w:lang w:val="en-GB"/>
        </w:rPr>
        <w:t>National Education Plan</w:t>
      </w:r>
      <w:r w:rsidR="00E045DD" w:rsidRPr="00060D11">
        <w:rPr>
          <w:rFonts w:asciiTheme="minorHAnsi" w:hAnsiTheme="minorHAnsi" w:cstheme="minorHAnsi"/>
          <w:b/>
          <w:bCs/>
          <w:color w:val="495964"/>
          <w:lang w:val="en-GB"/>
        </w:rPr>
        <w:t xml:space="preserve"> (NEP)</w:t>
      </w:r>
      <w:r w:rsidRPr="00060D11">
        <w:rPr>
          <w:rFonts w:asciiTheme="minorHAnsi" w:hAnsiTheme="minorHAnsi" w:cstheme="minorHAnsi"/>
          <w:b/>
          <w:bCs/>
          <w:color w:val="495964"/>
          <w:lang w:val="en-GB"/>
        </w:rPr>
        <w:t xml:space="preserve"> 2020-2029:</w:t>
      </w:r>
      <w:r w:rsidRPr="00060D11">
        <w:rPr>
          <w:rFonts w:asciiTheme="minorHAnsi" w:hAnsiTheme="minorHAnsi" w:cstheme="minorHAnsi"/>
          <w:color w:val="495964"/>
          <w:lang w:val="en-GB"/>
        </w:rPr>
        <w:t xml:space="preserve"> </w:t>
      </w:r>
      <w:r w:rsidR="001F26A6" w:rsidRPr="00060D11">
        <w:rPr>
          <w:rFonts w:asciiTheme="minorHAnsi" w:hAnsiTheme="minorHAnsi" w:cstheme="minorHAnsi"/>
          <w:color w:val="495964"/>
          <w:lang w:val="en-GB"/>
        </w:rPr>
        <w:t xml:space="preserve">PIE will work </w:t>
      </w:r>
      <w:r w:rsidRPr="00060D11">
        <w:rPr>
          <w:rFonts w:asciiTheme="minorHAnsi" w:hAnsiTheme="minorHAnsi" w:cstheme="minorHAnsi"/>
          <w:color w:val="495964"/>
          <w:lang w:val="en-GB"/>
        </w:rPr>
        <w:t xml:space="preserve">with NDoE and PDoE </w:t>
      </w:r>
      <w:r w:rsidR="001F26A6" w:rsidRPr="00060D11">
        <w:rPr>
          <w:rFonts w:asciiTheme="minorHAnsi" w:hAnsiTheme="minorHAnsi" w:cstheme="minorHAnsi"/>
          <w:color w:val="495964"/>
          <w:lang w:val="en-GB"/>
        </w:rPr>
        <w:t xml:space="preserve">in the four </w:t>
      </w:r>
      <w:r w:rsidR="00E045DD" w:rsidRPr="00060D11">
        <w:rPr>
          <w:rFonts w:asciiTheme="minorHAnsi" w:hAnsiTheme="minorHAnsi" w:cstheme="minorHAnsi"/>
          <w:color w:val="495964"/>
          <w:lang w:val="en-GB"/>
        </w:rPr>
        <w:t xml:space="preserve">target </w:t>
      </w:r>
      <w:r w:rsidR="001F26A6" w:rsidRPr="00060D11">
        <w:rPr>
          <w:rFonts w:asciiTheme="minorHAnsi" w:hAnsiTheme="minorHAnsi" w:cstheme="minorHAnsi"/>
          <w:color w:val="495964"/>
          <w:lang w:val="en-GB"/>
        </w:rPr>
        <w:t>provinces to address some of the critical constraints facing implementation of the NEP</w:t>
      </w:r>
      <w:r w:rsidR="00E045DD" w:rsidRPr="00060D11">
        <w:rPr>
          <w:rFonts w:asciiTheme="minorHAnsi" w:hAnsiTheme="minorHAnsi" w:cstheme="minorHAnsi"/>
          <w:color w:val="495964"/>
          <w:lang w:val="en-GB"/>
        </w:rPr>
        <w:t>, specifically</w:t>
      </w:r>
      <w:r w:rsidR="004A2989" w:rsidRPr="00060D11">
        <w:rPr>
          <w:rFonts w:asciiTheme="minorHAnsi" w:hAnsiTheme="minorHAnsi" w:cstheme="minorHAnsi"/>
          <w:color w:val="495964"/>
          <w:lang w:val="en-GB"/>
        </w:rPr>
        <w:t xml:space="preserve"> in the following focus areas:</w:t>
      </w:r>
    </w:p>
    <w:p w14:paraId="7F13A593" w14:textId="77777777" w:rsidR="001F26A6" w:rsidRPr="00060D11" w:rsidRDefault="001F26A6" w:rsidP="0039667A">
      <w:pPr>
        <w:pStyle w:val="BodyText"/>
        <w:spacing w:line="276" w:lineRule="auto"/>
        <w:ind w:left="0" w:right="141"/>
        <w:jc w:val="both"/>
        <w:rPr>
          <w:rFonts w:asciiTheme="minorHAnsi" w:hAnsiTheme="minorHAnsi" w:cstheme="minorHAnsi"/>
          <w:b/>
          <w:bCs/>
          <w:color w:val="495964"/>
          <w:lang w:val="en-GB"/>
        </w:rPr>
      </w:pPr>
      <w:r w:rsidRPr="00060D11">
        <w:rPr>
          <w:rFonts w:asciiTheme="minorHAnsi" w:hAnsiTheme="minorHAnsi" w:cstheme="minorHAnsi"/>
          <w:b/>
          <w:bCs/>
          <w:color w:val="495964"/>
          <w:lang w:val="en-GB"/>
        </w:rPr>
        <w:t>NEP Focus Area 2 &amp; 3: Access &amp; Equity</w:t>
      </w:r>
    </w:p>
    <w:p w14:paraId="2FC3E92C" w14:textId="6A4B5C31" w:rsidR="001F26A6" w:rsidRPr="00060D11" w:rsidRDefault="001F26A6" w:rsidP="0039667A">
      <w:pPr>
        <w:pStyle w:val="BodyText"/>
        <w:spacing w:line="276" w:lineRule="auto"/>
        <w:ind w:left="421" w:right="141"/>
        <w:jc w:val="both"/>
        <w:rPr>
          <w:rFonts w:asciiTheme="minorHAnsi" w:hAnsiTheme="minorHAnsi" w:cstheme="minorHAnsi"/>
          <w:color w:val="495964"/>
          <w:lang w:val="en-GB"/>
        </w:rPr>
      </w:pPr>
      <w:r w:rsidRPr="00060D11">
        <w:rPr>
          <w:rFonts w:asciiTheme="minorHAnsi" w:hAnsiTheme="minorHAnsi" w:cstheme="minorHAnsi"/>
          <w:color w:val="495964"/>
          <w:lang w:val="en-GB"/>
        </w:rPr>
        <w:t xml:space="preserve">To improve access, PIE activities under </w:t>
      </w:r>
      <w:r w:rsidR="003C05F4" w:rsidRPr="00060D11">
        <w:rPr>
          <w:rFonts w:asciiTheme="minorHAnsi" w:hAnsiTheme="minorHAnsi" w:cstheme="minorHAnsi"/>
          <w:color w:val="495964"/>
          <w:lang w:val="en-GB"/>
        </w:rPr>
        <w:t xml:space="preserve">Targeted </w:t>
      </w:r>
      <w:r w:rsidRPr="00060D11">
        <w:rPr>
          <w:rFonts w:asciiTheme="minorHAnsi" w:hAnsiTheme="minorHAnsi" w:cstheme="minorHAnsi"/>
          <w:color w:val="495964"/>
          <w:lang w:val="en-GB"/>
        </w:rPr>
        <w:t>Outcome 1 will seek to improve NER and retention in the early grades through engaging and incentiv</w:t>
      </w:r>
      <w:r w:rsidR="00190793" w:rsidRPr="00060D11">
        <w:rPr>
          <w:rFonts w:asciiTheme="minorHAnsi" w:hAnsiTheme="minorHAnsi" w:cstheme="minorHAnsi"/>
          <w:color w:val="495964"/>
          <w:lang w:val="en-GB"/>
        </w:rPr>
        <w:t>i</w:t>
      </w:r>
      <w:r w:rsidRPr="00060D11">
        <w:rPr>
          <w:rFonts w:asciiTheme="minorHAnsi" w:hAnsiTheme="minorHAnsi" w:cstheme="minorHAnsi"/>
          <w:color w:val="495964"/>
          <w:lang w:val="en-GB"/>
        </w:rPr>
        <w:t xml:space="preserve">sing families and school communities in rural/remote areas to value education and send their children to school, complementing school-based strategies outlined in the NEP. PIE will ensure strategies are inclusive of girls, </w:t>
      </w:r>
      <w:r w:rsidR="00686208" w:rsidRPr="00060D11">
        <w:rPr>
          <w:rFonts w:asciiTheme="minorHAnsi" w:hAnsiTheme="minorHAnsi" w:cstheme="minorHAnsi"/>
          <w:color w:val="495964"/>
          <w:lang w:val="en-GB"/>
        </w:rPr>
        <w:t>CWD</w:t>
      </w:r>
      <w:r w:rsidRPr="00060D11">
        <w:rPr>
          <w:rFonts w:asciiTheme="minorHAnsi" w:hAnsiTheme="minorHAnsi" w:cstheme="minorHAnsi"/>
          <w:color w:val="495964"/>
          <w:lang w:val="en-GB"/>
        </w:rPr>
        <w:t xml:space="preserve">, children in rural/remote areas and/or in indigenous minorities. </w:t>
      </w:r>
    </w:p>
    <w:p w14:paraId="09D4FEB3" w14:textId="42604354" w:rsidR="001F26A6" w:rsidRPr="00060D11" w:rsidRDefault="001F26A6" w:rsidP="0039667A">
      <w:pPr>
        <w:pStyle w:val="BodyText"/>
        <w:spacing w:line="276" w:lineRule="auto"/>
        <w:ind w:left="0" w:right="141"/>
        <w:jc w:val="both"/>
        <w:rPr>
          <w:rFonts w:asciiTheme="minorHAnsi" w:hAnsiTheme="minorHAnsi" w:cstheme="minorHAnsi"/>
          <w:b/>
          <w:bCs/>
          <w:color w:val="495964"/>
          <w:lang w:val="en-GB"/>
        </w:rPr>
      </w:pPr>
      <w:r w:rsidRPr="00060D11">
        <w:rPr>
          <w:rFonts w:asciiTheme="minorHAnsi" w:hAnsiTheme="minorHAnsi" w:cstheme="minorHAnsi"/>
          <w:b/>
          <w:bCs/>
          <w:color w:val="495964"/>
          <w:lang w:val="en-GB"/>
        </w:rPr>
        <w:t xml:space="preserve">NEP Focus Area 4: Teachers </w:t>
      </w:r>
      <w:r w:rsidR="008463E2" w:rsidRPr="00060D11">
        <w:rPr>
          <w:rFonts w:asciiTheme="minorHAnsi" w:hAnsiTheme="minorHAnsi" w:cstheme="minorHAnsi"/>
          <w:b/>
          <w:bCs/>
          <w:color w:val="495964"/>
          <w:lang w:val="en-GB"/>
        </w:rPr>
        <w:t xml:space="preserve">&amp; </w:t>
      </w:r>
      <w:r w:rsidRPr="00060D11">
        <w:rPr>
          <w:rFonts w:asciiTheme="minorHAnsi" w:hAnsiTheme="minorHAnsi" w:cstheme="minorHAnsi"/>
          <w:b/>
          <w:bCs/>
          <w:color w:val="495964"/>
          <w:lang w:val="en-GB"/>
        </w:rPr>
        <w:t>Teaching</w:t>
      </w:r>
    </w:p>
    <w:p w14:paraId="4B3BD7F7" w14:textId="77777777" w:rsidR="001F26A6" w:rsidRPr="00060D11" w:rsidRDefault="001F26A6" w:rsidP="0039667A">
      <w:pPr>
        <w:pStyle w:val="BodyText"/>
        <w:spacing w:line="276" w:lineRule="auto"/>
        <w:ind w:left="421" w:right="141"/>
        <w:jc w:val="both"/>
        <w:rPr>
          <w:rFonts w:asciiTheme="minorHAnsi" w:hAnsiTheme="minorHAnsi" w:cstheme="minorHAnsi"/>
          <w:color w:val="495964"/>
          <w:lang w:val="en-GB"/>
        </w:rPr>
      </w:pPr>
      <w:r w:rsidRPr="00060D11">
        <w:rPr>
          <w:rFonts w:asciiTheme="minorHAnsi" w:hAnsiTheme="minorHAnsi" w:cstheme="minorHAnsi"/>
          <w:color w:val="495964"/>
          <w:lang w:val="en-GB"/>
        </w:rPr>
        <w:t>There is a significant opportunity for PIE to support and demonstrate system strengthening to address the looming teacher shortage across PNG following the introduction of the 1-6-6 structure. The development of bespoke, evidence-informed approaches to upgrading the skills and knowledge of elementary teachers will be of great interest to all provinces and NDoE.</w:t>
      </w:r>
    </w:p>
    <w:p w14:paraId="51D90EBF" w14:textId="5CA54970" w:rsidR="001F26A6" w:rsidRPr="00060D11" w:rsidRDefault="001F26A6" w:rsidP="0039667A">
      <w:pPr>
        <w:pStyle w:val="BodyText"/>
        <w:spacing w:line="276" w:lineRule="auto"/>
        <w:ind w:left="0" w:right="141"/>
        <w:jc w:val="both"/>
        <w:rPr>
          <w:rFonts w:asciiTheme="minorHAnsi" w:hAnsiTheme="minorHAnsi" w:cstheme="minorHAnsi"/>
          <w:b/>
          <w:bCs/>
          <w:color w:val="495964"/>
          <w:lang w:val="en-GB"/>
        </w:rPr>
      </w:pPr>
      <w:r w:rsidRPr="00060D11">
        <w:rPr>
          <w:rFonts w:asciiTheme="minorHAnsi" w:hAnsiTheme="minorHAnsi" w:cstheme="minorHAnsi"/>
          <w:b/>
          <w:bCs/>
          <w:color w:val="495964"/>
          <w:lang w:val="en-GB"/>
        </w:rPr>
        <w:t>NEP Focus Area 7</w:t>
      </w:r>
      <w:r w:rsidR="00190793" w:rsidRPr="00060D11">
        <w:rPr>
          <w:rFonts w:asciiTheme="minorHAnsi" w:hAnsiTheme="minorHAnsi" w:cstheme="minorHAnsi"/>
          <w:b/>
          <w:bCs/>
          <w:color w:val="495964"/>
          <w:lang w:val="en-GB"/>
        </w:rPr>
        <w:t xml:space="preserve"> </w:t>
      </w:r>
      <w:r w:rsidRPr="00060D11">
        <w:rPr>
          <w:rFonts w:asciiTheme="minorHAnsi" w:hAnsiTheme="minorHAnsi" w:cstheme="minorHAnsi"/>
          <w:b/>
          <w:bCs/>
          <w:color w:val="495964"/>
          <w:lang w:val="en-GB"/>
        </w:rPr>
        <w:t>&amp;</w:t>
      </w:r>
      <w:r w:rsidR="00190793" w:rsidRPr="00060D11">
        <w:rPr>
          <w:rFonts w:asciiTheme="minorHAnsi" w:hAnsiTheme="minorHAnsi" w:cstheme="minorHAnsi"/>
          <w:b/>
          <w:bCs/>
          <w:color w:val="495964"/>
          <w:lang w:val="en-GB"/>
        </w:rPr>
        <w:t xml:space="preserve"> </w:t>
      </w:r>
      <w:r w:rsidRPr="00060D11">
        <w:rPr>
          <w:rFonts w:asciiTheme="minorHAnsi" w:hAnsiTheme="minorHAnsi" w:cstheme="minorHAnsi"/>
          <w:b/>
          <w:bCs/>
          <w:color w:val="495964"/>
          <w:lang w:val="en-GB"/>
        </w:rPr>
        <w:t>8: Leadership &amp; Partnership, Management &amp; Administration</w:t>
      </w:r>
    </w:p>
    <w:p w14:paraId="0F17A46F" w14:textId="77777777" w:rsidR="001F26A6" w:rsidRPr="00060D11" w:rsidRDefault="001F26A6" w:rsidP="0039667A">
      <w:pPr>
        <w:pStyle w:val="BodyText"/>
        <w:spacing w:line="276" w:lineRule="auto"/>
        <w:ind w:left="421" w:right="141"/>
        <w:jc w:val="both"/>
        <w:rPr>
          <w:rFonts w:asciiTheme="minorHAnsi" w:hAnsiTheme="minorHAnsi" w:cstheme="minorHAnsi"/>
          <w:color w:val="495964"/>
          <w:lang w:val="en-GB"/>
        </w:rPr>
      </w:pPr>
      <w:r w:rsidRPr="00060D11">
        <w:rPr>
          <w:rFonts w:asciiTheme="minorHAnsi" w:hAnsiTheme="minorHAnsi" w:cstheme="minorHAnsi"/>
          <w:color w:val="495964"/>
          <w:lang w:val="en-GB"/>
        </w:rPr>
        <w:t>PIE will support GoPNG to identify and address system blockages. This may include support for school leaders and communities to develop and implement School Learning Improvement Plans that are practical and feasible within the current resource constraints and public financial management support at national and provincial level. PIE support will support the collection and analysis of data to inform decision-making at all levels.</w:t>
      </w:r>
    </w:p>
    <w:p w14:paraId="54B3BF42" w14:textId="3EE47C0B" w:rsidR="00190793" w:rsidRPr="00060D11" w:rsidRDefault="00EE59C6" w:rsidP="0039667A">
      <w:pPr>
        <w:pStyle w:val="BodyText"/>
        <w:spacing w:before="120" w:line="276" w:lineRule="auto"/>
        <w:ind w:left="0" w:right="142"/>
        <w:rPr>
          <w:rFonts w:asciiTheme="minorHAnsi" w:hAnsiTheme="minorHAnsi" w:cstheme="minorHAnsi"/>
          <w:color w:val="495964"/>
          <w:lang w:val="en-GB"/>
        </w:rPr>
      </w:pPr>
      <w:r w:rsidRPr="00060D11">
        <w:rPr>
          <w:rFonts w:asciiTheme="minorHAnsi" w:hAnsiTheme="minorHAnsi" w:cstheme="minorHAnsi"/>
          <w:b/>
          <w:bCs/>
          <w:color w:val="495964"/>
          <w:lang w:val="en-GB"/>
        </w:rPr>
        <w:t>Church-government partnerships:</w:t>
      </w:r>
      <w:r w:rsidRPr="00060D11">
        <w:rPr>
          <w:rFonts w:asciiTheme="minorHAnsi" w:hAnsiTheme="minorHAnsi" w:cstheme="minorHAnsi"/>
          <w:color w:val="495964"/>
          <w:lang w:val="en-GB"/>
        </w:rPr>
        <w:t xml:space="preserve"> The</w:t>
      </w:r>
      <w:r w:rsidR="001F26A6" w:rsidRPr="00060D11">
        <w:rPr>
          <w:rFonts w:asciiTheme="minorHAnsi" w:hAnsiTheme="minorHAnsi" w:cstheme="minorHAnsi"/>
          <w:color w:val="495964"/>
          <w:lang w:val="en-GB"/>
        </w:rPr>
        <w:t xml:space="preserve"> PIE investment offers the opportunity to demonstrate practical ways to strengthen the church-government partnership in the delivery of education services. Figures obtained by the design team indicate that 53 percent of the elementary schools and 62 percent of the primary schools in Sandaun are run by churches. In Enga, church operated schools account for 43 percent of elementary schools and 35 percent of primary schools.</w:t>
      </w:r>
    </w:p>
    <w:p w14:paraId="7A2EE278" w14:textId="77777777" w:rsidR="001F26A6" w:rsidRPr="00060D11" w:rsidRDefault="001F26A6" w:rsidP="004E780D">
      <w:pPr>
        <w:spacing w:before="120" w:line="276" w:lineRule="auto"/>
        <w:rPr>
          <w:lang w:eastAsia="en-AU"/>
        </w:rPr>
      </w:pPr>
      <w:r w:rsidRPr="00060D11">
        <w:rPr>
          <w:lang w:eastAsia="en-AU"/>
        </w:rPr>
        <w:t xml:space="preserve">The 1983 PNG Education Act calls for </w:t>
      </w:r>
      <w:r w:rsidRPr="00060D11">
        <w:rPr>
          <w:i/>
          <w:iCs/>
          <w:lang w:eastAsia="en-AU"/>
        </w:rPr>
        <w:t>“maximum involvement and co-operative effort by persons and bodies interested in education in the country “</w:t>
      </w:r>
      <w:r w:rsidRPr="00060D11">
        <w:rPr>
          <w:lang w:eastAsia="en-AU"/>
        </w:rPr>
        <w:t xml:space="preserve"> including churches. GoPNG pays the salaries of teachers (whether in government or church-run schools) and also pays for in-service training for qualified teachers. Despite these formal arrangements, the recently approved National Churches Education Council Constitution (involving ten churches) calls for the partnership between government and the churches in education service delivery to be strengthened </w:t>
      </w:r>
      <w:r w:rsidRPr="00060D11">
        <w:rPr>
          <w:i/>
          <w:iCs/>
          <w:lang w:eastAsia="en-AU"/>
        </w:rPr>
        <w:t>“in more practical ways”.</w:t>
      </w:r>
      <w:r w:rsidRPr="00060D11">
        <w:rPr>
          <w:rStyle w:val="FootnoteReference"/>
          <w:i/>
          <w:iCs/>
          <w:lang w:eastAsia="en-AU"/>
        </w:rPr>
        <w:footnoteReference w:id="51"/>
      </w:r>
      <w:r w:rsidRPr="00060D11">
        <w:rPr>
          <w:lang w:eastAsia="en-AU"/>
        </w:rPr>
        <w:t xml:space="preserve">  The design process for the PIE investment has actively involved the relevant church agencies, as will the implementation arrangements. The demonstration of effective and practical approaches to strengthen collaboration in education service delivery will be of interest to provincial and national bodies of both government and churches.</w:t>
      </w:r>
      <w:bookmarkEnd w:id="42"/>
    </w:p>
    <w:p w14:paraId="73B3011D" w14:textId="426E991B" w:rsidR="001F26A6" w:rsidRPr="00060D11" w:rsidRDefault="001F26A6" w:rsidP="004E780D">
      <w:pPr>
        <w:pStyle w:val="BodyText"/>
        <w:spacing w:before="117" w:line="276" w:lineRule="auto"/>
        <w:ind w:left="0" w:right="279"/>
        <w:rPr>
          <w:rFonts w:asciiTheme="minorHAnsi" w:hAnsiTheme="minorHAnsi" w:cstheme="minorHAnsi"/>
          <w:b/>
          <w:bCs/>
          <w:color w:val="44546A" w:themeColor="text2"/>
          <w:lang w:val="en-GB"/>
        </w:rPr>
      </w:pPr>
      <w:r w:rsidRPr="00060D11">
        <w:rPr>
          <w:rFonts w:asciiTheme="minorHAnsi" w:hAnsiTheme="minorHAnsi" w:cstheme="minorHAnsi"/>
          <w:b/>
          <w:bCs/>
          <w:color w:val="44546A" w:themeColor="text2"/>
          <w:lang w:val="en-GB"/>
        </w:rPr>
        <w:t>Gender equality, disability and social inclusion</w:t>
      </w:r>
      <w:r w:rsidR="000566F7" w:rsidRPr="00060D11">
        <w:rPr>
          <w:rFonts w:asciiTheme="minorHAnsi" w:hAnsiTheme="minorHAnsi" w:cstheme="minorHAnsi"/>
          <w:b/>
          <w:bCs/>
          <w:color w:val="44546A" w:themeColor="text2"/>
          <w:lang w:val="en-GB"/>
        </w:rPr>
        <w:t xml:space="preserve"> (GEDSI)</w:t>
      </w:r>
      <w:r w:rsidRPr="00060D11">
        <w:rPr>
          <w:rFonts w:asciiTheme="minorHAnsi" w:hAnsiTheme="minorHAnsi" w:cstheme="minorHAnsi"/>
          <w:b/>
          <w:bCs/>
          <w:color w:val="44546A" w:themeColor="text2"/>
          <w:lang w:val="en-GB"/>
        </w:rPr>
        <w:t xml:space="preserve">: </w:t>
      </w:r>
      <w:r w:rsidRPr="00060D11">
        <w:rPr>
          <w:rFonts w:asciiTheme="minorHAnsi" w:hAnsiTheme="minorHAnsi" w:cstheme="minorHAnsi"/>
          <w:color w:val="44546A" w:themeColor="text2"/>
          <w:lang w:val="en-GB"/>
        </w:rPr>
        <w:t xml:space="preserve">Section G of this IDD specifically discusses the way in which the PIE investment aims to contribute to closing gaps in </w:t>
      </w:r>
      <w:r w:rsidR="000566F7" w:rsidRPr="00060D11">
        <w:rPr>
          <w:rFonts w:asciiTheme="minorHAnsi" w:hAnsiTheme="minorHAnsi" w:cstheme="minorHAnsi"/>
          <w:color w:val="44546A" w:themeColor="text2"/>
          <w:lang w:val="en-GB"/>
        </w:rPr>
        <w:t>GEDSI</w:t>
      </w:r>
      <w:r w:rsidRPr="00060D11">
        <w:rPr>
          <w:rFonts w:asciiTheme="minorHAnsi" w:hAnsiTheme="minorHAnsi" w:cstheme="minorHAnsi"/>
          <w:color w:val="44546A" w:themeColor="text2"/>
          <w:lang w:val="en-GB"/>
        </w:rPr>
        <w:t>, particularly in relation to improving participation in early grades education. Clearly these are high priority policy issues for the Australian aid program. However, despite PNG being a signatory to a range of international treaties</w:t>
      </w:r>
      <w:r w:rsidRPr="00060D11">
        <w:rPr>
          <w:rStyle w:val="FootnoteReference"/>
          <w:rFonts w:asciiTheme="minorHAnsi" w:hAnsiTheme="minorHAnsi" w:cstheme="minorHAnsi"/>
          <w:lang w:val="en-GB"/>
        </w:rPr>
        <w:footnoteReference w:id="52"/>
      </w:r>
      <w:r w:rsidRPr="00060D11">
        <w:rPr>
          <w:rFonts w:asciiTheme="minorHAnsi" w:hAnsiTheme="minorHAnsi" w:cstheme="minorHAnsi"/>
          <w:color w:val="44546A" w:themeColor="text2"/>
          <w:lang w:val="en-GB"/>
        </w:rPr>
        <w:t xml:space="preserve"> and despite equality being enshrined in the PNG National Constitution and a range of legislation,</w:t>
      </w:r>
      <w:r w:rsidRPr="00060D11">
        <w:rPr>
          <w:rStyle w:val="FootnoteReference"/>
          <w:rFonts w:asciiTheme="minorHAnsi" w:hAnsiTheme="minorHAnsi" w:cstheme="minorHAnsi"/>
          <w:lang w:val="en-GB"/>
        </w:rPr>
        <w:footnoteReference w:id="53"/>
      </w:r>
      <w:r w:rsidRPr="00060D11">
        <w:rPr>
          <w:rFonts w:asciiTheme="minorHAnsi" w:hAnsiTheme="minorHAnsi" w:cstheme="minorHAnsi"/>
          <w:color w:val="44546A" w:themeColor="text2"/>
          <w:lang w:val="en-GB"/>
        </w:rPr>
        <w:t xml:space="preserve"> gender inequality is still a major social, economic and political issue and remains prevalent in both urban and rural societies.</w:t>
      </w:r>
    </w:p>
    <w:p w14:paraId="19BE72B3" w14:textId="0B7D8B54" w:rsidR="006A7183" w:rsidRPr="00060D11" w:rsidRDefault="001F26A6" w:rsidP="00842253">
      <w:pPr>
        <w:pStyle w:val="BodyText"/>
        <w:spacing w:before="117" w:line="276" w:lineRule="auto"/>
        <w:ind w:left="0" w:right="279"/>
        <w:jc w:val="both"/>
        <w:rPr>
          <w:rFonts w:asciiTheme="minorHAnsi" w:hAnsiTheme="minorHAnsi" w:cstheme="minorHAnsi"/>
          <w:color w:val="44546A" w:themeColor="text2"/>
          <w:lang w:val="en-GB"/>
        </w:rPr>
      </w:pPr>
      <w:r w:rsidRPr="00060D11">
        <w:rPr>
          <w:rFonts w:asciiTheme="minorHAnsi" w:hAnsiTheme="minorHAnsi" w:cstheme="minorHAnsi"/>
          <w:color w:val="44546A" w:themeColor="text2"/>
          <w:lang w:val="en-GB"/>
        </w:rPr>
        <w:t xml:space="preserve">Similarly, although the seven national churches in PNG jointly agreed on a Theology of Gender Equality in April 2016, changes in the structure and functions of the church do not yet reflect shifts towards equal rights, responsibilities and opportunities for males and females.  </w:t>
      </w:r>
    </w:p>
    <w:p w14:paraId="6DC052D6" w14:textId="24DB8AB5" w:rsidR="00F12B71" w:rsidRPr="00060D11" w:rsidRDefault="001F26A6" w:rsidP="00842253">
      <w:pPr>
        <w:pStyle w:val="BodyText"/>
        <w:spacing w:after="120" w:line="276" w:lineRule="auto"/>
        <w:ind w:left="0" w:right="142"/>
        <w:rPr>
          <w:rFonts w:asciiTheme="minorHAnsi" w:hAnsiTheme="minorHAnsi" w:cstheme="minorHAnsi"/>
          <w:b/>
          <w:bCs/>
          <w:color w:val="495964"/>
          <w:lang w:val="en-GB"/>
        </w:rPr>
      </w:pPr>
      <w:r w:rsidRPr="00060D11">
        <w:rPr>
          <w:rFonts w:asciiTheme="minorHAnsi" w:hAnsiTheme="minorHAnsi" w:cstheme="minorHAnsi"/>
          <w:color w:val="44546A" w:themeColor="text2"/>
          <w:lang w:val="en-GB"/>
        </w:rPr>
        <w:t xml:space="preserve">Clearly, greater attention needs to be given to supporting efforts to implement policies and plans. Consequently, the PIE investment has attempted to integrate practical and operational approaches to closing gaps in </w:t>
      </w:r>
      <w:r w:rsidR="000566F7" w:rsidRPr="00060D11">
        <w:rPr>
          <w:rFonts w:asciiTheme="minorHAnsi" w:hAnsiTheme="minorHAnsi" w:cstheme="minorHAnsi"/>
          <w:color w:val="44546A" w:themeColor="text2"/>
          <w:lang w:val="en-GB"/>
        </w:rPr>
        <w:t>GEDSI</w:t>
      </w:r>
      <w:r w:rsidRPr="00060D11">
        <w:rPr>
          <w:rFonts w:asciiTheme="minorHAnsi" w:hAnsiTheme="minorHAnsi" w:cstheme="minorHAnsi"/>
          <w:color w:val="44546A" w:themeColor="text2"/>
          <w:lang w:val="en-GB"/>
        </w:rPr>
        <w:t xml:space="preserve"> across all aspects of the program.  </w:t>
      </w:r>
      <w:bookmarkEnd w:id="37"/>
    </w:p>
    <w:p w14:paraId="1260E8A8" w14:textId="6EE84B10" w:rsidR="00ED7256" w:rsidRPr="00060D11" w:rsidRDefault="001F26A6" w:rsidP="004E780D">
      <w:pPr>
        <w:pStyle w:val="BodyText"/>
        <w:spacing w:after="120" w:line="276" w:lineRule="auto"/>
        <w:ind w:left="0" w:right="142"/>
        <w:rPr>
          <w:rFonts w:asciiTheme="minorHAnsi" w:hAnsiTheme="minorHAnsi" w:cstheme="minorHAnsi"/>
          <w:b/>
          <w:bCs/>
          <w:color w:val="495964"/>
          <w:lang w:val="en-GB"/>
        </w:rPr>
      </w:pPr>
      <w:r w:rsidRPr="00060D11">
        <w:rPr>
          <w:rFonts w:asciiTheme="minorHAnsi" w:hAnsiTheme="minorHAnsi" w:cstheme="minorHAnsi"/>
          <w:b/>
          <w:bCs/>
          <w:color w:val="495964"/>
          <w:lang w:val="en-GB"/>
        </w:rPr>
        <w:t xml:space="preserve">Secondary Education: </w:t>
      </w:r>
      <w:r w:rsidRPr="00060D11">
        <w:rPr>
          <w:rFonts w:asciiTheme="minorHAnsi" w:hAnsiTheme="minorHAnsi" w:cstheme="minorHAnsi"/>
          <w:color w:val="495964"/>
          <w:lang w:val="en-GB"/>
        </w:rPr>
        <w:t xml:space="preserve">The provision of high quality, universal </w:t>
      </w:r>
      <w:r w:rsidR="007A77AF" w:rsidRPr="00060D11">
        <w:rPr>
          <w:rFonts w:asciiTheme="minorHAnsi" w:hAnsiTheme="minorHAnsi" w:cstheme="minorHAnsi"/>
          <w:color w:val="495964"/>
          <w:lang w:val="en-GB"/>
        </w:rPr>
        <w:t>s</w:t>
      </w:r>
      <w:r w:rsidRPr="00060D11">
        <w:rPr>
          <w:rFonts w:asciiTheme="minorHAnsi" w:hAnsiTheme="minorHAnsi" w:cstheme="minorHAnsi"/>
          <w:color w:val="495964"/>
          <w:lang w:val="en-GB"/>
        </w:rPr>
        <w:t>econdary education across PNG remains a high priority for the GoPNG and Australia.</w:t>
      </w:r>
      <w:r w:rsidRPr="00060D11">
        <w:rPr>
          <w:rFonts w:asciiTheme="minorHAnsi" w:eastAsiaTheme="minorHAnsi" w:hAnsiTheme="minorHAnsi" w:cstheme="minorHAnsi"/>
          <w:color w:val="495964"/>
          <w:sz w:val="16"/>
          <w:szCs w:val="16"/>
          <w:lang w:val="en-GB"/>
        </w:rPr>
        <w:t xml:space="preserve">  </w:t>
      </w:r>
      <w:r w:rsidRPr="00060D11">
        <w:rPr>
          <w:rFonts w:asciiTheme="minorHAnsi" w:hAnsiTheme="minorHAnsi" w:cstheme="minorHAnsi"/>
          <w:color w:val="495964"/>
          <w:lang w:val="en-GB"/>
        </w:rPr>
        <w:t xml:space="preserve">NER rates remain low for </w:t>
      </w:r>
      <w:r w:rsidR="007A77AF" w:rsidRPr="00060D11">
        <w:rPr>
          <w:rFonts w:asciiTheme="minorHAnsi" w:hAnsiTheme="minorHAnsi" w:cstheme="minorHAnsi"/>
          <w:color w:val="495964"/>
          <w:lang w:val="en-GB"/>
        </w:rPr>
        <w:t>s</w:t>
      </w:r>
      <w:r w:rsidRPr="00060D11">
        <w:rPr>
          <w:rFonts w:asciiTheme="minorHAnsi" w:hAnsiTheme="minorHAnsi" w:cstheme="minorHAnsi"/>
          <w:color w:val="495964"/>
          <w:lang w:val="en-GB"/>
        </w:rPr>
        <w:t>econdary at 18%. GPI remains low at less than 0.8 even though girls perform as well as boys as they reach the upper grades</w:t>
      </w:r>
      <w:r w:rsidRPr="00060D11">
        <w:rPr>
          <w:rStyle w:val="FootnoteReference"/>
          <w:rFonts w:asciiTheme="minorHAnsi" w:hAnsiTheme="minorHAnsi" w:cstheme="minorHAnsi"/>
          <w:color w:val="495964"/>
          <w:lang w:val="en-GB"/>
        </w:rPr>
        <w:footnoteReference w:id="54"/>
      </w:r>
      <w:r w:rsidRPr="00060D11">
        <w:rPr>
          <w:rFonts w:asciiTheme="minorHAnsi" w:hAnsiTheme="minorHAnsi" w:cstheme="minorHAnsi"/>
          <w:color w:val="495964"/>
          <w:lang w:val="en-GB"/>
        </w:rPr>
        <w:t xml:space="preserve">. The most significant constraints relate to insufficient school infrastructure, qualified teachers especially in </w:t>
      </w:r>
      <w:r w:rsidR="00B860FF" w:rsidRPr="00060D11">
        <w:rPr>
          <w:rFonts w:asciiTheme="minorHAnsi" w:hAnsiTheme="minorHAnsi" w:cstheme="minorHAnsi"/>
          <w:color w:val="495964"/>
          <w:lang w:val="en-GB"/>
        </w:rPr>
        <w:t>mathematics</w:t>
      </w:r>
      <w:r w:rsidRPr="00060D11">
        <w:rPr>
          <w:rFonts w:asciiTheme="minorHAnsi" w:hAnsiTheme="minorHAnsi" w:cstheme="minorHAnsi"/>
          <w:color w:val="495964"/>
          <w:lang w:val="en-GB"/>
        </w:rPr>
        <w:t xml:space="preserve"> and science and </w:t>
      </w:r>
      <w:r w:rsidR="00232121" w:rsidRPr="00060D11">
        <w:rPr>
          <w:rFonts w:asciiTheme="minorHAnsi" w:hAnsiTheme="minorHAnsi" w:cstheme="minorHAnsi"/>
          <w:color w:val="495964"/>
          <w:lang w:val="en-GB"/>
        </w:rPr>
        <w:t xml:space="preserve">a lack of resources. </w:t>
      </w:r>
      <w:r w:rsidRPr="00060D11">
        <w:rPr>
          <w:rFonts w:asciiTheme="minorHAnsi" w:hAnsiTheme="minorHAnsi" w:cstheme="minorHAnsi"/>
          <w:color w:val="495964"/>
          <w:lang w:val="en-GB"/>
        </w:rPr>
        <w:t xml:space="preserve"> </w:t>
      </w:r>
    </w:p>
    <w:p w14:paraId="167DF843" w14:textId="7C82FE8E" w:rsidR="001F26A6" w:rsidRPr="00060D11" w:rsidRDefault="008439E5" w:rsidP="004E780D">
      <w:pPr>
        <w:pStyle w:val="BodyText"/>
        <w:spacing w:after="120" w:line="276" w:lineRule="auto"/>
        <w:ind w:left="0" w:right="141"/>
        <w:rPr>
          <w:rFonts w:asciiTheme="minorHAnsi" w:hAnsiTheme="minorHAnsi" w:cstheme="minorHAnsi"/>
          <w:b/>
          <w:bCs/>
          <w:color w:val="495964"/>
          <w:lang w:val="en-GB"/>
        </w:rPr>
      </w:pPr>
      <w:r w:rsidRPr="00060D11">
        <w:rPr>
          <w:rFonts w:asciiTheme="minorHAnsi" w:hAnsiTheme="minorHAnsi" w:cstheme="minorHAnsi"/>
          <w:color w:val="495964"/>
          <w:lang w:val="en-GB"/>
        </w:rPr>
        <w:t>PNGAusPartnership Secondary School</w:t>
      </w:r>
      <w:r w:rsidRPr="00060D11" w:rsidDel="00862589">
        <w:rPr>
          <w:rFonts w:asciiTheme="minorHAnsi" w:hAnsiTheme="minorHAnsi" w:cstheme="minorHAnsi"/>
          <w:color w:val="495964"/>
          <w:lang w:val="en-GB"/>
        </w:rPr>
        <w:t xml:space="preserve"> </w:t>
      </w:r>
      <w:r w:rsidRPr="00060D11">
        <w:rPr>
          <w:rFonts w:asciiTheme="minorHAnsi" w:hAnsiTheme="minorHAnsi" w:cstheme="minorHAnsi"/>
          <w:color w:val="495964"/>
          <w:lang w:val="en-GB"/>
        </w:rPr>
        <w:t>(</w:t>
      </w:r>
      <w:r w:rsidR="001F26A6" w:rsidRPr="00060D11">
        <w:rPr>
          <w:rFonts w:asciiTheme="minorHAnsi" w:hAnsiTheme="minorHAnsi" w:cstheme="minorHAnsi"/>
          <w:color w:val="495964"/>
          <w:lang w:val="en-GB"/>
        </w:rPr>
        <w:t>PASS</w:t>
      </w:r>
      <w:r w:rsidRPr="00060D11">
        <w:rPr>
          <w:rFonts w:asciiTheme="minorHAnsi" w:hAnsiTheme="minorHAnsi" w:cstheme="minorHAnsi"/>
          <w:color w:val="495964"/>
          <w:lang w:val="en-GB"/>
        </w:rPr>
        <w:t>)</w:t>
      </w:r>
      <w:r w:rsidR="001F26A6" w:rsidRPr="00060D11">
        <w:rPr>
          <w:rFonts w:asciiTheme="minorHAnsi" w:hAnsiTheme="minorHAnsi" w:cstheme="minorHAnsi"/>
          <w:color w:val="495964"/>
          <w:lang w:val="en-GB"/>
        </w:rPr>
        <w:t xml:space="preserve"> initiative was implemented from 2019 to 2021 with the aim of improving secondary school capabilities and leadership skills including people to people links between Australia and PNG. Over time, PIE will expand to include a pillar that supports PNG’s ambition outlined in the NEP to expand universal education to 13 years with an emphasis on girls</w:t>
      </w:r>
      <w:r w:rsidR="007A77AF" w:rsidRPr="00060D11">
        <w:rPr>
          <w:rFonts w:asciiTheme="minorHAnsi" w:hAnsiTheme="minorHAnsi" w:cstheme="minorHAnsi"/>
          <w:color w:val="495964"/>
          <w:lang w:val="en-GB"/>
        </w:rPr>
        <w:t>’</w:t>
      </w:r>
      <w:r w:rsidR="001F26A6" w:rsidRPr="00060D11">
        <w:rPr>
          <w:rFonts w:asciiTheme="minorHAnsi" w:hAnsiTheme="minorHAnsi" w:cstheme="minorHAnsi"/>
          <w:color w:val="495964"/>
          <w:lang w:val="en-GB"/>
        </w:rPr>
        <w:t xml:space="preserve"> access. This pillar will also build on the experience of the PASS initiative including recommendations from the PASS Review Report drafted in 2021 that highlighted the need to move towards a model that supports a longer-term, </w:t>
      </w:r>
      <w:r w:rsidR="005327F8" w:rsidRPr="00060D11">
        <w:rPr>
          <w:rFonts w:asciiTheme="minorHAnsi" w:hAnsiTheme="minorHAnsi" w:cstheme="minorHAnsi"/>
          <w:color w:val="495964"/>
          <w:lang w:val="en-GB"/>
        </w:rPr>
        <w:t>systems-based</w:t>
      </w:r>
      <w:r w:rsidR="001F26A6" w:rsidRPr="00060D11">
        <w:rPr>
          <w:rFonts w:asciiTheme="minorHAnsi" w:hAnsiTheme="minorHAnsi" w:cstheme="minorHAnsi"/>
          <w:color w:val="495964"/>
          <w:lang w:val="en-GB"/>
        </w:rPr>
        <w:t xml:space="preserve"> approach, in which lessons from implementation inform policy and systems reform.</w:t>
      </w:r>
    </w:p>
    <w:p w14:paraId="79A9D8CF" w14:textId="62DB63AF" w:rsidR="001F26A6" w:rsidRPr="00060D11" w:rsidRDefault="001F26A6" w:rsidP="004E780D">
      <w:pPr>
        <w:pStyle w:val="BodyText"/>
        <w:spacing w:before="117" w:after="120" w:line="276" w:lineRule="auto"/>
        <w:ind w:left="0" w:right="279"/>
        <w:jc w:val="both"/>
        <w:rPr>
          <w:rFonts w:asciiTheme="minorHAnsi" w:hAnsiTheme="minorHAnsi" w:cstheme="minorHAnsi"/>
          <w:color w:val="44546A" w:themeColor="text2"/>
          <w:lang w:val="en-GB"/>
        </w:rPr>
      </w:pPr>
      <w:r w:rsidRPr="00060D11">
        <w:rPr>
          <w:rFonts w:asciiTheme="minorHAnsi" w:hAnsiTheme="minorHAnsi" w:cstheme="minorHAnsi"/>
          <w:b/>
          <w:bCs/>
          <w:color w:val="44546A" w:themeColor="text2"/>
          <w:lang w:val="en-GB"/>
        </w:rPr>
        <w:t>Other DFAT Investments:</w:t>
      </w:r>
      <w:r w:rsidRPr="00060D11">
        <w:rPr>
          <w:rFonts w:asciiTheme="minorHAnsi" w:hAnsiTheme="minorHAnsi" w:cstheme="minorHAnsi"/>
          <w:color w:val="44546A" w:themeColor="text2"/>
          <w:lang w:val="en-GB"/>
        </w:rPr>
        <w:t xml:space="preserve"> Australia remains PNG’s largest development partner and the most significant contributor to the education sector, with support ranging from elementary school level through to tertiary level support. In addition to PASS, several other DFAT funded programs contribute directly or indirectly to PIE’s education outcomes. Some of these are coming to a close, providing valuable lessons learned while others are new and may provide opportunities for synergies in the future. This includes:</w:t>
      </w:r>
    </w:p>
    <w:p w14:paraId="03EF7F6E" w14:textId="52F5EFDF" w:rsidR="001F26A6" w:rsidRPr="00060D11" w:rsidRDefault="00406A49" w:rsidP="00A15506">
      <w:pPr>
        <w:pStyle w:val="BodyText"/>
        <w:numPr>
          <w:ilvl w:val="0"/>
          <w:numId w:val="55"/>
        </w:numPr>
        <w:spacing w:before="117" w:line="276" w:lineRule="auto"/>
        <w:ind w:right="279"/>
        <w:jc w:val="both"/>
        <w:rPr>
          <w:rFonts w:asciiTheme="minorHAnsi" w:hAnsiTheme="minorHAnsi" w:cstheme="minorHAnsi"/>
          <w:color w:val="44546A" w:themeColor="text2"/>
          <w:lang w:val="en-GB"/>
        </w:rPr>
      </w:pPr>
      <w:r w:rsidRPr="00060D11">
        <w:rPr>
          <w:rFonts w:asciiTheme="minorHAnsi" w:hAnsiTheme="minorHAnsi" w:cstheme="minorHAnsi"/>
          <w:color w:val="44546A" w:themeColor="text2"/>
          <w:lang w:val="en-GB"/>
        </w:rPr>
        <w:t>t</w:t>
      </w:r>
      <w:r w:rsidR="001F26A6" w:rsidRPr="00060D11">
        <w:rPr>
          <w:rFonts w:asciiTheme="minorHAnsi" w:hAnsiTheme="minorHAnsi" w:cstheme="minorHAnsi"/>
          <w:color w:val="44546A" w:themeColor="text2"/>
          <w:lang w:val="en-GB"/>
        </w:rPr>
        <w:t xml:space="preserve">he </w:t>
      </w:r>
      <w:r w:rsidR="005E085E" w:rsidRPr="00060D11">
        <w:rPr>
          <w:rFonts w:asciiTheme="minorHAnsi" w:hAnsiTheme="minorHAnsi" w:cstheme="minorHAnsi"/>
          <w:color w:val="44546A" w:themeColor="text2"/>
          <w:lang w:val="en-GB"/>
        </w:rPr>
        <w:t>PPF</w:t>
      </w:r>
      <w:r w:rsidR="001F26A6" w:rsidRPr="00060D11">
        <w:rPr>
          <w:rFonts w:asciiTheme="minorHAnsi" w:hAnsiTheme="minorHAnsi" w:cstheme="minorHAnsi"/>
          <w:color w:val="44546A" w:themeColor="text2"/>
          <w:lang w:val="en-GB"/>
        </w:rPr>
        <w:t xml:space="preserve"> (2017 to </w:t>
      </w:r>
      <w:r w:rsidR="003F0061" w:rsidRPr="00060D11">
        <w:rPr>
          <w:rFonts w:asciiTheme="minorHAnsi" w:hAnsiTheme="minorHAnsi" w:cstheme="minorHAnsi"/>
          <w:color w:val="44546A" w:themeColor="text2"/>
          <w:lang w:val="en-GB"/>
        </w:rPr>
        <w:t>202</w:t>
      </w:r>
      <w:r w:rsidR="003F0061">
        <w:rPr>
          <w:rFonts w:asciiTheme="minorHAnsi" w:hAnsiTheme="minorHAnsi" w:cstheme="minorHAnsi"/>
          <w:color w:val="44546A" w:themeColor="text2"/>
          <w:lang w:val="en-GB"/>
        </w:rPr>
        <w:t>2</w:t>
      </w:r>
      <w:r w:rsidR="001F26A6" w:rsidRPr="00060D11">
        <w:rPr>
          <w:rFonts w:asciiTheme="minorHAnsi" w:hAnsiTheme="minorHAnsi" w:cstheme="minorHAnsi"/>
          <w:color w:val="44546A" w:themeColor="text2"/>
          <w:lang w:val="en-GB"/>
        </w:rPr>
        <w:t>) provided a total of AUD</w:t>
      </w:r>
      <w:r w:rsidRPr="00060D11">
        <w:rPr>
          <w:rFonts w:asciiTheme="minorHAnsi" w:hAnsiTheme="minorHAnsi" w:cstheme="minorHAnsi"/>
          <w:color w:val="44546A" w:themeColor="text2"/>
          <w:lang w:val="en-GB"/>
        </w:rPr>
        <w:t xml:space="preserve"> </w:t>
      </w:r>
      <w:r w:rsidR="00EE4A6F">
        <w:rPr>
          <w:rFonts w:asciiTheme="minorHAnsi" w:hAnsiTheme="minorHAnsi" w:cstheme="minorHAnsi"/>
          <w:color w:val="44546A" w:themeColor="text2"/>
          <w:lang w:val="en-GB"/>
        </w:rPr>
        <w:t>63</w:t>
      </w:r>
      <w:r w:rsidR="001F26A6" w:rsidRPr="00060D11">
        <w:rPr>
          <w:rFonts w:asciiTheme="minorHAnsi" w:hAnsiTheme="minorHAnsi" w:cstheme="minorHAnsi"/>
          <w:color w:val="44546A" w:themeColor="text2"/>
          <w:lang w:val="en-GB"/>
        </w:rPr>
        <w:t xml:space="preserve"> million in Education Grants to three </w:t>
      </w:r>
      <w:r w:rsidR="00052FC0" w:rsidRPr="00060D11">
        <w:rPr>
          <w:rFonts w:asciiTheme="minorHAnsi" w:hAnsiTheme="minorHAnsi" w:cstheme="minorHAnsi"/>
          <w:color w:val="44546A" w:themeColor="text2"/>
          <w:lang w:val="en-GB"/>
        </w:rPr>
        <w:t>Non-Government Organisation (</w:t>
      </w:r>
      <w:r w:rsidR="001F26A6" w:rsidRPr="00060D11">
        <w:rPr>
          <w:rFonts w:asciiTheme="minorHAnsi" w:hAnsiTheme="minorHAnsi" w:cstheme="minorHAnsi"/>
          <w:color w:val="44546A" w:themeColor="text2"/>
          <w:lang w:val="en-GB"/>
        </w:rPr>
        <w:t>NGO</w:t>
      </w:r>
      <w:r w:rsidR="00052FC0" w:rsidRPr="00060D11">
        <w:rPr>
          <w:rFonts w:asciiTheme="minorHAnsi" w:hAnsiTheme="minorHAnsi" w:cstheme="minorHAnsi"/>
          <w:color w:val="44546A" w:themeColor="text2"/>
          <w:lang w:val="en-GB"/>
        </w:rPr>
        <w:t>)</w:t>
      </w:r>
      <w:r w:rsidR="001F26A6" w:rsidRPr="00060D11">
        <w:rPr>
          <w:rFonts w:asciiTheme="minorHAnsi" w:hAnsiTheme="minorHAnsi" w:cstheme="minorHAnsi"/>
          <w:color w:val="44546A" w:themeColor="text2"/>
          <w:lang w:val="en-GB"/>
        </w:rPr>
        <w:t xml:space="preserve"> Consortia lead by Care Australia (CARE), Save the Children Fund (RISE)</w:t>
      </w:r>
      <w:r w:rsidRPr="00060D11">
        <w:rPr>
          <w:rFonts w:asciiTheme="minorHAnsi" w:hAnsiTheme="minorHAnsi" w:cstheme="minorHAnsi"/>
          <w:color w:val="44546A" w:themeColor="text2"/>
          <w:lang w:val="en-GB"/>
        </w:rPr>
        <w:t xml:space="preserve"> </w:t>
      </w:r>
      <w:r w:rsidR="001F26A6" w:rsidRPr="00060D11">
        <w:rPr>
          <w:rFonts w:asciiTheme="minorHAnsi" w:hAnsiTheme="minorHAnsi" w:cstheme="minorHAnsi"/>
          <w:color w:val="44546A" w:themeColor="text2"/>
          <w:lang w:val="en-GB"/>
        </w:rPr>
        <w:t xml:space="preserve">and World Vision (T4E) to improve early grade literacy and numeracy </w:t>
      </w:r>
    </w:p>
    <w:p w14:paraId="3602A1AF" w14:textId="5D1BC953" w:rsidR="00D64C49" w:rsidRPr="00060D11" w:rsidRDefault="00D64C49" w:rsidP="00A15506">
      <w:pPr>
        <w:pStyle w:val="BodyText"/>
        <w:numPr>
          <w:ilvl w:val="0"/>
          <w:numId w:val="55"/>
        </w:numPr>
        <w:spacing w:before="117" w:line="276" w:lineRule="auto"/>
        <w:ind w:right="279"/>
        <w:jc w:val="both"/>
        <w:rPr>
          <w:rFonts w:asciiTheme="minorHAnsi" w:hAnsiTheme="minorHAnsi" w:cstheme="minorHAnsi"/>
          <w:color w:val="44546A" w:themeColor="text2"/>
          <w:lang w:val="en-GB"/>
        </w:rPr>
      </w:pPr>
      <w:r w:rsidRPr="00060D11">
        <w:rPr>
          <w:rFonts w:asciiTheme="minorHAnsi" w:hAnsiTheme="minorHAnsi" w:cstheme="minorHAnsi"/>
          <w:color w:val="44546A" w:themeColor="text2"/>
          <w:lang w:val="en-GB"/>
        </w:rPr>
        <w:t>Education Support Services</w:t>
      </w:r>
      <w:r w:rsidR="009A2C1C" w:rsidRPr="00060D11">
        <w:rPr>
          <w:rFonts w:asciiTheme="minorHAnsi" w:hAnsiTheme="minorHAnsi" w:cstheme="minorHAnsi"/>
          <w:color w:val="44546A" w:themeColor="text2"/>
          <w:lang w:val="en-GB"/>
        </w:rPr>
        <w:t xml:space="preserve"> (ESS) </w:t>
      </w:r>
      <w:r w:rsidR="003F0061">
        <w:rPr>
          <w:rFonts w:asciiTheme="minorHAnsi" w:hAnsiTheme="minorHAnsi" w:cstheme="minorHAnsi"/>
          <w:color w:val="44546A" w:themeColor="text2"/>
          <w:lang w:val="en-GB"/>
        </w:rPr>
        <w:t xml:space="preserve">provides </w:t>
      </w:r>
      <w:r w:rsidR="009A2C1C" w:rsidRPr="00060D11">
        <w:rPr>
          <w:rFonts w:asciiTheme="minorHAnsi" w:hAnsiTheme="minorHAnsi" w:cstheme="minorHAnsi"/>
          <w:color w:val="44546A" w:themeColor="text2"/>
          <w:lang w:val="en-GB"/>
        </w:rPr>
        <w:t>technical advice and capacity development support to NDoE and DHERST</w:t>
      </w:r>
      <w:r w:rsidR="00AC6481" w:rsidRPr="00060D11">
        <w:rPr>
          <w:rFonts w:asciiTheme="minorHAnsi" w:hAnsiTheme="minorHAnsi" w:cstheme="minorHAnsi"/>
          <w:color w:val="44546A" w:themeColor="text2"/>
          <w:lang w:val="en-GB"/>
        </w:rPr>
        <w:t xml:space="preserve"> </w:t>
      </w:r>
      <w:r w:rsidR="007C2C57" w:rsidRPr="00060D11">
        <w:rPr>
          <w:rFonts w:asciiTheme="minorHAnsi" w:hAnsiTheme="minorHAnsi" w:cstheme="minorHAnsi"/>
          <w:color w:val="44546A" w:themeColor="text2"/>
          <w:lang w:val="en-GB"/>
        </w:rPr>
        <w:t>(</w:t>
      </w:r>
      <w:r w:rsidR="00865EC9" w:rsidRPr="00060D11">
        <w:rPr>
          <w:rFonts w:asciiTheme="minorHAnsi" w:hAnsiTheme="minorHAnsi" w:cstheme="minorHAnsi"/>
          <w:color w:val="44546A" w:themeColor="text2"/>
          <w:lang w:val="en-GB"/>
        </w:rPr>
        <w:t xml:space="preserve">October </w:t>
      </w:r>
      <w:r w:rsidR="006273BF" w:rsidRPr="00060D11">
        <w:rPr>
          <w:rFonts w:asciiTheme="minorHAnsi" w:hAnsiTheme="minorHAnsi" w:cstheme="minorHAnsi"/>
          <w:color w:val="44546A" w:themeColor="text2"/>
          <w:lang w:val="en-GB"/>
        </w:rPr>
        <w:t>2020</w:t>
      </w:r>
      <w:r w:rsidR="00865EC9" w:rsidRPr="00060D11">
        <w:rPr>
          <w:rFonts w:asciiTheme="minorHAnsi" w:hAnsiTheme="minorHAnsi" w:cstheme="minorHAnsi"/>
          <w:color w:val="44546A" w:themeColor="text2"/>
          <w:lang w:val="en-GB"/>
        </w:rPr>
        <w:t xml:space="preserve"> to </w:t>
      </w:r>
      <w:r w:rsidR="00AB3B05" w:rsidRPr="00060D11">
        <w:rPr>
          <w:rFonts w:asciiTheme="minorHAnsi" w:hAnsiTheme="minorHAnsi" w:cstheme="minorHAnsi"/>
          <w:color w:val="44546A" w:themeColor="text2"/>
          <w:lang w:val="en-GB"/>
        </w:rPr>
        <w:t>June 2022</w:t>
      </w:r>
      <w:proofErr w:type="gramStart"/>
      <w:r w:rsidR="00AB3B05" w:rsidRPr="00060D11">
        <w:rPr>
          <w:rFonts w:asciiTheme="minorHAnsi" w:hAnsiTheme="minorHAnsi" w:cstheme="minorHAnsi"/>
          <w:color w:val="44546A" w:themeColor="text2"/>
          <w:lang w:val="en-GB"/>
        </w:rPr>
        <w:t>);</w:t>
      </w:r>
      <w:proofErr w:type="gramEnd"/>
    </w:p>
    <w:p w14:paraId="15F846C0" w14:textId="0E0761CD" w:rsidR="001F26A6" w:rsidRPr="00060D11" w:rsidRDefault="001F26A6" w:rsidP="00A15506">
      <w:pPr>
        <w:pStyle w:val="BodyText"/>
        <w:numPr>
          <w:ilvl w:val="0"/>
          <w:numId w:val="55"/>
        </w:numPr>
        <w:spacing w:before="117" w:line="276" w:lineRule="auto"/>
        <w:ind w:right="279"/>
        <w:jc w:val="both"/>
        <w:rPr>
          <w:rFonts w:asciiTheme="minorHAnsi" w:hAnsiTheme="minorHAnsi" w:cstheme="minorHAnsi"/>
          <w:color w:val="44546A" w:themeColor="text2"/>
          <w:lang w:val="en-GB"/>
        </w:rPr>
      </w:pPr>
      <w:r w:rsidRPr="00060D11">
        <w:rPr>
          <w:rFonts w:asciiTheme="minorHAnsi" w:hAnsiTheme="minorHAnsi" w:cstheme="minorHAnsi"/>
          <w:color w:val="44546A" w:themeColor="text2"/>
          <w:lang w:val="en-GB"/>
        </w:rPr>
        <w:t xml:space="preserve">Australia Awards through the provision of scholarships for teacher training </w:t>
      </w:r>
      <w:r w:rsidR="003F0061">
        <w:rPr>
          <w:rFonts w:asciiTheme="minorHAnsi" w:hAnsiTheme="minorHAnsi" w:cstheme="minorHAnsi"/>
          <w:color w:val="44546A" w:themeColor="text2"/>
          <w:lang w:val="en-GB"/>
        </w:rPr>
        <w:t xml:space="preserve">in PNG and in </w:t>
      </w:r>
      <w:proofErr w:type="gramStart"/>
      <w:r w:rsidR="003F0061">
        <w:rPr>
          <w:rFonts w:asciiTheme="minorHAnsi" w:hAnsiTheme="minorHAnsi" w:cstheme="minorHAnsi"/>
          <w:color w:val="44546A" w:themeColor="text2"/>
          <w:lang w:val="en-GB"/>
        </w:rPr>
        <w:t xml:space="preserve">Australia </w:t>
      </w:r>
      <w:r w:rsidRPr="00060D11">
        <w:rPr>
          <w:rFonts w:asciiTheme="minorHAnsi" w:hAnsiTheme="minorHAnsi" w:cstheme="minorHAnsi"/>
          <w:color w:val="44546A" w:themeColor="text2"/>
          <w:lang w:val="en-GB"/>
        </w:rPr>
        <w:t xml:space="preserve"> and</w:t>
      </w:r>
      <w:proofErr w:type="gramEnd"/>
      <w:r w:rsidRPr="00060D11">
        <w:rPr>
          <w:rFonts w:asciiTheme="minorHAnsi" w:hAnsiTheme="minorHAnsi" w:cstheme="minorHAnsi"/>
          <w:color w:val="44546A" w:themeColor="text2"/>
          <w:lang w:val="en-GB"/>
        </w:rPr>
        <w:t xml:space="preserve"> other education related fields (on-going); </w:t>
      </w:r>
    </w:p>
    <w:p w14:paraId="70BEF888" w14:textId="4C3FB77C" w:rsidR="001F26A6" w:rsidRPr="00060D11" w:rsidRDefault="00406A49" w:rsidP="00A15506">
      <w:pPr>
        <w:pStyle w:val="BodyText"/>
        <w:numPr>
          <w:ilvl w:val="0"/>
          <w:numId w:val="55"/>
        </w:numPr>
        <w:spacing w:before="117" w:line="276" w:lineRule="auto"/>
        <w:ind w:right="279"/>
        <w:jc w:val="both"/>
        <w:rPr>
          <w:rFonts w:asciiTheme="minorHAnsi" w:hAnsiTheme="minorHAnsi" w:cstheme="minorHAnsi"/>
          <w:color w:val="44546A" w:themeColor="text2"/>
          <w:lang w:val="en-GB"/>
        </w:rPr>
      </w:pPr>
      <w:r w:rsidRPr="00060D11">
        <w:rPr>
          <w:rFonts w:asciiTheme="minorHAnsi" w:hAnsiTheme="minorHAnsi" w:cstheme="minorHAnsi"/>
          <w:color w:val="44546A" w:themeColor="text2"/>
          <w:lang w:val="en-GB"/>
        </w:rPr>
        <w:t>t</w:t>
      </w:r>
      <w:r w:rsidR="001F26A6" w:rsidRPr="00060D11">
        <w:rPr>
          <w:rFonts w:asciiTheme="minorHAnsi" w:hAnsiTheme="minorHAnsi" w:cstheme="minorHAnsi"/>
          <w:color w:val="44546A" w:themeColor="text2"/>
          <w:lang w:val="en-GB"/>
        </w:rPr>
        <w:t>he Incentive Fund with a high percentage of grants focused on community-based social infrastructure including school construction (ongoing</w:t>
      </w:r>
      <w:proofErr w:type="gramStart"/>
      <w:r w:rsidR="001F26A6" w:rsidRPr="00060D11">
        <w:rPr>
          <w:rFonts w:asciiTheme="minorHAnsi" w:hAnsiTheme="minorHAnsi" w:cstheme="minorHAnsi"/>
          <w:color w:val="44546A" w:themeColor="text2"/>
          <w:lang w:val="en-GB"/>
        </w:rPr>
        <w:t>);</w:t>
      </w:r>
      <w:proofErr w:type="gramEnd"/>
      <w:r w:rsidR="001F26A6" w:rsidRPr="00060D11">
        <w:rPr>
          <w:rFonts w:asciiTheme="minorHAnsi" w:hAnsiTheme="minorHAnsi" w:cstheme="minorHAnsi"/>
          <w:color w:val="44546A" w:themeColor="text2"/>
          <w:lang w:val="en-GB"/>
        </w:rPr>
        <w:t xml:space="preserve"> </w:t>
      </w:r>
    </w:p>
    <w:p w14:paraId="4185BB40" w14:textId="77777777" w:rsidR="003F0061" w:rsidRDefault="00406A49" w:rsidP="00A15506">
      <w:pPr>
        <w:pStyle w:val="BodyText"/>
        <w:numPr>
          <w:ilvl w:val="0"/>
          <w:numId w:val="55"/>
        </w:numPr>
        <w:spacing w:before="117" w:line="276" w:lineRule="auto"/>
        <w:ind w:right="279"/>
        <w:jc w:val="both"/>
        <w:rPr>
          <w:rFonts w:asciiTheme="minorHAnsi" w:hAnsiTheme="minorHAnsi" w:cstheme="minorHAnsi"/>
          <w:color w:val="44546A" w:themeColor="text2"/>
          <w:lang w:val="en-GB"/>
        </w:rPr>
      </w:pPr>
      <w:r w:rsidRPr="00060D11">
        <w:rPr>
          <w:rFonts w:asciiTheme="minorHAnsi" w:hAnsiTheme="minorHAnsi" w:cstheme="minorHAnsi"/>
          <w:color w:val="44546A" w:themeColor="text2"/>
          <w:lang w:val="en-GB"/>
        </w:rPr>
        <w:t>t</w:t>
      </w:r>
      <w:r w:rsidR="001F26A6" w:rsidRPr="00060D11">
        <w:rPr>
          <w:rFonts w:asciiTheme="minorHAnsi" w:hAnsiTheme="minorHAnsi" w:cstheme="minorHAnsi"/>
          <w:color w:val="44546A" w:themeColor="text2"/>
          <w:lang w:val="en-GB"/>
        </w:rPr>
        <w:t>he Pacific Secondary Scholarship program (currently paused</w:t>
      </w:r>
      <w:proofErr w:type="gramStart"/>
      <w:r w:rsidR="001F26A6" w:rsidRPr="00060D11">
        <w:rPr>
          <w:rFonts w:asciiTheme="minorHAnsi" w:hAnsiTheme="minorHAnsi" w:cstheme="minorHAnsi"/>
          <w:color w:val="44546A" w:themeColor="text2"/>
          <w:lang w:val="en-GB"/>
        </w:rPr>
        <w:t>);</w:t>
      </w:r>
      <w:proofErr w:type="gramEnd"/>
    </w:p>
    <w:p w14:paraId="69516FDE" w14:textId="338727AF" w:rsidR="001F26A6" w:rsidRPr="00060D11" w:rsidRDefault="002262CC" w:rsidP="00A15506">
      <w:pPr>
        <w:pStyle w:val="BodyText"/>
        <w:numPr>
          <w:ilvl w:val="0"/>
          <w:numId w:val="55"/>
        </w:numPr>
        <w:spacing w:before="117" w:line="276" w:lineRule="auto"/>
        <w:ind w:right="279"/>
        <w:jc w:val="both"/>
        <w:rPr>
          <w:rFonts w:asciiTheme="minorHAnsi" w:hAnsiTheme="minorHAnsi" w:cstheme="minorHAnsi"/>
          <w:color w:val="44546A" w:themeColor="text2"/>
          <w:lang w:val="en-GB"/>
        </w:rPr>
      </w:pPr>
      <w:r>
        <w:rPr>
          <w:rFonts w:asciiTheme="minorHAnsi" w:hAnsiTheme="minorHAnsi" w:cstheme="minorHAnsi"/>
          <w:color w:val="44546A" w:themeColor="text2"/>
          <w:lang w:val="en-GB"/>
        </w:rPr>
        <w:t xml:space="preserve">the </w:t>
      </w:r>
      <w:proofErr w:type="spellStart"/>
      <w:r>
        <w:rPr>
          <w:rFonts w:asciiTheme="minorHAnsi" w:hAnsiTheme="minorHAnsi" w:cstheme="minorHAnsi"/>
          <w:color w:val="44546A" w:themeColor="text2"/>
          <w:lang w:val="en-GB"/>
        </w:rPr>
        <w:t>PNGAus</w:t>
      </w:r>
      <w:proofErr w:type="spellEnd"/>
      <w:r>
        <w:rPr>
          <w:rFonts w:asciiTheme="minorHAnsi" w:hAnsiTheme="minorHAnsi" w:cstheme="minorHAnsi"/>
          <w:color w:val="44546A" w:themeColor="text2"/>
          <w:lang w:val="en-GB"/>
        </w:rPr>
        <w:t xml:space="preserve"> Partnership Secondary Schools initiative (2019-2023) focusing on education leadership and STEM, and </w:t>
      </w:r>
      <w:r w:rsidR="001F26A6" w:rsidRPr="00060D11">
        <w:rPr>
          <w:rFonts w:asciiTheme="minorHAnsi" w:hAnsiTheme="minorHAnsi" w:cstheme="minorHAnsi"/>
          <w:color w:val="44546A" w:themeColor="text2"/>
          <w:lang w:val="en-GB"/>
        </w:rPr>
        <w:t xml:space="preserve"> </w:t>
      </w:r>
    </w:p>
    <w:p w14:paraId="743D783A" w14:textId="06AD116D" w:rsidR="001F26A6" w:rsidRPr="00060D11" w:rsidRDefault="001F26A6" w:rsidP="00A15506">
      <w:pPr>
        <w:pStyle w:val="BodyText"/>
        <w:numPr>
          <w:ilvl w:val="0"/>
          <w:numId w:val="55"/>
        </w:numPr>
        <w:spacing w:before="117" w:line="276" w:lineRule="auto"/>
        <w:ind w:right="279"/>
        <w:jc w:val="both"/>
        <w:rPr>
          <w:rFonts w:asciiTheme="minorHAnsi" w:hAnsiTheme="minorHAnsi" w:cstheme="minorHAnsi"/>
          <w:color w:val="44546A" w:themeColor="text2"/>
          <w:lang w:val="en-GB"/>
        </w:rPr>
      </w:pPr>
      <w:r w:rsidRPr="00060D11">
        <w:rPr>
          <w:rFonts w:asciiTheme="minorHAnsi" w:hAnsiTheme="minorHAnsi" w:cstheme="minorHAnsi"/>
          <w:color w:val="44546A" w:themeColor="text2"/>
          <w:lang w:val="en-GB"/>
        </w:rPr>
        <w:t>a new Child Nutrition and Social Protection Program (</w:t>
      </w:r>
      <w:r w:rsidR="00490714" w:rsidRPr="00060D11">
        <w:rPr>
          <w:rFonts w:asciiTheme="minorHAnsi" w:hAnsiTheme="minorHAnsi" w:cstheme="minorHAnsi"/>
          <w:color w:val="44546A" w:themeColor="text2"/>
          <w:lang w:val="en-GB"/>
        </w:rPr>
        <w:t>trialling</w:t>
      </w:r>
      <w:r w:rsidRPr="00060D11">
        <w:rPr>
          <w:rFonts w:asciiTheme="minorHAnsi" w:hAnsiTheme="minorHAnsi" w:cstheme="minorHAnsi"/>
          <w:color w:val="44546A" w:themeColor="text2"/>
          <w:lang w:val="en-GB"/>
        </w:rPr>
        <w:t xml:space="preserve"> cash transfers) to target malnutrition and stunting (to be implemented by the World Bank)</w:t>
      </w:r>
      <w:r w:rsidR="003F0061">
        <w:rPr>
          <w:rFonts w:asciiTheme="minorHAnsi" w:hAnsiTheme="minorHAnsi" w:cstheme="minorHAnsi"/>
          <w:color w:val="44546A" w:themeColor="text2"/>
          <w:lang w:val="en-GB"/>
        </w:rPr>
        <w:t xml:space="preserve"> to </w:t>
      </w:r>
      <w:proofErr w:type="gramStart"/>
      <w:r w:rsidR="003F0061">
        <w:rPr>
          <w:rFonts w:asciiTheme="minorHAnsi" w:hAnsiTheme="minorHAnsi" w:cstheme="minorHAnsi"/>
          <w:color w:val="44546A" w:themeColor="text2"/>
          <w:lang w:val="en-GB"/>
        </w:rPr>
        <w:t xml:space="preserve">commence  </w:t>
      </w:r>
      <w:r w:rsidR="002262CC">
        <w:rPr>
          <w:rFonts w:asciiTheme="minorHAnsi" w:hAnsiTheme="minorHAnsi" w:cstheme="minorHAnsi"/>
          <w:color w:val="44546A" w:themeColor="text2"/>
          <w:lang w:val="en-GB"/>
        </w:rPr>
        <w:t>2022</w:t>
      </w:r>
      <w:proofErr w:type="gramEnd"/>
      <w:r w:rsidR="002262CC">
        <w:rPr>
          <w:rFonts w:asciiTheme="minorHAnsi" w:hAnsiTheme="minorHAnsi" w:cstheme="minorHAnsi"/>
          <w:color w:val="44546A" w:themeColor="text2"/>
          <w:lang w:val="en-GB"/>
        </w:rPr>
        <w:t xml:space="preserve"> - 2027</w:t>
      </w:r>
    </w:p>
    <w:p w14:paraId="753A4E71" w14:textId="2862915F" w:rsidR="001F26A6" w:rsidRPr="00060D11" w:rsidRDefault="001F26A6" w:rsidP="004E780D">
      <w:pPr>
        <w:pStyle w:val="BodyText"/>
        <w:spacing w:before="117" w:line="276" w:lineRule="auto"/>
        <w:ind w:left="0" w:right="279"/>
        <w:jc w:val="both"/>
        <w:rPr>
          <w:rFonts w:asciiTheme="minorHAnsi" w:hAnsiTheme="minorHAnsi" w:cstheme="minorHAnsi"/>
          <w:color w:val="44546A" w:themeColor="text2"/>
          <w:lang w:val="en-GB"/>
        </w:rPr>
      </w:pPr>
      <w:r w:rsidRPr="00060D11">
        <w:rPr>
          <w:rFonts w:asciiTheme="minorHAnsi" w:hAnsiTheme="minorHAnsi" w:cstheme="minorHAnsi"/>
          <w:color w:val="44546A" w:themeColor="text2"/>
          <w:lang w:val="en-GB"/>
        </w:rPr>
        <w:t xml:space="preserve">In 2021, as part of the Pacific COVID-19 response package, the Australian </w:t>
      </w:r>
      <w:r w:rsidR="00694525" w:rsidRPr="00060D11">
        <w:rPr>
          <w:rFonts w:asciiTheme="minorHAnsi" w:hAnsiTheme="minorHAnsi" w:cstheme="minorHAnsi"/>
          <w:color w:val="44546A" w:themeColor="text2"/>
          <w:lang w:val="en-GB"/>
        </w:rPr>
        <w:t>G</w:t>
      </w:r>
      <w:r w:rsidRPr="00060D11">
        <w:rPr>
          <w:rFonts w:asciiTheme="minorHAnsi" w:hAnsiTheme="minorHAnsi" w:cstheme="minorHAnsi"/>
          <w:color w:val="44546A" w:themeColor="text2"/>
          <w:lang w:val="en-GB"/>
        </w:rPr>
        <w:t xml:space="preserve">overnment provided $30 million in budget support to address the GoPNG’s fiscal shortfall in relation to the </w:t>
      </w:r>
      <w:r w:rsidR="00567DFA" w:rsidRPr="00060D11">
        <w:rPr>
          <w:rFonts w:asciiTheme="minorHAnsi" w:hAnsiTheme="minorHAnsi" w:cstheme="minorHAnsi"/>
          <w:color w:val="44546A" w:themeColor="text2"/>
          <w:lang w:val="en-GB"/>
        </w:rPr>
        <w:t>GTFS</w:t>
      </w:r>
      <w:r w:rsidRPr="00060D11">
        <w:rPr>
          <w:rFonts w:asciiTheme="minorHAnsi" w:hAnsiTheme="minorHAnsi" w:cstheme="minorHAnsi"/>
          <w:color w:val="44546A" w:themeColor="text2"/>
          <w:lang w:val="en-GB"/>
        </w:rPr>
        <w:t>.</w:t>
      </w:r>
    </w:p>
    <w:p w14:paraId="58E02B2D" w14:textId="5C6A9284" w:rsidR="001F26A6" w:rsidRPr="00060D11" w:rsidRDefault="001F26A6" w:rsidP="004E780D">
      <w:pPr>
        <w:pStyle w:val="BodyText"/>
        <w:spacing w:before="117" w:after="120" w:line="276" w:lineRule="auto"/>
        <w:ind w:left="0" w:right="279"/>
        <w:jc w:val="both"/>
        <w:rPr>
          <w:rFonts w:asciiTheme="minorHAnsi" w:hAnsiTheme="minorHAnsi" w:cstheme="minorHAnsi"/>
          <w:color w:val="44546A" w:themeColor="text2"/>
          <w:lang w:val="en-GB"/>
        </w:rPr>
      </w:pPr>
      <w:r w:rsidRPr="00060D11">
        <w:rPr>
          <w:rFonts w:asciiTheme="minorHAnsi" w:hAnsiTheme="minorHAnsi" w:cstheme="minorHAnsi"/>
          <w:b/>
          <w:bCs/>
          <w:color w:val="44546A" w:themeColor="text2"/>
          <w:lang w:val="en-GB"/>
        </w:rPr>
        <w:t xml:space="preserve">Other donor work in basic education: </w:t>
      </w:r>
      <w:r w:rsidRPr="00060D11">
        <w:rPr>
          <w:rFonts w:asciiTheme="minorHAnsi" w:hAnsiTheme="minorHAnsi" w:cstheme="minorHAnsi"/>
          <w:color w:val="44546A" w:themeColor="text2"/>
          <w:lang w:val="en-GB"/>
        </w:rPr>
        <w:t>There are four other major donors operating in the education sector</w:t>
      </w:r>
      <w:r w:rsidR="002137DE" w:rsidRPr="00060D11">
        <w:rPr>
          <w:rFonts w:asciiTheme="minorHAnsi" w:hAnsiTheme="minorHAnsi" w:cstheme="minorHAnsi"/>
          <w:color w:val="44546A" w:themeColor="text2"/>
          <w:lang w:val="en-GB"/>
        </w:rPr>
        <w:t>. PIE, with AHC support, will actively engage with other donors identifying opportunities to collaborate, coordinate on policy dialogue and leverage each other comparative advantage to amplify the impact of PIE’s activities and achievement of outcomes.</w:t>
      </w:r>
    </w:p>
    <w:p w14:paraId="2AE54D5E" w14:textId="344DC9B5" w:rsidR="001F26A6" w:rsidRPr="00060D11" w:rsidRDefault="001F26A6" w:rsidP="004E780D">
      <w:pPr>
        <w:spacing w:after="120" w:line="276" w:lineRule="auto"/>
      </w:pPr>
      <w:r w:rsidRPr="00060D11">
        <w:rPr>
          <w:b/>
        </w:rPr>
        <w:t>GPE</w:t>
      </w:r>
      <w:r w:rsidRPr="00060D11">
        <w:t xml:space="preserve"> approval was obtained in April 2019 for a three-year </w:t>
      </w:r>
      <w:r w:rsidRPr="00060D11">
        <w:rPr>
          <w:i/>
        </w:rPr>
        <w:t>Education Sector Plan Implementation Grant</w:t>
      </w:r>
      <w:r w:rsidRPr="00060D11">
        <w:t xml:space="preserve"> program for early grade learning in PNG. Together with a complementary Multiplier grant that includes co-financing from the GPE and Japan, that new funding totals USD</w:t>
      </w:r>
      <w:r w:rsidR="00E650CB" w:rsidRPr="00060D11">
        <w:t xml:space="preserve"> </w:t>
      </w:r>
      <w:r w:rsidRPr="00060D11">
        <w:t>23 million.</w:t>
      </w:r>
    </w:p>
    <w:p w14:paraId="39D5D7D4" w14:textId="2F3AF487" w:rsidR="001F26A6" w:rsidRPr="00060D11" w:rsidRDefault="001F26A6" w:rsidP="004E780D">
      <w:pPr>
        <w:spacing w:after="120" w:line="276" w:lineRule="auto"/>
      </w:pPr>
      <w:r w:rsidRPr="00060D11">
        <w:t>GPE also allocated a COVID-19 Response grant OF USD</w:t>
      </w:r>
      <w:r w:rsidR="00E650CB" w:rsidRPr="00060D11">
        <w:t xml:space="preserve"> </w:t>
      </w:r>
      <w:r w:rsidRPr="00060D11">
        <w:t>9.4 million to PNG, via UNICEF for 2020-2021 to support distance learning, dissemination of information on health and hygiene measure, distribution of learning materials to the most vulnerable, teacher training on delivering remote lessons, a national ‘back-to-school’ campaign, handwashing stations and toilets, school hygiene kits and booster classes to bring students up to date with curriculum.</w:t>
      </w:r>
      <w:r w:rsidR="002137DE" w:rsidRPr="00060D11">
        <w:t xml:space="preserve"> </w:t>
      </w:r>
    </w:p>
    <w:p w14:paraId="5BC5C132" w14:textId="7C3B065C" w:rsidR="001F26A6" w:rsidRPr="00060D11" w:rsidRDefault="001F26A6" w:rsidP="004E780D">
      <w:pPr>
        <w:spacing w:after="120" w:line="276" w:lineRule="auto"/>
      </w:pPr>
      <w:r w:rsidRPr="00060D11">
        <w:rPr>
          <w:b/>
        </w:rPr>
        <w:t>Japan International Cooperation Agency (JICA)</w:t>
      </w:r>
      <w:r w:rsidRPr="00060D11">
        <w:t xml:space="preserve"> is currently providing </w:t>
      </w:r>
      <w:r w:rsidR="008439E5" w:rsidRPr="00060D11">
        <w:t>Papua New Guinea Kina (</w:t>
      </w:r>
      <w:r w:rsidRPr="00060D11">
        <w:t>PGK</w:t>
      </w:r>
      <w:r w:rsidR="008439E5" w:rsidRPr="00060D11">
        <w:t>)</w:t>
      </w:r>
      <w:r w:rsidRPr="00060D11">
        <w:t xml:space="preserve"> 14.3 million to improve the quality of teaching materials, particularly related to primary science and mathematics (Grades 3 to 6). JICA supported the development of texts and teacher guides for G3-G6 </w:t>
      </w:r>
      <w:r w:rsidR="00E650CB" w:rsidRPr="00060D11">
        <w:t>m</w:t>
      </w:r>
      <w:r w:rsidRPr="00060D11">
        <w:t xml:space="preserve">athematics and </w:t>
      </w:r>
      <w:r w:rsidR="00E650CB" w:rsidRPr="00060D11">
        <w:t>s</w:t>
      </w:r>
      <w:r w:rsidRPr="00060D11">
        <w:t xml:space="preserve">cience aligned with the </w:t>
      </w:r>
      <w:r w:rsidR="00E650CB" w:rsidRPr="00060D11">
        <w:t>s</w:t>
      </w:r>
      <w:r w:rsidRPr="00060D11">
        <w:t xml:space="preserve">tandards-based </w:t>
      </w:r>
      <w:r w:rsidR="00E650CB" w:rsidRPr="00060D11">
        <w:t>c</w:t>
      </w:r>
      <w:r w:rsidRPr="00060D11">
        <w:t>urriculum. The next phase of support is expected to</w:t>
      </w:r>
      <w:r w:rsidR="00E650CB" w:rsidRPr="00060D11">
        <w:t xml:space="preserve"> also</w:t>
      </w:r>
      <w:r w:rsidRPr="00060D11">
        <w:t xml:space="preserve"> focus on the pre-service curriculum for teacher training. </w:t>
      </w:r>
      <w:r w:rsidR="00E650CB" w:rsidRPr="00060D11">
        <w:t xml:space="preserve">Additionally, </w:t>
      </w:r>
      <w:r w:rsidRPr="00060D11">
        <w:t xml:space="preserve">Japan has provided seed funding to help mobilise GPE financing for PNG. </w:t>
      </w:r>
    </w:p>
    <w:p w14:paraId="4C918B8E" w14:textId="1D47EF5F" w:rsidR="001F26A6" w:rsidRPr="00060D11" w:rsidRDefault="001F26A6" w:rsidP="004E780D">
      <w:pPr>
        <w:spacing w:line="276" w:lineRule="auto"/>
      </w:pPr>
      <w:r w:rsidRPr="00060D11">
        <w:rPr>
          <w:b/>
        </w:rPr>
        <w:t>UNICEF</w:t>
      </w:r>
      <w:r w:rsidRPr="00060D11">
        <w:t xml:space="preserve"> has provided USD</w:t>
      </w:r>
      <w:r w:rsidR="00E650CB" w:rsidRPr="00060D11">
        <w:t xml:space="preserve"> </w:t>
      </w:r>
      <w:r w:rsidRPr="00060D11">
        <w:t xml:space="preserve">9.7 million to NDoE </w:t>
      </w:r>
      <w:r w:rsidR="00593BA4" w:rsidRPr="00060D11">
        <w:t>and</w:t>
      </w:r>
      <w:r w:rsidRPr="00060D11">
        <w:t xml:space="preserve"> Provincial Partners to create early learning development standards and indicators; to revise policy; to facilitate surveys; to develop curricula; train trainers, practitioners; and establish child friendly centres. UNICEF is also providing </w:t>
      </w:r>
      <w:r w:rsidR="00EB60EC" w:rsidRPr="00060D11">
        <w:t xml:space="preserve">support </w:t>
      </w:r>
      <w:r w:rsidRPr="00060D11">
        <w:t>program</w:t>
      </w:r>
      <w:r w:rsidR="00EB60EC" w:rsidRPr="00060D11">
        <w:t>s</w:t>
      </w:r>
      <w:r w:rsidRPr="00060D11">
        <w:t>, working with NDoE, provincial partners, TTU and Cheshire Disability Services to develop Child Friendly Schools. This work includes:</w:t>
      </w:r>
    </w:p>
    <w:p w14:paraId="06A3B21D" w14:textId="4399107B" w:rsidR="001F26A6" w:rsidRPr="00060D11" w:rsidRDefault="00E650CB" w:rsidP="004E780D">
      <w:pPr>
        <w:pStyle w:val="ListParagraph"/>
        <w:numPr>
          <w:ilvl w:val="0"/>
          <w:numId w:val="4"/>
        </w:numPr>
        <w:spacing w:line="276" w:lineRule="auto"/>
        <w:rPr>
          <w:sz w:val="22"/>
        </w:rPr>
      </w:pPr>
      <w:r w:rsidRPr="00060D11">
        <w:rPr>
          <w:sz w:val="22"/>
        </w:rPr>
        <w:t>d</w:t>
      </w:r>
      <w:r w:rsidR="001F26A6" w:rsidRPr="00060D11">
        <w:rPr>
          <w:sz w:val="22"/>
        </w:rPr>
        <w:t>evelopment of resource materials for community advocates to raise awareness among parents and other community members;</w:t>
      </w:r>
    </w:p>
    <w:p w14:paraId="50F4A8BF" w14:textId="77777777" w:rsidR="001F26A6" w:rsidRPr="00060D11" w:rsidRDefault="001F26A6" w:rsidP="004E780D">
      <w:pPr>
        <w:pStyle w:val="ListParagraph"/>
        <w:numPr>
          <w:ilvl w:val="0"/>
          <w:numId w:val="4"/>
        </w:numPr>
        <w:spacing w:line="276" w:lineRule="auto"/>
        <w:rPr>
          <w:sz w:val="22"/>
        </w:rPr>
      </w:pPr>
      <w:r w:rsidRPr="00060D11">
        <w:rPr>
          <w:sz w:val="22"/>
        </w:rPr>
        <w:t>establishment of minimum operating standards for Child Friendly Schools;</w:t>
      </w:r>
    </w:p>
    <w:p w14:paraId="54FA99A7" w14:textId="77777777" w:rsidR="001F26A6" w:rsidRPr="00060D11" w:rsidRDefault="001F26A6" w:rsidP="004E780D">
      <w:pPr>
        <w:pStyle w:val="ListParagraph"/>
        <w:numPr>
          <w:ilvl w:val="0"/>
          <w:numId w:val="4"/>
        </w:numPr>
        <w:spacing w:line="276" w:lineRule="auto"/>
        <w:rPr>
          <w:sz w:val="22"/>
        </w:rPr>
      </w:pPr>
      <w:r w:rsidRPr="00060D11">
        <w:rPr>
          <w:sz w:val="22"/>
        </w:rPr>
        <w:t>strengthening of gender equity in the education system;</w:t>
      </w:r>
    </w:p>
    <w:p w14:paraId="2CE57595" w14:textId="694255D6" w:rsidR="001F26A6" w:rsidRPr="00060D11" w:rsidRDefault="001F26A6" w:rsidP="004E780D">
      <w:pPr>
        <w:pStyle w:val="ListParagraph"/>
        <w:numPr>
          <w:ilvl w:val="0"/>
          <w:numId w:val="4"/>
        </w:numPr>
        <w:spacing w:line="276" w:lineRule="auto"/>
        <w:rPr>
          <w:sz w:val="22"/>
        </w:rPr>
      </w:pPr>
      <w:r w:rsidRPr="00060D11">
        <w:rPr>
          <w:sz w:val="22"/>
        </w:rPr>
        <w:t xml:space="preserve">Water Sanitation and Hygiene </w:t>
      </w:r>
      <w:r w:rsidR="003F1B2F" w:rsidRPr="00060D11">
        <w:rPr>
          <w:sz w:val="22"/>
        </w:rPr>
        <w:t xml:space="preserve">(WASH) </w:t>
      </w:r>
      <w:r w:rsidRPr="00060D11">
        <w:rPr>
          <w:sz w:val="22"/>
        </w:rPr>
        <w:t xml:space="preserve">in </w:t>
      </w:r>
      <w:r w:rsidR="00A62CB7" w:rsidRPr="00060D11">
        <w:rPr>
          <w:sz w:val="22"/>
        </w:rPr>
        <w:t>s</w:t>
      </w:r>
      <w:r w:rsidRPr="00060D11">
        <w:rPr>
          <w:sz w:val="22"/>
        </w:rPr>
        <w:t>chools;</w:t>
      </w:r>
    </w:p>
    <w:p w14:paraId="79DCADC4" w14:textId="33E35FFA" w:rsidR="001F26A6" w:rsidRPr="00060D11" w:rsidRDefault="00E650CB" w:rsidP="004E780D">
      <w:pPr>
        <w:pStyle w:val="ListParagraph"/>
        <w:numPr>
          <w:ilvl w:val="0"/>
          <w:numId w:val="4"/>
        </w:numPr>
        <w:spacing w:line="276" w:lineRule="auto"/>
        <w:rPr>
          <w:sz w:val="22"/>
        </w:rPr>
      </w:pPr>
      <w:r w:rsidRPr="00060D11">
        <w:rPr>
          <w:sz w:val="22"/>
        </w:rPr>
        <w:t>a</w:t>
      </w:r>
      <w:r w:rsidR="001F26A6" w:rsidRPr="00060D11">
        <w:rPr>
          <w:sz w:val="22"/>
        </w:rPr>
        <w:t>ddress</w:t>
      </w:r>
      <w:r w:rsidRPr="00060D11">
        <w:rPr>
          <w:sz w:val="22"/>
        </w:rPr>
        <w:t>ing</w:t>
      </w:r>
      <w:r w:rsidR="00186B2A" w:rsidRPr="00060D11">
        <w:rPr>
          <w:sz w:val="22"/>
        </w:rPr>
        <w:t xml:space="preserve"> School-related Gender Based Violence</w:t>
      </w:r>
      <w:r w:rsidR="001F26A6" w:rsidRPr="00060D11">
        <w:rPr>
          <w:sz w:val="22"/>
        </w:rPr>
        <w:t xml:space="preserve"> related issues in the curriculum;</w:t>
      </w:r>
    </w:p>
    <w:p w14:paraId="220333D6" w14:textId="621A29E7" w:rsidR="001F26A6" w:rsidRPr="00060D11" w:rsidRDefault="00E650CB" w:rsidP="004E780D">
      <w:pPr>
        <w:pStyle w:val="ListParagraph"/>
        <w:numPr>
          <w:ilvl w:val="0"/>
          <w:numId w:val="4"/>
        </w:numPr>
        <w:spacing w:line="276" w:lineRule="auto"/>
        <w:rPr>
          <w:sz w:val="22"/>
        </w:rPr>
      </w:pPr>
      <w:r w:rsidRPr="00060D11">
        <w:rPr>
          <w:sz w:val="22"/>
        </w:rPr>
        <w:t>t</w:t>
      </w:r>
      <w:r w:rsidR="001F26A6" w:rsidRPr="00060D11">
        <w:rPr>
          <w:sz w:val="22"/>
        </w:rPr>
        <w:t>raining on values and peace education for pre-service primary teachers in 12 teacher training colleges in a phased manner;</w:t>
      </w:r>
    </w:p>
    <w:p w14:paraId="6FE8677D" w14:textId="348A7E2A" w:rsidR="001F26A6" w:rsidRPr="00060D11" w:rsidRDefault="00E650CB" w:rsidP="004E780D">
      <w:pPr>
        <w:pStyle w:val="ListParagraph"/>
        <w:numPr>
          <w:ilvl w:val="0"/>
          <w:numId w:val="4"/>
        </w:numPr>
        <w:spacing w:line="276" w:lineRule="auto"/>
        <w:rPr>
          <w:sz w:val="22"/>
        </w:rPr>
      </w:pPr>
      <w:r w:rsidRPr="00060D11">
        <w:rPr>
          <w:sz w:val="22"/>
        </w:rPr>
        <w:t>r</w:t>
      </w:r>
      <w:r w:rsidR="001F26A6" w:rsidRPr="00060D11">
        <w:rPr>
          <w:sz w:val="22"/>
        </w:rPr>
        <w:t xml:space="preserve">evision of </w:t>
      </w:r>
      <w:r w:rsidRPr="00060D11">
        <w:rPr>
          <w:sz w:val="22"/>
        </w:rPr>
        <w:t>s</w:t>
      </w:r>
      <w:r w:rsidR="001F26A6" w:rsidRPr="00060D11">
        <w:rPr>
          <w:sz w:val="22"/>
        </w:rPr>
        <w:t>chool behaviour management policy and raise awareness at school and community level;</w:t>
      </w:r>
    </w:p>
    <w:p w14:paraId="41D722F1" w14:textId="12A14BE2" w:rsidR="001F26A6" w:rsidRPr="00060D11" w:rsidRDefault="00E650CB" w:rsidP="004E780D">
      <w:pPr>
        <w:pStyle w:val="ListParagraph"/>
        <w:numPr>
          <w:ilvl w:val="0"/>
          <w:numId w:val="4"/>
        </w:numPr>
        <w:spacing w:line="276" w:lineRule="auto"/>
        <w:rPr>
          <w:sz w:val="22"/>
        </w:rPr>
      </w:pPr>
      <w:r w:rsidRPr="00060D11">
        <w:rPr>
          <w:sz w:val="22"/>
        </w:rPr>
        <w:t>i</w:t>
      </w:r>
      <w:r w:rsidR="001F26A6" w:rsidRPr="00060D11">
        <w:rPr>
          <w:sz w:val="22"/>
        </w:rPr>
        <w:t xml:space="preserve">nclusive </w:t>
      </w:r>
      <w:r w:rsidRPr="00060D11">
        <w:rPr>
          <w:sz w:val="22"/>
        </w:rPr>
        <w:t>e</w:t>
      </w:r>
      <w:r w:rsidR="001F26A6" w:rsidRPr="00060D11">
        <w:rPr>
          <w:sz w:val="22"/>
        </w:rPr>
        <w:t xml:space="preserve">ducation, </w:t>
      </w:r>
      <w:r w:rsidRPr="00060D11">
        <w:rPr>
          <w:sz w:val="22"/>
        </w:rPr>
        <w:t>h</w:t>
      </w:r>
      <w:r w:rsidR="001F26A6" w:rsidRPr="00060D11">
        <w:rPr>
          <w:sz w:val="22"/>
        </w:rPr>
        <w:t xml:space="preserve">ealth and </w:t>
      </w:r>
      <w:r w:rsidRPr="00060D11">
        <w:rPr>
          <w:sz w:val="22"/>
        </w:rPr>
        <w:t>s</w:t>
      </w:r>
      <w:r w:rsidR="001F26A6" w:rsidRPr="00060D11">
        <w:rPr>
          <w:sz w:val="22"/>
        </w:rPr>
        <w:t xml:space="preserve">ocial inclusion for </w:t>
      </w:r>
      <w:r w:rsidR="00686208" w:rsidRPr="00060D11">
        <w:rPr>
          <w:sz w:val="22"/>
        </w:rPr>
        <w:t>CWD</w:t>
      </w:r>
      <w:r w:rsidR="001F26A6" w:rsidRPr="00060D11">
        <w:rPr>
          <w:sz w:val="22"/>
        </w:rPr>
        <w:t xml:space="preserve"> in</w:t>
      </w:r>
      <w:r w:rsidRPr="00060D11">
        <w:rPr>
          <w:sz w:val="22"/>
        </w:rPr>
        <w:t xml:space="preserve"> the</w:t>
      </w:r>
      <w:r w:rsidR="001F26A6" w:rsidRPr="00060D11">
        <w:rPr>
          <w:sz w:val="22"/>
        </w:rPr>
        <w:t xml:space="preserve"> National Capital District (NCD), Central, Autonomous Region of Bougainville (AROB) and Milne Bay Provinces;</w:t>
      </w:r>
      <w:r w:rsidR="003961B2" w:rsidRPr="00060D11">
        <w:rPr>
          <w:sz w:val="22"/>
        </w:rPr>
        <w:t xml:space="preserve"> and</w:t>
      </w:r>
    </w:p>
    <w:p w14:paraId="75644D31" w14:textId="0E181522" w:rsidR="001F26A6" w:rsidRPr="00060D11" w:rsidRDefault="00E650CB" w:rsidP="004E780D">
      <w:pPr>
        <w:pStyle w:val="ListParagraph"/>
        <w:numPr>
          <w:ilvl w:val="0"/>
          <w:numId w:val="4"/>
        </w:numPr>
        <w:spacing w:line="276" w:lineRule="auto"/>
        <w:rPr>
          <w:sz w:val="22"/>
        </w:rPr>
      </w:pPr>
      <w:r w:rsidRPr="00060D11">
        <w:rPr>
          <w:sz w:val="22"/>
        </w:rPr>
        <w:t>c</w:t>
      </w:r>
      <w:r w:rsidR="001F26A6" w:rsidRPr="00060D11">
        <w:rPr>
          <w:sz w:val="22"/>
        </w:rPr>
        <w:t>apacity building in planning</w:t>
      </w:r>
      <w:r w:rsidRPr="00060D11">
        <w:rPr>
          <w:sz w:val="22"/>
        </w:rPr>
        <w:t xml:space="preserve">, </w:t>
      </w:r>
      <w:r w:rsidR="001F26A6" w:rsidRPr="00060D11">
        <w:rPr>
          <w:sz w:val="22"/>
        </w:rPr>
        <w:t>management and monitoring.</w:t>
      </w:r>
    </w:p>
    <w:p w14:paraId="23F2423F" w14:textId="77777777" w:rsidR="001F26A6" w:rsidRPr="00060D11" w:rsidRDefault="001F26A6" w:rsidP="004E780D">
      <w:pPr>
        <w:spacing w:line="276" w:lineRule="auto"/>
      </w:pPr>
    </w:p>
    <w:p w14:paraId="0D7926F1" w14:textId="11563B3E" w:rsidR="001F26A6" w:rsidRPr="00060D11" w:rsidRDefault="00F446FC" w:rsidP="00477C43">
      <w:pPr>
        <w:spacing w:line="276" w:lineRule="auto"/>
        <w:rPr>
          <w:rFonts w:asciiTheme="majorHAnsi" w:eastAsiaTheme="majorEastAsia" w:hAnsiTheme="majorHAnsi" w:cstheme="majorBidi"/>
          <w:b/>
          <w:bCs/>
          <w:sz w:val="38"/>
          <w:szCs w:val="28"/>
        </w:rPr>
      </w:pPr>
      <w:r w:rsidRPr="00060D11">
        <w:rPr>
          <w:b/>
          <w:bCs/>
        </w:rPr>
        <w:t>Although t</w:t>
      </w:r>
      <w:r w:rsidR="001F26A6" w:rsidRPr="00060D11">
        <w:rPr>
          <w:b/>
          <w:bCs/>
        </w:rPr>
        <w:t xml:space="preserve">he </w:t>
      </w:r>
      <w:r w:rsidR="001F26A6" w:rsidRPr="00060D11">
        <w:rPr>
          <w:b/>
        </w:rPr>
        <w:t>World Bank</w:t>
      </w:r>
      <w:r w:rsidR="001F26A6" w:rsidRPr="00060D11">
        <w:t xml:space="preserve"> </w:t>
      </w:r>
      <w:r w:rsidR="001F26A6" w:rsidRPr="00060D11">
        <w:rPr>
          <w:b/>
          <w:bCs/>
        </w:rPr>
        <w:t>withdrew</w:t>
      </w:r>
      <w:r w:rsidR="001F26A6" w:rsidRPr="00060D11">
        <w:t xml:space="preserve"> from the education sector in PNG in 2016</w:t>
      </w:r>
      <w:r w:rsidR="002137DE" w:rsidRPr="00060D11">
        <w:t>,</w:t>
      </w:r>
      <w:r w:rsidRPr="00060D11">
        <w:t xml:space="preserve"> they remain active in interrelated sectors including health</w:t>
      </w:r>
      <w:r w:rsidR="002137DE" w:rsidRPr="00060D11">
        <w:t>, child nutrition</w:t>
      </w:r>
      <w:r w:rsidRPr="00060D11">
        <w:t xml:space="preserve"> and social protection</w:t>
      </w:r>
      <w:r w:rsidR="001F26A6" w:rsidRPr="00060D11">
        <w:t xml:space="preserve">. </w:t>
      </w:r>
      <w:r w:rsidR="00A70519" w:rsidRPr="00060D11">
        <w:t>The READ PNG pro</w:t>
      </w:r>
      <w:r w:rsidR="00CC4787" w:rsidRPr="00060D11">
        <w:t>je</w:t>
      </w:r>
      <w:r w:rsidR="00761726" w:rsidRPr="00060D11">
        <w:t>ct (2011-15)</w:t>
      </w:r>
      <w:r w:rsidR="00A70519" w:rsidRPr="00060D11">
        <w:t xml:space="preserve"> </w:t>
      </w:r>
      <w:r w:rsidR="00365D42" w:rsidRPr="00060D11">
        <w:t>worked to provide quality teacher training for teachers to improve their teaching of reading to student</w:t>
      </w:r>
      <w:r w:rsidR="00C913DB" w:rsidRPr="00060D11">
        <w:t xml:space="preserve"> and the establishment of 21,000</w:t>
      </w:r>
      <w:r w:rsidR="001F26A6" w:rsidRPr="00060D11">
        <w:t xml:space="preserve"> </w:t>
      </w:r>
      <w:r w:rsidR="001F26A6" w:rsidRPr="00060D11">
        <w:rPr>
          <w:rFonts w:ascii="Calibri" w:eastAsia="Times New Roman" w:hAnsi="Calibri" w:cs="Calibri"/>
          <w:lang w:eastAsia="en-AU"/>
        </w:rPr>
        <w:t>classroom libraries. The project had a baseline (E</w:t>
      </w:r>
      <w:r w:rsidR="009872B8" w:rsidRPr="00060D11">
        <w:rPr>
          <w:rFonts w:ascii="Calibri" w:eastAsia="Times New Roman" w:hAnsi="Calibri" w:cs="Calibri"/>
          <w:lang w:eastAsia="en-AU"/>
        </w:rPr>
        <w:t xml:space="preserve">arly </w:t>
      </w:r>
      <w:r w:rsidR="001F26A6" w:rsidRPr="00060D11">
        <w:rPr>
          <w:rFonts w:ascii="Calibri" w:eastAsia="Times New Roman" w:hAnsi="Calibri" w:cs="Calibri"/>
          <w:lang w:eastAsia="en-AU"/>
        </w:rPr>
        <w:t>G</w:t>
      </w:r>
      <w:r w:rsidR="009872B8" w:rsidRPr="00060D11">
        <w:rPr>
          <w:rFonts w:ascii="Calibri" w:eastAsia="Times New Roman" w:hAnsi="Calibri" w:cs="Calibri"/>
          <w:lang w:eastAsia="en-AU"/>
        </w:rPr>
        <w:t xml:space="preserve">rade </w:t>
      </w:r>
      <w:r w:rsidR="001F26A6" w:rsidRPr="00060D11">
        <w:rPr>
          <w:rFonts w:ascii="Calibri" w:eastAsia="Times New Roman" w:hAnsi="Calibri" w:cs="Calibri"/>
          <w:lang w:eastAsia="en-AU"/>
        </w:rPr>
        <w:t>R</w:t>
      </w:r>
      <w:r w:rsidR="009872B8" w:rsidRPr="00060D11">
        <w:rPr>
          <w:rFonts w:ascii="Calibri" w:eastAsia="Times New Roman" w:hAnsi="Calibri" w:cs="Calibri"/>
          <w:lang w:eastAsia="en-AU"/>
        </w:rPr>
        <w:t xml:space="preserve">eading </w:t>
      </w:r>
      <w:r w:rsidR="001F26A6" w:rsidRPr="00060D11">
        <w:rPr>
          <w:rFonts w:ascii="Calibri" w:eastAsia="Times New Roman" w:hAnsi="Calibri" w:cs="Calibri"/>
          <w:lang w:eastAsia="en-AU"/>
        </w:rPr>
        <w:t>A</w:t>
      </w:r>
      <w:r w:rsidR="009872B8" w:rsidRPr="00060D11">
        <w:rPr>
          <w:rFonts w:ascii="Calibri" w:eastAsia="Times New Roman" w:hAnsi="Calibri" w:cs="Calibri"/>
          <w:lang w:eastAsia="en-AU"/>
        </w:rPr>
        <w:t>ssessment</w:t>
      </w:r>
      <w:r w:rsidR="001F26A6" w:rsidRPr="00060D11">
        <w:rPr>
          <w:rFonts w:ascii="Calibri" w:eastAsia="Times New Roman" w:hAnsi="Calibri" w:cs="Calibri"/>
          <w:lang w:eastAsia="en-AU"/>
        </w:rPr>
        <w:t>) done in four pilot provinces (NCD, Madang, Western Highlands Province and East New Britain).</w:t>
      </w:r>
      <w:r w:rsidRPr="00060D11">
        <w:rPr>
          <w:rFonts w:ascii="Calibri" w:eastAsia="Times New Roman" w:hAnsi="Calibri" w:cs="Calibri"/>
          <w:lang w:eastAsia="en-AU"/>
        </w:rPr>
        <w:t xml:space="preserve"> </w:t>
      </w:r>
      <w:r w:rsidR="000D2ACD" w:rsidRPr="00060D11">
        <w:rPr>
          <w:rFonts w:ascii="Calibri" w:eastAsia="Times New Roman" w:hAnsi="Calibri" w:cs="Calibri"/>
          <w:lang w:eastAsia="en-AU"/>
        </w:rPr>
        <w:t xml:space="preserve">DFAT is working with </w:t>
      </w:r>
      <w:r w:rsidR="00490714" w:rsidRPr="00060D11">
        <w:rPr>
          <w:rFonts w:ascii="Calibri" w:eastAsia="Times New Roman" w:hAnsi="Calibri" w:cs="Calibri"/>
          <w:lang w:eastAsia="en-AU"/>
        </w:rPr>
        <w:t>the World</w:t>
      </w:r>
      <w:r w:rsidRPr="00060D11">
        <w:rPr>
          <w:rFonts w:ascii="Calibri" w:eastAsia="Times New Roman" w:hAnsi="Calibri" w:cs="Calibri"/>
          <w:lang w:eastAsia="en-AU"/>
        </w:rPr>
        <w:t xml:space="preserve"> Bank </w:t>
      </w:r>
      <w:r w:rsidR="000D2ACD" w:rsidRPr="00060D11">
        <w:rPr>
          <w:rFonts w:ascii="Calibri" w:eastAsia="Times New Roman" w:hAnsi="Calibri" w:cs="Calibri"/>
          <w:lang w:eastAsia="en-AU"/>
        </w:rPr>
        <w:t>to</w:t>
      </w:r>
      <w:r w:rsidRPr="00060D11">
        <w:rPr>
          <w:rFonts w:ascii="Calibri" w:eastAsia="Times New Roman" w:hAnsi="Calibri" w:cs="Calibri"/>
          <w:lang w:eastAsia="en-AU"/>
        </w:rPr>
        <w:t xml:space="preserve"> re-enter the sector in the near future, providing opportunities for </w:t>
      </w:r>
      <w:bookmarkStart w:id="43" w:name="_Hlk80094581"/>
      <w:r w:rsidRPr="00060D11">
        <w:rPr>
          <w:rFonts w:ascii="Calibri" w:eastAsia="Times New Roman" w:hAnsi="Calibri" w:cs="Calibri"/>
          <w:lang w:eastAsia="en-AU"/>
        </w:rPr>
        <w:t xml:space="preserve">to leverage their expertise and </w:t>
      </w:r>
      <w:r w:rsidR="002137DE" w:rsidRPr="00060D11">
        <w:rPr>
          <w:rFonts w:ascii="Calibri" w:eastAsia="Times New Roman" w:hAnsi="Calibri" w:cs="Calibri"/>
          <w:lang w:eastAsia="en-AU"/>
        </w:rPr>
        <w:t xml:space="preserve">coordinate on policy dialogue efforts, in particular </w:t>
      </w:r>
      <w:r w:rsidR="002137DE" w:rsidRPr="00060D11">
        <w:rPr>
          <w:rFonts w:cstheme="minorHAnsi"/>
          <w:sz w:val="21"/>
          <w:szCs w:val="21"/>
        </w:rPr>
        <w:t>to advocate for sufficient financing by GoPNG of the sector</w:t>
      </w:r>
      <w:bookmarkStart w:id="44" w:name="_Toc14017469"/>
      <w:r w:rsidR="000D2ACD" w:rsidRPr="00060D11">
        <w:rPr>
          <w:rFonts w:cstheme="minorHAnsi"/>
          <w:sz w:val="21"/>
          <w:szCs w:val="21"/>
        </w:rPr>
        <w:t>.</w:t>
      </w:r>
    </w:p>
    <w:bookmarkEnd w:id="43"/>
    <w:p w14:paraId="7BD7B474" w14:textId="77777777" w:rsidR="001F26A6" w:rsidRPr="00060D11" w:rsidRDefault="001F26A6" w:rsidP="001F26A6">
      <w:pPr>
        <w:spacing w:after="160" w:line="259" w:lineRule="auto"/>
        <w:rPr>
          <w:rFonts w:asciiTheme="majorHAnsi" w:eastAsiaTheme="majorEastAsia" w:hAnsiTheme="majorHAnsi" w:cstheme="majorBidi"/>
          <w:b/>
          <w:bCs/>
          <w:sz w:val="38"/>
          <w:szCs w:val="28"/>
        </w:rPr>
      </w:pPr>
      <w:r w:rsidRPr="00060D11">
        <w:rPr>
          <w:caps/>
        </w:rPr>
        <w:br w:type="page"/>
      </w:r>
    </w:p>
    <w:p w14:paraId="1D32BC3B" w14:textId="77777777" w:rsidR="001F26A6" w:rsidRPr="00060D11" w:rsidRDefault="001F26A6" w:rsidP="004E780D">
      <w:pPr>
        <w:pStyle w:val="Heading1Numbered"/>
        <w:numPr>
          <w:ilvl w:val="0"/>
          <w:numId w:val="0"/>
        </w:numPr>
        <w:spacing w:after="1440"/>
      </w:pPr>
      <w:bookmarkStart w:id="45" w:name="_Toc82182419"/>
      <w:r w:rsidRPr="00060D11">
        <w:rPr>
          <w:caps w:val="0"/>
        </w:rPr>
        <w:t>D.</w:t>
      </w:r>
      <w:r w:rsidRPr="00060D11">
        <w:rPr>
          <w:caps w:val="0"/>
        </w:rPr>
        <w:tab/>
        <w:t>PROPOSED OUTCOMES AND INVESTMENT OPTIONS</w:t>
      </w:r>
      <w:bookmarkEnd w:id="44"/>
      <w:bookmarkEnd w:id="45"/>
    </w:p>
    <w:p w14:paraId="3E6BE11A" w14:textId="77777777" w:rsidR="001F26A6" w:rsidRPr="00060D11" w:rsidRDefault="001F26A6" w:rsidP="00C04736">
      <w:pPr>
        <w:pStyle w:val="Heading2"/>
      </w:pPr>
      <w:r w:rsidRPr="00060D11">
        <w:t>D.1</w:t>
      </w:r>
      <w:r w:rsidRPr="00060D11">
        <w:tab/>
        <w:t>OUTCOMES AND PROGRAM LOGIC</w:t>
      </w:r>
    </w:p>
    <w:p w14:paraId="4BA768BA" w14:textId="77777777" w:rsidR="001F26A6" w:rsidRPr="00060D11" w:rsidRDefault="001F26A6" w:rsidP="00C0095C">
      <w:pPr>
        <w:rPr>
          <w:sz w:val="32"/>
          <w:szCs w:val="32"/>
        </w:rPr>
      </w:pPr>
    </w:p>
    <w:p w14:paraId="70698FF1" w14:textId="13059CF7" w:rsidR="001F26A6" w:rsidRPr="00060D11" w:rsidRDefault="001F26A6" w:rsidP="004E780D">
      <w:pPr>
        <w:pStyle w:val="Heading3"/>
        <w:spacing w:before="0"/>
        <w:rPr>
          <w:sz w:val="30"/>
          <w:szCs w:val="30"/>
        </w:rPr>
      </w:pPr>
      <w:r w:rsidRPr="00060D11">
        <w:rPr>
          <w:sz w:val="30"/>
          <w:szCs w:val="30"/>
        </w:rPr>
        <w:t>Long Term Goal</w:t>
      </w:r>
    </w:p>
    <w:p w14:paraId="088B58F7" w14:textId="77777777" w:rsidR="00B30ED1" w:rsidRPr="00060D11" w:rsidRDefault="00B30ED1" w:rsidP="001F26A6"/>
    <w:p w14:paraId="1CC411BB" w14:textId="6111F25A" w:rsidR="001F26A6" w:rsidRPr="00060D11" w:rsidRDefault="001B113B" w:rsidP="001F26A6">
      <w:r w:rsidRPr="00060D11">
        <w:rPr>
          <w:noProof/>
        </w:rPr>
        <mc:AlternateContent>
          <mc:Choice Requires="wps">
            <w:drawing>
              <wp:inline distT="0" distB="0" distL="0" distR="0" wp14:anchorId="21CD774D" wp14:editId="5B4F2057">
                <wp:extent cx="6013450" cy="952500"/>
                <wp:effectExtent l="0" t="0" r="25400" b="19050"/>
                <wp:docPr id="10" name="Text Box 10"/>
                <wp:cNvGraphicFramePr/>
                <a:graphic xmlns:a="http://schemas.openxmlformats.org/drawingml/2006/main">
                  <a:graphicData uri="http://schemas.microsoft.com/office/word/2010/wordprocessingShape">
                    <wps:wsp>
                      <wps:cNvSpPr txBox="1"/>
                      <wps:spPr>
                        <a:xfrm>
                          <a:off x="0" y="0"/>
                          <a:ext cx="6013450" cy="952500"/>
                        </a:xfrm>
                        <a:prstGeom prst="roundRect">
                          <a:avLst/>
                        </a:prstGeom>
                        <a:gradFill flip="none" rotWithShape="1">
                          <a:gsLst>
                            <a:gs pos="0">
                              <a:srgbClr val="0098A8">
                                <a:tint val="66000"/>
                                <a:satMod val="160000"/>
                              </a:srgbClr>
                            </a:gs>
                            <a:gs pos="50000">
                              <a:srgbClr val="0098A8">
                                <a:tint val="44500"/>
                                <a:satMod val="160000"/>
                              </a:srgbClr>
                            </a:gs>
                            <a:gs pos="100000">
                              <a:srgbClr val="0098A8">
                                <a:tint val="23500"/>
                                <a:satMod val="160000"/>
                              </a:srgbClr>
                            </a:gs>
                          </a:gsLst>
                          <a:lin ang="2700000" scaled="1"/>
                          <a:tileRect/>
                        </a:gradFill>
                        <a:ln w="6350">
                          <a:solidFill>
                            <a:prstClr val="black"/>
                          </a:solidFill>
                        </a:ln>
                      </wps:spPr>
                      <wps:txbx>
                        <w:txbxContent>
                          <w:p w14:paraId="77C7B1B7" w14:textId="1C211EF6" w:rsidR="00F96637" w:rsidRPr="00C5136E" w:rsidRDefault="00F96637" w:rsidP="00B30ED1">
                            <w:r w:rsidRPr="004E780D">
                              <w:t>“Our vision is an education system that is affordable for parents and Government, that appreciates Christian and traditional values, and that prepares literate, skilled and healthy citizens, each educated and trained to their fullest potential, to contribute to the economic and social development of the nation.”</w:t>
                            </w:r>
                            <w:r w:rsidRPr="00C5136E">
                              <w:rPr>
                                <w:i/>
                                <w:color w:val="231F20"/>
                              </w:rPr>
                              <w:t xml:space="preserve"> </w:t>
                            </w:r>
                            <w:r w:rsidRPr="00C5136E">
                              <w:rPr>
                                <w:rFonts w:cstheme="minorHAnsi"/>
                              </w:rPr>
                              <w:t xml:space="preserve">(Vision Statement, </w:t>
                            </w:r>
                            <w:r w:rsidRPr="00C5136E">
                              <w:rPr>
                                <w:rFonts w:cstheme="minorHAnsi"/>
                                <w:u w:val="single"/>
                              </w:rPr>
                              <w:t>NEP 2020-2029</w:t>
                            </w:r>
                            <w:r w:rsidRPr="00C5136E">
                              <w:rPr>
                                <w:rFonts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21CD774D" id="Text Box 10" o:spid="_x0000_s1052" style="width:473.5pt;height: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" fillcolor="#90ccd9" strokeweight=".5pt">
                <v:fill color2="#dfeef2" rotate="t" angle="45" colors="0 #90ccd9;.5 #bddee5;1 #dfeef2" focus="100%" type="gradient"/>
                <v:textbox>
                  <w:txbxContent>
                    <w:p w14:paraId="77C7B1B7" w14:textId="1C211EF6" w:rsidR="00F96637" w:rsidRPr="00C5136E" w:rsidRDefault="00F96637" w:rsidP="00B30ED1">
                      <w:r w:rsidRPr="004E780D">
                        <w:t>“Our vision is an education system that is affordable for parents and Government, that appreciates Christian and traditional values, and that prepares literate, skilled and healthy citizens, each educated and trained to their fullest potential, to contribute to the economic and social development of the nation.”</w:t>
                      </w:r>
                      <w:r w:rsidRPr="00C5136E">
                        <w:rPr>
                          <w:i/>
                          <w:color w:val="231F20"/>
                        </w:rPr>
                        <w:t xml:space="preserve"> </w:t>
                      </w:r>
                      <w:r w:rsidRPr="00C5136E">
                        <w:rPr>
                          <w:rFonts w:cstheme="minorHAnsi"/>
                        </w:rPr>
                        <w:t xml:space="preserve">(Vision Statement, </w:t>
                      </w:r>
                      <w:r w:rsidRPr="00C5136E">
                        <w:rPr>
                          <w:rFonts w:cstheme="minorHAnsi"/>
                          <w:u w:val="single"/>
                        </w:rPr>
                        <w:t>NEP 2020-2029</w:t>
                      </w:r>
                      <w:r w:rsidRPr="00C5136E">
                        <w:rPr>
                          <w:rFonts w:cstheme="minorHAnsi"/>
                        </w:rPr>
                        <w:t>)</w:t>
                      </w:r>
                    </w:p>
                  </w:txbxContent>
                </v:textbox>
                <w10:anchorlock/>
              </v:roundrect>
            </w:pict>
          </mc:Fallback>
        </mc:AlternateContent>
      </w:r>
    </w:p>
    <w:p w14:paraId="38504292" w14:textId="77777777" w:rsidR="00832B17" w:rsidRDefault="00832B17" w:rsidP="004E780D">
      <w:pPr>
        <w:spacing w:after="120" w:line="276" w:lineRule="auto"/>
      </w:pPr>
    </w:p>
    <w:p w14:paraId="3CF6662A" w14:textId="07E005EE" w:rsidR="005B78C7" w:rsidRPr="00060D11" w:rsidRDefault="001F26A6" w:rsidP="004E780D">
      <w:pPr>
        <w:spacing w:after="120" w:line="276" w:lineRule="auto"/>
        <w:rPr>
          <w:rFonts w:eastAsia="Times New Roman" w:cstheme="minorHAnsi"/>
        </w:rPr>
      </w:pPr>
      <w:r w:rsidRPr="00060D11">
        <w:rPr>
          <w:noProof/>
        </w:rPr>
        <w:drawing>
          <wp:anchor distT="0" distB="0" distL="114300" distR="114300" simplePos="0" relativeHeight="251660288" behindDoc="1" locked="1" layoutInCell="1" allowOverlap="1" wp14:anchorId="101F05D7" wp14:editId="0598A16B">
            <wp:simplePos x="0" y="0"/>
            <wp:positionH relativeFrom="page">
              <wp:posOffset>-38100</wp:posOffset>
            </wp:positionH>
            <wp:positionV relativeFrom="page">
              <wp:posOffset>15240</wp:posOffset>
            </wp:positionV>
            <wp:extent cx="7559675" cy="2519680"/>
            <wp:effectExtent l="0" t="0" r="0" b="0"/>
            <wp:wrapNone/>
            <wp:docPr id="460" name="Picture 4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Picture 460">
                      <a:extLst>
                        <a:ext uri="{C183D7F6-B498-43B3-948B-1728B52AA6E4}">
                          <adec:decorative xmlns:adec="http://schemas.microsoft.com/office/drawing/2017/decorative" val="1"/>
                        </a:ext>
                      </a:extLst>
                    </pic:cNvPr>
                    <pic:cNvPicPr/>
                  </pic:nvPicPr>
                  <pic:blipFill>
                    <a:blip r:embed="rId10" cstate="print">
                      <a:duotone>
                        <a:prstClr val="black"/>
                        <a:srgbClr val="0098A8">
                          <a:tint val="45000"/>
                          <a:satMod val="400000"/>
                        </a:srgbClr>
                      </a:duotone>
                      <a:extLst>
                        <a:ext uri="{BEBA8EAE-BF5A-486C-A8C5-ECC9F3942E4B}">
                          <a14:imgProps xmlns:a14="http://schemas.microsoft.com/office/drawing/2010/main">
                            <a14:imgLayer r:embed="rId11">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7559675" cy="2519680"/>
                    </a:xfrm>
                    <a:prstGeom prst="rect">
                      <a:avLst/>
                    </a:prstGeom>
                  </pic:spPr>
                </pic:pic>
              </a:graphicData>
            </a:graphic>
            <wp14:sizeRelH relativeFrom="margin">
              <wp14:pctWidth>0</wp14:pctWidth>
            </wp14:sizeRelH>
            <wp14:sizeRelV relativeFrom="margin">
              <wp14:pctHeight>0</wp14:pctHeight>
            </wp14:sizeRelV>
          </wp:anchor>
        </w:drawing>
      </w:r>
      <w:r w:rsidRPr="00060D11">
        <w:t xml:space="preserve">The PIE investment is framed by the </w:t>
      </w:r>
      <w:r w:rsidRPr="00060D11">
        <w:rPr>
          <w:rFonts w:cstheme="minorHAnsi"/>
          <w:color w:val="495964"/>
        </w:rPr>
        <w:t xml:space="preserve">CSEP policy framework which envisages </w:t>
      </w:r>
      <w:r w:rsidRPr="00060D11">
        <w:rPr>
          <w:rFonts w:cstheme="minorHAnsi"/>
        </w:rPr>
        <w:t xml:space="preserve">an enduring and overarching framework for deepening bilateral cooperation across a range of sectors, including education. </w:t>
      </w:r>
      <w:r w:rsidRPr="00060D11">
        <w:rPr>
          <w:rFonts w:cstheme="minorHAnsi"/>
          <w:color w:val="495964"/>
        </w:rPr>
        <w:t xml:space="preserve">P4R reaffirms this commitment and recognises that education is integral to the development of national human capital, strengthening social cohesion, promoting gender equality/social inclusion, as well as driving economic recovery. </w:t>
      </w:r>
    </w:p>
    <w:p w14:paraId="4135D5F5" w14:textId="46605577" w:rsidR="005B78C7" w:rsidRPr="00060D11" w:rsidRDefault="001F26A6" w:rsidP="004E780D">
      <w:pPr>
        <w:tabs>
          <w:tab w:val="left" w:pos="284"/>
        </w:tabs>
        <w:spacing w:after="120" w:line="276" w:lineRule="auto"/>
        <w:rPr>
          <w:rFonts w:eastAsia="Times New Roman" w:cstheme="minorHAnsi"/>
        </w:rPr>
      </w:pPr>
      <w:r w:rsidRPr="00060D11">
        <w:rPr>
          <w:rFonts w:eastAsia="Times New Roman" w:cstheme="minorHAnsi"/>
        </w:rPr>
        <w:t>The CSEP is underpinned by “</w:t>
      </w:r>
      <w:r w:rsidRPr="00060D11">
        <w:rPr>
          <w:rFonts w:eastAsia="Times New Roman" w:cstheme="minorHAnsi"/>
          <w:i/>
          <w:iCs/>
        </w:rPr>
        <w:t>a commitment to achieving concrete outcomes by 2030”.</w:t>
      </w:r>
      <w:r w:rsidRPr="00060D11">
        <w:rPr>
          <w:rStyle w:val="FootnoteReference"/>
          <w:rFonts w:eastAsia="Times New Roman" w:cstheme="minorHAnsi"/>
          <w:i/>
          <w:iCs/>
        </w:rPr>
        <w:footnoteReference w:id="55"/>
      </w:r>
      <w:r w:rsidRPr="00060D11">
        <w:rPr>
          <w:rFonts w:eastAsia="Times New Roman" w:cstheme="minorHAnsi"/>
        </w:rPr>
        <w:t xml:space="preserve"> This commitment presents a realistic timeline within which to place the current investment (see Figure </w:t>
      </w:r>
      <w:r w:rsidR="00FC4782" w:rsidRPr="00060D11">
        <w:rPr>
          <w:rFonts w:eastAsia="Times New Roman" w:cstheme="minorHAnsi"/>
        </w:rPr>
        <w:t>2</w:t>
      </w:r>
      <w:r w:rsidRPr="00060D11">
        <w:rPr>
          <w:rFonts w:eastAsia="Times New Roman" w:cstheme="minorHAnsi"/>
        </w:rPr>
        <w:t xml:space="preserve"> below). </w:t>
      </w:r>
    </w:p>
    <w:p w14:paraId="04E72D13" w14:textId="729771BF" w:rsidR="005B78C7" w:rsidRPr="00060D11" w:rsidRDefault="001F26A6" w:rsidP="004E780D">
      <w:pPr>
        <w:tabs>
          <w:tab w:val="left" w:pos="284"/>
        </w:tabs>
        <w:spacing w:after="120" w:line="276" w:lineRule="auto"/>
        <w:rPr>
          <w:rFonts w:eastAsia="Times New Roman" w:cstheme="minorHAnsi"/>
        </w:rPr>
      </w:pPr>
      <w:r w:rsidRPr="00060D11">
        <w:rPr>
          <w:rFonts w:eastAsia="Times New Roman" w:cstheme="minorHAnsi"/>
        </w:rPr>
        <w:t>Within this context, the PIE investment is planned as an eight-year, AUD 75 million investment</w:t>
      </w:r>
      <w:r w:rsidRPr="00060D11">
        <w:rPr>
          <w:rStyle w:val="FootnoteReference"/>
          <w:rFonts w:eastAsia="Times New Roman" w:cstheme="minorHAnsi"/>
        </w:rPr>
        <w:footnoteReference w:id="56"/>
      </w:r>
      <w:r w:rsidRPr="00060D11">
        <w:rPr>
          <w:rFonts w:eastAsia="Times New Roman" w:cstheme="minorHAnsi"/>
        </w:rPr>
        <w:t xml:space="preserve">  which will be implemented in three phases: Inception Phase </w:t>
      </w:r>
      <w:r w:rsidR="005B78C7" w:rsidRPr="00060D11">
        <w:rPr>
          <w:rFonts w:eastAsia="Times New Roman" w:cstheme="minorHAnsi"/>
        </w:rPr>
        <w:t xml:space="preserve">– </w:t>
      </w:r>
      <w:r w:rsidR="0042165D" w:rsidRPr="00060D11">
        <w:rPr>
          <w:rFonts w:eastAsia="Times New Roman" w:cstheme="minorHAnsi"/>
        </w:rPr>
        <w:t>six</w:t>
      </w:r>
      <w:r w:rsidR="005B78C7" w:rsidRPr="00060D11">
        <w:rPr>
          <w:rFonts w:eastAsia="Times New Roman" w:cstheme="minorHAnsi"/>
        </w:rPr>
        <w:t xml:space="preserve"> </w:t>
      </w:r>
      <w:r w:rsidRPr="00060D11">
        <w:rPr>
          <w:rFonts w:eastAsia="Times New Roman" w:cstheme="minorHAnsi"/>
        </w:rPr>
        <w:t xml:space="preserve">months; Phase </w:t>
      </w:r>
      <w:r w:rsidR="00F9529B" w:rsidRPr="00060D11">
        <w:rPr>
          <w:rFonts w:eastAsia="Times New Roman" w:cstheme="minorHAnsi"/>
        </w:rPr>
        <w:t>1</w:t>
      </w:r>
      <w:r w:rsidRPr="00060D11">
        <w:rPr>
          <w:rFonts w:eastAsia="Times New Roman" w:cstheme="minorHAnsi"/>
        </w:rPr>
        <w:t xml:space="preserve"> – 4.5 years; Phase </w:t>
      </w:r>
      <w:r w:rsidR="00F9529B" w:rsidRPr="00060D11">
        <w:rPr>
          <w:rFonts w:eastAsia="Times New Roman" w:cstheme="minorHAnsi"/>
        </w:rPr>
        <w:t xml:space="preserve">2 </w:t>
      </w:r>
      <w:r w:rsidR="005B78C7" w:rsidRPr="00060D11">
        <w:rPr>
          <w:rFonts w:eastAsia="Times New Roman" w:cstheme="minorHAnsi"/>
        </w:rPr>
        <w:t>–</w:t>
      </w:r>
      <w:r w:rsidRPr="00060D11">
        <w:rPr>
          <w:rFonts w:eastAsia="Times New Roman" w:cstheme="minorHAnsi"/>
        </w:rPr>
        <w:t xml:space="preserve"> three years. </w:t>
      </w:r>
      <w:r w:rsidR="002262CC">
        <w:rPr>
          <w:rFonts w:eastAsia="Times New Roman" w:cstheme="minorHAnsi"/>
        </w:rPr>
        <w:t>An independent review after 3 years</w:t>
      </w:r>
      <w:r w:rsidR="00F9529B" w:rsidRPr="00060D11">
        <w:rPr>
          <w:rFonts w:eastAsia="Times New Roman" w:cstheme="minorHAnsi"/>
        </w:rPr>
        <w:t xml:space="preserve"> </w:t>
      </w:r>
      <w:r w:rsidRPr="00060D11">
        <w:rPr>
          <w:rFonts w:eastAsia="Times New Roman" w:cstheme="minorHAnsi"/>
        </w:rPr>
        <w:t>and satisfactory evidence of progress towards outcomes</w:t>
      </w:r>
      <w:r w:rsidR="002262CC">
        <w:rPr>
          <w:rFonts w:eastAsia="Times New Roman" w:cstheme="minorHAnsi"/>
        </w:rPr>
        <w:t xml:space="preserve"> at the end of Phase 1</w:t>
      </w:r>
      <w:r w:rsidRPr="00060D11">
        <w:rPr>
          <w:rFonts w:eastAsia="Times New Roman" w:cstheme="minorHAnsi"/>
        </w:rPr>
        <w:t xml:space="preserve">, </w:t>
      </w:r>
      <w:r w:rsidR="002262CC">
        <w:rPr>
          <w:rFonts w:eastAsia="Times New Roman" w:cstheme="minorHAnsi"/>
        </w:rPr>
        <w:t xml:space="preserve">will determine if </w:t>
      </w:r>
      <w:r w:rsidRPr="00060D11">
        <w:rPr>
          <w:rFonts w:eastAsia="Times New Roman" w:cstheme="minorHAnsi"/>
        </w:rPr>
        <w:t xml:space="preserve">a further three years’ work will be supported. Figure </w:t>
      </w:r>
      <w:r w:rsidR="00FC4782" w:rsidRPr="00060D11">
        <w:rPr>
          <w:rFonts w:eastAsia="Times New Roman" w:cstheme="minorHAnsi"/>
        </w:rPr>
        <w:t>2</w:t>
      </w:r>
      <w:r w:rsidRPr="00060D11">
        <w:rPr>
          <w:rFonts w:eastAsia="Times New Roman" w:cstheme="minorHAnsi"/>
        </w:rPr>
        <w:t xml:space="preserve"> indicates that progress towards the achievement of outcomes in the initial target provinces is expected to appear from year </w:t>
      </w:r>
      <w:r w:rsidR="00F9529B" w:rsidRPr="00060D11">
        <w:rPr>
          <w:rFonts w:eastAsia="Times New Roman" w:cstheme="minorHAnsi"/>
        </w:rPr>
        <w:t>3</w:t>
      </w:r>
      <w:r w:rsidRPr="00060D11">
        <w:rPr>
          <w:rFonts w:eastAsia="Times New Roman" w:cstheme="minorHAnsi"/>
        </w:rPr>
        <w:t xml:space="preserve"> onwards. Broader adoption/adaptation in other provinces could commence thereafter depending upon interest and absorptive capacity. On this basis, the investment may directly engage with </w:t>
      </w:r>
      <w:r w:rsidR="0042165D" w:rsidRPr="00060D11">
        <w:rPr>
          <w:rFonts w:eastAsia="Times New Roman" w:cstheme="minorHAnsi"/>
        </w:rPr>
        <w:t>eight to ten</w:t>
      </w:r>
      <w:r w:rsidRPr="00060D11">
        <w:rPr>
          <w:rFonts w:eastAsia="Times New Roman" w:cstheme="minorHAnsi"/>
        </w:rPr>
        <w:t xml:space="preserve"> provinces over its lifetime. </w:t>
      </w:r>
    </w:p>
    <w:p w14:paraId="30752136" w14:textId="5C4C1242" w:rsidR="007A77AF" w:rsidRPr="00060D11" w:rsidRDefault="001F26A6" w:rsidP="004E780D">
      <w:pPr>
        <w:tabs>
          <w:tab w:val="left" w:pos="284"/>
        </w:tabs>
        <w:spacing w:after="120" w:line="276" w:lineRule="auto"/>
        <w:rPr>
          <w:rFonts w:eastAsia="Times New Roman" w:cstheme="minorHAnsi"/>
        </w:rPr>
      </w:pPr>
      <w:r w:rsidRPr="00060D11">
        <w:rPr>
          <w:rFonts w:eastAsia="Times New Roman" w:cstheme="minorHAnsi"/>
        </w:rPr>
        <w:t xml:space="preserve">However, commencement of operations in only four provinces is the best way to ensure that DFAT’s Value for Money principles are addressed. The proposed approach will facilitate testing and monitoring of innovative ways to address priority challenges, coupled with intensive capacity development work at national and sub-national levels. This work, including careful monitoring, analysis and dissemination of performance information, will provide a sound foundation for promoting broader adoption/adaptation of successful approaches in other provinces, as well as for policy dialogue between Australia and PNG on education policy directions. </w:t>
      </w:r>
    </w:p>
    <w:p w14:paraId="6BD253EF" w14:textId="77777777" w:rsidR="00832B17" w:rsidRDefault="00832B17">
      <w:pPr>
        <w:rPr>
          <w:rFonts w:eastAsia="Times New Roman" w:cstheme="minorHAnsi"/>
        </w:rPr>
      </w:pPr>
      <w:r>
        <w:rPr>
          <w:rFonts w:eastAsia="Times New Roman" w:cstheme="minorHAnsi"/>
        </w:rPr>
        <w:br w:type="page"/>
      </w:r>
    </w:p>
    <w:p w14:paraId="38017D18" w14:textId="0FEA3C2F" w:rsidR="001F26A6" w:rsidRPr="00060D11" w:rsidRDefault="001F26A6" w:rsidP="004E780D">
      <w:pPr>
        <w:tabs>
          <w:tab w:val="left" w:pos="284"/>
        </w:tabs>
        <w:rPr>
          <w:rFonts w:eastAsia="Times New Roman" w:cstheme="minorHAnsi"/>
          <w:b/>
          <w:bCs/>
          <w:sz w:val="20"/>
          <w:szCs w:val="20"/>
        </w:rPr>
      </w:pPr>
      <w:r w:rsidRPr="00060D11">
        <w:rPr>
          <w:rFonts w:eastAsia="Times New Roman" w:cstheme="minorHAnsi"/>
          <w:b/>
          <w:bCs/>
          <w:sz w:val="20"/>
          <w:szCs w:val="20"/>
        </w:rPr>
        <w:t xml:space="preserve">Figure </w:t>
      </w:r>
      <w:r w:rsidR="00FC4782" w:rsidRPr="00060D11">
        <w:rPr>
          <w:rFonts w:eastAsia="Times New Roman" w:cstheme="minorHAnsi"/>
          <w:b/>
          <w:bCs/>
          <w:sz w:val="20"/>
          <w:szCs w:val="20"/>
        </w:rPr>
        <w:t>2</w:t>
      </w:r>
      <w:r w:rsidRPr="00060D11">
        <w:rPr>
          <w:rFonts w:eastAsia="Times New Roman" w:cstheme="minorHAnsi"/>
          <w:b/>
          <w:bCs/>
          <w:sz w:val="20"/>
          <w:szCs w:val="20"/>
        </w:rPr>
        <w:t>: Timeline for long term change in the education sector in PNG</w:t>
      </w:r>
    </w:p>
    <w:p w14:paraId="2C28E214" w14:textId="535DEC6E" w:rsidR="001F26A6" w:rsidRPr="00060D11" w:rsidRDefault="00832B17" w:rsidP="004E780D">
      <w:pPr>
        <w:tabs>
          <w:tab w:val="left" w:pos="284"/>
        </w:tabs>
        <w:rPr>
          <w:rFonts w:eastAsia="Times New Roman" w:cstheme="minorHAnsi"/>
          <w:color w:val="FF0000"/>
        </w:rPr>
      </w:pPr>
      <w:r w:rsidRPr="00060D11">
        <w:rPr>
          <w:rFonts w:eastAsia="Times New Roman" w:cstheme="minorHAnsi"/>
          <w:noProof/>
          <w:color w:val="FF0000"/>
        </w:rPr>
        <mc:AlternateContent>
          <mc:Choice Requires="wpg">
            <w:drawing>
              <wp:inline distT="0" distB="0" distL="0" distR="0" wp14:anchorId="55441A44" wp14:editId="04422252">
                <wp:extent cx="6248400" cy="4191000"/>
                <wp:effectExtent l="0" t="0" r="38100" b="19050"/>
                <wp:docPr id="160" name="Group 160" descr="Figure 2 shows the timeline for long term change in the education sector in PNG. It shows how program outcomes (1-5 years) achieve the program outcomes (3-5 years), which achieve the strategic objectives (5-8 years), which achieve the long term goal (10+ years)."/>
                <wp:cNvGraphicFramePr/>
                <a:graphic xmlns:a="http://schemas.openxmlformats.org/drawingml/2006/main">
                  <a:graphicData uri="http://schemas.microsoft.com/office/word/2010/wordprocessingGroup">
                    <wpg:wgp>
                      <wpg:cNvGrpSpPr/>
                      <wpg:grpSpPr>
                        <a:xfrm>
                          <a:off x="0" y="0"/>
                          <a:ext cx="6248400" cy="4191000"/>
                          <a:chOff x="-41910" y="0"/>
                          <a:chExt cx="6382104" cy="4063252"/>
                        </a:xfrm>
                      </wpg:grpSpPr>
                      <wps:wsp>
                        <wps:cNvPr id="143" name="Arrow: Chevron 143"/>
                        <wps:cNvSpPr/>
                        <wps:spPr>
                          <a:xfrm>
                            <a:off x="87546" y="0"/>
                            <a:ext cx="1901544" cy="982980"/>
                          </a:xfrm>
                          <a:prstGeom prst="chevron">
                            <a:avLst/>
                          </a:prstGeom>
                          <a:solidFill>
                            <a:srgbClr val="ABF7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DDDDA" w14:textId="77777777" w:rsidR="00F96637" w:rsidRPr="00272CF8" w:rsidRDefault="00F96637" w:rsidP="00832B17">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C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Arrow: Chevron 144"/>
                        <wps:cNvSpPr/>
                        <wps:spPr>
                          <a:xfrm>
                            <a:off x="1543050" y="0"/>
                            <a:ext cx="1901544" cy="982980"/>
                          </a:xfrm>
                          <a:prstGeom prst="chevron">
                            <a:avLst/>
                          </a:prstGeom>
                          <a:solidFill>
                            <a:srgbClr val="1DF0FB"/>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4B3E2" w14:textId="77777777" w:rsidR="00F96637" w:rsidRPr="00272CF8" w:rsidRDefault="00F96637" w:rsidP="00832B17">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C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Arrow: Chevron 145"/>
                        <wps:cNvSpPr/>
                        <wps:spPr>
                          <a:xfrm>
                            <a:off x="2990850" y="0"/>
                            <a:ext cx="1901544" cy="982980"/>
                          </a:xfrm>
                          <a:prstGeom prst="chevron">
                            <a:avLst/>
                          </a:prstGeom>
                          <a:solidFill>
                            <a:srgbClr val="00B1C4"/>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5CE14" w14:textId="77777777" w:rsidR="00F96637" w:rsidRPr="008604BB" w:rsidRDefault="00F96637" w:rsidP="00832B17">
                              <w:pPr>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04BB">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Strategic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Arrow: Chevron 146"/>
                        <wps:cNvSpPr/>
                        <wps:spPr>
                          <a:xfrm>
                            <a:off x="4438650" y="0"/>
                            <a:ext cx="1901544" cy="982980"/>
                          </a:xfrm>
                          <a:prstGeom prst="chevron">
                            <a:avLst/>
                          </a:prstGeom>
                          <a:solidFill>
                            <a:srgbClr val="007C89"/>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F9B2C" w14:textId="77777777" w:rsidR="00F96637" w:rsidRPr="00AD0372" w:rsidRDefault="00F96637" w:rsidP="00832B17">
                              <w:pPr>
                                <w:jc w:val="center"/>
                                <w:rPr>
                                  <w:b/>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372">
                                <w:rPr>
                                  <w:b/>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 Term 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Text Box 148"/>
                        <wps:cNvSpPr txBox="1"/>
                        <wps:spPr>
                          <a:xfrm>
                            <a:off x="-41910" y="1075535"/>
                            <a:ext cx="1398194" cy="2482716"/>
                          </a:xfrm>
                          <a:prstGeom prst="roundRect">
                            <a:avLst/>
                          </a:prstGeom>
                          <a:solidFill>
                            <a:srgbClr val="ABF7FF"/>
                          </a:solidFill>
                          <a:ln w="6350">
                            <a:solidFill>
                              <a:prstClr val="black"/>
                            </a:solidFill>
                          </a:ln>
                        </wps:spPr>
                        <wps:txbx>
                          <w:txbxContent>
                            <w:p w14:paraId="75B0D2E1" w14:textId="77777777" w:rsidR="00F96637" w:rsidRPr="00837A8D" w:rsidRDefault="00F96637" w:rsidP="00832B17">
                              <w:pPr>
                                <w:rPr>
                                  <w:rFonts w:ascii="Arial Narrow" w:hAnsi="Arial Narrow"/>
                                  <w:sz w:val="20"/>
                                  <w:szCs w:val="20"/>
                                </w:rPr>
                              </w:pPr>
                              <w:r>
                                <w:rPr>
                                  <w:rFonts w:ascii="Arial Narrow" w:hAnsi="Arial Narrow"/>
                                  <w:sz w:val="20"/>
                                  <w:szCs w:val="20"/>
                                </w:rPr>
                                <w:t>Support to national and sub-national stakeholders to test approaches to increase enrolment/retention and GPI; to improve teaching and learning; and to strengthen policy, systems, processes and individual capacities at national and sub-national levels.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1470660" y="1089660"/>
                            <a:ext cx="1356360" cy="2430780"/>
                          </a:xfrm>
                          <a:prstGeom prst="roundRect">
                            <a:avLst/>
                          </a:prstGeom>
                          <a:solidFill>
                            <a:srgbClr val="1DF0FB"/>
                          </a:solidFill>
                          <a:ln w="6350">
                            <a:solidFill>
                              <a:prstClr val="black"/>
                            </a:solidFill>
                          </a:ln>
                        </wps:spPr>
                        <wps:txbx>
                          <w:txbxContent>
                            <w:p w14:paraId="1B96F129" w14:textId="77777777" w:rsidR="00F96637" w:rsidRDefault="00F96637" w:rsidP="00832B17">
                              <w:pPr>
                                <w:rPr>
                                  <w:rFonts w:ascii="Arial Narrow" w:hAnsi="Arial Narrow"/>
                                  <w:sz w:val="20"/>
                                  <w:szCs w:val="20"/>
                                </w:rPr>
                              </w:pPr>
                              <w:r>
                                <w:rPr>
                                  <w:rFonts w:ascii="Arial Narrow" w:hAnsi="Arial Narrow"/>
                                  <w:sz w:val="20"/>
                                  <w:szCs w:val="20"/>
                                </w:rPr>
                                <w:t>Achievement of program outcomes provides evidence of results in addressing specific, targeted challenges, and evidence of improved practices and capabilities. Additional provinces adopt/adapt effective approaches.</w:t>
                              </w:r>
                            </w:p>
                            <w:p w14:paraId="08AE6945" w14:textId="77777777" w:rsidR="00F96637" w:rsidRPr="00837A8D" w:rsidRDefault="00F96637" w:rsidP="00832B17">
                              <w:pPr>
                                <w:rPr>
                                  <w:rFonts w:ascii="Arial Narrow" w:hAnsi="Arial Narrow"/>
                                  <w:sz w:val="20"/>
                                  <w:szCs w:val="20"/>
                                </w:rPr>
                              </w:pPr>
                              <w:r>
                                <w:rPr>
                                  <w:rFonts w:ascii="Arial Narrow" w:hAnsi="Arial Narrow"/>
                                  <w:sz w:val="20"/>
                                  <w:szCs w:val="20"/>
                                </w:rPr>
                                <w:t>Emerging evidence of systemic change in priority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2933700" y="1109008"/>
                            <a:ext cx="1356360" cy="2430780"/>
                          </a:xfrm>
                          <a:prstGeom prst="roundRect">
                            <a:avLst/>
                          </a:prstGeom>
                          <a:solidFill>
                            <a:srgbClr val="00B1C4"/>
                          </a:solidFill>
                          <a:ln w="6350">
                            <a:solidFill>
                              <a:prstClr val="black"/>
                            </a:solidFill>
                          </a:ln>
                        </wps:spPr>
                        <wps:txbx>
                          <w:txbxContent>
                            <w:p w14:paraId="26093876" w14:textId="77777777" w:rsidR="00F96637" w:rsidRPr="00784471" w:rsidRDefault="00F96637" w:rsidP="00832B17">
                              <w:pPr>
                                <w:rPr>
                                  <w:rFonts w:ascii="Arial Narrow" w:hAnsi="Arial Narrow"/>
                                  <w:color w:val="000000" w:themeColor="text1"/>
                                  <w:sz w:val="20"/>
                                  <w:szCs w:val="20"/>
                                </w:rPr>
                              </w:pPr>
                              <w:r w:rsidRPr="00784471">
                                <w:rPr>
                                  <w:rFonts w:ascii="Arial Narrow" w:hAnsi="Arial Narrow"/>
                                  <w:color w:val="000000" w:themeColor="text1"/>
                                  <w:sz w:val="20"/>
                                  <w:szCs w:val="20"/>
                                </w:rPr>
                                <w:t>Broader adoption/adaptation of effective approaches occurs.</w:t>
                              </w:r>
                            </w:p>
                            <w:p w14:paraId="4AC7C9C7" w14:textId="77777777" w:rsidR="00F96637" w:rsidRPr="00784471" w:rsidRDefault="00F96637" w:rsidP="00832B17">
                              <w:pPr>
                                <w:rPr>
                                  <w:rFonts w:ascii="Arial Narrow" w:hAnsi="Arial Narrow"/>
                                  <w:color w:val="000000" w:themeColor="text1"/>
                                  <w:sz w:val="20"/>
                                  <w:szCs w:val="20"/>
                                </w:rPr>
                              </w:pPr>
                              <w:r w:rsidRPr="00784471">
                                <w:rPr>
                                  <w:rFonts w:ascii="Arial Narrow" w:hAnsi="Arial Narrow"/>
                                  <w:color w:val="000000" w:themeColor="text1"/>
                                  <w:sz w:val="20"/>
                                  <w:szCs w:val="20"/>
                                </w:rPr>
                                <w:t>Evidence of systemic change in priority areas.</w:t>
                              </w:r>
                            </w:p>
                            <w:p w14:paraId="6D94B8FF" w14:textId="77777777" w:rsidR="00F96637" w:rsidRPr="00784471" w:rsidRDefault="00F96637" w:rsidP="00832B17">
                              <w:pPr>
                                <w:rPr>
                                  <w:rFonts w:ascii="Arial Narrow" w:hAnsi="Arial Narrow"/>
                                  <w:color w:val="000000" w:themeColor="text1"/>
                                  <w:sz w:val="20"/>
                                  <w:szCs w:val="20"/>
                                </w:rPr>
                              </w:pPr>
                              <w:r w:rsidRPr="00784471">
                                <w:rPr>
                                  <w:rFonts w:ascii="Arial Narrow" w:hAnsi="Arial Narrow"/>
                                  <w:color w:val="000000" w:themeColor="text1"/>
                                  <w:sz w:val="20"/>
                                  <w:szCs w:val="20"/>
                                </w:rPr>
                                <w:t xml:space="preserve">National policy and programming decisions respond to evidence channelled through education system and reinforced by AHC policy dialogue.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Text Box 154"/>
                        <wps:cNvSpPr txBox="1"/>
                        <wps:spPr>
                          <a:xfrm>
                            <a:off x="4381500" y="1089660"/>
                            <a:ext cx="1737360" cy="2430780"/>
                          </a:xfrm>
                          <a:prstGeom prst="roundRect">
                            <a:avLst/>
                          </a:prstGeom>
                          <a:solidFill>
                            <a:srgbClr val="007C89"/>
                          </a:solidFill>
                          <a:ln w="6350">
                            <a:solidFill>
                              <a:prstClr val="black"/>
                            </a:solidFill>
                          </a:ln>
                        </wps:spPr>
                        <wps:txbx>
                          <w:txbxContent>
                            <w:p w14:paraId="7D8A0971" w14:textId="77777777" w:rsidR="00F96637" w:rsidRPr="00AD0372" w:rsidRDefault="00F96637" w:rsidP="00832B17">
                              <w:pPr>
                                <w:rPr>
                                  <w:rFonts w:ascii="Arial Narrow" w:hAnsi="Arial Narrow"/>
                                  <w:color w:val="FFFFFF" w:themeColor="background1"/>
                                  <w:sz w:val="20"/>
                                  <w:szCs w:val="20"/>
                                </w:rPr>
                              </w:pPr>
                              <w:r w:rsidRPr="00AD0372">
                                <w:rPr>
                                  <w:rFonts w:ascii="Arial Narrow" w:hAnsi="Arial Narrow"/>
                                  <w:color w:val="FFFFFF" w:themeColor="background1"/>
                                  <w:sz w:val="20"/>
                                  <w:szCs w:val="20"/>
                                </w:rPr>
                                <w:t xml:space="preserve">The goal focuses on service delivery improvements that result from initial efforts to address priority challenges, and education system reform, as well as adoption/adaptation of effective approaches </w:t>
                              </w:r>
                              <w:r>
                                <w:rPr>
                                  <w:rFonts w:ascii="Arial Narrow" w:hAnsi="Arial Narrow"/>
                                  <w:color w:val="FFFFFF" w:themeColor="background1"/>
                                  <w:sz w:val="20"/>
                                  <w:szCs w:val="20"/>
                                </w:rPr>
                                <w:t xml:space="preserve">by a range of provinces </w:t>
                              </w:r>
                              <w:r w:rsidRPr="00AD0372">
                                <w:rPr>
                                  <w:rFonts w:ascii="Arial Narrow" w:hAnsi="Arial Narrow"/>
                                  <w:color w:val="FFFFFF" w:themeColor="background1"/>
                                  <w:sz w:val="20"/>
                                  <w:szCs w:val="20"/>
                                </w:rPr>
                                <w:t xml:space="preserve">and national policy reform.  Although the investment may contribute to this goal, this is above the ‘line of accountability’ for any individual investment.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Arrow: Chevron 155"/>
                        <wps:cNvSpPr/>
                        <wps:spPr>
                          <a:xfrm>
                            <a:off x="3810" y="3601821"/>
                            <a:ext cx="1318260" cy="461431"/>
                          </a:xfrm>
                          <a:prstGeom prst="chevron">
                            <a:avLst/>
                          </a:prstGeom>
                          <a:solidFill>
                            <a:srgbClr val="ABF7FF"/>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9292A" w14:textId="77777777" w:rsidR="00F96637" w:rsidRPr="00AE40F4" w:rsidRDefault="00F96637" w:rsidP="00832B17">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0F4">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5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Arrow: Chevron 156"/>
                        <wps:cNvSpPr/>
                        <wps:spPr>
                          <a:xfrm>
                            <a:off x="1504866" y="3601554"/>
                            <a:ext cx="1318260" cy="461397"/>
                          </a:xfrm>
                          <a:prstGeom prst="chevron">
                            <a:avLst/>
                          </a:prstGeom>
                          <a:solidFill>
                            <a:srgbClr val="1DF0FB"/>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D0681" w14:textId="77777777" w:rsidR="00F96637" w:rsidRPr="00AE40F4" w:rsidRDefault="00F96637" w:rsidP="00832B17">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E40F4">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5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Arrow: Chevron 157"/>
                        <wps:cNvSpPr/>
                        <wps:spPr>
                          <a:xfrm>
                            <a:off x="2975278" y="3601556"/>
                            <a:ext cx="1318260" cy="461095"/>
                          </a:xfrm>
                          <a:prstGeom prst="chevron">
                            <a:avLst/>
                          </a:prstGeom>
                          <a:solidFill>
                            <a:srgbClr val="00B1C4"/>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F38F5" w14:textId="77777777" w:rsidR="00F96637" w:rsidRPr="00AE40F4" w:rsidRDefault="00F96637" w:rsidP="00832B17">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w:t>
                              </w:r>
                              <w:r w:rsidRPr="00AE40F4">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Arrow: Chevron 158"/>
                        <wps:cNvSpPr/>
                        <wps:spPr>
                          <a:xfrm>
                            <a:off x="4537204" y="3601554"/>
                            <a:ext cx="1318260" cy="460797"/>
                          </a:xfrm>
                          <a:prstGeom prst="chevron">
                            <a:avLst/>
                          </a:prstGeom>
                          <a:solidFill>
                            <a:srgbClr val="006E7A"/>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914C1" w14:textId="77777777" w:rsidR="00F96637" w:rsidRPr="00AE40F4" w:rsidRDefault="00F96637" w:rsidP="00832B17">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4471">
                                <w:rPr>
                                  <w:color w:val="FFFFFF" w:themeColor="background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441A44" id="Group 160" o:spid="_x0000_s1053" alt="Figure 2 shows the timeline for long term change in the education sector in PNG. It shows how program outcomes (1-5 years) achieve the program outcomes (3-5 years), which achieve the strategic objectives (5-8 years), which achieve the long term goal (10+ years)." style="width:492pt;height:330pt;mso-position-horizontal-relative:char;mso-position-vertical-relative:line" coordorigin="-419" coordsize="63821,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43" o:spid="_x0000_s1054" type="#_x0000_t55" style="position:absolute;left:875;width:19015;height:9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" adj="16017" fillcolor="#abf7ff" strokecolor="#c5e0b3 [1305]" strokeweight="1pt">
                  <v:textbox>
                    <w:txbxContent>
                      <w:p w14:paraId="381DDDDA" w14:textId="77777777" w:rsidR="00F96637" w:rsidRPr="00272CF8" w:rsidRDefault="00F96637" w:rsidP="00832B17">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C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activities</w:t>
                        </w:r>
                      </w:p>
                    </w:txbxContent>
                  </v:textbox>
                </v:shape>
                <v:shape id="Arrow: Chevron 144" o:spid="_x0000_s1055" type="#_x0000_t55" style="position:absolute;left:15430;width:19015;height:9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" adj="16017" fillcolor="#1df0fb" strokecolor="#c5e0b3 [1305]" strokeweight="1pt">
                  <v:textbox>
                    <w:txbxContent>
                      <w:p w14:paraId="6CD4B3E2" w14:textId="77777777" w:rsidR="00F96637" w:rsidRPr="00272CF8" w:rsidRDefault="00F96637" w:rsidP="00832B17">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C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outcomes</w:t>
                        </w:r>
                      </w:p>
                    </w:txbxContent>
                  </v:textbox>
                </v:shape>
                <v:shape id="Arrow: Chevron 145" o:spid="_x0000_s1056" type="#_x0000_t55" style="position:absolute;left:29908;width:19015;height:9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" adj="16017" fillcolor="#00b1c4" strokecolor="#a8d08d [1945]" strokeweight="1pt">
                  <v:textbox>
                    <w:txbxContent>
                      <w:p w14:paraId="3705CE14" w14:textId="77777777" w:rsidR="00F96637" w:rsidRPr="008604BB" w:rsidRDefault="00F96637" w:rsidP="00832B17">
                        <w:pPr>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04BB">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Strategic Objectives</w:t>
                        </w:r>
                      </w:p>
                    </w:txbxContent>
                  </v:textbox>
                </v:shape>
                <v:shape id="Arrow: Chevron 146" o:spid="_x0000_s1057" type="#_x0000_t55" style="position:absolute;left:44386;width:19015;height:9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" adj="16017" fillcolor="#007c89" strokecolor="#c5e0b3 [1305]" strokeweight="1pt">
                  <v:textbox>
                    <w:txbxContent>
                      <w:p w14:paraId="74BF9B2C" w14:textId="77777777" w:rsidR="00F96637" w:rsidRPr="00AD0372" w:rsidRDefault="00F96637" w:rsidP="00832B17">
                        <w:pPr>
                          <w:jc w:val="center"/>
                          <w:rPr>
                            <w:b/>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372">
                          <w:rPr>
                            <w:b/>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 Term Goal</w:t>
                        </w:r>
                      </w:p>
                    </w:txbxContent>
                  </v:textbox>
                </v:shape>
                <v:roundrect id="Text Box 148" o:spid="_x0000_s1058" style="position:absolute;left:-419;top:10755;width:13981;height:248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" fillcolor="#abf7ff" strokeweight=".5pt">
                  <v:textbox>
                    <w:txbxContent>
                      <w:p w14:paraId="75B0D2E1" w14:textId="77777777" w:rsidR="00F96637" w:rsidRPr="00837A8D" w:rsidRDefault="00F96637" w:rsidP="00832B17">
                        <w:pPr>
                          <w:rPr>
                            <w:rFonts w:ascii="Arial Narrow" w:hAnsi="Arial Narrow"/>
                            <w:sz w:val="20"/>
                            <w:szCs w:val="20"/>
                          </w:rPr>
                        </w:pPr>
                        <w:r>
                          <w:rPr>
                            <w:rFonts w:ascii="Arial Narrow" w:hAnsi="Arial Narrow"/>
                            <w:sz w:val="20"/>
                            <w:szCs w:val="20"/>
                          </w:rPr>
                          <w:t>Support to national and sub-national stakeholders to test approaches to increase enrolment/retention and GPI; to improve teaching and learning; and to strengthen policy, systems, processes and individual capacities at national and sub-national levels.</w:t>
                        </w:r>
                      </w:p>
                    </w:txbxContent>
                  </v:textbox>
                </v:roundrect>
                <v:roundrect id="Text Box 152" o:spid="_x0000_s1059" style="position:absolute;left:14706;top:10896;width:13564;height:243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" fillcolor="#1df0fb" strokeweight=".5pt">
                  <v:textbox>
                    <w:txbxContent>
                      <w:p w14:paraId="1B96F129" w14:textId="77777777" w:rsidR="00F96637" w:rsidRDefault="00F96637" w:rsidP="00832B17">
                        <w:pPr>
                          <w:rPr>
                            <w:rFonts w:ascii="Arial Narrow" w:hAnsi="Arial Narrow"/>
                            <w:sz w:val="20"/>
                            <w:szCs w:val="20"/>
                          </w:rPr>
                        </w:pPr>
                        <w:r>
                          <w:rPr>
                            <w:rFonts w:ascii="Arial Narrow" w:hAnsi="Arial Narrow"/>
                            <w:sz w:val="20"/>
                            <w:szCs w:val="20"/>
                          </w:rPr>
                          <w:t>Achievement of program outcomes provides evidence of results in addressing specific, targeted challenges, and evidence of improved practices and capabilities. Additional provinces adopt/adapt effective approaches.</w:t>
                        </w:r>
                      </w:p>
                      <w:p w14:paraId="08AE6945" w14:textId="77777777" w:rsidR="00F96637" w:rsidRPr="00837A8D" w:rsidRDefault="00F96637" w:rsidP="00832B17">
                        <w:pPr>
                          <w:rPr>
                            <w:rFonts w:ascii="Arial Narrow" w:hAnsi="Arial Narrow"/>
                            <w:sz w:val="20"/>
                            <w:szCs w:val="20"/>
                          </w:rPr>
                        </w:pPr>
                        <w:r>
                          <w:rPr>
                            <w:rFonts w:ascii="Arial Narrow" w:hAnsi="Arial Narrow"/>
                            <w:sz w:val="20"/>
                            <w:szCs w:val="20"/>
                          </w:rPr>
                          <w:t>Emerging evidence of systemic change in priority areas.</w:t>
                        </w:r>
                      </w:p>
                    </w:txbxContent>
                  </v:textbox>
                </v:roundrect>
                <v:roundrect id="Text Box 153" o:spid="_x0000_s1060" style="position:absolute;left:29337;top:11090;width:13563;height:243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" fillcolor="#00b1c4" strokeweight=".5pt">
                  <v:textbox>
                    <w:txbxContent>
                      <w:p w14:paraId="26093876" w14:textId="77777777" w:rsidR="00F96637" w:rsidRPr="00784471" w:rsidRDefault="00F96637" w:rsidP="00832B17">
                        <w:pPr>
                          <w:rPr>
                            <w:rFonts w:ascii="Arial Narrow" w:hAnsi="Arial Narrow"/>
                            <w:color w:val="000000" w:themeColor="text1"/>
                            <w:sz w:val="20"/>
                            <w:szCs w:val="20"/>
                          </w:rPr>
                        </w:pPr>
                        <w:r w:rsidRPr="00784471">
                          <w:rPr>
                            <w:rFonts w:ascii="Arial Narrow" w:hAnsi="Arial Narrow"/>
                            <w:color w:val="000000" w:themeColor="text1"/>
                            <w:sz w:val="20"/>
                            <w:szCs w:val="20"/>
                          </w:rPr>
                          <w:t>Broader adoption/adaptation of effective approaches occurs.</w:t>
                        </w:r>
                      </w:p>
                      <w:p w14:paraId="4AC7C9C7" w14:textId="77777777" w:rsidR="00F96637" w:rsidRPr="00784471" w:rsidRDefault="00F96637" w:rsidP="00832B17">
                        <w:pPr>
                          <w:rPr>
                            <w:rFonts w:ascii="Arial Narrow" w:hAnsi="Arial Narrow"/>
                            <w:color w:val="000000" w:themeColor="text1"/>
                            <w:sz w:val="20"/>
                            <w:szCs w:val="20"/>
                          </w:rPr>
                        </w:pPr>
                        <w:r w:rsidRPr="00784471">
                          <w:rPr>
                            <w:rFonts w:ascii="Arial Narrow" w:hAnsi="Arial Narrow"/>
                            <w:color w:val="000000" w:themeColor="text1"/>
                            <w:sz w:val="20"/>
                            <w:szCs w:val="20"/>
                          </w:rPr>
                          <w:t>Evidence of systemic change in priority areas.</w:t>
                        </w:r>
                      </w:p>
                      <w:p w14:paraId="6D94B8FF" w14:textId="77777777" w:rsidR="00F96637" w:rsidRPr="00784471" w:rsidRDefault="00F96637" w:rsidP="00832B17">
                        <w:pPr>
                          <w:rPr>
                            <w:rFonts w:ascii="Arial Narrow" w:hAnsi="Arial Narrow"/>
                            <w:color w:val="000000" w:themeColor="text1"/>
                            <w:sz w:val="20"/>
                            <w:szCs w:val="20"/>
                          </w:rPr>
                        </w:pPr>
                        <w:r w:rsidRPr="00784471">
                          <w:rPr>
                            <w:rFonts w:ascii="Arial Narrow" w:hAnsi="Arial Narrow"/>
                            <w:color w:val="000000" w:themeColor="text1"/>
                            <w:sz w:val="20"/>
                            <w:szCs w:val="20"/>
                          </w:rPr>
                          <w:t xml:space="preserve">National policy and programming decisions respond to evidence channelled through education system and reinforced by AHC policy dialogue.  </w:t>
                        </w:r>
                      </w:p>
                    </w:txbxContent>
                  </v:textbox>
                </v:roundrect>
                <v:roundrect id="Text Box 154" o:spid="_x0000_s1061" style="position:absolute;left:43815;top:10896;width:17373;height:243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" fillcolor="#007c89" strokeweight=".5pt">
                  <v:textbox>
                    <w:txbxContent>
                      <w:p w14:paraId="7D8A0971" w14:textId="77777777" w:rsidR="00F96637" w:rsidRPr="00AD0372" w:rsidRDefault="00F96637" w:rsidP="00832B17">
                        <w:pPr>
                          <w:rPr>
                            <w:rFonts w:ascii="Arial Narrow" w:hAnsi="Arial Narrow"/>
                            <w:color w:val="FFFFFF" w:themeColor="background1"/>
                            <w:sz w:val="20"/>
                            <w:szCs w:val="20"/>
                          </w:rPr>
                        </w:pPr>
                        <w:r w:rsidRPr="00AD0372">
                          <w:rPr>
                            <w:rFonts w:ascii="Arial Narrow" w:hAnsi="Arial Narrow"/>
                            <w:color w:val="FFFFFF" w:themeColor="background1"/>
                            <w:sz w:val="20"/>
                            <w:szCs w:val="20"/>
                          </w:rPr>
                          <w:t xml:space="preserve">The goal focuses on service delivery improvements that result from initial efforts to address priority challenges, and education system reform, as well as adoption/adaptation of effective approaches </w:t>
                        </w:r>
                        <w:r>
                          <w:rPr>
                            <w:rFonts w:ascii="Arial Narrow" w:hAnsi="Arial Narrow"/>
                            <w:color w:val="FFFFFF" w:themeColor="background1"/>
                            <w:sz w:val="20"/>
                            <w:szCs w:val="20"/>
                          </w:rPr>
                          <w:t xml:space="preserve">by a range of provinces </w:t>
                        </w:r>
                        <w:r w:rsidRPr="00AD0372">
                          <w:rPr>
                            <w:rFonts w:ascii="Arial Narrow" w:hAnsi="Arial Narrow"/>
                            <w:color w:val="FFFFFF" w:themeColor="background1"/>
                            <w:sz w:val="20"/>
                            <w:szCs w:val="20"/>
                          </w:rPr>
                          <w:t xml:space="preserve">and national policy reform.  Although the investment may contribute to this goal, this is above the ‘line of accountability’ for any individual investment. </w:t>
                        </w:r>
                      </w:p>
                    </w:txbxContent>
                  </v:textbox>
                </v:roundrect>
                <v:shape id="Arrow: Chevron 155" o:spid="_x0000_s1062" type="#_x0000_t55" style="position:absolute;left:38;top:36018;width:13182;height:4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" adj="17820" fillcolor="#abf7ff" strokecolor="#a8d08d [1945]" strokeweight="1pt">
                  <v:textbox>
                    <w:txbxContent>
                      <w:p w14:paraId="3399292A" w14:textId="77777777" w:rsidR="00F96637" w:rsidRPr="00AE40F4" w:rsidRDefault="00F96637" w:rsidP="00832B17">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0F4">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5 years</w:t>
                        </w:r>
                      </w:p>
                    </w:txbxContent>
                  </v:textbox>
                </v:shape>
                <v:shape id="Arrow: Chevron 156" o:spid="_x0000_s1063" type="#_x0000_t55" style="position:absolute;left:15048;top:36015;width:13183;height:4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" adj="17820" fillcolor="#1df0fb" strokecolor="#a8d08d [1945]" strokeweight="1pt">
                  <v:textbox>
                    <w:txbxContent>
                      <w:p w14:paraId="15CD0681" w14:textId="77777777" w:rsidR="00F96637" w:rsidRPr="00AE40F4" w:rsidRDefault="00F96637" w:rsidP="00832B17">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E40F4">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5 years</w:t>
                        </w:r>
                      </w:p>
                    </w:txbxContent>
                  </v:textbox>
                </v:shape>
                <v:shape id="Arrow: Chevron 157" o:spid="_x0000_s1064" type="#_x0000_t55" style="position:absolute;left:29752;top:36015;width:13183;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" adj="17822" fillcolor="#00b1c4" strokecolor="#a8d08d [1945]" strokeweight="1pt">
                  <v:textbox>
                    <w:txbxContent>
                      <w:p w14:paraId="757F38F5" w14:textId="77777777" w:rsidR="00F96637" w:rsidRPr="00AE40F4" w:rsidRDefault="00F96637" w:rsidP="00832B17">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w:t>
                        </w:r>
                        <w:r w:rsidRPr="00AE40F4">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years</w:t>
                        </w:r>
                      </w:p>
                    </w:txbxContent>
                  </v:textbox>
                </v:shape>
                <v:shape id="Arrow: Chevron 158" o:spid="_x0000_s1065" type="#_x0000_t55" style="position:absolute;left:45372;top:36015;width:13182;height:4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" adj="17825" fillcolor="#006e7a" strokecolor="#a8d08d [1945]" strokeweight="1pt">
                  <v:textbox>
                    <w:txbxContent>
                      <w:p w14:paraId="2CB914C1" w14:textId="77777777" w:rsidR="00F96637" w:rsidRPr="00AE40F4" w:rsidRDefault="00F96637" w:rsidP="00832B17">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4471">
                          <w:rPr>
                            <w:color w:val="FFFFFF" w:themeColor="background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years</w:t>
                        </w:r>
                      </w:p>
                    </w:txbxContent>
                  </v:textbox>
                </v:shape>
                <w10:anchorlock/>
              </v:group>
            </w:pict>
          </mc:Fallback>
        </mc:AlternateContent>
      </w:r>
    </w:p>
    <w:p w14:paraId="3775E35F" w14:textId="57B51525" w:rsidR="001F26A6" w:rsidRPr="00060D11" w:rsidRDefault="001F26A6" w:rsidP="004E780D">
      <w:pPr>
        <w:tabs>
          <w:tab w:val="left" w:pos="284"/>
        </w:tabs>
        <w:rPr>
          <w:rFonts w:eastAsia="Times New Roman" w:cstheme="minorHAnsi"/>
        </w:rPr>
      </w:pPr>
    </w:p>
    <w:p w14:paraId="610F861B" w14:textId="036FF745" w:rsidR="001F26A6" w:rsidRPr="00C04736" w:rsidRDefault="001F26A6" w:rsidP="00C04736">
      <w:pPr>
        <w:pStyle w:val="Heading3"/>
        <w:spacing w:before="0"/>
        <w:rPr>
          <w:sz w:val="30"/>
          <w:szCs w:val="30"/>
        </w:rPr>
      </w:pPr>
      <w:r w:rsidRPr="00C04736">
        <w:rPr>
          <w:sz w:val="30"/>
          <w:szCs w:val="30"/>
        </w:rPr>
        <w:t>End of Investment Outcomes</w:t>
      </w:r>
    </w:p>
    <w:p w14:paraId="5E2909D8" w14:textId="3FF4B851" w:rsidR="0042165D" w:rsidRPr="00060D11" w:rsidRDefault="001F26A6" w:rsidP="004E780D">
      <w:pPr>
        <w:spacing w:after="120" w:line="276" w:lineRule="auto"/>
        <w:rPr>
          <w:rFonts w:cstheme="minorHAnsi"/>
          <w:color w:val="495964"/>
        </w:rPr>
      </w:pPr>
      <w:r w:rsidRPr="00060D11">
        <w:rPr>
          <w:rFonts w:cstheme="minorHAnsi"/>
          <w:color w:val="495964"/>
        </w:rPr>
        <w:t xml:space="preserve">This design draws upon meta-data analysis of key education indicators (Appendix A), the results of a systematic process of consultations with national and provincial stakeholders (Appendix B) as well as national/international experience. </w:t>
      </w:r>
    </w:p>
    <w:p w14:paraId="174593E9" w14:textId="23E740E5" w:rsidR="0042165D" w:rsidRPr="00060D11" w:rsidRDefault="001F26A6" w:rsidP="004E780D">
      <w:pPr>
        <w:spacing w:after="120" w:line="276" w:lineRule="auto"/>
        <w:rPr>
          <w:rFonts w:cstheme="minorHAnsi"/>
        </w:rPr>
      </w:pPr>
      <w:r w:rsidRPr="00060D11">
        <w:rPr>
          <w:rFonts w:cstheme="minorHAnsi"/>
        </w:rPr>
        <w:t>The design process has identified challenges requiring immediate attention. These challenges represent ‘tipping points’ which, if left unaddressed, will lead to declining service delivery. The design process has also identified a range of ‘system’ blockages which have the potential to undermine efforts to roll out the NEP.</w:t>
      </w:r>
    </w:p>
    <w:p w14:paraId="693629F2" w14:textId="77777777" w:rsidR="001F26A6" w:rsidRPr="00060D11" w:rsidRDefault="001F26A6" w:rsidP="004E780D">
      <w:pPr>
        <w:spacing w:after="120" w:line="276" w:lineRule="auto"/>
        <w:rPr>
          <w:caps/>
        </w:rPr>
      </w:pPr>
      <w:r w:rsidRPr="00060D11">
        <w:rPr>
          <w:rFonts w:cstheme="minorHAnsi"/>
          <w:color w:val="495964"/>
        </w:rPr>
        <w:t xml:space="preserve">The demand-side challenge requiring immediate attention is the </w:t>
      </w:r>
      <w:r w:rsidRPr="00060D11">
        <w:rPr>
          <w:i/>
          <w:iCs/>
        </w:rPr>
        <w:t xml:space="preserve">‘creeping crisis’ showing static enrolments and declining retention in the early grades: </w:t>
      </w:r>
      <w:r w:rsidRPr="00060D11">
        <w:t xml:space="preserve">Meta-data analysis (Appendix A) reveals that in 2019 close to 30 percent of children were not enrolling in age-appropriate levels of education. When compared to the 2009 NER, a potential stagnation of the national NER is indicated over the past two decades. This is well below the national objectives for universal basic education. </w:t>
      </w:r>
    </w:p>
    <w:p w14:paraId="7524D072" w14:textId="18507EEF" w:rsidR="0042165D" w:rsidRPr="00060D11" w:rsidRDefault="001F26A6" w:rsidP="004E780D">
      <w:pPr>
        <w:spacing w:after="120" w:line="276" w:lineRule="auto"/>
      </w:pPr>
      <w:r w:rsidRPr="00060D11">
        <w:t>Further, analysis of (pre COVID-19) data in five provinces has revealed that 4 out of 10 students enrolled in the Preparatory level will not transition to Grade 3.</w:t>
      </w:r>
      <w:r w:rsidR="0042165D" w:rsidRPr="00060D11">
        <w:t xml:space="preserve"> </w:t>
      </w:r>
    </w:p>
    <w:p w14:paraId="556691E7" w14:textId="63225C95" w:rsidR="0042165D" w:rsidRPr="00060D11" w:rsidRDefault="001F26A6" w:rsidP="004E780D">
      <w:pPr>
        <w:spacing w:after="120" w:line="276" w:lineRule="auto"/>
      </w:pPr>
      <w:r w:rsidRPr="00060D11">
        <w:t xml:space="preserve">Additionally, although the national GPI from Preparatory to Grade 8 has improved over the past decade, there remain pockets of inequality, including in the targeted provinces. The GPI figures also mask lower GPI figures for enrolment and retention </w:t>
      </w:r>
      <w:r w:rsidR="0042165D" w:rsidRPr="00060D11">
        <w:t xml:space="preserve">in </w:t>
      </w:r>
      <w:r w:rsidRPr="00060D11">
        <w:t>the early grades.</w:t>
      </w:r>
    </w:p>
    <w:p w14:paraId="02E28FCB" w14:textId="272B9151" w:rsidR="0042165D" w:rsidRPr="00060D11" w:rsidRDefault="001F26A6" w:rsidP="004E780D">
      <w:pPr>
        <w:spacing w:after="120" w:line="276" w:lineRule="auto"/>
      </w:pPr>
      <w:r w:rsidRPr="00060D11">
        <w:rPr>
          <w:rFonts w:cstheme="minorHAnsi"/>
          <w:color w:val="495964"/>
        </w:rPr>
        <w:t>The supply-side challenge requiring immediate attention</w:t>
      </w:r>
      <w:r w:rsidRPr="00060D11">
        <w:rPr>
          <w:i/>
          <w:iCs/>
        </w:rPr>
        <w:t xml:space="preserve"> is the chronic shortage of qualified teachers</w:t>
      </w:r>
      <w:r w:rsidRPr="00060D11">
        <w:t xml:space="preserve"> available to implement the new 1-6-6 structure. Provincial authorities in both Sandaun and Enga provinces reported during consultations that less than 30 percent of their elementary teachers have the necessary qualifications, knowledge or skills to teach in primary schools. As a result, this issue was identified as a high priority for attention and critical to improving early grades learning outcomes.</w:t>
      </w:r>
    </w:p>
    <w:p w14:paraId="0CDBA93E" w14:textId="4F82C7F2" w:rsidR="0042165D" w:rsidRPr="00060D11" w:rsidRDefault="001F26A6" w:rsidP="004E780D">
      <w:pPr>
        <w:spacing w:after="120" w:line="276" w:lineRule="auto"/>
      </w:pPr>
      <w:r w:rsidRPr="00060D11">
        <w:t>Finally, the limited capacity</w:t>
      </w:r>
      <w:r w:rsidR="00DD42E2" w:rsidRPr="00060D11">
        <w:t xml:space="preserve"> (including skills, </w:t>
      </w:r>
      <w:r w:rsidR="005433E0" w:rsidRPr="00060D11">
        <w:t>motivation</w:t>
      </w:r>
      <w:r w:rsidR="00DD42E2" w:rsidRPr="00060D11">
        <w:t xml:space="preserve"> and opportunity)</w:t>
      </w:r>
      <w:r w:rsidRPr="00060D11">
        <w:t xml:space="preserve"> of the education service delivery system </w:t>
      </w:r>
      <w:r w:rsidR="008B3A50" w:rsidRPr="00060D11">
        <w:t>including</w:t>
      </w:r>
      <w:r w:rsidRPr="00060D11">
        <w:t xml:space="preserve"> limitations in the collection, analysis and use of evidence to inform decision making, has the potential to undermine all/any reform efforts in the medium term. </w:t>
      </w:r>
    </w:p>
    <w:p w14:paraId="5B6ABBE5" w14:textId="77777777" w:rsidR="001F26A6" w:rsidRPr="00060D11" w:rsidRDefault="001F26A6" w:rsidP="004E780D">
      <w:pPr>
        <w:spacing w:after="120" w:line="276" w:lineRule="auto"/>
      </w:pPr>
      <w:bookmarkStart w:id="46" w:name="_Hlk68332612"/>
      <w:r w:rsidRPr="00060D11">
        <w:t xml:space="preserve">During consultations, both national and provincial stakeholders openly discussed a range of system ‘blockages’ which need to be investigated further during implementation. These include: </w:t>
      </w:r>
    </w:p>
    <w:p w14:paraId="28B71BD5" w14:textId="38469E17" w:rsidR="001F26A6" w:rsidRPr="00060D11" w:rsidRDefault="009E546D" w:rsidP="004E780D">
      <w:pPr>
        <w:pStyle w:val="ListParagraph"/>
        <w:numPr>
          <w:ilvl w:val="0"/>
          <w:numId w:val="14"/>
        </w:numPr>
        <w:spacing w:after="120" w:line="276" w:lineRule="auto"/>
        <w:rPr>
          <w:sz w:val="22"/>
        </w:rPr>
      </w:pPr>
      <w:r w:rsidRPr="00060D11">
        <w:rPr>
          <w:sz w:val="22"/>
        </w:rPr>
        <w:t>n</w:t>
      </w:r>
      <w:r w:rsidR="001F26A6" w:rsidRPr="00060D11">
        <w:rPr>
          <w:sz w:val="22"/>
        </w:rPr>
        <w:t>on-availability of accurate data within the Ministry (i.e., total number of schools by sector; numbers of teachers by sector and gender; number of students by sector, gender and level of disability)</w:t>
      </w:r>
      <w:r w:rsidRPr="00060D11">
        <w:rPr>
          <w:sz w:val="22"/>
        </w:rPr>
        <w:t>;</w:t>
      </w:r>
    </w:p>
    <w:p w14:paraId="13B3737A" w14:textId="082BA9A8" w:rsidR="001F26A6" w:rsidRPr="00060D11" w:rsidRDefault="009E546D" w:rsidP="004E780D">
      <w:pPr>
        <w:pStyle w:val="ListParagraph"/>
        <w:numPr>
          <w:ilvl w:val="0"/>
          <w:numId w:val="14"/>
        </w:numPr>
        <w:spacing w:after="120" w:line="276" w:lineRule="auto"/>
        <w:rPr>
          <w:sz w:val="22"/>
        </w:rPr>
      </w:pPr>
      <w:r w:rsidRPr="00060D11">
        <w:rPr>
          <w:sz w:val="22"/>
        </w:rPr>
        <w:t>b</w:t>
      </w:r>
      <w:r w:rsidR="001F26A6" w:rsidRPr="00060D11">
        <w:rPr>
          <w:sz w:val="22"/>
        </w:rPr>
        <w:t>lockages in process for development, submission and approval of provincial education plans</w:t>
      </w:r>
      <w:r w:rsidR="008439E5" w:rsidRPr="00060D11">
        <w:rPr>
          <w:sz w:val="22"/>
        </w:rPr>
        <w:t xml:space="preserve"> (PEPs)</w:t>
      </w:r>
      <w:r w:rsidRPr="00060D11">
        <w:rPr>
          <w:sz w:val="22"/>
        </w:rPr>
        <w:t>;</w:t>
      </w:r>
    </w:p>
    <w:p w14:paraId="6661D287" w14:textId="0E184895" w:rsidR="001F26A6" w:rsidRPr="00060D11" w:rsidRDefault="009E546D" w:rsidP="004E780D">
      <w:pPr>
        <w:pStyle w:val="ListParagraph"/>
        <w:numPr>
          <w:ilvl w:val="0"/>
          <w:numId w:val="14"/>
        </w:numPr>
        <w:spacing w:after="120" w:line="276" w:lineRule="auto"/>
        <w:rPr>
          <w:sz w:val="22"/>
        </w:rPr>
      </w:pPr>
      <w:r w:rsidRPr="00060D11">
        <w:rPr>
          <w:sz w:val="22"/>
        </w:rPr>
        <w:t>l</w:t>
      </w:r>
      <w:r w:rsidR="001F26A6" w:rsidRPr="00060D11">
        <w:rPr>
          <w:sz w:val="22"/>
        </w:rPr>
        <w:t>ack of capacity, at various levels of the system, in leadership, management and administration leading, for example, to failure to complete census forms, acquittal forms, SLIPs, etc.</w:t>
      </w:r>
      <w:r w:rsidRPr="00060D11">
        <w:rPr>
          <w:sz w:val="22"/>
        </w:rPr>
        <w:t>;</w:t>
      </w:r>
    </w:p>
    <w:p w14:paraId="51D6829F" w14:textId="54A53898" w:rsidR="001F26A6" w:rsidRPr="00060D11" w:rsidRDefault="009E546D" w:rsidP="004E780D">
      <w:pPr>
        <w:pStyle w:val="ListParagraph"/>
        <w:numPr>
          <w:ilvl w:val="0"/>
          <w:numId w:val="14"/>
        </w:numPr>
        <w:spacing w:after="120" w:line="276" w:lineRule="auto"/>
        <w:rPr>
          <w:sz w:val="22"/>
        </w:rPr>
      </w:pPr>
      <w:r w:rsidRPr="00060D11">
        <w:rPr>
          <w:sz w:val="22"/>
        </w:rPr>
        <w:t>t</w:t>
      </w:r>
      <w:r w:rsidR="001F26A6" w:rsidRPr="00060D11">
        <w:rPr>
          <w:sz w:val="22"/>
        </w:rPr>
        <w:t>his, in turn, contributes to delays in release of funds from Waigani</w:t>
      </w:r>
      <w:r w:rsidRPr="00060D11">
        <w:rPr>
          <w:sz w:val="22"/>
        </w:rPr>
        <w:t>;</w:t>
      </w:r>
    </w:p>
    <w:p w14:paraId="2D5DF816" w14:textId="61790F76" w:rsidR="001F26A6" w:rsidRPr="00060D11" w:rsidRDefault="009E546D" w:rsidP="004E780D">
      <w:pPr>
        <w:pStyle w:val="ListParagraph"/>
        <w:numPr>
          <w:ilvl w:val="0"/>
          <w:numId w:val="14"/>
        </w:numPr>
        <w:spacing w:after="120" w:line="276" w:lineRule="auto"/>
        <w:rPr>
          <w:sz w:val="22"/>
        </w:rPr>
      </w:pPr>
      <w:r w:rsidRPr="00060D11">
        <w:rPr>
          <w:sz w:val="22"/>
        </w:rPr>
        <w:t>l</w:t>
      </w:r>
      <w:r w:rsidR="001F26A6" w:rsidRPr="00060D11">
        <w:rPr>
          <w:sz w:val="22"/>
        </w:rPr>
        <w:t>ack of sub-national capacity contributing to failures to conduct and report on school inspections, supervise teachers, distribute learning resources, etc.</w:t>
      </w:r>
      <w:r w:rsidRPr="00060D11">
        <w:rPr>
          <w:sz w:val="22"/>
        </w:rPr>
        <w:t>;</w:t>
      </w:r>
    </w:p>
    <w:p w14:paraId="0903342B" w14:textId="171ED9F6" w:rsidR="001F26A6" w:rsidRPr="00060D11" w:rsidRDefault="009E546D" w:rsidP="004E780D">
      <w:pPr>
        <w:pStyle w:val="ListParagraph"/>
        <w:numPr>
          <w:ilvl w:val="0"/>
          <w:numId w:val="14"/>
        </w:numPr>
        <w:spacing w:after="120" w:line="276" w:lineRule="auto"/>
        <w:rPr>
          <w:sz w:val="22"/>
        </w:rPr>
      </w:pPr>
      <w:r w:rsidRPr="00060D11">
        <w:rPr>
          <w:sz w:val="22"/>
        </w:rPr>
        <w:t>p</w:t>
      </w:r>
      <w:r w:rsidR="001F26A6" w:rsidRPr="00060D11">
        <w:rPr>
          <w:sz w:val="22"/>
        </w:rPr>
        <w:t>oor coordination leaves provincial education service providers with little or no access to the Provincial Services Improvement Program and the District Services Improvement Program</w:t>
      </w:r>
      <w:r w:rsidR="001F26A6" w:rsidRPr="00060D11">
        <w:rPr>
          <w:rStyle w:val="FootnoteReference"/>
          <w:sz w:val="22"/>
        </w:rPr>
        <w:footnoteReference w:id="57"/>
      </w:r>
      <w:r w:rsidRPr="00060D11">
        <w:rPr>
          <w:sz w:val="22"/>
        </w:rPr>
        <w:t>;</w:t>
      </w:r>
    </w:p>
    <w:p w14:paraId="5AF516BC" w14:textId="159C7D86" w:rsidR="001F26A6" w:rsidRPr="00060D11" w:rsidRDefault="009E546D" w:rsidP="004E780D">
      <w:pPr>
        <w:pStyle w:val="ListParagraph"/>
        <w:numPr>
          <w:ilvl w:val="0"/>
          <w:numId w:val="14"/>
        </w:numPr>
        <w:spacing w:after="120" w:line="276" w:lineRule="auto"/>
        <w:rPr>
          <w:sz w:val="22"/>
        </w:rPr>
      </w:pPr>
      <w:r w:rsidRPr="00060D11">
        <w:rPr>
          <w:sz w:val="22"/>
        </w:rPr>
        <w:t>f</w:t>
      </w:r>
      <w:r w:rsidR="001F26A6" w:rsidRPr="00060D11">
        <w:rPr>
          <w:sz w:val="22"/>
        </w:rPr>
        <w:t>aulty procedures for teacher registration and payment</w:t>
      </w:r>
      <w:r w:rsidRPr="00060D11">
        <w:rPr>
          <w:sz w:val="22"/>
        </w:rPr>
        <w:t>;</w:t>
      </w:r>
      <w:r w:rsidR="003961B2" w:rsidRPr="00060D11">
        <w:rPr>
          <w:sz w:val="22"/>
        </w:rPr>
        <w:t xml:space="preserve"> and</w:t>
      </w:r>
    </w:p>
    <w:p w14:paraId="0775FE38" w14:textId="1506F8E5" w:rsidR="001F26A6" w:rsidRPr="00060D11" w:rsidRDefault="009E546D" w:rsidP="004E780D">
      <w:pPr>
        <w:pStyle w:val="ListParagraph"/>
        <w:numPr>
          <w:ilvl w:val="0"/>
          <w:numId w:val="14"/>
        </w:numPr>
        <w:spacing w:after="120" w:line="276" w:lineRule="auto"/>
        <w:rPr>
          <w:sz w:val="22"/>
        </w:rPr>
      </w:pPr>
      <w:r w:rsidRPr="00060D11">
        <w:rPr>
          <w:sz w:val="22"/>
        </w:rPr>
        <w:t>i</w:t>
      </w:r>
      <w:r w:rsidR="001F26A6" w:rsidRPr="00060D11">
        <w:rPr>
          <w:sz w:val="22"/>
        </w:rPr>
        <w:t>nadequate/inconsistent teacher training</w:t>
      </w:r>
      <w:r w:rsidRPr="00060D11">
        <w:rPr>
          <w:sz w:val="22"/>
        </w:rPr>
        <w:t>.</w:t>
      </w:r>
    </w:p>
    <w:bookmarkEnd w:id="46"/>
    <w:p w14:paraId="54A66E9A" w14:textId="268EB246" w:rsidR="001F26A6" w:rsidRPr="00060D11" w:rsidRDefault="001F26A6" w:rsidP="004E780D">
      <w:pPr>
        <w:spacing w:after="120" w:line="276" w:lineRule="auto"/>
        <w:rPr>
          <w:rFonts w:eastAsia="Times New Roman" w:cs="Times New Roman"/>
        </w:rPr>
        <w:sectPr w:rsidR="001F26A6" w:rsidRPr="00060D11">
          <w:pgSz w:w="11906" w:h="16838"/>
          <w:pgMar w:top="1440" w:right="1440" w:bottom="1440" w:left="1440" w:header="708" w:footer="708" w:gutter="0"/>
          <w:cols w:space="708"/>
          <w:docGrid w:linePitch="360"/>
        </w:sectPr>
      </w:pPr>
      <w:r w:rsidRPr="00060D11">
        <w:rPr>
          <w:rFonts w:eastAsia="Times New Roman" w:cs="Times New Roman"/>
        </w:rPr>
        <w:t xml:space="preserve">A high-level program logic is presented in graphic form in Figure </w:t>
      </w:r>
      <w:r w:rsidR="00FC4782" w:rsidRPr="00060D11">
        <w:rPr>
          <w:rFonts w:eastAsia="Times New Roman" w:cs="Times New Roman"/>
        </w:rPr>
        <w:t>3</w:t>
      </w:r>
      <w:r w:rsidRPr="00060D11">
        <w:rPr>
          <w:rFonts w:eastAsia="Times New Roman" w:cs="Times New Roman"/>
        </w:rPr>
        <w:t xml:space="preserve"> below, followed by a narrative description of the logic chain leading to the achievement of the </w:t>
      </w:r>
      <w:r w:rsidR="00A6703A" w:rsidRPr="00060D11">
        <w:rPr>
          <w:rFonts w:cstheme="minorHAnsi"/>
        </w:rPr>
        <w:t>end of investment outcomes (EOIO)</w:t>
      </w:r>
      <w:r w:rsidRPr="00060D11">
        <w:rPr>
          <w:rFonts w:eastAsia="Times New Roman" w:cs="Times New Roman"/>
        </w:rPr>
        <w:t>. A detailed program logic is attached as Appendix C</w:t>
      </w:r>
      <w:r w:rsidR="00406A49" w:rsidRPr="00060D11">
        <w:rPr>
          <w:rFonts w:eastAsia="Times New Roman" w:cs="Times New Roman"/>
        </w:rPr>
        <w:t>.</w:t>
      </w:r>
    </w:p>
    <w:p w14:paraId="5AABB742" w14:textId="6EBC33DF" w:rsidR="00F445B7" w:rsidRPr="00060D11" w:rsidRDefault="00F445B7" w:rsidP="003954ED">
      <w:pPr>
        <w:rPr>
          <w:b/>
          <w:bCs/>
        </w:rPr>
      </w:pPr>
      <w:r w:rsidRPr="00060D11">
        <w:rPr>
          <w:b/>
          <w:bCs/>
        </w:rPr>
        <w:t>Figure 3 High Level Program Logic</w:t>
      </w:r>
    </w:p>
    <w:p w14:paraId="23CC91C4" w14:textId="77777777" w:rsidR="0068409C" w:rsidRPr="00060D11" w:rsidRDefault="0068409C" w:rsidP="003954ED">
      <w:pPr>
        <w:rPr>
          <w:b/>
          <w:bCs/>
        </w:rPr>
        <w:sectPr w:rsidR="0068409C" w:rsidRPr="00060D11" w:rsidSect="00695D96">
          <w:headerReference w:type="even" r:id="rId33"/>
          <w:headerReference w:type="default" r:id="rId34"/>
          <w:headerReference w:type="first" r:id="rId35"/>
          <w:pgSz w:w="16838" w:h="11906" w:orient="landscape"/>
          <w:pgMar w:top="799" w:right="720" w:bottom="567" w:left="720" w:header="497" w:footer="709" w:gutter="0"/>
          <w:cols w:space="708"/>
          <w:docGrid w:linePitch="360"/>
        </w:sectPr>
      </w:pPr>
    </w:p>
    <w:p w14:paraId="276B0915" w14:textId="74467AAD" w:rsidR="00630493" w:rsidRPr="00060D11" w:rsidRDefault="00692AFF" w:rsidP="003954ED">
      <w:pPr>
        <w:rPr>
          <w:b/>
          <w:bCs/>
        </w:rPr>
        <w:sectPr w:rsidR="00630493" w:rsidRPr="00060D11" w:rsidSect="0068409C">
          <w:type w:val="continuous"/>
          <w:pgSz w:w="16838" w:h="11906" w:orient="landscape"/>
          <w:pgMar w:top="799" w:right="720" w:bottom="567" w:left="720" w:header="497" w:footer="709" w:gutter="0"/>
          <w:cols w:space="708"/>
          <w:docGrid w:linePitch="360"/>
        </w:sectPr>
      </w:pPr>
      <w:r>
        <w:rPr>
          <w:noProof/>
        </w:rPr>
        <w:drawing>
          <wp:inline distT="0" distB="0" distL="0" distR="0" wp14:anchorId="63D36A4B" wp14:editId="52CD0EFD">
            <wp:extent cx="8858250" cy="6134100"/>
            <wp:effectExtent l="0" t="0" r="0" b="0"/>
            <wp:docPr id="461" name="Picture 461" descr="This is just a visual representation of the prece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Picture 461" descr="This is just a visual representation of the preceding text"/>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8858250" cy="6134100"/>
                    </a:xfrm>
                    <a:prstGeom prst="rect">
                      <a:avLst/>
                    </a:prstGeom>
                    <a:noFill/>
                    <a:ln>
                      <a:noFill/>
                    </a:ln>
                  </pic:spPr>
                </pic:pic>
              </a:graphicData>
            </a:graphic>
          </wp:inline>
        </w:drawing>
      </w:r>
    </w:p>
    <w:p w14:paraId="5048406C" w14:textId="77777777" w:rsidR="001F26A6" w:rsidRPr="00060D11" w:rsidRDefault="001F26A6" w:rsidP="001F26A6">
      <w:r w:rsidRPr="00060D11">
        <w:rPr>
          <w:noProof/>
          <w:lang w:eastAsia="en-AU"/>
        </w:rPr>
        <mc:AlternateContent>
          <mc:Choice Requires="wps">
            <w:drawing>
              <wp:inline distT="0" distB="0" distL="0" distR="0" wp14:anchorId="5B87A7D1" wp14:editId="6F0C2DEE">
                <wp:extent cx="5861050" cy="565150"/>
                <wp:effectExtent l="0" t="0" r="25400" b="25400"/>
                <wp:docPr id="6" name="Text Box 6"/>
                <wp:cNvGraphicFramePr/>
                <a:graphic xmlns:a="http://schemas.openxmlformats.org/drawingml/2006/main">
                  <a:graphicData uri="http://schemas.microsoft.com/office/word/2010/wordprocessingShape">
                    <wps:wsp>
                      <wps:cNvSpPr txBox="1"/>
                      <wps:spPr>
                        <a:xfrm>
                          <a:off x="0" y="0"/>
                          <a:ext cx="5861050" cy="565150"/>
                        </a:xfrm>
                        <a:prstGeom prst="roundRect">
                          <a:avLst/>
                        </a:prstGeom>
                        <a:gradFill flip="none" rotWithShape="1">
                          <a:gsLst>
                            <a:gs pos="0">
                              <a:srgbClr val="007C89">
                                <a:tint val="66000"/>
                                <a:satMod val="160000"/>
                              </a:srgbClr>
                            </a:gs>
                            <a:gs pos="50000">
                              <a:srgbClr val="007C89">
                                <a:tint val="44500"/>
                                <a:satMod val="160000"/>
                              </a:srgbClr>
                            </a:gs>
                            <a:gs pos="100000">
                              <a:srgbClr val="007C89">
                                <a:tint val="23500"/>
                                <a:satMod val="160000"/>
                              </a:srgbClr>
                            </a:gs>
                          </a:gsLst>
                          <a:lin ang="2700000" scaled="1"/>
                          <a:tileRect/>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E6D1D4" w14:textId="35D0B247" w:rsidR="00F96637" w:rsidRPr="00E25F8D" w:rsidRDefault="00F96637" w:rsidP="001F26A6">
                            <w:pPr>
                              <w:rPr>
                                <w:rFonts w:eastAsia="Calibri Light" w:cstheme="minorHAnsi"/>
                              </w:rPr>
                            </w:pPr>
                            <w:r>
                              <w:rPr>
                                <w:rFonts w:cstheme="minorHAnsi"/>
                                <w:b/>
                                <w:bCs/>
                              </w:rPr>
                              <w:t>Targeted Outcome 1:</w:t>
                            </w:r>
                            <w:r>
                              <w:rPr>
                                <w:rFonts w:eastAsia="Calibri Light" w:cstheme="minorHAnsi"/>
                              </w:rPr>
                              <w:t xml:space="preserve">  More children (</w:t>
                            </w:r>
                            <w:r w:rsidRPr="00F8677F">
                              <w:rPr>
                                <w:rFonts w:eastAsia="Calibri Light" w:cstheme="minorHAnsi"/>
                              </w:rPr>
                              <w:t>girls, boys, and children with disabilities</w:t>
                            </w:r>
                            <w:r>
                              <w:rPr>
                                <w:rFonts w:eastAsia="Calibri Light" w:cstheme="minorHAnsi"/>
                              </w:rPr>
                              <w:t>)</w:t>
                            </w:r>
                            <w:r w:rsidRPr="00F8677F">
                              <w:rPr>
                                <w:rFonts w:eastAsia="Calibri Light" w:cstheme="minorHAnsi"/>
                              </w:rPr>
                              <w:t xml:space="preserve"> in </w:t>
                            </w:r>
                            <w:r>
                              <w:rPr>
                                <w:rFonts w:eastAsia="Calibri Light" w:cstheme="minorHAnsi"/>
                              </w:rPr>
                              <w:t xml:space="preserve">the early grades enrol and stay in school in </w:t>
                            </w:r>
                            <w:r w:rsidRPr="00F8677F">
                              <w:rPr>
                                <w:rFonts w:eastAsia="Calibri Light" w:cstheme="minorHAnsi"/>
                              </w:rPr>
                              <w:t xml:space="preserve">selected provinces using replicable </w:t>
                            </w:r>
                            <w:r>
                              <w:rPr>
                                <w:rFonts w:eastAsia="Calibri Light" w:cstheme="minorHAnsi"/>
                              </w:rPr>
                              <w:t>and</w:t>
                            </w:r>
                            <w:r w:rsidRPr="00F8677F">
                              <w:rPr>
                                <w:rFonts w:eastAsia="Calibri Light" w:cstheme="minorHAnsi"/>
                              </w:rPr>
                              <w:t xml:space="preserve"> sustainable approaches</w:t>
                            </w:r>
                          </w:p>
                          <w:p w14:paraId="3B0C72E7" w14:textId="77777777" w:rsidR="00F96637" w:rsidRPr="00A53AFC" w:rsidRDefault="00F96637" w:rsidP="001F26A6">
                            <w:pPr>
                              <w:rPr>
                                <w:rFonts w:cstheme="minorHAnsi"/>
                                <w:b/>
                                <w:bCs/>
                              </w:rPr>
                            </w:pPr>
                          </w:p>
                          <w:p w14:paraId="67A0ED4B" w14:textId="77777777" w:rsidR="00F96637" w:rsidRDefault="00F96637" w:rsidP="001F2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B87A7D1" id="Text Box 6" o:spid="_x0000_s1066" style="width:461.5pt;height:4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" fillcolor="#94bdc6" strokeweight=".5pt">
                <v:fill color2="#e0eaec" rotate="t" angle="45" colors="0 #94bdc6;.5 #bfd5da;1 #e0eaec" focus="100%" type="gradient"/>
                <v:textbox>
                  <w:txbxContent>
                    <w:p w14:paraId="1DE6D1D4" w14:textId="35D0B247" w:rsidR="00F96637" w:rsidRPr="00E25F8D" w:rsidRDefault="00F96637" w:rsidP="001F26A6">
                      <w:pPr>
                        <w:rPr>
                          <w:rFonts w:eastAsia="Calibri Light" w:cstheme="minorHAnsi"/>
                        </w:rPr>
                      </w:pPr>
                      <w:r>
                        <w:rPr>
                          <w:rFonts w:cstheme="minorHAnsi"/>
                          <w:b/>
                          <w:bCs/>
                        </w:rPr>
                        <w:t>Targeted Outcome 1:</w:t>
                      </w:r>
                      <w:r>
                        <w:rPr>
                          <w:rFonts w:eastAsia="Calibri Light" w:cstheme="minorHAnsi"/>
                        </w:rPr>
                        <w:t xml:space="preserve">  More children (</w:t>
                      </w:r>
                      <w:r w:rsidRPr="00F8677F">
                        <w:rPr>
                          <w:rFonts w:eastAsia="Calibri Light" w:cstheme="minorHAnsi"/>
                        </w:rPr>
                        <w:t>girls, boys, and children with disabilities</w:t>
                      </w:r>
                      <w:r>
                        <w:rPr>
                          <w:rFonts w:eastAsia="Calibri Light" w:cstheme="minorHAnsi"/>
                        </w:rPr>
                        <w:t>)</w:t>
                      </w:r>
                      <w:r w:rsidRPr="00F8677F">
                        <w:rPr>
                          <w:rFonts w:eastAsia="Calibri Light" w:cstheme="minorHAnsi"/>
                        </w:rPr>
                        <w:t xml:space="preserve"> in </w:t>
                      </w:r>
                      <w:r>
                        <w:rPr>
                          <w:rFonts w:eastAsia="Calibri Light" w:cstheme="minorHAnsi"/>
                        </w:rPr>
                        <w:t xml:space="preserve">the early grades enrol and stay in school in </w:t>
                      </w:r>
                      <w:r w:rsidRPr="00F8677F">
                        <w:rPr>
                          <w:rFonts w:eastAsia="Calibri Light" w:cstheme="minorHAnsi"/>
                        </w:rPr>
                        <w:t xml:space="preserve">selected provinces using replicable </w:t>
                      </w:r>
                      <w:r>
                        <w:rPr>
                          <w:rFonts w:eastAsia="Calibri Light" w:cstheme="minorHAnsi"/>
                        </w:rPr>
                        <w:t>and</w:t>
                      </w:r>
                      <w:r w:rsidRPr="00F8677F">
                        <w:rPr>
                          <w:rFonts w:eastAsia="Calibri Light" w:cstheme="minorHAnsi"/>
                        </w:rPr>
                        <w:t xml:space="preserve"> sustainable approaches</w:t>
                      </w:r>
                    </w:p>
                    <w:p w14:paraId="3B0C72E7" w14:textId="77777777" w:rsidR="00F96637" w:rsidRPr="00A53AFC" w:rsidRDefault="00F96637" w:rsidP="001F26A6">
                      <w:pPr>
                        <w:rPr>
                          <w:rFonts w:cstheme="minorHAnsi"/>
                          <w:b/>
                          <w:bCs/>
                        </w:rPr>
                      </w:pPr>
                    </w:p>
                    <w:p w14:paraId="67A0ED4B" w14:textId="77777777" w:rsidR="00F96637" w:rsidRDefault="00F96637" w:rsidP="001F26A6"/>
                  </w:txbxContent>
                </v:textbox>
                <w10:anchorlock/>
              </v:roundrect>
            </w:pict>
          </mc:Fallback>
        </mc:AlternateContent>
      </w:r>
    </w:p>
    <w:p w14:paraId="7EDC483F" w14:textId="77777777" w:rsidR="001F26A6" w:rsidRPr="00060D11" w:rsidRDefault="001F26A6" w:rsidP="001F26A6">
      <w:pPr>
        <w:rPr>
          <w:caps/>
        </w:rPr>
      </w:pPr>
    </w:p>
    <w:p w14:paraId="445767EF" w14:textId="7EE25B5D" w:rsidR="008B099B" w:rsidRPr="00060D11" w:rsidRDefault="001F26A6" w:rsidP="00D52EF6">
      <w:pPr>
        <w:spacing w:line="276" w:lineRule="auto"/>
      </w:pPr>
      <w:r w:rsidRPr="00060D11">
        <w:t>This outcome directly addresses the ‘creeping crisis’ in enrolment and retention of children in the early grades in target provinces. The outcome statement recognises not only the need to address this crisis in its own right, but also to address gender inequalities in enrolment and retention in the target provinces, as well as disability and social inclusion.</w:t>
      </w:r>
      <w:r w:rsidR="00EB3CCF" w:rsidRPr="00060D11">
        <w:t xml:space="preserve"> </w:t>
      </w:r>
    </w:p>
    <w:p w14:paraId="6F2CD4FC" w14:textId="77777777" w:rsidR="008B099B" w:rsidRPr="00060D11" w:rsidRDefault="008B099B" w:rsidP="004E780D">
      <w:pPr>
        <w:spacing w:line="276" w:lineRule="auto"/>
      </w:pPr>
    </w:p>
    <w:p w14:paraId="39E36712" w14:textId="4CD7FE9D" w:rsidR="001F26A6" w:rsidRPr="00060D11" w:rsidRDefault="001F26A6" w:rsidP="00D52EF6">
      <w:pPr>
        <w:spacing w:line="276" w:lineRule="auto"/>
      </w:pPr>
      <w:r w:rsidRPr="00060D11">
        <w:t xml:space="preserve">Three intermediate outcomes (IOs) contribute to the achievement of </w:t>
      </w:r>
      <w:r w:rsidR="00EB3CCF" w:rsidRPr="00060D11">
        <w:t xml:space="preserve">Targeted </w:t>
      </w:r>
      <w:r w:rsidRPr="00060D11">
        <w:t xml:space="preserve">Outcome </w:t>
      </w:r>
      <w:r w:rsidR="00EB3CCF" w:rsidRPr="00060D11">
        <w:t>1</w:t>
      </w:r>
      <w:r w:rsidRPr="00060D11">
        <w:t>, as follows:</w:t>
      </w:r>
    </w:p>
    <w:p w14:paraId="0BF4C113" w14:textId="77777777" w:rsidR="00EB3CCF" w:rsidRPr="00060D11" w:rsidRDefault="00EB3CCF" w:rsidP="004E780D">
      <w:pPr>
        <w:spacing w:line="276" w:lineRule="auto"/>
      </w:pPr>
    </w:p>
    <w:p w14:paraId="2D958A3D" w14:textId="3D5A8EA5" w:rsidR="00CD178F" w:rsidRPr="00060D11" w:rsidRDefault="00CD178F" w:rsidP="00A15506">
      <w:pPr>
        <w:pStyle w:val="ListParagraph"/>
        <w:widowControl w:val="0"/>
        <w:numPr>
          <w:ilvl w:val="1"/>
          <w:numId w:val="64"/>
        </w:numPr>
        <w:spacing w:line="276" w:lineRule="auto"/>
        <w:rPr>
          <w:rFonts w:ascii="Calibri" w:eastAsia="Calibri" w:hAnsi="Calibri" w:cs="Calibri"/>
          <w:i/>
          <w:iCs/>
          <w:sz w:val="22"/>
        </w:rPr>
      </w:pPr>
      <w:r w:rsidRPr="00060D11">
        <w:rPr>
          <w:rFonts w:ascii="Calibri" w:eastAsia="Calibri" w:hAnsi="Calibri" w:cs="Calibri"/>
          <w:i/>
          <w:iCs/>
          <w:sz w:val="22"/>
        </w:rPr>
        <w:t>Parents, community members, local government and partner agencies are more engaged to improve the enrolment and retention of children in early grades learning.</w:t>
      </w:r>
    </w:p>
    <w:p w14:paraId="76E71E6F" w14:textId="77777777" w:rsidR="00D52EF6" w:rsidRPr="00060D11" w:rsidRDefault="00D52EF6" w:rsidP="00D52EF6">
      <w:pPr>
        <w:spacing w:line="276" w:lineRule="auto"/>
      </w:pPr>
    </w:p>
    <w:p w14:paraId="3181F35D" w14:textId="6831214F" w:rsidR="00EB3CCF" w:rsidRPr="00060D11" w:rsidRDefault="001F26A6" w:rsidP="004E780D">
      <w:pPr>
        <w:spacing w:after="120" w:line="276" w:lineRule="auto"/>
      </w:pPr>
      <w:r w:rsidRPr="00060D11">
        <w:t xml:space="preserve">As envisaged in PNG’s Education Act, Australia will facilitate cooperation between </w:t>
      </w:r>
      <w:r w:rsidRPr="00060D11">
        <w:rPr>
          <w:rFonts w:ascii="Calibri" w:eastAsia="Calibri" w:hAnsi="Calibri" w:cs="Calibri"/>
        </w:rPr>
        <w:t>parents, community members, sub-national government and church education service providers to develop approaches (in targeted locations) which can demonstrate ways of halting this negative trend and increase access and equity.</w:t>
      </w:r>
    </w:p>
    <w:p w14:paraId="2EC9A6B3" w14:textId="780CBB4C" w:rsidR="00D52EF6" w:rsidRPr="00060D11" w:rsidRDefault="001F26A6" w:rsidP="004E780D">
      <w:pPr>
        <w:pStyle w:val="ListParagraph"/>
        <w:widowControl w:val="0"/>
        <w:spacing w:after="120" w:line="276" w:lineRule="auto"/>
        <w:ind w:left="0"/>
        <w:contextualSpacing w:val="0"/>
        <w:rPr>
          <w:rFonts w:ascii="Calibri" w:eastAsia="Calibri" w:hAnsi="Calibri" w:cs="Calibri"/>
          <w:b/>
          <w:bCs/>
          <w:sz w:val="22"/>
        </w:rPr>
      </w:pPr>
      <w:r w:rsidRPr="00060D11">
        <w:rPr>
          <w:rFonts w:ascii="Calibri" w:eastAsia="Calibri" w:hAnsi="Calibri" w:cs="Calibri"/>
          <w:b/>
          <w:bCs/>
          <w:sz w:val="22"/>
        </w:rPr>
        <w:t>It is proposed that the investment will support the achievement of this IO during inception phase</w:t>
      </w:r>
      <w:r w:rsidRPr="00060D11">
        <w:rPr>
          <w:rFonts w:ascii="Calibri" w:eastAsia="Calibri" w:hAnsi="Calibri" w:cs="Calibri"/>
          <w:sz w:val="22"/>
        </w:rPr>
        <w:t>, by working with provincial education service providers (government and church) to facilitate a collaborative approach; conducting participatory action research on key issues and identifying ways of working through local networks engaged in outreach to parents and communities.</w:t>
      </w:r>
    </w:p>
    <w:p w14:paraId="4496CF6C" w14:textId="3A201EDA" w:rsidR="005164C0" w:rsidRPr="00060D11" w:rsidRDefault="001F26A6" w:rsidP="004E780D">
      <w:pPr>
        <w:pStyle w:val="ListParagraph"/>
        <w:widowControl w:val="0"/>
        <w:spacing w:line="276" w:lineRule="auto"/>
        <w:ind w:left="0"/>
        <w:contextualSpacing w:val="0"/>
        <w:rPr>
          <w:rFonts w:ascii="Calibri" w:eastAsia="Calibri" w:hAnsi="Calibri" w:cs="Calibri"/>
          <w:b/>
          <w:bCs/>
          <w:sz w:val="22"/>
        </w:rPr>
      </w:pPr>
      <w:r w:rsidRPr="00060D11">
        <w:rPr>
          <w:rFonts w:ascii="Calibri" w:eastAsia="Calibri" w:hAnsi="Calibri" w:cs="Calibri"/>
          <w:b/>
          <w:bCs/>
          <w:sz w:val="22"/>
        </w:rPr>
        <w:t xml:space="preserve">At </w:t>
      </w:r>
      <w:r w:rsidR="00E82D6E" w:rsidRPr="00060D11">
        <w:rPr>
          <w:rFonts w:ascii="Calibri" w:eastAsia="Calibri" w:hAnsi="Calibri" w:cs="Calibri"/>
          <w:b/>
          <w:bCs/>
          <w:sz w:val="22"/>
        </w:rPr>
        <w:t>the implementation phase</w:t>
      </w:r>
      <w:r w:rsidRPr="00060D11">
        <w:rPr>
          <w:rFonts w:ascii="Calibri" w:eastAsia="Calibri" w:hAnsi="Calibri" w:cs="Calibri"/>
          <w:sz w:val="22"/>
        </w:rPr>
        <w:t>, it is anticipated that agreements will have been reached with education stakeholders on the type of action required to remove key barriers to enrolment/retention; appropriate local networks/implementing partners to carry out agreed actions and the type of support required by these networks from the PIE investment.</w:t>
      </w:r>
    </w:p>
    <w:p w14:paraId="64C346DE" w14:textId="77777777" w:rsidR="005164C0" w:rsidRPr="00060D11" w:rsidRDefault="005164C0" w:rsidP="004E780D">
      <w:pPr>
        <w:pStyle w:val="ListParagraph"/>
        <w:widowControl w:val="0"/>
        <w:spacing w:line="276" w:lineRule="auto"/>
        <w:ind w:left="0"/>
        <w:rPr>
          <w:rFonts w:ascii="Calibri" w:eastAsia="Calibri" w:hAnsi="Calibri" w:cs="Calibri"/>
          <w:sz w:val="22"/>
        </w:rPr>
      </w:pPr>
    </w:p>
    <w:p w14:paraId="55065F5C" w14:textId="506A81EA" w:rsidR="009A5D30" w:rsidRPr="00060D11" w:rsidRDefault="009A5D30" w:rsidP="00A15506">
      <w:pPr>
        <w:pStyle w:val="ListParagraph"/>
        <w:widowControl w:val="0"/>
        <w:numPr>
          <w:ilvl w:val="1"/>
          <w:numId w:val="64"/>
        </w:numPr>
        <w:spacing w:line="276" w:lineRule="auto"/>
        <w:rPr>
          <w:rFonts w:ascii="Calibri" w:eastAsia="Calibri" w:hAnsi="Calibri" w:cs="Calibri"/>
          <w:i/>
          <w:iCs/>
          <w:sz w:val="22"/>
        </w:rPr>
      </w:pPr>
      <w:r w:rsidRPr="00060D11">
        <w:rPr>
          <w:rFonts w:ascii="Calibri" w:eastAsia="Calibri" w:hAnsi="Calibri" w:cs="Calibri"/>
          <w:i/>
          <w:iCs/>
          <w:sz w:val="22"/>
        </w:rPr>
        <w:t xml:space="preserve">Parents are more willing to </w:t>
      </w:r>
      <w:r w:rsidR="00490714" w:rsidRPr="00060D11">
        <w:rPr>
          <w:rFonts w:ascii="Calibri" w:eastAsia="Calibri" w:hAnsi="Calibri" w:cs="Calibri"/>
          <w:i/>
          <w:iCs/>
          <w:sz w:val="22"/>
        </w:rPr>
        <w:t>enrol</w:t>
      </w:r>
      <w:r w:rsidRPr="00060D11">
        <w:rPr>
          <w:rFonts w:ascii="Calibri" w:eastAsia="Calibri" w:hAnsi="Calibri" w:cs="Calibri"/>
          <w:i/>
          <w:iCs/>
          <w:sz w:val="22"/>
        </w:rPr>
        <w:t xml:space="preserve"> school aged children (particularly girls and children with</w:t>
      </w:r>
      <w:r w:rsidR="005164C0" w:rsidRPr="00060D11">
        <w:rPr>
          <w:rFonts w:ascii="Calibri" w:eastAsia="Calibri" w:hAnsi="Calibri" w:cs="Calibri"/>
          <w:i/>
          <w:iCs/>
        </w:rPr>
        <w:t xml:space="preserve"> </w:t>
      </w:r>
      <w:r w:rsidRPr="00060D11">
        <w:rPr>
          <w:rFonts w:ascii="Calibri" w:eastAsia="Calibri" w:hAnsi="Calibri" w:cs="Calibri"/>
          <w:i/>
          <w:iCs/>
          <w:sz w:val="22"/>
        </w:rPr>
        <w:t>disabilities) and keep them in school</w:t>
      </w:r>
      <w:r w:rsidRPr="00060D11">
        <w:rPr>
          <w:rFonts w:ascii="Calibri" w:eastAsia="Calibri" w:hAnsi="Calibri" w:cs="Calibri"/>
          <w:i/>
          <w:iCs/>
        </w:rPr>
        <w:t xml:space="preserve"> </w:t>
      </w:r>
    </w:p>
    <w:p w14:paraId="3506177A" w14:textId="6906D62C" w:rsidR="00D52EF6" w:rsidRPr="00060D11" w:rsidRDefault="00D52EF6" w:rsidP="00D52EF6">
      <w:pPr>
        <w:spacing w:line="276" w:lineRule="auto"/>
        <w:rPr>
          <w:rFonts w:eastAsia="Calibri" w:cstheme="minorHAnsi"/>
          <w:bCs/>
        </w:rPr>
      </w:pPr>
    </w:p>
    <w:p w14:paraId="315BA867" w14:textId="77777777" w:rsidR="000005BE" w:rsidRDefault="001F26A6" w:rsidP="00D52EF6">
      <w:pPr>
        <w:spacing w:line="276" w:lineRule="auto"/>
        <w:rPr>
          <w:rFonts w:cstheme="minorHAnsi"/>
          <w:noProof/>
        </w:rPr>
      </w:pPr>
      <w:r w:rsidRPr="00060D11">
        <w:rPr>
          <w:rFonts w:eastAsia="Calibri" w:cstheme="minorHAnsi"/>
          <w:bCs/>
        </w:rPr>
        <w:t xml:space="preserve">There is a </w:t>
      </w:r>
      <w:r w:rsidR="00EF5045" w:rsidRPr="00060D11">
        <w:rPr>
          <w:rFonts w:eastAsia="Calibri" w:cstheme="minorHAnsi"/>
          <w:bCs/>
        </w:rPr>
        <w:t xml:space="preserve">lack </w:t>
      </w:r>
      <w:r w:rsidRPr="00060D11">
        <w:rPr>
          <w:rFonts w:eastAsia="Calibri" w:cstheme="minorHAnsi"/>
          <w:bCs/>
        </w:rPr>
        <w:t xml:space="preserve">of hard data available on the effect on enrolments of the government payment of tuition fees from 2012 to 2019, </w:t>
      </w:r>
      <w:r w:rsidR="00EF5045" w:rsidRPr="00060D11">
        <w:rPr>
          <w:rFonts w:eastAsia="Calibri" w:cstheme="minorHAnsi"/>
          <w:bCs/>
        </w:rPr>
        <w:t>also</w:t>
      </w:r>
      <w:r w:rsidRPr="00060D11">
        <w:rPr>
          <w:rFonts w:eastAsia="Calibri" w:cstheme="minorHAnsi"/>
          <w:bCs/>
        </w:rPr>
        <w:t xml:space="preserve"> on changes to the rates of</w:t>
      </w:r>
      <w:r w:rsidR="00D52EF6" w:rsidRPr="00060D11">
        <w:rPr>
          <w:rFonts w:eastAsia="Calibri" w:cstheme="minorHAnsi"/>
          <w:bCs/>
        </w:rPr>
        <w:t xml:space="preserve"> </w:t>
      </w:r>
      <w:r w:rsidRPr="00060D11">
        <w:rPr>
          <w:rFonts w:eastAsia="Calibri" w:cstheme="minorHAnsi"/>
          <w:bCs/>
        </w:rPr>
        <w:t>enrolment following the removal of tuition free education and replacement with the GTFS in 2020.</w:t>
      </w:r>
      <w:r w:rsidRPr="00060D11">
        <w:rPr>
          <w:rStyle w:val="FootnoteReference"/>
          <w:rFonts w:eastAsia="Calibri" w:cstheme="minorHAnsi"/>
          <w:bCs/>
        </w:rPr>
        <w:footnoteReference w:id="58"/>
      </w:r>
      <w:r w:rsidR="000005BE" w:rsidRPr="000005BE">
        <w:rPr>
          <w:rFonts w:cstheme="minorHAnsi"/>
          <w:noProof/>
        </w:rPr>
        <w:t xml:space="preserve"> </w:t>
      </w:r>
    </w:p>
    <w:p w14:paraId="6B039ABC" w14:textId="77777777" w:rsidR="000005BE" w:rsidRDefault="000005BE" w:rsidP="00D52EF6">
      <w:pPr>
        <w:spacing w:line="276" w:lineRule="auto"/>
        <w:rPr>
          <w:rFonts w:cstheme="minorHAnsi"/>
          <w:noProof/>
        </w:rPr>
      </w:pPr>
    </w:p>
    <w:p w14:paraId="6316AF90" w14:textId="2458500C" w:rsidR="001F26A6" w:rsidRPr="00060D11" w:rsidRDefault="000005BE" w:rsidP="00D52EF6">
      <w:pPr>
        <w:spacing w:line="276" w:lineRule="auto"/>
        <w:rPr>
          <w:rFonts w:eastAsia="Calibri" w:cstheme="minorHAnsi"/>
          <w:bCs/>
        </w:rPr>
      </w:pPr>
      <w:r w:rsidRPr="00060D11">
        <w:rPr>
          <w:rFonts w:cstheme="minorHAnsi"/>
          <w:noProof/>
        </w:rPr>
        <mc:AlternateContent>
          <mc:Choice Requires="wps">
            <w:drawing>
              <wp:inline distT="0" distB="0" distL="0" distR="0" wp14:anchorId="656E2E7B" wp14:editId="00562D55">
                <wp:extent cx="5731510" cy="1097845"/>
                <wp:effectExtent l="0" t="0" r="21590" b="26670"/>
                <wp:docPr id="20" name="Text Box 20"/>
                <wp:cNvGraphicFramePr/>
                <a:graphic xmlns:a="http://schemas.openxmlformats.org/drawingml/2006/main">
                  <a:graphicData uri="http://schemas.microsoft.com/office/word/2010/wordprocessingShape">
                    <wps:wsp>
                      <wps:cNvSpPr txBox="1"/>
                      <wps:spPr>
                        <a:xfrm>
                          <a:off x="0" y="0"/>
                          <a:ext cx="5731510" cy="1097845"/>
                        </a:xfrm>
                        <a:prstGeom prst="roundRect">
                          <a:avLst/>
                        </a:prstGeom>
                        <a:gradFill flip="none" rotWithShape="1">
                          <a:gsLst>
                            <a:gs pos="0">
                              <a:srgbClr val="007C89">
                                <a:tint val="66000"/>
                                <a:satMod val="160000"/>
                              </a:srgbClr>
                            </a:gs>
                            <a:gs pos="50000">
                              <a:srgbClr val="007C89">
                                <a:tint val="44500"/>
                                <a:satMod val="160000"/>
                              </a:srgbClr>
                            </a:gs>
                            <a:gs pos="100000">
                              <a:srgbClr val="007C89">
                                <a:tint val="23500"/>
                                <a:satMod val="160000"/>
                              </a:srgbClr>
                            </a:gs>
                          </a:gsLst>
                          <a:lin ang="2700000" scaled="1"/>
                          <a:tileRect/>
                        </a:gradFill>
                        <a:ln w="6350">
                          <a:solidFill>
                            <a:prstClr val="black"/>
                          </a:solidFill>
                        </a:ln>
                      </wps:spPr>
                      <wps:txbx>
                        <w:txbxContent>
                          <w:p w14:paraId="788B537A" w14:textId="77777777" w:rsidR="00F96637" w:rsidRPr="00E83638" w:rsidRDefault="00F96637" w:rsidP="000005BE">
                            <w:pPr>
                              <w:rPr>
                                <w:i/>
                                <w:iCs/>
                                <w:sz w:val="20"/>
                                <w:szCs w:val="20"/>
                              </w:rPr>
                            </w:pPr>
                            <w:r>
                              <w:rPr>
                                <w:i/>
                                <w:iCs/>
                                <w:sz w:val="20"/>
                                <w:szCs w:val="20"/>
                              </w:rPr>
                              <w:t>“</w:t>
                            </w:r>
                            <w:r w:rsidRPr="00E83638">
                              <w:rPr>
                                <w:i/>
                                <w:iCs/>
                                <w:sz w:val="20"/>
                                <w:szCs w:val="20"/>
                              </w:rPr>
                              <w:t>There has been some decline in student enrolments due to the Governments’ shift in Policy from Tuition Fee Free education to Government Tuition Fee Subsidy. Especially children from families that don’t have regular income. Some of these families have many children and only focus on the bright or those they think will perform well in schools while giving little or no attention to children who are weak or have some form of disability.</w:t>
                            </w:r>
                            <w:r>
                              <w:rPr>
                                <w:i/>
                                <w:iCs/>
                                <w:sz w:val="20"/>
                                <w:szCs w:val="20"/>
                              </w:rPr>
                              <w:t>”</w:t>
                            </w:r>
                          </w:p>
                          <w:p w14:paraId="140E64E3" w14:textId="77777777" w:rsidR="00F96637" w:rsidRPr="00CB56DC" w:rsidRDefault="00F96637" w:rsidP="000005BE">
                            <w:pPr>
                              <w:rPr>
                                <w:b/>
                                <w:bCs/>
                                <w:sz w:val="18"/>
                                <w:szCs w:val="18"/>
                              </w:rPr>
                            </w:pPr>
                            <w:r>
                              <w:rPr>
                                <w:b/>
                                <w:bCs/>
                                <w:sz w:val="18"/>
                                <w:szCs w:val="18"/>
                              </w:rPr>
                              <w:t>Provincial consultations 31</w:t>
                            </w:r>
                            <w:r w:rsidRPr="00CB56DC">
                              <w:rPr>
                                <w:b/>
                                <w:bCs/>
                                <w:sz w:val="18"/>
                                <w:szCs w:val="18"/>
                                <w:vertAlign w:val="superscript"/>
                              </w:rPr>
                              <w:t>st</w:t>
                            </w:r>
                            <w:r>
                              <w:rPr>
                                <w:b/>
                                <w:bCs/>
                                <w:sz w:val="18"/>
                                <w:szCs w:val="18"/>
                              </w:rPr>
                              <w:t xml:space="preserve"> March,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656E2E7B" id="Text Box 20" o:spid="_x0000_s1067" style="width:451.3pt;height:86.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" fillcolor="#94bdc6" strokeweight=".5pt">
                <v:fill color2="#e0eaec" rotate="t" angle="45" colors="0 #94bdc6;.5 #bfd5da;1 #e0eaec" focus="100%" type="gradient"/>
                <v:textbox>
                  <w:txbxContent>
                    <w:p w14:paraId="788B537A" w14:textId="77777777" w:rsidR="00F96637" w:rsidRPr="00E83638" w:rsidRDefault="00F96637" w:rsidP="000005BE">
                      <w:pPr>
                        <w:rPr>
                          <w:i/>
                          <w:iCs/>
                          <w:sz w:val="20"/>
                          <w:szCs w:val="20"/>
                        </w:rPr>
                      </w:pPr>
                      <w:r>
                        <w:rPr>
                          <w:i/>
                          <w:iCs/>
                          <w:sz w:val="20"/>
                          <w:szCs w:val="20"/>
                        </w:rPr>
                        <w:t>“</w:t>
                      </w:r>
                      <w:r w:rsidRPr="00E83638">
                        <w:rPr>
                          <w:i/>
                          <w:iCs/>
                          <w:sz w:val="20"/>
                          <w:szCs w:val="20"/>
                        </w:rPr>
                        <w:t>There has been some decline in student enrolments due to the Governments’ shift in Policy from Tuition Fee Free education to Government Tuition Fee Subsidy. Especially children from families that don’t have regular income. Some of these families have many children and only focus on the bright or those they think will perform well in schools while giving little or no attention to children who are weak or have some form of disability.</w:t>
                      </w:r>
                      <w:r>
                        <w:rPr>
                          <w:i/>
                          <w:iCs/>
                          <w:sz w:val="20"/>
                          <w:szCs w:val="20"/>
                        </w:rPr>
                        <w:t>”</w:t>
                      </w:r>
                    </w:p>
                    <w:p w14:paraId="140E64E3" w14:textId="77777777" w:rsidR="00F96637" w:rsidRPr="00CB56DC" w:rsidRDefault="00F96637" w:rsidP="000005BE">
                      <w:pPr>
                        <w:rPr>
                          <w:b/>
                          <w:bCs/>
                          <w:sz w:val="18"/>
                          <w:szCs w:val="18"/>
                        </w:rPr>
                      </w:pPr>
                      <w:r>
                        <w:rPr>
                          <w:b/>
                          <w:bCs/>
                          <w:sz w:val="18"/>
                          <w:szCs w:val="18"/>
                        </w:rPr>
                        <w:t>Provincial consultations 31</w:t>
                      </w:r>
                      <w:r w:rsidRPr="00CB56DC">
                        <w:rPr>
                          <w:b/>
                          <w:bCs/>
                          <w:sz w:val="18"/>
                          <w:szCs w:val="18"/>
                          <w:vertAlign w:val="superscript"/>
                        </w:rPr>
                        <w:t>st</w:t>
                      </w:r>
                      <w:r>
                        <w:rPr>
                          <w:b/>
                          <w:bCs/>
                          <w:sz w:val="18"/>
                          <w:szCs w:val="18"/>
                        </w:rPr>
                        <w:t xml:space="preserve"> March, 2021</w:t>
                      </w:r>
                    </w:p>
                  </w:txbxContent>
                </v:textbox>
                <w10:anchorlock/>
              </v:roundrect>
            </w:pict>
          </mc:Fallback>
        </mc:AlternateContent>
      </w:r>
    </w:p>
    <w:p w14:paraId="2880A907" w14:textId="77777777" w:rsidR="000005BE" w:rsidRDefault="000005BE" w:rsidP="00D52EF6">
      <w:pPr>
        <w:spacing w:line="276" w:lineRule="auto"/>
        <w:rPr>
          <w:rFonts w:eastAsia="Calibri" w:cstheme="minorHAnsi"/>
          <w:bCs/>
        </w:rPr>
      </w:pPr>
    </w:p>
    <w:p w14:paraId="785A0173" w14:textId="0454139A" w:rsidR="001F26A6" w:rsidRPr="00060D11" w:rsidRDefault="001F26A6" w:rsidP="00D52EF6">
      <w:pPr>
        <w:spacing w:line="276" w:lineRule="auto"/>
        <w:rPr>
          <w:rFonts w:eastAsia="Calibri" w:cstheme="minorHAnsi"/>
          <w:bCs/>
        </w:rPr>
      </w:pPr>
      <w:r w:rsidRPr="00060D11">
        <w:rPr>
          <w:rFonts w:eastAsia="Calibri" w:cstheme="minorHAnsi"/>
          <w:bCs/>
        </w:rPr>
        <w:t xml:space="preserve">Anecdotal evidence obtained during provincial consultations indicates that there was an increase in enrolments after the abolition of fees. Further, consultations with NDoE GESI and </w:t>
      </w:r>
      <w:r w:rsidR="00686208" w:rsidRPr="00060D11">
        <w:rPr>
          <w:lang w:eastAsia="en-AU"/>
        </w:rPr>
        <w:t xml:space="preserve">Callan Services for Persons with Disabilities (CSPD) </w:t>
      </w:r>
      <w:r w:rsidRPr="00060D11">
        <w:rPr>
          <w:rFonts w:eastAsia="Calibri" w:cstheme="minorHAnsi"/>
          <w:bCs/>
        </w:rPr>
        <w:t xml:space="preserve">personnel indicate that there was a substantial increase in enrolments of girls and </w:t>
      </w:r>
      <w:r w:rsidR="004F1B7A" w:rsidRPr="00060D11">
        <w:rPr>
          <w:rFonts w:eastAsia="Calibri" w:cstheme="minorHAnsi"/>
          <w:bCs/>
        </w:rPr>
        <w:t>CWD</w:t>
      </w:r>
      <w:r w:rsidRPr="00060D11">
        <w:rPr>
          <w:rFonts w:eastAsia="Calibri" w:cstheme="minorHAnsi"/>
          <w:bCs/>
        </w:rPr>
        <w:t xml:space="preserve"> during the tuition free period. All respondents reported a reduction in enrolments following introduction of the GTFS, which fell most heavily on girls and </w:t>
      </w:r>
      <w:r w:rsidR="004F1B7A" w:rsidRPr="00060D11">
        <w:rPr>
          <w:rFonts w:eastAsia="Calibri" w:cstheme="minorHAnsi"/>
          <w:bCs/>
        </w:rPr>
        <w:t>CWD</w:t>
      </w:r>
      <w:r w:rsidRPr="00060D11">
        <w:rPr>
          <w:rFonts w:eastAsia="Calibri" w:cstheme="minorHAnsi"/>
          <w:bCs/>
        </w:rPr>
        <w:t>.</w:t>
      </w:r>
    </w:p>
    <w:p w14:paraId="2FF68653" w14:textId="3755762F" w:rsidR="001F26A6" w:rsidRPr="00060D11" w:rsidRDefault="001F26A6" w:rsidP="00D52EF6">
      <w:pPr>
        <w:pStyle w:val="BodyText"/>
        <w:spacing w:before="117" w:line="276" w:lineRule="auto"/>
        <w:ind w:left="0" w:right="279"/>
        <w:jc w:val="both"/>
        <w:rPr>
          <w:rFonts w:asciiTheme="minorHAnsi" w:hAnsiTheme="minorHAnsi" w:cstheme="minorHAnsi"/>
          <w:color w:val="44546A" w:themeColor="text2"/>
          <w:lang w:val="en-GB"/>
        </w:rPr>
      </w:pPr>
      <w:bookmarkStart w:id="47" w:name="_Hlk68538751"/>
      <w:r w:rsidRPr="00060D11">
        <w:rPr>
          <w:rFonts w:asciiTheme="minorHAnsi" w:eastAsia="Calibri" w:hAnsiTheme="minorHAnsi" w:cstheme="minorHAnsi"/>
          <w:bCs/>
          <w:color w:val="44546A" w:themeColor="text2"/>
          <w:lang w:val="en-GB"/>
        </w:rPr>
        <w:t xml:space="preserve">Strong evidence is available on declining incomes and increasing poverty levels in PNG. DFAT’s PNG </w:t>
      </w:r>
      <w:r w:rsidR="00686208" w:rsidRPr="00060D11">
        <w:rPr>
          <w:rFonts w:asciiTheme="minorHAnsi" w:eastAsia="Calibri" w:hAnsiTheme="minorHAnsi" w:cstheme="minorHAnsi"/>
          <w:bCs/>
          <w:color w:val="44546A" w:themeColor="text2"/>
          <w:shd w:val="clear" w:color="auto" w:fill="FFFFFF" w:themeFill="background1"/>
          <w:lang w:val="en-GB"/>
        </w:rPr>
        <w:t>CRP</w:t>
      </w:r>
      <w:r w:rsidRPr="00060D11">
        <w:rPr>
          <w:rFonts w:asciiTheme="minorHAnsi" w:eastAsia="Calibri" w:hAnsiTheme="minorHAnsi" w:cstheme="minorHAnsi"/>
          <w:bCs/>
          <w:color w:val="44546A" w:themeColor="text2"/>
          <w:shd w:val="clear" w:color="auto" w:fill="FFFFFF" w:themeFill="background1"/>
          <w:lang w:val="en-GB"/>
        </w:rPr>
        <w:t xml:space="preserve"> predicted that “</w:t>
      </w:r>
      <w:r w:rsidRPr="00060D11">
        <w:rPr>
          <w:rFonts w:asciiTheme="minorHAnsi" w:hAnsiTheme="minorHAnsi" w:cstheme="minorHAnsi"/>
          <w:i/>
          <w:iCs/>
          <w:color w:val="44546A" w:themeColor="text2"/>
          <w:shd w:val="clear" w:color="auto" w:fill="FFFFFF" w:themeFill="background1"/>
          <w:lang w:val="en-GB"/>
        </w:rPr>
        <w:t>even if COVID-19 impacts are mild with 5 percent</w:t>
      </w:r>
      <w:r w:rsidRPr="00060D11">
        <w:rPr>
          <w:rFonts w:asciiTheme="minorHAnsi" w:hAnsiTheme="minorHAnsi" w:cstheme="minorHAnsi"/>
          <w:i/>
          <w:iCs/>
          <w:color w:val="44546A" w:themeColor="text2"/>
          <w:lang w:val="en-GB"/>
        </w:rPr>
        <w:t xml:space="preserve"> contraction in household consumption, about 400,000 people could be pushed into extreme poverty. Many of those would be people with disabilities.”</w:t>
      </w:r>
      <w:r w:rsidRPr="00060D11">
        <w:rPr>
          <w:rStyle w:val="FootnoteReference"/>
          <w:rFonts w:asciiTheme="minorHAnsi" w:hAnsiTheme="minorHAnsi" w:cstheme="minorHAnsi"/>
          <w:i/>
          <w:iCs/>
          <w:lang w:val="en-GB"/>
        </w:rPr>
        <w:footnoteReference w:id="59"/>
      </w:r>
      <w:r w:rsidRPr="00060D11">
        <w:rPr>
          <w:rFonts w:asciiTheme="minorHAnsi" w:hAnsiTheme="minorHAnsi" w:cstheme="minorHAnsi"/>
          <w:color w:val="44546A" w:themeColor="text2"/>
          <w:lang w:val="en-GB"/>
        </w:rPr>
        <w:t xml:space="preserve"> </w:t>
      </w:r>
    </w:p>
    <w:p w14:paraId="1F8BE736" w14:textId="77777777" w:rsidR="001F26A6" w:rsidRPr="00060D11" w:rsidRDefault="001F26A6" w:rsidP="00D52EF6">
      <w:pPr>
        <w:pStyle w:val="BodyText"/>
        <w:spacing w:before="117" w:line="276" w:lineRule="auto"/>
        <w:ind w:left="0" w:right="279"/>
        <w:jc w:val="both"/>
        <w:rPr>
          <w:rFonts w:asciiTheme="minorHAnsi" w:hAnsiTheme="minorHAnsi" w:cstheme="minorHAnsi"/>
          <w:color w:val="44546A" w:themeColor="text2"/>
          <w:lang w:val="en-GB"/>
        </w:rPr>
      </w:pPr>
      <w:r w:rsidRPr="00060D11">
        <w:rPr>
          <w:rFonts w:asciiTheme="minorHAnsi" w:hAnsiTheme="minorHAnsi" w:cstheme="minorHAnsi"/>
          <w:color w:val="44546A" w:themeColor="text2"/>
          <w:lang w:val="en-GB"/>
        </w:rPr>
        <w:t>These predictions were validated by a 2020 UNDP Socio-Economic Impact Assessment in PNG</w:t>
      </w:r>
      <w:r w:rsidRPr="00060D11">
        <w:rPr>
          <w:rStyle w:val="FootnoteReference"/>
          <w:rFonts w:asciiTheme="minorHAnsi" w:hAnsiTheme="minorHAnsi" w:cstheme="minorHAnsi"/>
          <w:lang w:val="en-GB"/>
        </w:rPr>
        <w:footnoteReference w:id="60"/>
      </w:r>
      <w:r w:rsidRPr="00060D11">
        <w:rPr>
          <w:rFonts w:asciiTheme="minorHAnsi" w:hAnsiTheme="minorHAnsi" w:cstheme="minorHAnsi"/>
          <w:color w:val="44546A" w:themeColor="text2"/>
          <w:lang w:val="en-GB"/>
        </w:rPr>
        <w:t xml:space="preserve"> which found that 80 percent of households were adversely affected by the pandemic, with 60 percent of respondents experiencing significant declines in their income. Those earning less were more affected than those earning more, increasing inequality in the country. Further, 84 percent of those affected were unable to supplement their incomes with alternative means. School fee debts at the household level were common.</w:t>
      </w:r>
    </w:p>
    <w:p w14:paraId="0A3CDE96" w14:textId="64A3B593" w:rsidR="00EF5045" w:rsidRPr="00060D11" w:rsidRDefault="001F26A6" w:rsidP="004E780D">
      <w:pPr>
        <w:pStyle w:val="BodyText"/>
        <w:spacing w:before="117" w:after="120" w:line="276" w:lineRule="auto"/>
        <w:ind w:left="0" w:right="279"/>
        <w:jc w:val="both"/>
        <w:rPr>
          <w:rFonts w:asciiTheme="minorHAnsi" w:hAnsiTheme="minorHAnsi" w:cstheme="minorHAnsi"/>
          <w:i/>
          <w:iCs/>
          <w:color w:val="44546A" w:themeColor="text2"/>
          <w:lang w:val="en-GB"/>
        </w:rPr>
      </w:pPr>
      <w:r w:rsidRPr="00060D11">
        <w:rPr>
          <w:rFonts w:asciiTheme="minorHAnsi" w:hAnsiTheme="minorHAnsi" w:cstheme="minorHAnsi"/>
          <w:color w:val="44546A" w:themeColor="text2"/>
          <w:lang w:val="en-GB"/>
        </w:rPr>
        <w:t xml:space="preserve">A 2021 Cash Feasibility and Risk Assessment carried out by Save the Children Fund (SCF] PNG across </w:t>
      </w:r>
      <w:r w:rsidR="00EF5045" w:rsidRPr="00060D11">
        <w:rPr>
          <w:rFonts w:asciiTheme="minorHAnsi" w:hAnsiTheme="minorHAnsi" w:cstheme="minorHAnsi"/>
          <w:color w:val="44546A" w:themeColor="text2"/>
          <w:lang w:val="en-GB"/>
        </w:rPr>
        <w:t>eight</w:t>
      </w:r>
      <w:r w:rsidRPr="00060D11">
        <w:rPr>
          <w:rFonts w:asciiTheme="minorHAnsi" w:hAnsiTheme="minorHAnsi" w:cstheme="minorHAnsi"/>
          <w:color w:val="44546A" w:themeColor="text2"/>
          <w:lang w:val="en-GB"/>
        </w:rPr>
        <w:t xml:space="preserve"> provinces updated these findings, reporting an average decrease in household incomes of 40 percent.</w:t>
      </w:r>
      <w:r w:rsidRPr="00060D11">
        <w:rPr>
          <w:rStyle w:val="FootnoteReference"/>
          <w:rFonts w:asciiTheme="minorHAnsi" w:hAnsiTheme="minorHAnsi" w:cstheme="minorHAnsi"/>
          <w:lang w:val="en-GB"/>
        </w:rPr>
        <w:footnoteReference w:id="61"/>
      </w:r>
      <w:r w:rsidRPr="00060D11">
        <w:rPr>
          <w:rFonts w:asciiTheme="minorHAnsi" w:hAnsiTheme="minorHAnsi" w:cstheme="minorHAnsi"/>
          <w:color w:val="44546A" w:themeColor="text2"/>
          <w:lang w:val="en-GB"/>
        </w:rPr>
        <w:t xml:space="preserve">  Within this context, a recent World Bank report noted that “</w:t>
      </w:r>
      <w:r w:rsidRPr="00060D11">
        <w:rPr>
          <w:rFonts w:asciiTheme="minorHAnsi" w:hAnsiTheme="minorHAnsi" w:cstheme="minorHAnsi"/>
          <w:i/>
          <w:iCs/>
          <w:color w:val="44546A" w:themeColor="text2"/>
          <w:lang w:val="en-GB"/>
        </w:rPr>
        <w:t>If school fees are retained to underpin local ownership and accountability for schools, additional resources will need to reach either vulnerable families or school facilities to offset the adverse equity implications of fees. Girls are particularly vulnerable to exclusion.</w:t>
      </w:r>
      <w:r w:rsidRPr="00060D11">
        <w:rPr>
          <w:rStyle w:val="FootnoteReference"/>
          <w:rFonts w:asciiTheme="minorHAnsi" w:hAnsiTheme="minorHAnsi" w:cstheme="minorHAnsi"/>
          <w:i/>
          <w:iCs/>
          <w:lang w:val="en-GB"/>
        </w:rPr>
        <w:footnoteReference w:id="62"/>
      </w:r>
    </w:p>
    <w:bookmarkEnd w:id="47"/>
    <w:p w14:paraId="6FB621CB" w14:textId="77777777" w:rsidR="001F26A6" w:rsidRPr="00060D11" w:rsidRDefault="001F26A6" w:rsidP="004E780D">
      <w:pPr>
        <w:spacing w:after="120" w:line="276" w:lineRule="auto"/>
        <w:rPr>
          <w:rFonts w:cstheme="minorHAnsi"/>
        </w:rPr>
      </w:pPr>
      <w:r w:rsidRPr="00060D11">
        <w:rPr>
          <w:rFonts w:eastAsia="Calibri" w:cstheme="minorHAnsi"/>
          <w:bCs/>
        </w:rPr>
        <w:t xml:space="preserve">The PIE design recognizes that </w:t>
      </w:r>
      <w:r w:rsidRPr="00060D11">
        <w:rPr>
          <w:rFonts w:cstheme="minorHAnsi"/>
        </w:rPr>
        <w:t>while there could be some improvement realized through the implementation of motivation/awareness campaign with parents and communities alone (IO1.1), efforts to improve enrolment and attendance of children in the early grades will not achieve success unless they also recognise and address the income constraints being faced by parents.</w:t>
      </w:r>
    </w:p>
    <w:p w14:paraId="393B5624" w14:textId="4D257367" w:rsidR="001F26A6" w:rsidRPr="00060D11" w:rsidRDefault="001F26A6" w:rsidP="004E780D">
      <w:pPr>
        <w:spacing w:after="120" w:line="276" w:lineRule="auto"/>
        <w:rPr>
          <w:rFonts w:ascii="Calibri" w:eastAsia="Calibri" w:hAnsi="Calibri" w:cs="Calibri"/>
          <w:bCs/>
        </w:rPr>
      </w:pPr>
      <w:r w:rsidRPr="00060D11">
        <w:rPr>
          <w:rFonts w:ascii="Calibri" w:eastAsia="Calibri" w:hAnsi="Calibri" w:cs="Calibri"/>
          <w:bCs/>
        </w:rPr>
        <w:t>International research, as well as DFAT’s own experience, indicates that in poor and disadvantaged communities, the economic impost on families of schooling costs is one of the key barriers to enrolment and retention; this barrier effects girls more than boys.</w:t>
      </w:r>
      <w:r w:rsidRPr="00060D11">
        <w:rPr>
          <w:rStyle w:val="FootnoteReference"/>
          <w:rFonts w:ascii="Calibri" w:eastAsia="Calibri" w:hAnsi="Calibri" w:cs="Calibri"/>
          <w:bCs/>
        </w:rPr>
        <w:footnoteReference w:id="63"/>
      </w:r>
      <w:r w:rsidRPr="00060D11">
        <w:rPr>
          <w:rFonts w:ascii="Calibri" w:eastAsia="Calibri" w:hAnsi="Calibri" w:cs="Calibri"/>
          <w:bCs/>
        </w:rPr>
        <w:t xml:space="preserve"> International evidence also shows that </w:t>
      </w:r>
      <w:bookmarkStart w:id="48" w:name="_Hlk68448783"/>
      <w:r w:rsidRPr="00060D11">
        <w:rPr>
          <w:rFonts w:ascii="Calibri" w:eastAsia="Calibri" w:hAnsi="Calibri" w:cs="Calibri"/>
          <w:bCs/>
        </w:rPr>
        <w:t>the elimination of school fees has a strong impact on the participation of girls</w:t>
      </w:r>
      <w:bookmarkEnd w:id="48"/>
      <w:r w:rsidRPr="00060D11">
        <w:rPr>
          <w:rFonts w:ascii="Calibri" w:eastAsia="Calibri" w:hAnsi="Calibri" w:cs="Calibri"/>
          <w:bCs/>
        </w:rPr>
        <w:t>.</w:t>
      </w:r>
      <w:r w:rsidRPr="00060D11">
        <w:rPr>
          <w:rStyle w:val="FootnoteReference"/>
          <w:rFonts w:ascii="Calibri" w:eastAsia="Calibri" w:hAnsi="Calibri" w:cs="Calibri"/>
          <w:bCs/>
        </w:rPr>
        <w:footnoteReference w:id="64"/>
      </w:r>
    </w:p>
    <w:p w14:paraId="34648469" w14:textId="6F6FEC19" w:rsidR="001F26A6" w:rsidRPr="00060D11" w:rsidRDefault="001F26A6" w:rsidP="004E780D">
      <w:pPr>
        <w:spacing w:after="120" w:line="276" w:lineRule="auto"/>
        <w:rPr>
          <w:rFonts w:eastAsia="Times New Roman" w:cstheme="minorHAnsi"/>
        </w:rPr>
      </w:pPr>
      <w:r w:rsidRPr="00060D11">
        <w:rPr>
          <w:rFonts w:ascii="Calibri" w:eastAsia="Calibri" w:hAnsi="Calibri" w:cs="Calibri"/>
          <w:b/>
          <w:bCs/>
        </w:rPr>
        <w:t>It is proposed that the investment support the achievement of this IO by setting up an A</w:t>
      </w:r>
      <w:r w:rsidR="00EF5045" w:rsidRPr="00060D11">
        <w:rPr>
          <w:rFonts w:ascii="Calibri" w:eastAsia="Calibri" w:hAnsi="Calibri" w:cs="Calibri"/>
          <w:b/>
          <w:bCs/>
        </w:rPr>
        <w:t>QEFA</w:t>
      </w:r>
      <w:r w:rsidRPr="00060D11">
        <w:rPr>
          <w:rStyle w:val="FootnoteReference"/>
          <w:rFonts w:ascii="Calibri" w:eastAsia="Calibri" w:hAnsi="Calibri" w:cs="Calibri"/>
          <w:b/>
          <w:bCs/>
        </w:rPr>
        <w:footnoteReference w:id="65"/>
      </w:r>
      <w:r w:rsidRPr="00060D11">
        <w:rPr>
          <w:rFonts w:ascii="Calibri" w:eastAsia="Calibri" w:hAnsi="Calibri" w:cs="Calibri"/>
          <w:b/>
          <w:bCs/>
        </w:rPr>
        <w:t xml:space="preserve"> fund</w:t>
      </w:r>
      <w:r w:rsidRPr="00060D11">
        <w:rPr>
          <w:rFonts w:ascii="Calibri" w:eastAsia="Calibri" w:hAnsi="Calibri" w:cs="Calibri"/>
          <w:bCs/>
        </w:rPr>
        <w:t xml:space="preserve"> </w:t>
      </w:r>
      <w:r w:rsidRPr="00060D11">
        <w:rPr>
          <w:rFonts w:ascii="Calibri" w:eastAsia="Calibri" w:hAnsi="Calibri" w:cs="Calibri"/>
          <w:b/>
          <w:bCs/>
        </w:rPr>
        <w:t xml:space="preserve">to be </w:t>
      </w:r>
      <w:bookmarkStart w:id="49" w:name="_Hlk72954367"/>
      <w:r w:rsidRPr="00060D11">
        <w:rPr>
          <w:rFonts w:ascii="Calibri" w:eastAsia="Calibri" w:hAnsi="Calibri" w:cs="Calibri"/>
          <w:b/>
          <w:bCs/>
        </w:rPr>
        <w:t>used to incentivize gender balanced and socially inclusive enrolment and retention of children in the early grades</w:t>
      </w:r>
      <w:bookmarkEnd w:id="49"/>
      <w:r w:rsidRPr="00060D11">
        <w:rPr>
          <w:rFonts w:ascii="Calibri" w:eastAsia="Calibri" w:hAnsi="Calibri" w:cs="Calibri"/>
          <w:b/>
          <w:bCs/>
        </w:rPr>
        <w:t xml:space="preserve">. </w:t>
      </w:r>
      <w:r w:rsidRPr="00060D11">
        <w:rPr>
          <w:rFonts w:ascii="Calibri" w:eastAsia="Calibri" w:hAnsi="Calibri" w:cs="Calibri"/>
        </w:rPr>
        <w:t>This fund – approximately AUD</w:t>
      </w:r>
      <w:r w:rsidR="00EF5045" w:rsidRPr="00060D11">
        <w:rPr>
          <w:rFonts w:ascii="Calibri" w:eastAsia="Calibri" w:hAnsi="Calibri" w:cs="Calibri"/>
        </w:rPr>
        <w:t xml:space="preserve"> </w:t>
      </w:r>
      <w:r w:rsidRPr="00060D11">
        <w:rPr>
          <w:rFonts w:ascii="Calibri" w:eastAsia="Calibri" w:hAnsi="Calibri" w:cs="Calibri"/>
        </w:rPr>
        <w:t xml:space="preserve">8 million (See Appendix G) over the lifetime of the investment - would be used </w:t>
      </w:r>
      <w:bookmarkStart w:id="50" w:name="_Hlk72954422"/>
      <w:r w:rsidRPr="00060D11">
        <w:rPr>
          <w:rFonts w:ascii="Calibri" w:eastAsia="Calibri" w:hAnsi="Calibri" w:cs="Calibri"/>
        </w:rPr>
        <w:t>for ‘</w:t>
      </w:r>
      <w:r w:rsidRPr="00060D11">
        <w:rPr>
          <w:rFonts w:eastAsia="Calibri" w:cstheme="minorHAnsi"/>
        </w:rPr>
        <w:t xml:space="preserve">demonstration’ activities </w:t>
      </w:r>
      <w:r w:rsidRPr="00060D11">
        <w:rPr>
          <w:rFonts w:eastAsia="Times New Roman" w:cstheme="minorHAnsi"/>
        </w:rPr>
        <w:t>that will target increased</w:t>
      </w:r>
      <w:r w:rsidR="00D52EF6" w:rsidRPr="00060D11">
        <w:rPr>
          <w:rFonts w:eastAsia="Times New Roman" w:cstheme="minorHAnsi"/>
        </w:rPr>
        <w:t xml:space="preserve"> </w:t>
      </w:r>
      <w:r w:rsidRPr="00060D11">
        <w:rPr>
          <w:rFonts w:eastAsia="Times New Roman" w:cstheme="minorHAnsi"/>
        </w:rPr>
        <w:t>participation in the early grades - enrolment and retention (targeting GEDSI issues as a priority)</w:t>
      </w:r>
      <w:r w:rsidRPr="00060D11">
        <w:rPr>
          <w:rStyle w:val="FootnoteReference"/>
          <w:rFonts w:eastAsia="Times New Roman" w:cstheme="minorHAnsi"/>
        </w:rPr>
        <w:footnoteReference w:id="66"/>
      </w:r>
      <w:r w:rsidRPr="00060D11">
        <w:rPr>
          <w:rFonts w:eastAsia="Times New Roman" w:cstheme="minorHAnsi"/>
        </w:rPr>
        <w:t>. The design of the demonstration activities will be informed by national and international promising, fit for purpose practices and would be in direct response to provincial analysis of the participation challenges being experienced in the province. The demonstration activities would be incorporated as part of Annual Action Plans (AAP) of their PEP</w:t>
      </w:r>
      <w:r w:rsidR="002137DE" w:rsidRPr="00060D11">
        <w:rPr>
          <w:rFonts w:eastAsia="Times New Roman" w:cstheme="minorHAnsi"/>
        </w:rPr>
        <w:t xml:space="preserve"> and over time expected to be funded by GOPNG</w:t>
      </w:r>
      <w:r w:rsidRPr="00060D11">
        <w:rPr>
          <w:rFonts w:eastAsia="Times New Roman" w:cstheme="minorHAnsi"/>
        </w:rPr>
        <w:t>. </w:t>
      </w:r>
      <w:bookmarkEnd w:id="50"/>
      <w:r w:rsidRPr="00060D11">
        <w:rPr>
          <w:rFonts w:eastAsia="Times New Roman" w:cstheme="minorHAnsi"/>
        </w:rPr>
        <w:t>Rigorous monitoring of these demonstrations will be critical to feed into the knowledge-to-policy mechanism. It is proposed that the PIE Provincial Mangers take on a role in ensuring the close monitoring of these demonstration activities.</w:t>
      </w:r>
    </w:p>
    <w:p w14:paraId="674C47F5" w14:textId="6ED8C59E" w:rsidR="00C2289F" w:rsidRPr="00060D11" w:rsidRDefault="001F26A6" w:rsidP="00C2289F">
      <w:pPr>
        <w:spacing w:line="276" w:lineRule="auto"/>
        <w:rPr>
          <w:rFonts w:eastAsia="Times New Roman" w:cstheme="minorHAnsi"/>
          <w:color w:val="auto"/>
        </w:rPr>
      </w:pPr>
      <w:r w:rsidRPr="00060D11">
        <w:rPr>
          <w:rFonts w:ascii="Calibri" w:eastAsia="Calibri" w:hAnsi="Calibri" w:cs="Calibri"/>
          <w:b/>
          <w:bCs/>
        </w:rPr>
        <w:t xml:space="preserve">It is further proposed that the </w:t>
      </w:r>
      <w:r w:rsidR="005662DB" w:rsidRPr="00060D11">
        <w:rPr>
          <w:rFonts w:ascii="Calibri" w:eastAsia="Calibri" w:hAnsi="Calibri" w:cs="Calibri"/>
          <w:b/>
          <w:bCs/>
        </w:rPr>
        <w:t>managing contractor</w:t>
      </w:r>
      <w:r w:rsidRPr="00060D11">
        <w:rPr>
          <w:rFonts w:ascii="Calibri" w:eastAsia="Calibri" w:hAnsi="Calibri" w:cs="Calibri"/>
          <w:b/>
          <w:bCs/>
        </w:rPr>
        <w:t xml:space="preserve"> carry out an action-research initiative, during the Inception Phase, on the feasibility of, and approaches to, </w:t>
      </w:r>
      <w:r w:rsidR="00490714" w:rsidRPr="00060D11">
        <w:rPr>
          <w:rFonts w:ascii="Calibri" w:eastAsia="Calibri" w:hAnsi="Calibri" w:cs="Calibri"/>
          <w:b/>
          <w:bCs/>
        </w:rPr>
        <w:t>trialling</w:t>
      </w:r>
      <w:r w:rsidRPr="00060D11">
        <w:rPr>
          <w:rFonts w:ascii="Calibri" w:eastAsia="Calibri" w:hAnsi="Calibri" w:cs="Calibri"/>
          <w:b/>
          <w:bCs/>
        </w:rPr>
        <w:t xml:space="preserve"> a cash transfer mechanism to support enrolment/retention in targeted provinces. </w:t>
      </w:r>
      <w:r w:rsidRPr="00060D11">
        <w:rPr>
          <w:rFonts w:ascii="Calibri" w:eastAsia="Calibri" w:hAnsi="Calibri" w:cs="Calibri"/>
        </w:rPr>
        <w:t>The results of the action-research would guide use of the AQEFA fund to achieve gender balanced and inclusive enrolments/retention in targeted provinces during Phase 1. This action-research initiative would be required to draw upon the experience of DFAT’s Social Protection Section</w:t>
      </w:r>
      <w:r w:rsidR="002137DE" w:rsidRPr="00060D11">
        <w:rPr>
          <w:rFonts w:ascii="Calibri" w:eastAsia="Calibri" w:hAnsi="Calibri" w:cs="Calibri"/>
        </w:rPr>
        <w:t xml:space="preserve"> (with the World Bank)</w:t>
      </w:r>
      <w:r w:rsidRPr="00060D11">
        <w:rPr>
          <w:rFonts w:ascii="Calibri" w:eastAsia="Calibri" w:hAnsi="Calibri" w:cs="Calibri"/>
        </w:rPr>
        <w:t xml:space="preserve"> and to identify and work with potential partners, including NGOs and the private sector</w:t>
      </w:r>
      <w:r w:rsidRPr="00060D11">
        <w:rPr>
          <w:rFonts w:ascii="Calibri" w:eastAsia="Calibri" w:hAnsi="Calibri" w:cs="Calibri"/>
          <w:bCs/>
        </w:rPr>
        <w:t xml:space="preserve"> to design and implement the trial in target areas. </w:t>
      </w:r>
    </w:p>
    <w:p w14:paraId="04CC5136" w14:textId="5465ECC4" w:rsidR="001F26A6" w:rsidRPr="00060D11" w:rsidRDefault="001F26A6" w:rsidP="00477C43">
      <w:pPr>
        <w:spacing w:line="276" w:lineRule="auto"/>
        <w:rPr>
          <w:i/>
          <w:iCs/>
        </w:rPr>
      </w:pPr>
    </w:p>
    <w:p w14:paraId="2D543AA4" w14:textId="595FB5F0" w:rsidR="001F26A6" w:rsidRPr="00060D11" w:rsidRDefault="001F26A6" w:rsidP="00D52EF6">
      <w:pPr>
        <w:spacing w:line="276" w:lineRule="auto"/>
        <w:rPr>
          <w:rFonts w:ascii="Calibri" w:eastAsia="Calibri" w:hAnsi="Calibri" w:cs="Calibri"/>
        </w:rPr>
      </w:pPr>
      <w:r w:rsidRPr="00060D11">
        <w:t xml:space="preserve">As outlined in the Management Section (Section E.1 below) the </w:t>
      </w:r>
      <w:r w:rsidR="005662DB" w:rsidRPr="00060D11">
        <w:t>managing contractor</w:t>
      </w:r>
      <w:r w:rsidRPr="00060D11">
        <w:t xml:space="preserve"> would be responsible for ensuring that both the action-research and any resulting sub-contract/s to conduct a trial or trials m</w:t>
      </w:r>
      <w:r w:rsidR="00DC2D76" w:rsidRPr="00060D11">
        <w:t>e</w:t>
      </w:r>
      <w:r w:rsidRPr="00060D11">
        <w:t>et DFAT policies</w:t>
      </w:r>
      <w:r w:rsidR="00DC2D76" w:rsidRPr="00060D11">
        <w:t>,</w:t>
      </w:r>
      <w:r w:rsidRPr="00060D11">
        <w:t xml:space="preserve"> including necessary due diligence in relation to adequate fiduciary controls and adherence to </w:t>
      </w:r>
      <w:r w:rsidR="00DC2D76" w:rsidRPr="00060D11">
        <w:t xml:space="preserve">the Preventing Sexual Exploitation, Abuse and Harassment </w:t>
      </w:r>
      <w:r w:rsidR="008B099B" w:rsidRPr="00060D11">
        <w:t xml:space="preserve">(PSEAH) </w:t>
      </w:r>
      <w:r w:rsidR="00DC2D76" w:rsidRPr="00060D11">
        <w:t xml:space="preserve">policy </w:t>
      </w:r>
      <w:r w:rsidRPr="00060D11">
        <w:t>and Child Protection minimum standards.</w:t>
      </w:r>
      <w:r w:rsidRPr="00060D11">
        <w:rPr>
          <w:rFonts w:ascii="Calibri" w:eastAsia="Calibri" w:hAnsi="Calibri" w:cs="Calibri"/>
          <w:b/>
          <w:bCs/>
        </w:rPr>
        <w:t xml:space="preserve"> </w:t>
      </w:r>
      <w:r w:rsidRPr="00060D11">
        <w:rPr>
          <w:rFonts w:ascii="Calibri" w:eastAsia="Calibri" w:hAnsi="Calibri" w:cs="Calibri"/>
        </w:rPr>
        <w:t>The Annual Plan will include provision for monitoring and reporting on the effectiveness of the approach including consultation with interested external stakeholders (e.g., World Bank, A</w:t>
      </w:r>
      <w:r w:rsidR="00DC2D76" w:rsidRPr="00060D11">
        <w:rPr>
          <w:rFonts w:ascii="Calibri" w:eastAsia="Calibri" w:hAnsi="Calibri" w:cs="Calibri"/>
        </w:rPr>
        <w:t xml:space="preserve">sian </w:t>
      </w:r>
      <w:r w:rsidRPr="00060D11">
        <w:rPr>
          <w:rFonts w:ascii="Calibri" w:eastAsia="Calibri" w:hAnsi="Calibri" w:cs="Calibri"/>
        </w:rPr>
        <w:t>D</w:t>
      </w:r>
      <w:r w:rsidR="00DC2D76" w:rsidRPr="00060D11">
        <w:rPr>
          <w:rFonts w:ascii="Calibri" w:eastAsia="Calibri" w:hAnsi="Calibri" w:cs="Calibri"/>
        </w:rPr>
        <w:t xml:space="preserve">evelopment </w:t>
      </w:r>
      <w:r w:rsidRPr="00060D11">
        <w:rPr>
          <w:rFonts w:ascii="Calibri" w:eastAsia="Calibri" w:hAnsi="Calibri" w:cs="Calibri"/>
        </w:rPr>
        <w:t>B</w:t>
      </w:r>
      <w:r w:rsidR="00DC2D76" w:rsidRPr="00060D11">
        <w:rPr>
          <w:rFonts w:ascii="Calibri" w:eastAsia="Calibri" w:hAnsi="Calibri" w:cs="Calibri"/>
        </w:rPr>
        <w:t>ank</w:t>
      </w:r>
      <w:r w:rsidRPr="00060D11">
        <w:rPr>
          <w:rFonts w:ascii="Calibri" w:eastAsia="Calibri" w:hAnsi="Calibri" w:cs="Calibri"/>
        </w:rPr>
        <w:t>).</w:t>
      </w:r>
    </w:p>
    <w:p w14:paraId="20C42874" w14:textId="77777777" w:rsidR="00C2289F" w:rsidRPr="00060D11" w:rsidRDefault="00C2289F" w:rsidP="00C2289F">
      <w:pPr>
        <w:rPr>
          <w:rFonts w:ascii="Calibri" w:eastAsia="Calibri" w:hAnsi="Calibri" w:cs="Calibri"/>
          <w:i/>
          <w:iCs/>
        </w:rPr>
      </w:pPr>
    </w:p>
    <w:p w14:paraId="508FBAF6" w14:textId="5711A22A" w:rsidR="001F26A6" w:rsidRPr="00060D11" w:rsidRDefault="00C2289F" w:rsidP="00477C43">
      <w:pPr>
        <w:ind w:left="1440" w:hanging="720"/>
        <w:rPr>
          <w:i/>
          <w:iCs/>
        </w:rPr>
      </w:pPr>
      <w:r w:rsidRPr="00060D11">
        <w:rPr>
          <w:rFonts w:ascii="Calibri" w:eastAsia="Calibri" w:hAnsi="Calibri" w:cs="Calibri"/>
          <w:i/>
          <w:iCs/>
        </w:rPr>
        <w:t xml:space="preserve">1.3 </w:t>
      </w:r>
      <w:r w:rsidRPr="00060D11">
        <w:rPr>
          <w:rFonts w:ascii="Calibri" w:eastAsia="Calibri" w:hAnsi="Calibri" w:cs="Calibri"/>
        </w:rPr>
        <w:tab/>
      </w:r>
      <w:r w:rsidR="00351171" w:rsidRPr="00060D11">
        <w:rPr>
          <w:i/>
          <w:iCs/>
        </w:rPr>
        <w:t>School leaders engage with parents to improve school planning, management and operations.</w:t>
      </w:r>
    </w:p>
    <w:p w14:paraId="5AEBE366" w14:textId="77777777" w:rsidR="00351171" w:rsidRPr="00060D11" w:rsidRDefault="00351171" w:rsidP="004E780D">
      <w:pPr>
        <w:pStyle w:val="ListParagraph"/>
        <w:spacing w:line="276" w:lineRule="auto"/>
        <w:ind w:left="0"/>
        <w:rPr>
          <w:rFonts w:ascii="Calibri" w:eastAsia="Calibri" w:hAnsi="Calibri" w:cs="Calibri"/>
          <w:color w:val="FF0000"/>
        </w:rPr>
      </w:pPr>
    </w:p>
    <w:p w14:paraId="35045CD7" w14:textId="77777777" w:rsidR="001F26A6" w:rsidRPr="00060D11" w:rsidRDefault="001F26A6" w:rsidP="00D52EF6">
      <w:pPr>
        <w:pStyle w:val="ListParagraph"/>
        <w:spacing w:line="276" w:lineRule="auto"/>
        <w:ind w:left="0"/>
        <w:rPr>
          <w:rFonts w:ascii="Calibri" w:eastAsia="Calibri" w:hAnsi="Calibri" w:cs="Calibri"/>
          <w:sz w:val="22"/>
        </w:rPr>
      </w:pPr>
      <w:r w:rsidRPr="00060D11">
        <w:rPr>
          <w:rFonts w:ascii="Calibri" w:eastAsia="Calibri" w:hAnsi="Calibri" w:cs="Calibri"/>
          <w:sz w:val="22"/>
        </w:rPr>
        <w:t>Encouraging parent involvement in supporting the provision of education for their children has significant benefits, including: building positive attitudes of children to education by seeing their parents engaged in helping the school; the provision of actual and in-kind contributions for the maintenance of school facilities and grounds; provision of additional assistance to teachers, providing information on local culture and history for contextualizing lessons, among other benefits.</w:t>
      </w:r>
    </w:p>
    <w:p w14:paraId="23D987D8" w14:textId="53C65A27" w:rsidR="001F26A6" w:rsidRPr="00060D11" w:rsidRDefault="001F26A6" w:rsidP="004E780D">
      <w:pPr>
        <w:pStyle w:val="ListParagraph"/>
        <w:spacing w:after="120" w:line="276" w:lineRule="auto"/>
        <w:ind w:left="0"/>
        <w:contextualSpacing w:val="0"/>
        <w:rPr>
          <w:rFonts w:ascii="Calibri" w:eastAsia="Calibri" w:hAnsi="Calibri" w:cs="Calibri"/>
          <w:color w:val="FF0000"/>
          <w:sz w:val="22"/>
        </w:rPr>
      </w:pPr>
      <w:r w:rsidRPr="00060D11">
        <w:rPr>
          <w:rFonts w:ascii="Calibri" w:eastAsia="Calibri" w:hAnsi="Calibri" w:cs="Calibri"/>
          <w:sz w:val="22"/>
        </w:rPr>
        <w:t xml:space="preserve">The NEP 2020-2029 places a strong emphasis on, and priority for, the collaborative engagement of parents – in part through parental participation on the </w:t>
      </w:r>
      <w:r w:rsidR="00186B2A" w:rsidRPr="00060D11">
        <w:rPr>
          <w:sz w:val="21"/>
          <w:szCs w:val="28"/>
        </w:rPr>
        <w:t>School Boards of Management</w:t>
      </w:r>
      <w:r w:rsidR="00186B2A" w:rsidRPr="00060D11" w:rsidDel="00BC533B">
        <w:rPr>
          <w:rFonts w:ascii="Calibri" w:eastAsia="Calibri" w:hAnsi="Calibri" w:cs="Calibri"/>
          <w:sz w:val="28"/>
          <w:szCs w:val="28"/>
        </w:rPr>
        <w:t xml:space="preserve"> </w:t>
      </w:r>
      <w:r w:rsidR="00186B2A" w:rsidRPr="00060D11">
        <w:rPr>
          <w:rFonts w:ascii="Calibri" w:eastAsia="Calibri" w:hAnsi="Calibri" w:cs="Calibri"/>
          <w:sz w:val="22"/>
        </w:rPr>
        <w:t>(</w:t>
      </w:r>
      <w:r w:rsidRPr="00060D11">
        <w:rPr>
          <w:rFonts w:ascii="Calibri" w:eastAsia="Calibri" w:hAnsi="Calibri" w:cs="Calibri"/>
          <w:sz w:val="22"/>
        </w:rPr>
        <w:t>SBoM</w:t>
      </w:r>
      <w:r w:rsidR="00186B2A" w:rsidRPr="00060D11">
        <w:rPr>
          <w:rFonts w:ascii="Calibri" w:eastAsia="Calibri" w:hAnsi="Calibri" w:cs="Calibri"/>
          <w:sz w:val="22"/>
        </w:rPr>
        <w:t>)</w:t>
      </w:r>
      <w:r w:rsidRPr="00060D11">
        <w:rPr>
          <w:rFonts w:ascii="Calibri" w:eastAsia="Calibri" w:hAnsi="Calibri" w:cs="Calibri"/>
          <w:sz w:val="22"/>
        </w:rPr>
        <w:t xml:space="preserve"> and perhaps more importantly in contributing to school planning, management and operations through the collaborative development of the SLIP. Parent Teacher Associations can also be mobilized to provide for organized support to the school.</w:t>
      </w:r>
    </w:p>
    <w:p w14:paraId="2404D0A5" w14:textId="24A55F14" w:rsidR="001F26A6" w:rsidRPr="00060D11" w:rsidRDefault="001F26A6" w:rsidP="004E780D">
      <w:pPr>
        <w:pStyle w:val="ListParagraph"/>
        <w:spacing w:after="120" w:line="276" w:lineRule="auto"/>
        <w:ind w:left="0"/>
        <w:contextualSpacing w:val="0"/>
        <w:rPr>
          <w:rFonts w:ascii="Calibri" w:eastAsia="Calibri" w:hAnsi="Calibri" w:cs="Calibri"/>
          <w:sz w:val="22"/>
        </w:rPr>
      </w:pPr>
      <w:r w:rsidRPr="00060D11">
        <w:rPr>
          <w:rFonts w:ascii="Calibri" w:eastAsia="Calibri" w:hAnsi="Calibri" w:cs="Calibri"/>
          <w:b/>
          <w:bCs/>
          <w:sz w:val="22"/>
        </w:rPr>
        <w:t>It is proposed that the investment support the achievement of this IO by supporting school leadership and strengthening the capacity of the SBoM, specifically in the collaborative and inclusive development, implementation, monitoring and adjustment of the SLIP.</w:t>
      </w:r>
      <w:r w:rsidRPr="00060D11">
        <w:rPr>
          <w:rFonts w:ascii="Calibri" w:eastAsia="Calibri" w:hAnsi="Calibri" w:cs="Calibri"/>
          <w:sz w:val="22"/>
        </w:rPr>
        <w:t xml:space="preserve"> This focus on the SLIP is important as it is the instrument from which annual school plans are derived, but it is also a mandatory requirement for obtaining the government fee subsidy. The NEP 2020-2029 includes an indicator that will measure the increase in the number of quality approved SLIPs as many schools either do not have SLIPs or the SLIPs that have been prepared are not approved due to low quality.</w:t>
      </w:r>
    </w:p>
    <w:p w14:paraId="67C520A2" w14:textId="0571332A" w:rsidR="001F26A6" w:rsidRPr="00060D11" w:rsidRDefault="001F26A6" w:rsidP="00D52EF6">
      <w:pPr>
        <w:pStyle w:val="ListParagraph"/>
        <w:spacing w:line="276" w:lineRule="auto"/>
        <w:ind w:left="0"/>
        <w:rPr>
          <w:rFonts w:ascii="Calibri" w:eastAsia="Calibri" w:hAnsi="Calibri" w:cs="Calibri"/>
          <w:sz w:val="22"/>
        </w:rPr>
      </w:pPr>
      <w:r w:rsidRPr="00060D11">
        <w:rPr>
          <w:rFonts w:ascii="Calibri" w:eastAsia="Calibri" w:hAnsi="Calibri" w:cs="Calibri"/>
          <w:b/>
          <w:bCs/>
          <w:sz w:val="22"/>
        </w:rPr>
        <w:t xml:space="preserve">It is proposed that the </w:t>
      </w:r>
      <w:r w:rsidR="005662DB" w:rsidRPr="00060D11">
        <w:rPr>
          <w:rFonts w:ascii="Calibri" w:eastAsia="Calibri" w:hAnsi="Calibri" w:cs="Calibri"/>
          <w:b/>
          <w:bCs/>
          <w:sz w:val="22"/>
        </w:rPr>
        <w:t>managing contractor</w:t>
      </w:r>
      <w:r w:rsidRPr="00060D11">
        <w:rPr>
          <w:rFonts w:ascii="Calibri" w:eastAsia="Calibri" w:hAnsi="Calibri" w:cs="Calibri"/>
          <w:b/>
          <w:bCs/>
          <w:sz w:val="22"/>
        </w:rPr>
        <w:t xml:space="preserve"> will support the achievement of this IO during the Inception phase</w:t>
      </w:r>
      <w:r w:rsidRPr="00060D11">
        <w:rPr>
          <w:rFonts w:ascii="Calibri" w:eastAsia="Calibri" w:hAnsi="Calibri" w:cs="Calibri"/>
          <w:sz w:val="22"/>
        </w:rPr>
        <w:t xml:space="preserve"> by working with provincial education service providers (government and church) in order to:</w:t>
      </w:r>
    </w:p>
    <w:p w14:paraId="1081C6C3" w14:textId="773D4267" w:rsidR="001F26A6" w:rsidRPr="00060D11" w:rsidRDefault="00DC2D76" w:rsidP="00A768EA">
      <w:pPr>
        <w:pStyle w:val="ListParagraph"/>
        <w:numPr>
          <w:ilvl w:val="0"/>
          <w:numId w:val="6"/>
        </w:numPr>
        <w:spacing w:after="160" w:line="276" w:lineRule="auto"/>
        <w:rPr>
          <w:rFonts w:ascii="Calibri" w:eastAsia="Calibri" w:hAnsi="Calibri" w:cs="Calibri"/>
          <w:sz w:val="22"/>
        </w:rPr>
      </w:pPr>
      <w:r w:rsidRPr="00060D11">
        <w:rPr>
          <w:rFonts w:ascii="Calibri" w:eastAsia="Calibri" w:hAnsi="Calibri" w:cs="Calibri"/>
          <w:sz w:val="22"/>
        </w:rPr>
        <w:t>d</w:t>
      </w:r>
      <w:r w:rsidR="001F26A6" w:rsidRPr="00060D11">
        <w:rPr>
          <w:rFonts w:ascii="Calibri" w:eastAsia="Calibri" w:hAnsi="Calibri" w:cs="Calibri"/>
          <w:sz w:val="22"/>
        </w:rPr>
        <w:t>etermine the quantity, and assess the quality, of available SLIPs in elementary and primary schools in targeted areas in each province</w:t>
      </w:r>
      <w:r w:rsidRPr="00060D11">
        <w:rPr>
          <w:rFonts w:ascii="Calibri" w:eastAsia="Calibri" w:hAnsi="Calibri" w:cs="Calibri"/>
          <w:sz w:val="22"/>
        </w:rPr>
        <w:t>;</w:t>
      </w:r>
    </w:p>
    <w:p w14:paraId="5DB2ED7F" w14:textId="26F25E7D" w:rsidR="001F26A6" w:rsidRPr="00060D11" w:rsidRDefault="00DC2D76" w:rsidP="00A768EA">
      <w:pPr>
        <w:pStyle w:val="ListParagraph"/>
        <w:numPr>
          <w:ilvl w:val="0"/>
          <w:numId w:val="6"/>
        </w:numPr>
        <w:spacing w:after="160" w:line="276" w:lineRule="auto"/>
        <w:rPr>
          <w:rFonts w:ascii="Calibri" w:eastAsia="Calibri" w:hAnsi="Calibri" w:cs="Calibri"/>
          <w:sz w:val="22"/>
        </w:rPr>
      </w:pPr>
      <w:r w:rsidRPr="00060D11">
        <w:rPr>
          <w:rFonts w:ascii="Calibri" w:eastAsia="Calibri" w:hAnsi="Calibri" w:cs="Calibri"/>
          <w:sz w:val="22"/>
        </w:rPr>
        <w:t>a</w:t>
      </w:r>
      <w:r w:rsidR="001F26A6" w:rsidRPr="00060D11">
        <w:rPr>
          <w:rFonts w:ascii="Calibri" w:eastAsia="Calibri" w:hAnsi="Calibri" w:cs="Calibri"/>
          <w:sz w:val="22"/>
        </w:rPr>
        <w:t>scertain the major barriers for SBoMs in preparing a quality SLIP drawing on existing evidence and lessons as much as possible (e.g.</w:t>
      </w:r>
      <w:r w:rsidR="003643D6">
        <w:rPr>
          <w:rFonts w:ascii="Calibri" w:eastAsia="Calibri" w:hAnsi="Calibri" w:cs="Calibri"/>
          <w:sz w:val="22"/>
        </w:rPr>
        <w:t>,</w:t>
      </w:r>
      <w:r w:rsidR="001F26A6" w:rsidRPr="00060D11">
        <w:rPr>
          <w:rFonts w:ascii="Calibri" w:eastAsia="Calibri" w:hAnsi="Calibri" w:cs="Calibri"/>
          <w:sz w:val="22"/>
        </w:rPr>
        <w:t xml:space="preserve"> through ECDF)</w:t>
      </w:r>
      <w:r w:rsidRPr="00060D11">
        <w:rPr>
          <w:rFonts w:ascii="Calibri" w:eastAsia="Calibri" w:hAnsi="Calibri" w:cs="Calibri"/>
          <w:sz w:val="22"/>
        </w:rPr>
        <w:t>;</w:t>
      </w:r>
      <w:r w:rsidR="003961B2" w:rsidRPr="00060D11">
        <w:rPr>
          <w:rFonts w:ascii="Calibri" w:eastAsia="Calibri" w:hAnsi="Calibri" w:cs="Calibri"/>
          <w:sz w:val="22"/>
        </w:rPr>
        <w:t xml:space="preserve"> and</w:t>
      </w:r>
    </w:p>
    <w:p w14:paraId="4BA15EAB" w14:textId="40CEECA7" w:rsidR="00DC2D76" w:rsidRPr="00060D11" w:rsidRDefault="00DC2D76" w:rsidP="00A768EA">
      <w:pPr>
        <w:pStyle w:val="ListParagraph"/>
        <w:numPr>
          <w:ilvl w:val="0"/>
          <w:numId w:val="6"/>
        </w:numPr>
        <w:spacing w:after="120" w:line="276" w:lineRule="auto"/>
        <w:contextualSpacing w:val="0"/>
        <w:rPr>
          <w:rFonts w:ascii="Calibri" w:eastAsia="Calibri" w:hAnsi="Calibri" w:cs="Calibri"/>
          <w:sz w:val="22"/>
        </w:rPr>
      </w:pPr>
      <w:r w:rsidRPr="00060D11">
        <w:rPr>
          <w:rFonts w:ascii="Calibri" w:eastAsia="Calibri" w:hAnsi="Calibri" w:cs="Calibri"/>
          <w:sz w:val="22"/>
        </w:rPr>
        <w:t>d</w:t>
      </w:r>
      <w:r w:rsidR="001F26A6" w:rsidRPr="00060D11">
        <w:rPr>
          <w:rFonts w:ascii="Calibri" w:eastAsia="Calibri" w:hAnsi="Calibri" w:cs="Calibri"/>
          <w:sz w:val="22"/>
        </w:rPr>
        <w:t>ocument the current type and level of contributions that are made by parents to elementary and primary schools.</w:t>
      </w:r>
    </w:p>
    <w:p w14:paraId="3048A77C" w14:textId="77777777" w:rsidR="001F26A6" w:rsidRPr="00060D11" w:rsidRDefault="001F26A6" w:rsidP="004E780D">
      <w:pPr>
        <w:pStyle w:val="ListParagraph"/>
        <w:widowControl w:val="0"/>
        <w:spacing w:after="120" w:line="276" w:lineRule="auto"/>
        <w:ind w:left="0"/>
        <w:contextualSpacing w:val="0"/>
        <w:rPr>
          <w:rFonts w:ascii="Calibri" w:eastAsia="Calibri" w:hAnsi="Calibri" w:cs="Calibri"/>
          <w:sz w:val="22"/>
        </w:rPr>
      </w:pPr>
      <w:r w:rsidRPr="00060D11">
        <w:rPr>
          <w:rFonts w:ascii="Calibri" w:eastAsia="Calibri" w:hAnsi="Calibri" w:cs="Calibri"/>
          <w:sz w:val="22"/>
        </w:rPr>
        <w:t>At program start-up it is anticipated that, based on the work carried out during pre-inception, information will be available in respect of:</w:t>
      </w:r>
    </w:p>
    <w:p w14:paraId="6E4DFB16" w14:textId="0563C85C" w:rsidR="001F26A6" w:rsidRPr="00060D11" w:rsidRDefault="001F26A6" w:rsidP="00D52EF6">
      <w:pPr>
        <w:pStyle w:val="ListParagraph"/>
        <w:widowControl w:val="0"/>
        <w:numPr>
          <w:ilvl w:val="0"/>
          <w:numId w:val="7"/>
        </w:numPr>
        <w:spacing w:after="160" w:line="276" w:lineRule="auto"/>
        <w:ind w:left="426" w:hanging="426"/>
        <w:rPr>
          <w:rFonts w:ascii="Calibri" w:eastAsia="Calibri" w:hAnsi="Calibri" w:cs="Calibri"/>
          <w:sz w:val="22"/>
        </w:rPr>
      </w:pPr>
      <w:r w:rsidRPr="00060D11">
        <w:rPr>
          <w:rFonts w:ascii="Calibri" w:eastAsia="Calibri" w:hAnsi="Calibri" w:cs="Calibri"/>
          <w:sz w:val="22"/>
        </w:rPr>
        <w:t>the type and magnitude of action required to improve the quality and quantity of approved SLIPs including political economy barriers</w:t>
      </w:r>
      <w:r w:rsidR="008B099B" w:rsidRPr="00060D11">
        <w:rPr>
          <w:rFonts w:ascii="Calibri" w:eastAsia="Calibri" w:hAnsi="Calibri" w:cs="Calibri"/>
          <w:sz w:val="22"/>
        </w:rPr>
        <w:t>;</w:t>
      </w:r>
    </w:p>
    <w:p w14:paraId="40A6804A" w14:textId="5A4BFD04" w:rsidR="001F26A6" w:rsidRPr="00060D11" w:rsidRDefault="001F26A6" w:rsidP="00D52EF6">
      <w:pPr>
        <w:pStyle w:val="ListParagraph"/>
        <w:widowControl w:val="0"/>
        <w:numPr>
          <w:ilvl w:val="0"/>
          <w:numId w:val="7"/>
        </w:numPr>
        <w:spacing w:after="160" w:line="276" w:lineRule="auto"/>
        <w:ind w:left="426" w:hanging="426"/>
        <w:rPr>
          <w:rFonts w:ascii="Calibri" w:eastAsia="Calibri" w:hAnsi="Calibri" w:cs="Calibri"/>
          <w:sz w:val="22"/>
        </w:rPr>
      </w:pPr>
      <w:r w:rsidRPr="00060D11">
        <w:rPr>
          <w:rFonts w:ascii="Calibri" w:eastAsia="Calibri" w:hAnsi="Calibri" w:cs="Calibri"/>
          <w:sz w:val="22"/>
        </w:rPr>
        <w:t>appropriate resources (training, coaching, venues) to carry out agreed actions (e.g., qualified expertise within existing government, church or local networks)</w:t>
      </w:r>
      <w:r w:rsidR="008B099B" w:rsidRPr="00060D11">
        <w:rPr>
          <w:rFonts w:ascii="Calibri" w:eastAsia="Calibri" w:hAnsi="Calibri" w:cs="Calibri"/>
          <w:sz w:val="22"/>
        </w:rPr>
        <w:t>;</w:t>
      </w:r>
      <w:r w:rsidR="003961B2" w:rsidRPr="00060D11">
        <w:rPr>
          <w:rFonts w:ascii="Calibri" w:eastAsia="Calibri" w:hAnsi="Calibri" w:cs="Calibri"/>
          <w:sz w:val="22"/>
        </w:rPr>
        <w:t xml:space="preserve"> and</w:t>
      </w:r>
    </w:p>
    <w:p w14:paraId="4E94761E" w14:textId="6EAF12CF" w:rsidR="001F26A6" w:rsidRDefault="003643D6" w:rsidP="00D52EF6">
      <w:pPr>
        <w:pStyle w:val="ListParagraph"/>
        <w:widowControl w:val="0"/>
        <w:numPr>
          <w:ilvl w:val="0"/>
          <w:numId w:val="7"/>
        </w:numPr>
        <w:spacing w:after="160" w:line="276" w:lineRule="auto"/>
        <w:ind w:left="426" w:hanging="426"/>
        <w:rPr>
          <w:rFonts w:ascii="Calibri" w:eastAsia="Calibri" w:hAnsi="Calibri" w:cs="Calibri"/>
          <w:sz w:val="22"/>
        </w:rPr>
      </w:pPr>
      <w:r>
        <w:rPr>
          <w:rFonts w:ascii="Calibri" w:eastAsia="Calibri" w:hAnsi="Calibri" w:cs="Calibri"/>
          <w:sz w:val="22"/>
        </w:rPr>
        <w:t xml:space="preserve">the </w:t>
      </w:r>
      <w:r w:rsidR="001F26A6" w:rsidRPr="00060D11">
        <w:rPr>
          <w:rFonts w:ascii="Calibri" w:eastAsia="Calibri" w:hAnsi="Calibri" w:cs="Calibri"/>
          <w:sz w:val="22"/>
        </w:rPr>
        <w:t>type of support required from the PIE investment (e.g., planning and budgeting workshops, training of SBoM, coaching, support, etc.)</w:t>
      </w:r>
      <w:r w:rsidR="008B099B" w:rsidRPr="00060D11">
        <w:rPr>
          <w:rFonts w:ascii="Calibri" w:eastAsia="Calibri" w:hAnsi="Calibri" w:cs="Calibri"/>
          <w:sz w:val="22"/>
        </w:rPr>
        <w:t>.</w:t>
      </w:r>
    </w:p>
    <w:p w14:paraId="4D717BE2" w14:textId="77777777" w:rsidR="00832B17" w:rsidRPr="00060D11" w:rsidRDefault="00832B17" w:rsidP="00832B17">
      <w:pPr>
        <w:pStyle w:val="ListParagraph"/>
        <w:widowControl w:val="0"/>
        <w:spacing w:after="160" w:line="276" w:lineRule="auto"/>
        <w:ind w:left="426"/>
        <w:rPr>
          <w:rFonts w:ascii="Calibri" w:eastAsia="Calibri" w:hAnsi="Calibri" w:cs="Calibri"/>
          <w:sz w:val="22"/>
        </w:rPr>
      </w:pPr>
    </w:p>
    <w:p w14:paraId="591585D0" w14:textId="77777777" w:rsidR="001F26A6" w:rsidRPr="00060D11" w:rsidRDefault="001F26A6" w:rsidP="004E780D">
      <w:pPr>
        <w:pStyle w:val="ListParagraph"/>
        <w:spacing w:line="276" w:lineRule="auto"/>
        <w:ind w:left="0"/>
        <w:rPr>
          <w:rFonts w:ascii="Calibri" w:eastAsia="Calibri" w:hAnsi="Calibri" w:cs="Calibri"/>
          <w:color w:val="FF0000"/>
        </w:rPr>
      </w:pPr>
      <w:r w:rsidRPr="00060D11">
        <w:rPr>
          <w:noProof/>
          <w:lang w:eastAsia="en-AU"/>
        </w:rPr>
        <mc:AlternateContent>
          <mc:Choice Requires="wps">
            <w:drawing>
              <wp:inline distT="0" distB="0" distL="0" distR="0" wp14:anchorId="35B7B3C5" wp14:editId="7559E831">
                <wp:extent cx="5861050" cy="565150"/>
                <wp:effectExtent l="0" t="0" r="25400" b="25400"/>
                <wp:docPr id="21" name="Text Box 21"/>
                <wp:cNvGraphicFramePr/>
                <a:graphic xmlns:a="http://schemas.openxmlformats.org/drawingml/2006/main">
                  <a:graphicData uri="http://schemas.microsoft.com/office/word/2010/wordprocessingShape">
                    <wps:wsp>
                      <wps:cNvSpPr txBox="1"/>
                      <wps:spPr>
                        <a:xfrm>
                          <a:off x="0" y="0"/>
                          <a:ext cx="5861050" cy="565150"/>
                        </a:xfrm>
                        <a:prstGeom prst="roundRect">
                          <a:avLst/>
                        </a:prstGeom>
                        <a:gradFill flip="none" rotWithShape="1">
                          <a:gsLst>
                            <a:gs pos="0">
                              <a:srgbClr val="007C89">
                                <a:tint val="66000"/>
                                <a:satMod val="160000"/>
                              </a:srgbClr>
                            </a:gs>
                            <a:gs pos="50000">
                              <a:srgbClr val="007C89">
                                <a:tint val="44500"/>
                                <a:satMod val="160000"/>
                              </a:srgbClr>
                            </a:gs>
                            <a:gs pos="100000">
                              <a:srgbClr val="007C89">
                                <a:tint val="23500"/>
                                <a:satMod val="160000"/>
                              </a:srgbClr>
                            </a:gs>
                          </a:gsLst>
                          <a:lin ang="2700000" scaled="1"/>
                          <a:tileRect/>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77AD33" w14:textId="5A6260CC" w:rsidR="00F96637" w:rsidRPr="00E25F8D" w:rsidRDefault="00F96637" w:rsidP="001F26A6">
                            <w:pPr>
                              <w:rPr>
                                <w:rFonts w:eastAsia="Calibri Light" w:cstheme="minorHAnsi"/>
                                <w:i/>
                                <w:iCs/>
                              </w:rPr>
                            </w:pPr>
                            <w:bookmarkStart w:id="51" w:name="_Hlk72953851"/>
                            <w:r>
                              <w:rPr>
                                <w:rFonts w:cstheme="minorHAnsi"/>
                                <w:b/>
                                <w:bCs/>
                              </w:rPr>
                              <w:t xml:space="preserve">Targeted Outcome 2: </w:t>
                            </w:r>
                            <w:r>
                              <w:rPr>
                                <w:rFonts w:cstheme="minorHAnsi"/>
                              </w:rPr>
                              <w:t xml:space="preserve"> Targeted provinces are using sustainable and replicable approaches to support i</w:t>
                            </w:r>
                            <w:r w:rsidRPr="00E25F8D">
                              <w:rPr>
                                <w:rFonts w:eastAsia="Calibri Light" w:cstheme="minorHAnsi"/>
                              </w:rPr>
                              <w:t>mprovements in the quality of teaching</w:t>
                            </w:r>
                            <w:r>
                              <w:rPr>
                                <w:rFonts w:eastAsia="Calibri Light" w:cstheme="minorHAnsi"/>
                              </w:rPr>
                              <w:t xml:space="preserve"> and learning</w:t>
                            </w:r>
                            <w:r w:rsidRPr="00E25F8D">
                              <w:rPr>
                                <w:rFonts w:eastAsia="Calibri Light" w:cstheme="minorHAnsi"/>
                              </w:rPr>
                              <w:t xml:space="preserve"> in the early grades</w:t>
                            </w:r>
                          </w:p>
                          <w:bookmarkEnd w:id="51"/>
                          <w:p w14:paraId="6E3C4BFA" w14:textId="77777777" w:rsidR="00F96637" w:rsidRPr="00A53AFC" w:rsidRDefault="00F96637" w:rsidP="001F26A6">
                            <w:pPr>
                              <w:rPr>
                                <w:rFonts w:cstheme="minorHAnsi"/>
                              </w:rPr>
                            </w:pPr>
                          </w:p>
                          <w:p w14:paraId="1A3B967B" w14:textId="77777777" w:rsidR="00F96637" w:rsidRDefault="00F96637" w:rsidP="001F2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5B7B3C5" id="Text Box 21" o:spid="_x0000_s1068" style="width:461.5pt;height:4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" fillcolor="#94bdc6" strokeweight=".5pt">
                <v:fill color2="#e0eaec" rotate="t" angle="45" colors="0 #94bdc6;.5 #bfd5da;1 #e0eaec" focus="100%" type="gradient"/>
                <v:textbox>
                  <w:txbxContent>
                    <w:p w14:paraId="3477AD33" w14:textId="5A6260CC" w:rsidR="00F96637" w:rsidRPr="00E25F8D" w:rsidRDefault="00F96637" w:rsidP="001F26A6">
                      <w:pPr>
                        <w:rPr>
                          <w:rFonts w:eastAsia="Calibri Light" w:cstheme="minorHAnsi"/>
                          <w:i/>
                          <w:iCs/>
                        </w:rPr>
                      </w:pPr>
                      <w:bookmarkStart w:id="80" w:name="_Hlk72953851"/>
                      <w:r>
                        <w:rPr>
                          <w:rFonts w:cstheme="minorHAnsi"/>
                          <w:b/>
                          <w:bCs/>
                        </w:rPr>
                        <w:t xml:space="preserve">Targeted Outcome 2: </w:t>
                      </w:r>
                      <w:r>
                        <w:rPr>
                          <w:rFonts w:cstheme="minorHAnsi"/>
                        </w:rPr>
                        <w:t xml:space="preserve"> Targeted provinces are using sustainable and replicable approaches to support i</w:t>
                      </w:r>
                      <w:r w:rsidRPr="00E25F8D">
                        <w:rPr>
                          <w:rFonts w:eastAsia="Calibri Light" w:cstheme="minorHAnsi"/>
                        </w:rPr>
                        <w:t>mprovements in the quality of teaching</w:t>
                      </w:r>
                      <w:r>
                        <w:rPr>
                          <w:rFonts w:eastAsia="Calibri Light" w:cstheme="minorHAnsi"/>
                        </w:rPr>
                        <w:t xml:space="preserve"> and learning</w:t>
                      </w:r>
                      <w:r w:rsidRPr="00E25F8D">
                        <w:rPr>
                          <w:rFonts w:eastAsia="Calibri Light" w:cstheme="minorHAnsi"/>
                        </w:rPr>
                        <w:t xml:space="preserve"> in the early grades</w:t>
                      </w:r>
                    </w:p>
                    <w:bookmarkEnd w:id="80"/>
                    <w:p w14:paraId="6E3C4BFA" w14:textId="77777777" w:rsidR="00F96637" w:rsidRPr="00A53AFC" w:rsidRDefault="00F96637" w:rsidP="001F26A6">
                      <w:pPr>
                        <w:rPr>
                          <w:rFonts w:cstheme="minorHAnsi"/>
                        </w:rPr>
                      </w:pPr>
                    </w:p>
                    <w:p w14:paraId="1A3B967B" w14:textId="77777777" w:rsidR="00F96637" w:rsidRDefault="00F96637" w:rsidP="001F26A6"/>
                  </w:txbxContent>
                </v:textbox>
                <w10:anchorlock/>
              </v:roundrect>
            </w:pict>
          </mc:Fallback>
        </mc:AlternateContent>
      </w:r>
    </w:p>
    <w:p w14:paraId="29BB574D" w14:textId="77777777" w:rsidR="001F26A6" w:rsidRPr="00060D11" w:rsidRDefault="001F26A6" w:rsidP="00270BDC">
      <w:pPr>
        <w:rPr>
          <w:caps/>
        </w:rPr>
      </w:pPr>
    </w:p>
    <w:p w14:paraId="286F8FA3" w14:textId="77777777" w:rsidR="003961B2" w:rsidRPr="00060D11" w:rsidRDefault="003961B2" w:rsidP="00D52EF6">
      <w:pPr>
        <w:spacing w:line="276" w:lineRule="auto"/>
      </w:pPr>
    </w:p>
    <w:p w14:paraId="34CF260C" w14:textId="70C0BE58" w:rsidR="001F26A6" w:rsidRPr="00060D11" w:rsidRDefault="001F26A6" w:rsidP="00D52EF6">
      <w:pPr>
        <w:spacing w:line="276" w:lineRule="auto"/>
      </w:pPr>
      <w:r w:rsidRPr="00060D11">
        <w:t xml:space="preserve">This outcome articulates DFAT’s commitment to the demonstration of feasible approaches to strengthening the capacity of the teaching workforce in selected provinces. </w:t>
      </w:r>
    </w:p>
    <w:p w14:paraId="6A046AC6" w14:textId="7DFD3968" w:rsidR="00B163E6" w:rsidRDefault="001F26A6" w:rsidP="00B163E6">
      <w:pPr>
        <w:spacing w:line="276" w:lineRule="auto"/>
      </w:pPr>
      <w:r w:rsidRPr="00060D11">
        <w:t>As a priority, helping the education system upgrade and retain existing teachers will be a timely response rather than waiting for an adequate supply of new graduates from teacher education colleges</w:t>
      </w:r>
      <w:r w:rsidRPr="00060D11">
        <w:rPr>
          <w:rStyle w:val="FootnoteReference"/>
        </w:rPr>
        <w:footnoteReference w:id="67"/>
      </w:r>
      <w:r w:rsidRPr="00060D11">
        <w:t xml:space="preserve">. </w:t>
      </w:r>
    </w:p>
    <w:p w14:paraId="156B8E3A" w14:textId="77777777" w:rsidR="000005BE" w:rsidRDefault="000005BE" w:rsidP="00B163E6">
      <w:pPr>
        <w:widowControl w:val="0"/>
        <w:spacing w:before="240" w:line="276" w:lineRule="auto"/>
      </w:pPr>
      <w:r w:rsidRPr="00060D11">
        <w:rPr>
          <w:noProof/>
        </w:rPr>
        <mc:AlternateContent>
          <mc:Choice Requires="wps">
            <w:drawing>
              <wp:inline distT="0" distB="0" distL="0" distR="0" wp14:anchorId="1C177FCD" wp14:editId="672D2B9C">
                <wp:extent cx="5783580" cy="960120"/>
                <wp:effectExtent l="0" t="0" r="26670" b="11430"/>
                <wp:docPr id="22" name="Text Box 22"/>
                <wp:cNvGraphicFramePr/>
                <a:graphic xmlns:a="http://schemas.openxmlformats.org/drawingml/2006/main">
                  <a:graphicData uri="http://schemas.microsoft.com/office/word/2010/wordprocessingShape">
                    <wps:wsp>
                      <wps:cNvSpPr txBox="1"/>
                      <wps:spPr>
                        <a:xfrm>
                          <a:off x="0" y="0"/>
                          <a:ext cx="5783580" cy="960120"/>
                        </a:xfrm>
                        <a:prstGeom prst="roundRect">
                          <a:avLst/>
                        </a:prstGeom>
                        <a:gradFill flip="none" rotWithShape="1">
                          <a:gsLst>
                            <a:gs pos="0">
                              <a:srgbClr val="007C89">
                                <a:tint val="66000"/>
                                <a:satMod val="160000"/>
                              </a:srgbClr>
                            </a:gs>
                            <a:gs pos="50000">
                              <a:srgbClr val="007C89">
                                <a:tint val="44500"/>
                                <a:satMod val="160000"/>
                              </a:srgbClr>
                            </a:gs>
                            <a:gs pos="100000">
                              <a:srgbClr val="007C89">
                                <a:tint val="23500"/>
                                <a:satMod val="160000"/>
                              </a:srgbClr>
                            </a:gs>
                          </a:gsLst>
                          <a:lin ang="2700000" scaled="1"/>
                          <a:tileRect/>
                        </a:gradFill>
                        <a:ln w="6350">
                          <a:solidFill>
                            <a:prstClr val="black"/>
                          </a:solidFill>
                        </a:ln>
                      </wps:spPr>
                      <wps:txbx>
                        <w:txbxContent>
                          <w:p w14:paraId="16CC815C" w14:textId="77777777" w:rsidR="00F96637" w:rsidRDefault="00F96637" w:rsidP="001F26A6">
                            <w:pPr>
                              <w:rPr>
                                <w:i/>
                                <w:iCs/>
                                <w:sz w:val="20"/>
                                <w:szCs w:val="20"/>
                              </w:rPr>
                            </w:pPr>
                            <w:r>
                              <w:rPr>
                                <w:i/>
                                <w:iCs/>
                                <w:sz w:val="20"/>
                                <w:szCs w:val="20"/>
                              </w:rPr>
                              <w:t>“</w:t>
                            </w:r>
                            <w:r w:rsidRPr="00B878EB">
                              <w:rPr>
                                <w:i/>
                                <w:iCs/>
                                <w:sz w:val="20"/>
                                <w:szCs w:val="20"/>
                              </w:rPr>
                              <w:t>To date many of the teachers have been deregistered as their qualifications are deemed low</w:t>
                            </w:r>
                            <w:r>
                              <w:rPr>
                                <w:i/>
                                <w:iCs/>
                                <w:sz w:val="20"/>
                                <w:szCs w:val="20"/>
                              </w:rPr>
                              <w:t xml:space="preserve"> </w:t>
                            </w:r>
                            <w:r w:rsidRPr="00B878EB">
                              <w:rPr>
                                <w:i/>
                                <w:iCs/>
                                <w:sz w:val="20"/>
                                <w:szCs w:val="20"/>
                              </w:rPr>
                              <w:t>/ unqualified by the Education Dep</w:t>
                            </w:r>
                            <w:r>
                              <w:rPr>
                                <w:i/>
                                <w:iCs/>
                                <w:sz w:val="20"/>
                                <w:szCs w:val="20"/>
                              </w:rPr>
                              <w:t>artment</w:t>
                            </w:r>
                            <w:r w:rsidRPr="00B878EB">
                              <w:rPr>
                                <w:i/>
                                <w:iCs/>
                                <w:sz w:val="20"/>
                                <w:szCs w:val="20"/>
                              </w:rPr>
                              <w:t>. Many more are yet to be registered and put on pay even after teaching for more than 5 years.</w:t>
                            </w:r>
                            <w:r>
                              <w:rPr>
                                <w:i/>
                                <w:iCs/>
                                <w:sz w:val="20"/>
                                <w:szCs w:val="20"/>
                              </w:rPr>
                              <w:t>”</w:t>
                            </w:r>
                          </w:p>
                          <w:p w14:paraId="3E8B6849" w14:textId="77777777" w:rsidR="00F96637" w:rsidRDefault="00F96637" w:rsidP="001F26A6">
                            <w:pPr>
                              <w:rPr>
                                <w:i/>
                                <w:iCs/>
                                <w:sz w:val="20"/>
                                <w:szCs w:val="20"/>
                              </w:rPr>
                            </w:pPr>
                            <w:r>
                              <w:rPr>
                                <w:i/>
                                <w:iCs/>
                                <w:sz w:val="20"/>
                                <w:szCs w:val="20"/>
                              </w:rPr>
                              <w:t>“</w:t>
                            </w:r>
                            <w:r w:rsidRPr="00B878EB">
                              <w:rPr>
                                <w:i/>
                                <w:iCs/>
                                <w:sz w:val="20"/>
                                <w:szCs w:val="20"/>
                              </w:rPr>
                              <w:t>Due to the above issue many schools in remote locations do not have teachers and many have closed.</w:t>
                            </w:r>
                            <w:r>
                              <w:rPr>
                                <w:i/>
                                <w:iCs/>
                                <w:sz w:val="20"/>
                                <w:szCs w:val="20"/>
                              </w:rPr>
                              <w:t>”</w:t>
                            </w:r>
                          </w:p>
                          <w:p w14:paraId="052C8566" w14:textId="77777777" w:rsidR="00F96637" w:rsidRPr="00B878EB" w:rsidRDefault="00F96637" w:rsidP="001F26A6">
                            <w:pPr>
                              <w:rPr>
                                <w:b/>
                                <w:bCs/>
                                <w:sz w:val="18"/>
                                <w:szCs w:val="18"/>
                              </w:rPr>
                            </w:pPr>
                            <w:r w:rsidRPr="00B878EB">
                              <w:rPr>
                                <w:b/>
                                <w:bCs/>
                                <w:sz w:val="18"/>
                                <w:szCs w:val="18"/>
                              </w:rPr>
                              <w:t xml:space="preserve">Provincial </w:t>
                            </w:r>
                            <w:r>
                              <w:rPr>
                                <w:b/>
                                <w:bCs/>
                                <w:sz w:val="18"/>
                                <w:szCs w:val="18"/>
                              </w:rPr>
                              <w:t>Consultations</w:t>
                            </w:r>
                            <w:r w:rsidRPr="00B878EB">
                              <w:rPr>
                                <w:b/>
                                <w:bCs/>
                                <w:sz w:val="18"/>
                                <w:szCs w:val="18"/>
                              </w:rPr>
                              <w:t xml:space="preserve"> 1</w:t>
                            </w:r>
                            <w:r w:rsidRPr="00B878EB">
                              <w:rPr>
                                <w:b/>
                                <w:bCs/>
                                <w:sz w:val="18"/>
                                <w:szCs w:val="18"/>
                                <w:vertAlign w:val="superscript"/>
                              </w:rPr>
                              <w:t>st</w:t>
                            </w:r>
                            <w:r w:rsidRPr="00B878EB">
                              <w:rPr>
                                <w:b/>
                                <w:bCs/>
                                <w:sz w:val="18"/>
                                <w:szCs w:val="18"/>
                              </w:rPr>
                              <w:t xml:space="preserve"> April,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1C177FCD" id="Text Box 22" o:spid="_x0000_s1069" style="width:455.4pt;height:75.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" fillcolor="#94bdc6" strokeweight=".5pt">
                <v:fill color2="#e0eaec" rotate="t" angle="45" colors="0 #94bdc6;.5 #bfd5da;1 #e0eaec" focus="100%" type="gradient"/>
                <v:textbox>
                  <w:txbxContent>
                    <w:p w14:paraId="16CC815C" w14:textId="77777777" w:rsidR="00F96637" w:rsidRDefault="00F96637" w:rsidP="001F26A6">
                      <w:pPr>
                        <w:rPr>
                          <w:i/>
                          <w:iCs/>
                          <w:sz w:val="20"/>
                          <w:szCs w:val="20"/>
                        </w:rPr>
                      </w:pPr>
                      <w:r>
                        <w:rPr>
                          <w:i/>
                          <w:iCs/>
                          <w:sz w:val="20"/>
                          <w:szCs w:val="20"/>
                        </w:rPr>
                        <w:t>“</w:t>
                      </w:r>
                      <w:r w:rsidRPr="00B878EB">
                        <w:rPr>
                          <w:i/>
                          <w:iCs/>
                          <w:sz w:val="20"/>
                          <w:szCs w:val="20"/>
                        </w:rPr>
                        <w:t>To date many of the teachers have been deregistered as their qualifications are deemed low</w:t>
                      </w:r>
                      <w:r>
                        <w:rPr>
                          <w:i/>
                          <w:iCs/>
                          <w:sz w:val="20"/>
                          <w:szCs w:val="20"/>
                        </w:rPr>
                        <w:t xml:space="preserve"> </w:t>
                      </w:r>
                      <w:r w:rsidRPr="00B878EB">
                        <w:rPr>
                          <w:i/>
                          <w:iCs/>
                          <w:sz w:val="20"/>
                          <w:szCs w:val="20"/>
                        </w:rPr>
                        <w:t>/ unqualified by the Education Dep</w:t>
                      </w:r>
                      <w:r>
                        <w:rPr>
                          <w:i/>
                          <w:iCs/>
                          <w:sz w:val="20"/>
                          <w:szCs w:val="20"/>
                        </w:rPr>
                        <w:t>artment</w:t>
                      </w:r>
                      <w:r w:rsidRPr="00B878EB">
                        <w:rPr>
                          <w:i/>
                          <w:iCs/>
                          <w:sz w:val="20"/>
                          <w:szCs w:val="20"/>
                        </w:rPr>
                        <w:t>. Many more are yet to be registered and put on pay even after teaching for more than 5 years.</w:t>
                      </w:r>
                      <w:r>
                        <w:rPr>
                          <w:i/>
                          <w:iCs/>
                          <w:sz w:val="20"/>
                          <w:szCs w:val="20"/>
                        </w:rPr>
                        <w:t>”</w:t>
                      </w:r>
                    </w:p>
                    <w:p w14:paraId="3E8B6849" w14:textId="77777777" w:rsidR="00F96637" w:rsidRDefault="00F96637" w:rsidP="001F26A6">
                      <w:pPr>
                        <w:rPr>
                          <w:i/>
                          <w:iCs/>
                          <w:sz w:val="20"/>
                          <w:szCs w:val="20"/>
                        </w:rPr>
                      </w:pPr>
                      <w:r>
                        <w:rPr>
                          <w:i/>
                          <w:iCs/>
                          <w:sz w:val="20"/>
                          <w:szCs w:val="20"/>
                        </w:rPr>
                        <w:t>“</w:t>
                      </w:r>
                      <w:r w:rsidRPr="00B878EB">
                        <w:rPr>
                          <w:i/>
                          <w:iCs/>
                          <w:sz w:val="20"/>
                          <w:szCs w:val="20"/>
                        </w:rPr>
                        <w:t>Due to the above issue many schools in remote locations do not have teachers and many have closed.</w:t>
                      </w:r>
                      <w:r>
                        <w:rPr>
                          <w:i/>
                          <w:iCs/>
                          <w:sz w:val="20"/>
                          <w:szCs w:val="20"/>
                        </w:rPr>
                        <w:t>”</w:t>
                      </w:r>
                    </w:p>
                    <w:p w14:paraId="052C8566" w14:textId="77777777" w:rsidR="00F96637" w:rsidRPr="00B878EB" w:rsidRDefault="00F96637" w:rsidP="001F26A6">
                      <w:pPr>
                        <w:rPr>
                          <w:b/>
                          <w:bCs/>
                          <w:sz w:val="18"/>
                          <w:szCs w:val="18"/>
                        </w:rPr>
                      </w:pPr>
                      <w:r w:rsidRPr="00B878EB">
                        <w:rPr>
                          <w:b/>
                          <w:bCs/>
                          <w:sz w:val="18"/>
                          <w:szCs w:val="18"/>
                        </w:rPr>
                        <w:t xml:space="preserve">Provincial </w:t>
                      </w:r>
                      <w:r>
                        <w:rPr>
                          <w:b/>
                          <w:bCs/>
                          <w:sz w:val="18"/>
                          <w:szCs w:val="18"/>
                        </w:rPr>
                        <w:t>Consultations</w:t>
                      </w:r>
                      <w:r w:rsidRPr="00B878EB">
                        <w:rPr>
                          <w:b/>
                          <w:bCs/>
                          <w:sz w:val="18"/>
                          <w:szCs w:val="18"/>
                        </w:rPr>
                        <w:t xml:space="preserve"> 1</w:t>
                      </w:r>
                      <w:r w:rsidRPr="00B878EB">
                        <w:rPr>
                          <w:b/>
                          <w:bCs/>
                          <w:sz w:val="18"/>
                          <w:szCs w:val="18"/>
                          <w:vertAlign w:val="superscript"/>
                        </w:rPr>
                        <w:t>st</w:t>
                      </w:r>
                      <w:r w:rsidRPr="00B878EB">
                        <w:rPr>
                          <w:b/>
                          <w:bCs/>
                          <w:sz w:val="18"/>
                          <w:szCs w:val="18"/>
                        </w:rPr>
                        <w:t xml:space="preserve"> April, 2021</w:t>
                      </w:r>
                    </w:p>
                  </w:txbxContent>
                </v:textbox>
                <w10:anchorlock/>
              </v:roundrect>
            </w:pict>
          </mc:Fallback>
        </mc:AlternateContent>
      </w:r>
    </w:p>
    <w:p w14:paraId="08E17632" w14:textId="7BC6D1CD" w:rsidR="00165A5C" w:rsidRPr="00060D11" w:rsidRDefault="001F26A6" w:rsidP="00B163E6">
      <w:pPr>
        <w:widowControl w:val="0"/>
        <w:spacing w:before="240" w:line="276" w:lineRule="auto"/>
      </w:pPr>
      <w:r w:rsidRPr="00060D11">
        <w:t>For teachers who are already in schools, there is a need for continuous improvement of their knowledge, skills and teaching practice. Strengthening the provision of in-service training and appropriate supervision to teachers will be necessary.</w:t>
      </w:r>
      <w:r w:rsidR="00F446FC" w:rsidRPr="00060D11">
        <w:t xml:space="preserve"> </w:t>
      </w:r>
      <w:r w:rsidR="002F681A" w:rsidRPr="00060D11">
        <w:t xml:space="preserve"> </w:t>
      </w:r>
      <w:r w:rsidR="00F446FC" w:rsidRPr="00060D11">
        <w:t xml:space="preserve">This will require system-level support to improve or develop (where they are non-existent) the provision of in-service models including systems for planning, implementation, supervision and performance monitoring. </w:t>
      </w:r>
      <w:r w:rsidR="00165A5C" w:rsidRPr="00060D11">
        <w:t xml:space="preserve">In particular, PIE will need to support the development of tools for learning assessment, as there is currently no nationwide assessment system. As an interim measure, a </w:t>
      </w:r>
      <w:r w:rsidR="00974E2E" w:rsidRPr="00060D11">
        <w:t xml:space="preserve">simple </w:t>
      </w:r>
      <w:r w:rsidR="00165A5C" w:rsidRPr="00060D11">
        <w:t>baseline of student learning (and teacher competenc</w:t>
      </w:r>
      <w:r w:rsidR="00CB2E94" w:rsidRPr="00060D11">
        <w:t>ies</w:t>
      </w:r>
      <w:r w:rsidR="00165A5C" w:rsidRPr="00060D11">
        <w:t xml:space="preserve">) in target provinces will be undertaken with PIE support </w:t>
      </w:r>
      <w:r w:rsidR="00974E2E" w:rsidRPr="00060D11">
        <w:t>to ascertain whether PIE interventions are successful in improving the quality of teaching and learning</w:t>
      </w:r>
      <w:r w:rsidR="00690685" w:rsidRPr="00060D11">
        <w:t xml:space="preserve"> over the lifetime of PIE</w:t>
      </w:r>
      <w:r w:rsidR="00974E2E" w:rsidRPr="00060D11">
        <w:t>.</w:t>
      </w:r>
    </w:p>
    <w:p w14:paraId="1FE97A1D" w14:textId="77777777" w:rsidR="00CB2E94" w:rsidRPr="00060D11" w:rsidRDefault="00CB2E94" w:rsidP="004E780D">
      <w:pPr>
        <w:widowControl w:val="0"/>
        <w:spacing w:line="276" w:lineRule="auto"/>
      </w:pPr>
    </w:p>
    <w:p w14:paraId="2417120B" w14:textId="2126CF57" w:rsidR="00AB1BCB" w:rsidRPr="00060D11" w:rsidRDefault="00F446FC" w:rsidP="00B163E6">
      <w:pPr>
        <w:widowControl w:val="0"/>
        <w:spacing w:after="240" w:line="276" w:lineRule="auto"/>
      </w:pPr>
      <w:r w:rsidRPr="00060D11">
        <w:t xml:space="preserve">Currently, only a few teacher education colleges are set up to provide </w:t>
      </w:r>
      <w:r w:rsidR="00B163E6" w:rsidRPr="00060D11">
        <w:t>pre-</w:t>
      </w:r>
      <w:r w:rsidRPr="00060D11">
        <w:t xml:space="preserve"> or in-service training for the early grades. Further analysis at the provincial level will be required to determine what existing systems and processes can be built on. Specific, system level support for teacher training will be identified and supported under the Enabling Outcome 3 (IO 1) and may include support to DHERST at the national level along with service providers at the sub-national level.</w:t>
      </w:r>
    </w:p>
    <w:p w14:paraId="63F258E8" w14:textId="46812331" w:rsidR="008B099B" w:rsidRPr="00060D11" w:rsidRDefault="002F681A" w:rsidP="00B163E6">
      <w:pPr>
        <w:widowControl w:val="0"/>
        <w:spacing w:line="276" w:lineRule="auto"/>
      </w:pPr>
      <w:r w:rsidRPr="00060D11">
        <w:rPr>
          <w:rFonts w:eastAsia="Calibri" w:cstheme="minorHAnsi"/>
        </w:rPr>
        <w:t>The PIE budget (Appendix G) includes provision for a</w:t>
      </w:r>
      <w:r w:rsidR="007D43AC" w:rsidRPr="00060D11">
        <w:rPr>
          <w:rFonts w:eastAsia="Calibri" w:cstheme="minorHAnsi"/>
        </w:rPr>
        <w:t xml:space="preserve"> Teacher Upgrading Fund</w:t>
      </w:r>
      <w:r w:rsidRPr="00060D11">
        <w:rPr>
          <w:rFonts w:eastAsia="Calibri" w:cstheme="minorHAnsi"/>
        </w:rPr>
        <w:t xml:space="preserve"> </w:t>
      </w:r>
      <w:r w:rsidR="007D43AC" w:rsidRPr="00060D11">
        <w:rPr>
          <w:rFonts w:eastAsia="Calibri" w:cstheme="minorHAnsi"/>
        </w:rPr>
        <w:t>(</w:t>
      </w:r>
      <w:r w:rsidRPr="00060D11">
        <w:rPr>
          <w:rFonts w:eastAsia="Calibri" w:cstheme="minorHAnsi"/>
        </w:rPr>
        <w:t>TUF</w:t>
      </w:r>
      <w:r w:rsidR="007D43AC" w:rsidRPr="00060D11">
        <w:rPr>
          <w:rFonts w:eastAsia="Calibri" w:cstheme="minorHAnsi"/>
        </w:rPr>
        <w:t>)</w:t>
      </w:r>
      <w:r w:rsidRPr="00060D11">
        <w:rPr>
          <w:rFonts w:eastAsia="Calibri" w:cstheme="minorHAnsi"/>
        </w:rPr>
        <w:t xml:space="preserve"> of approximately AUD</w:t>
      </w:r>
      <w:r w:rsidR="008B099B" w:rsidRPr="00060D11">
        <w:rPr>
          <w:rFonts w:eastAsia="Calibri" w:cstheme="minorHAnsi"/>
        </w:rPr>
        <w:t xml:space="preserve"> </w:t>
      </w:r>
      <w:r w:rsidRPr="00060D11">
        <w:rPr>
          <w:rFonts w:eastAsia="Calibri" w:cstheme="minorHAnsi"/>
        </w:rPr>
        <w:t>23 million over the lifetime of the investment</w:t>
      </w:r>
      <w:r w:rsidR="00102C96" w:rsidRPr="00060D11">
        <w:rPr>
          <w:rFonts w:eastAsia="Calibri" w:cstheme="minorHAnsi"/>
        </w:rPr>
        <w:t xml:space="preserve">. This fund will cover the cost of activities contributing to the achievement of </w:t>
      </w:r>
      <w:r w:rsidR="003C05F4" w:rsidRPr="00060D11">
        <w:rPr>
          <w:rFonts w:eastAsia="Calibri" w:cstheme="minorHAnsi"/>
        </w:rPr>
        <w:t xml:space="preserve">Targeted </w:t>
      </w:r>
      <w:r w:rsidR="00B76E25" w:rsidRPr="00060D11">
        <w:rPr>
          <w:rFonts w:eastAsia="Calibri" w:cstheme="minorHAnsi"/>
        </w:rPr>
        <w:t>Outcome 2.</w:t>
      </w:r>
      <w:r w:rsidR="00E60257" w:rsidRPr="00060D11">
        <w:rPr>
          <w:rFonts w:eastAsia="Calibri" w:cstheme="minorHAnsi"/>
        </w:rPr>
        <w:t xml:space="preserve"> </w:t>
      </w:r>
      <w:r w:rsidR="00E60257" w:rsidRPr="00060D11">
        <w:rPr>
          <w:rFonts w:ascii="Calibri" w:eastAsia="Calibri" w:hAnsi="Calibri" w:cs="Calibri"/>
        </w:rPr>
        <w:t xml:space="preserve">The required support would be included in the PIE Annual Plan to guide the on-going work of the </w:t>
      </w:r>
      <w:r w:rsidR="005662DB" w:rsidRPr="00060D11">
        <w:rPr>
          <w:rFonts w:ascii="Calibri" w:eastAsia="Calibri" w:hAnsi="Calibri" w:cs="Calibri"/>
        </w:rPr>
        <w:t>managing contractor</w:t>
      </w:r>
      <w:r w:rsidR="00E60257" w:rsidRPr="00060D11">
        <w:rPr>
          <w:rFonts w:ascii="Calibri" w:eastAsia="Calibri" w:hAnsi="Calibri" w:cs="Calibri"/>
        </w:rPr>
        <w:t xml:space="preserve"> and the provision of further inputs. </w:t>
      </w:r>
      <w:r w:rsidR="005E560D" w:rsidRPr="00060D11">
        <w:rPr>
          <w:rFonts w:ascii="Calibri" w:eastAsia="Calibri" w:hAnsi="Calibri" w:cs="Calibri"/>
        </w:rPr>
        <w:t xml:space="preserve">In-service training programs will be </w:t>
      </w:r>
      <w:r w:rsidR="00AB1BCB" w:rsidRPr="00060D11">
        <w:rPr>
          <w:rFonts w:ascii="Calibri" w:eastAsia="Calibri" w:hAnsi="Calibri" w:cs="Calibri"/>
        </w:rPr>
        <w:t xml:space="preserve">reflected in </w:t>
      </w:r>
      <w:r w:rsidR="004F62A5" w:rsidRPr="00060D11">
        <w:rPr>
          <w:rFonts w:ascii="Calibri" w:eastAsia="Calibri" w:hAnsi="Calibri" w:cs="Calibri"/>
        </w:rPr>
        <w:t>PDoE</w:t>
      </w:r>
      <w:r w:rsidR="00AB1BCB" w:rsidRPr="00060D11">
        <w:rPr>
          <w:rFonts w:ascii="Calibri" w:eastAsia="Calibri" w:hAnsi="Calibri" w:cs="Calibri"/>
        </w:rPr>
        <w:t xml:space="preserve"> </w:t>
      </w:r>
      <w:r w:rsidR="00A96E2A" w:rsidRPr="00060D11">
        <w:rPr>
          <w:rFonts w:ascii="Calibri" w:eastAsia="Calibri" w:hAnsi="Calibri" w:cs="Calibri"/>
        </w:rPr>
        <w:t>AAP</w:t>
      </w:r>
      <w:r w:rsidR="00AB1BCB" w:rsidRPr="00060D11">
        <w:rPr>
          <w:rFonts w:ascii="Calibri" w:eastAsia="Calibri" w:hAnsi="Calibri" w:cs="Calibri"/>
        </w:rPr>
        <w:t xml:space="preserve"> and </w:t>
      </w:r>
      <w:r w:rsidR="003C05F4" w:rsidRPr="00060D11">
        <w:rPr>
          <w:rFonts w:ascii="Calibri" w:eastAsia="Calibri" w:hAnsi="Calibri" w:cs="Calibri"/>
        </w:rPr>
        <w:t>p</w:t>
      </w:r>
      <w:r w:rsidR="00AB1BCB" w:rsidRPr="00060D11">
        <w:rPr>
          <w:rFonts w:ascii="Calibri" w:eastAsia="Calibri" w:hAnsi="Calibri" w:cs="Calibri"/>
        </w:rPr>
        <w:t xml:space="preserve">rovision </w:t>
      </w:r>
      <w:r w:rsidR="003C05F4" w:rsidRPr="00060D11">
        <w:rPr>
          <w:rFonts w:ascii="Calibri" w:eastAsia="Calibri" w:hAnsi="Calibri" w:cs="Calibri"/>
        </w:rPr>
        <w:t>e</w:t>
      </w:r>
      <w:r w:rsidR="00AB1BCB" w:rsidRPr="00060D11">
        <w:rPr>
          <w:rFonts w:ascii="Calibri" w:eastAsia="Calibri" w:hAnsi="Calibri" w:cs="Calibri"/>
        </w:rPr>
        <w:t xml:space="preserve">ducation </w:t>
      </w:r>
      <w:r w:rsidR="003C05F4" w:rsidRPr="00060D11">
        <w:rPr>
          <w:rFonts w:ascii="Calibri" w:eastAsia="Calibri" w:hAnsi="Calibri" w:cs="Calibri"/>
        </w:rPr>
        <w:t>p</w:t>
      </w:r>
      <w:r w:rsidR="00AB1BCB" w:rsidRPr="00060D11">
        <w:rPr>
          <w:rFonts w:ascii="Calibri" w:eastAsia="Calibri" w:hAnsi="Calibri" w:cs="Calibri"/>
        </w:rPr>
        <w:t>lans.</w:t>
      </w:r>
      <w:r w:rsidR="008B099B" w:rsidRPr="00060D11">
        <w:t xml:space="preserve"> </w:t>
      </w:r>
    </w:p>
    <w:p w14:paraId="790D2699" w14:textId="77777777" w:rsidR="008B099B" w:rsidRPr="00060D11" w:rsidRDefault="008B099B" w:rsidP="004E780D">
      <w:pPr>
        <w:widowControl w:val="0"/>
        <w:spacing w:line="276" w:lineRule="auto"/>
        <w:rPr>
          <w:rFonts w:ascii="Calibri" w:eastAsia="Calibri" w:hAnsi="Calibri" w:cs="Calibri"/>
        </w:rPr>
      </w:pPr>
    </w:p>
    <w:p w14:paraId="31CE2A29" w14:textId="5B5381E9" w:rsidR="001F26A6" w:rsidRPr="00060D11" w:rsidRDefault="001F26A6" w:rsidP="004E780D">
      <w:pPr>
        <w:widowControl w:val="0"/>
        <w:spacing w:line="276" w:lineRule="auto"/>
      </w:pPr>
      <w:r w:rsidRPr="00060D11">
        <w:t>T</w:t>
      </w:r>
      <w:r w:rsidR="00082E4C" w:rsidRPr="00060D11">
        <w:t>hree</w:t>
      </w:r>
      <w:r w:rsidRPr="00060D11">
        <w:t xml:space="preserve"> I</w:t>
      </w:r>
      <w:r w:rsidR="008B099B" w:rsidRPr="00060D11">
        <w:t>O</w:t>
      </w:r>
      <w:r w:rsidRPr="00060D11">
        <w:t xml:space="preserve">s contribute to the achievement </w:t>
      </w:r>
      <w:r w:rsidR="003C05F4" w:rsidRPr="00060D11">
        <w:t xml:space="preserve">of </w:t>
      </w:r>
      <w:r w:rsidR="008B099B" w:rsidRPr="00060D11">
        <w:t xml:space="preserve">Targeted </w:t>
      </w:r>
      <w:r w:rsidRPr="00060D11">
        <w:t>Outcome 2, as follows:</w:t>
      </w:r>
    </w:p>
    <w:p w14:paraId="2D6CF3D0" w14:textId="77777777" w:rsidR="008B099B" w:rsidRPr="00060D11" w:rsidRDefault="008B099B" w:rsidP="004E780D">
      <w:pPr>
        <w:pStyle w:val="ListParagraph"/>
        <w:spacing w:line="276" w:lineRule="auto"/>
        <w:ind w:hanging="720"/>
        <w:rPr>
          <w:rFonts w:ascii="Calibri" w:eastAsia="Calibri" w:hAnsi="Calibri" w:cs="Calibri"/>
          <w:i/>
          <w:iCs/>
          <w:sz w:val="22"/>
        </w:rPr>
      </w:pPr>
    </w:p>
    <w:p w14:paraId="4D3427EF" w14:textId="2DABB9B0" w:rsidR="001F26A6" w:rsidRPr="00060D11" w:rsidRDefault="005117DA" w:rsidP="004E780D">
      <w:pPr>
        <w:pStyle w:val="ListParagraph"/>
        <w:numPr>
          <w:ilvl w:val="1"/>
          <w:numId w:val="49"/>
        </w:numPr>
        <w:spacing w:line="276" w:lineRule="auto"/>
        <w:rPr>
          <w:rFonts w:ascii="Calibri" w:eastAsia="Calibri" w:hAnsi="Calibri" w:cs="Calibri"/>
          <w:i/>
          <w:iCs/>
          <w:sz w:val="22"/>
        </w:rPr>
      </w:pPr>
      <w:r w:rsidRPr="00060D11">
        <w:rPr>
          <w:rFonts w:ascii="Calibri" w:eastAsia="Calibri" w:hAnsi="Calibri" w:cs="Calibri"/>
          <w:i/>
          <w:iCs/>
          <w:sz w:val="22"/>
        </w:rPr>
        <w:t xml:space="preserve">Early grade teachers from targeted province have upgraded knowledge and skills. </w:t>
      </w:r>
    </w:p>
    <w:p w14:paraId="444F0738" w14:textId="77777777" w:rsidR="008B099B" w:rsidRPr="00060D11" w:rsidRDefault="008B099B" w:rsidP="00D52EF6">
      <w:pPr>
        <w:widowControl w:val="0"/>
        <w:spacing w:line="276" w:lineRule="auto"/>
        <w:rPr>
          <w:rFonts w:ascii="Calibri" w:eastAsia="Calibri" w:hAnsi="Calibri" w:cs="Calibri"/>
        </w:rPr>
      </w:pPr>
    </w:p>
    <w:p w14:paraId="64ECC8C6" w14:textId="3F5B167D" w:rsidR="001F26A6" w:rsidRPr="00060D11" w:rsidRDefault="001F26A6" w:rsidP="004E780D">
      <w:pPr>
        <w:widowControl w:val="0"/>
        <w:spacing w:after="120" w:line="276" w:lineRule="auto"/>
        <w:rPr>
          <w:rFonts w:ascii="Calibri" w:eastAsia="Calibri" w:hAnsi="Calibri" w:cs="Calibri"/>
        </w:rPr>
      </w:pPr>
      <w:r w:rsidRPr="00060D11">
        <w:rPr>
          <w:rFonts w:ascii="Calibri" w:eastAsia="Calibri" w:hAnsi="Calibri" w:cs="Calibri"/>
        </w:rPr>
        <w:t>The focus of the PIE program will be to upgrade the knowledge and skills of existing elementary and primary teachers. These teachers may be transferred from elementary schools or are already appointed to teach in the early grades in primary schools. There are two primary avenues to accomplish this: 1) customized in-service training programs, based on a comprehensive needs assessment of teacher knowledge and skills and proven models</w:t>
      </w:r>
      <w:r w:rsidRPr="00060D11">
        <w:rPr>
          <w:rStyle w:val="FootnoteReference"/>
          <w:rFonts w:ascii="Calibri" w:eastAsia="Calibri" w:hAnsi="Calibri" w:cs="Calibri"/>
        </w:rPr>
        <w:footnoteReference w:id="68"/>
      </w:r>
      <w:r w:rsidRPr="00060D11">
        <w:rPr>
          <w:rFonts w:ascii="Calibri" w:eastAsia="Calibri" w:hAnsi="Calibri" w:cs="Calibri"/>
        </w:rPr>
        <w:t xml:space="preserve"> (See </w:t>
      </w:r>
      <w:r w:rsidR="00EB1CC8" w:rsidRPr="00060D11">
        <w:rPr>
          <w:rFonts w:ascii="Calibri" w:eastAsia="Calibri" w:hAnsi="Calibri" w:cs="Calibri"/>
        </w:rPr>
        <w:t>IO 2.</w:t>
      </w:r>
      <w:r w:rsidR="00E00FAD" w:rsidRPr="00060D11">
        <w:rPr>
          <w:rFonts w:ascii="Calibri" w:eastAsia="Calibri" w:hAnsi="Calibri" w:cs="Calibri"/>
        </w:rPr>
        <w:t>3</w:t>
      </w:r>
      <w:r w:rsidRPr="00060D11">
        <w:rPr>
          <w:rFonts w:ascii="Calibri" w:eastAsia="Calibri" w:hAnsi="Calibri" w:cs="Calibri"/>
        </w:rPr>
        <w:t>) and 2) improved supervision and coaching of teachers by peers, master teachers, head teachers and education supervisors (see IO 2.2).</w:t>
      </w:r>
      <w:r w:rsidR="00F67473" w:rsidRPr="00060D11">
        <w:rPr>
          <w:rFonts w:ascii="Calibri" w:eastAsia="Calibri" w:hAnsi="Calibri" w:cs="Calibri"/>
        </w:rPr>
        <w:t xml:space="preserve"> The Australia Awards program will continue to provide support for pre-service teacher training, complementing </w:t>
      </w:r>
      <w:r w:rsidR="00A559E4" w:rsidRPr="00060D11">
        <w:rPr>
          <w:rFonts w:ascii="Calibri" w:eastAsia="Calibri" w:hAnsi="Calibri" w:cs="Calibri"/>
        </w:rPr>
        <w:t>PIE’s approach and focus on in-service training.</w:t>
      </w:r>
    </w:p>
    <w:p w14:paraId="6ADF42AC" w14:textId="47981DC4" w:rsidR="001F26A6" w:rsidRPr="00060D11" w:rsidRDefault="001F26A6" w:rsidP="004E780D">
      <w:pPr>
        <w:widowControl w:val="0"/>
        <w:spacing w:before="120" w:after="120" w:line="276" w:lineRule="auto"/>
        <w:rPr>
          <w:rFonts w:ascii="Calibri" w:eastAsia="Calibri" w:hAnsi="Calibri" w:cs="Calibri"/>
        </w:rPr>
      </w:pPr>
      <w:r w:rsidRPr="00060D11">
        <w:rPr>
          <w:rFonts w:ascii="Calibri" w:eastAsia="Calibri" w:hAnsi="Calibri" w:cs="Calibri"/>
        </w:rPr>
        <w:t xml:space="preserve">Customised in-service programs could be delivered via qualified teacher education colleges. These in-service programs could be offered on-site at the colleges during school breaks or via college faculty visiting locations within each district to deliver in-service programs. Other options could include distance delivery of teacher professional development programs supervised by DHERST. The </w:t>
      </w:r>
      <w:r w:rsidR="005662DB" w:rsidRPr="00060D11">
        <w:rPr>
          <w:rFonts w:ascii="Calibri" w:eastAsia="Calibri" w:hAnsi="Calibri" w:cs="Calibri"/>
        </w:rPr>
        <w:t>managing contractor</w:t>
      </w:r>
      <w:r w:rsidRPr="00060D11">
        <w:rPr>
          <w:rFonts w:ascii="Calibri" w:eastAsia="Calibri" w:hAnsi="Calibri" w:cs="Calibri"/>
        </w:rPr>
        <w:t xml:space="preserve"> would ensure that consideration is given to a gender balance in relation to teachers trained, accommodations for people with disabilities involved and also ensure other DFAT policies and minimums standards related to Child Protection and PSEAH are integrated into interventions.</w:t>
      </w:r>
    </w:p>
    <w:p w14:paraId="381FA1A1" w14:textId="12933048" w:rsidR="00A05E99" w:rsidRPr="00060D11" w:rsidRDefault="001F26A6" w:rsidP="004E780D">
      <w:pPr>
        <w:widowControl w:val="0"/>
        <w:spacing w:after="120" w:line="276" w:lineRule="auto"/>
        <w:rPr>
          <w:rFonts w:ascii="Calibri" w:eastAsia="Calibri" w:hAnsi="Calibri" w:cs="Calibri"/>
        </w:rPr>
      </w:pPr>
      <w:r w:rsidRPr="00060D11">
        <w:rPr>
          <w:rFonts w:ascii="Calibri" w:eastAsia="Calibri" w:hAnsi="Calibri" w:cs="Calibri"/>
          <w:b/>
          <w:bCs/>
        </w:rPr>
        <w:t>It is proposed that the PIE investment support the achievement of this IO</w:t>
      </w:r>
      <w:r w:rsidRPr="00060D11">
        <w:rPr>
          <w:rFonts w:ascii="Calibri" w:eastAsia="Calibri" w:hAnsi="Calibri" w:cs="Calibri"/>
        </w:rPr>
        <w:t xml:space="preserve"> in targeted provinces by initially supporting the conduct of a comprehensive assessment of the priority knowledge and skills needs (and competencies) of teachers of early grades. </w:t>
      </w:r>
      <w:r w:rsidR="00FA5B3E" w:rsidRPr="00060D11">
        <w:rPr>
          <w:rFonts w:ascii="Calibri" w:eastAsia="Calibri" w:hAnsi="Calibri" w:cs="Calibri"/>
        </w:rPr>
        <w:t xml:space="preserve">This could be combined with the student learning baseline (See IO 2.3). </w:t>
      </w:r>
      <w:r w:rsidRPr="00060D11">
        <w:rPr>
          <w:rFonts w:ascii="Calibri" w:eastAsia="Calibri" w:hAnsi="Calibri" w:cs="Calibri"/>
        </w:rPr>
        <w:t xml:space="preserve">Based on this assessment, the PIE will work with </w:t>
      </w:r>
      <w:r w:rsidR="004F62A5" w:rsidRPr="00060D11">
        <w:rPr>
          <w:rFonts w:ascii="Calibri" w:eastAsia="Calibri" w:hAnsi="Calibri" w:cs="Calibri"/>
        </w:rPr>
        <w:t>NDoE</w:t>
      </w:r>
      <w:r w:rsidRPr="00060D11">
        <w:rPr>
          <w:rFonts w:ascii="Calibri" w:eastAsia="Calibri" w:hAnsi="Calibri" w:cs="Calibri"/>
        </w:rPr>
        <w:t xml:space="preserve"> and </w:t>
      </w:r>
      <w:r w:rsidR="004F62A5" w:rsidRPr="00060D11">
        <w:rPr>
          <w:rFonts w:ascii="Calibri" w:eastAsia="Calibri" w:hAnsi="Calibri" w:cs="Calibri"/>
        </w:rPr>
        <w:t>PDoE</w:t>
      </w:r>
      <w:r w:rsidRPr="00060D11">
        <w:rPr>
          <w:rFonts w:ascii="Calibri" w:eastAsia="Calibri" w:hAnsi="Calibri" w:cs="Calibri"/>
        </w:rPr>
        <w:t>s to arrange for DHERST and appropriate provide</w:t>
      </w:r>
      <w:r w:rsidR="00B27DEA" w:rsidRPr="00060D11">
        <w:rPr>
          <w:rFonts w:ascii="Calibri" w:eastAsia="Calibri" w:hAnsi="Calibri" w:cs="Calibri"/>
        </w:rPr>
        <w:t>r</w:t>
      </w:r>
      <w:r w:rsidRPr="00060D11">
        <w:rPr>
          <w:rFonts w:ascii="Calibri" w:eastAsia="Calibri" w:hAnsi="Calibri" w:cs="Calibri"/>
        </w:rPr>
        <w:t>s such as teacher education colleges to design and implement customized teacher in-service programs based on proven models for early grade teachers</w:t>
      </w:r>
      <w:r w:rsidR="00C85287" w:rsidRPr="00060D11">
        <w:rPr>
          <w:rFonts w:ascii="Calibri" w:eastAsia="Calibri" w:hAnsi="Calibri" w:cs="Calibri"/>
        </w:rPr>
        <w:t xml:space="preserve"> (See 2.3)</w:t>
      </w:r>
      <w:r w:rsidRPr="00060D11">
        <w:rPr>
          <w:rFonts w:ascii="Calibri" w:eastAsia="Calibri" w:hAnsi="Calibri" w:cs="Calibri"/>
        </w:rPr>
        <w:t xml:space="preserve">.   </w:t>
      </w:r>
      <w:r w:rsidR="00974E2E" w:rsidRPr="00060D11">
        <w:rPr>
          <w:rFonts w:ascii="Calibri" w:eastAsia="Calibri" w:hAnsi="Calibri" w:cs="Calibri"/>
        </w:rPr>
        <w:t xml:space="preserve">To </w:t>
      </w:r>
      <w:r w:rsidR="00FA5B3E" w:rsidRPr="00060D11">
        <w:rPr>
          <w:rFonts w:ascii="Calibri" w:eastAsia="Calibri" w:hAnsi="Calibri" w:cs="Calibri"/>
        </w:rPr>
        <w:t>enhance teacher pedagogy</w:t>
      </w:r>
      <w:r w:rsidR="00974E2E" w:rsidRPr="00060D11">
        <w:rPr>
          <w:rFonts w:ascii="Calibri" w:eastAsia="Calibri" w:hAnsi="Calibri" w:cs="Calibri"/>
        </w:rPr>
        <w:t xml:space="preserve"> and ensure teachers </w:t>
      </w:r>
      <w:r w:rsidR="00FA5B3E" w:rsidRPr="00060D11">
        <w:rPr>
          <w:rFonts w:ascii="Calibri" w:eastAsia="Calibri" w:hAnsi="Calibri" w:cs="Calibri"/>
        </w:rPr>
        <w:t>are teaching students</w:t>
      </w:r>
      <w:r w:rsidR="00974E2E" w:rsidRPr="00060D11">
        <w:rPr>
          <w:rFonts w:ascii="Calibri" w:eastAsia="Calibri" w:hAnsi="Calibri" w:cs="Calibri"/>
        </w:rPr>
        <w:t xml:space="preserve"> at the right level (</w:t>
      </w:r>
      <w:r w:rsidR="00FA5B3E" w:rsidRPr="00060D11">
        <w:rPr>
          <w:rFonts w:ascii="Calibri" w:eastAsia="Calibri" w:hAnsi="Calibri" w:cs="Calibri"/>
        </w:rPr>
        <w:t>s</w:t>
      </w:r>
      <w:r w:rsidR="00974E2E" w:rsidRPr="00060D11">
        <w:rPr>
          <w:rFonts w:ascii="Calibri" w:eastAsia="Calibri" w:hAnsi="Calibri" w:cs="Calibri"/>
        </w:rPr>
        <w:t>ee Box 1), in-service programs will include the upskilling of teachers on formative assessment techniques.</w:t>
      </w:r>
    </w:p>
    <w:p w14:paraId="3192551F" w14:textId="653A0B96" w:rsidR="001F26A6" w:rsidRPr="00060D11" w:rsidRDefault="001F26A6" w:rsidP="004E780D">
      <w:pPr>
        <w:pStyle w:val="ListParagraph"/>
        <w:spacing w:after="120" w:line="276" w:lineRule="auto"/>
        <w:ind w:left="0"/>
        <w:rPr>
          <w:rFonts w:ascii="Calibri" w:eastAsia="Calibri" w:hAnsi="Calibri" w:cs="Calibri"/>
          <w:sz w:val="22"/>
        </w:rPr>
      </w:pPr>
      <w:bookmarkStart w:id="52" w:name="_Hlk72953996"/>
      <w:r w:rsidRPr="00060D11">
        <w:rPr>
          <w:rFonts w:ascii="Calibri" w:eastAsia="Calibri" w:hAnsi="Calibri" w:cs="Calibri"/>
          <w:b/>
          <w:bCs/>
          <w:sz w:val="22"/>
        </w:rPr>
        <w:t xml:space="preserve">During the Inception Phase, </w:t>
      </w:r>
      <w:r w:rsidRPr="00060D11">
        <w:rPr>
          <w:rFonts w:ascii="Calibri" w:eastAsia="Calibri" w:hAnsi="Calibri" w:cs="Calibri"/>
          <w:sz w:val="22"/>
        </w:rPr>
        <w:t xml:space="preserve">the </w:t>
      </w:r>
      <w:r w:rsidR="005662DB" w:rsidRPr="00060D11">
        <w:rPr>
          <w:rFonts w:ascii="Calibri" w:eastAsia="Calibri" w:hAnsi="Calibri" w:cs="Calibri"/>
          <w:sz w:val="22"/>
        </w:rPr>
        <w:t>managing contractor</w:t>
      </w:r>
      <w:r w:rsidRPr="00060D11">
        <w:rPr>
          <w:rFonts w:ascii="Calibri" w:eastAsia="Calibri" w:hAnsi="Calibri" w:cs="Calibri"/>
          <w:sz w:val="22"/>
        </w:rPr>
        <w:t xml:space="preserve"> will be tasked to work with </w:t>
      </w:r>
      <w:r w:rsidR="004F62A5" w:rsidRPr="00060D11">
        <w:rPr>
          <w:rFonts w:ascii="Calibri" w:eastAsia="Calibri" w:hAnsi="Calibri" w:cs="Calibri"/>
          <w:sz w:val="22"/>
        </w:rPr>
        <w:t>NDoE</w:t>
      </w:r>
      <w:r w:rsidRPr="00060D11">
        <w:rPr>
          <w:rFonts w:ascii="Calibri" w:eastAsia="Calibri" w:hAnsi="Calibri" w:cs="Calibri"/>
          <w:sz w:val="22"/>
        </w:rPr>
        <w:t>, provincial education service providers (government and church), as well as DHERST and teacher colleges to:</w:t>
      </w:r>
    </w:p>
    <w:p w14:paraId="55D850E4" w14:textId="28FC145C" w:rsidR="001F26A6" w:rsidRPr="00060D11" w:rsidRDefault="001F26A6" w:rsidP="00D52EF6">
      <w:pPr>
        <w:pStyle w:val="ListParagraph"/>
        <w:numPr>
          <w:ilvl w:val="0"/>
          <w:numId w:val="8"/>
        </w:numPr>
        <w:spacing w:after="160" w:line="276" w:lineRule="auto"/>
        <w:rPr>
          <w:rFonts w:ascii="Calibri" w:eastAsia="Calibri" w:hAnsi="Calibri" w:cs="Calibri"/>
          <w:sz w:val="22"/>
        </w:rPr>
      </w:pPr>
      <w:r w:rsidRPr="00060D11">
        <w:rPr>
          <w:rFonts w:ascii="Calibri" w:eastAsia="Calibri" w:hAnsi="Calibri" w:cs="Calibri"/>
          <w:sz w:val="22"/>
        </w:rPr>
        <w:t>determine the number, location and training needs of teachers who require upgrading of their knowledge and skills and the willingness of candidates to fulfil these requirements</w:t>
      </w:r>
      <w:r w:rsidR="00A05E99" w:rsidRPr="00060D11">
        <w:rPr>
          <w:rFonts w:ascii="Calibri" w:eastAsia="Calibri" w:hAnsi="Calibri" w:cs="Calibri"/>
          <w:sz w:val="22"/>
        </w:rPr>
        <w:t>;</w:t>
      </w:r>
      <w:r w:rsidRPr="00060D11">
        <w:rPr>
          <w:rFonts w:ascii="Calibri" w:eastAsia="Calibri" w:hAnsi="Calibri" w:cs="Calibri"/>
          <w:sz w:val="22"/>
        </w:rPr>
        <w:t xml:space="preserve"> </w:t>
      </w:r>
    </w:p>
    <w:p w14:paraId="3F3B3B7C" w14:textId="61ED2EF1" w:rsidR="001F26A6" w:rsidRPr="00060D11" w:rsidRDefault="001F26A6" w:rsidP="004E780D">
      <w:pPr>
        <w:pStyle w:val="ListParagraph"/>
        <w:numPr>
          <w:ilvl w:val="0"/>
          <w:numId w:val="8"/>
        </w:numPr>
        <w:spacing w:after="120" w:line="276" w:lineRule="auto"/>
        <w:contextualSpacing w:val="0"/>
      </w:pPr>
      <w:r w:rsidRPr="00060D11">
        <w:rPr>
          <w:rFonts w:ascii="Calibri" w:eastAsia="Calibri" w:hAnsi="Calibri" w:cs="Calibri"/>
          <w:sz w:val="22"/>
        </w:rPr>
        <w:t>identify providers/implementing partners such as teacher colleges and faculty for the delivery of teacher in-service programming.</w:t>
      </w:r>
    </w:p>
    <w:p w14:paraId="5E65D2F2" w14:textId="632EBB79" w:rsidR="001F26A6" w:rsidRPr="00060D11" w:rsidRDefault="001F26A6" w:rsidP="004E780D">
      <w:pPr>
        <w:pStyle w:val="ListParagraph"/>
        <w:widowControl w:val="0"/>
        <w:spacing w:after="120" w:line="276" w:lineRule="auto"/>
        <w:ind w:left="0"/>
        <w:contextualSpacing w:val="0"/>
        <w:rPr>
          <w:rFonts w:ascii="Calibri" w:eastAsia="Calibri" w:hAnsi="Calibri" w:cs="Calibri"/>
          <w:sz w:val="22"/>
        </w:rPr>
      </w:pPr>
      <w:r w:rsidRPr="00060D11">
        <w:rPr>
          <w:rFonts w:ascii="Calibri" w:eastAsia="Calibri" w:hAnsi="Calibri" w:cs="Calibri"/>
          <w:b/>
          <w:bCs/>
          <w:sz w:val="22"/>
        </w:rPr>
        <w:t xml:space="preserve">At Phase </w:t>
      </w:r>
      <w:r w:rsidR="00A05E99" w:rsidRPr="00060D11">
        <w:rPr>
          <w:rFonts w:ascii="Calibri" w:eastAsia="Calibri" w:hAnsi="Calibri" w:cs="Calibri"/>
          <w:b/>
          <w:bCs/>
          <w:sz w:val="22"/>
        </w:rPr>
        <w:t>1</w:t>
      </w:r>
      <w:r w:rsidRPr="00060D11">
        <w:rPr>
          <w:rFonts w:ascii="Calibri" w:eastAsia="Calibri" w:hAnsi="Calibri" w:cs="Calibri"/>
          <w:b/>
          <w:bCs/>
          <w:sz w:val="22"/>
        </w:rPr>
        <w:t xml:space="preserve"> implementation,</w:t>
      </w:r>
      <w:r w:rsidRPr="00060D11">
        <w:rPr>
          <w:rFonts w:ascii="Calibri" w:eastAsia="Calibri" w:hAnsi="Calibri" w:cs="Calibri"/>
          <w:sz w:val="22"/>
        </w:rPr>
        <w:t xml:space="preserve"> it is anticipated that, based on the actions taken during inception, information will be available on:</w:t>
      </w:r>
    </w:p>
    <w:p w14:paraId="035A7206" w14:textId="73D92487" w:rsidR="001F26A6" w:rsidRPr="00060D11" w:rsidRDefault="001F26A6" w:rsidP="00D52EF6">
      <w:pPr>
        <w:pStyle w:val="ListParagraph"/>
        <w:widowControl w:val="0"/>
        <w:numPr>
          <w:ilvl w:val="0"/>
          <w:numId w:val="9"/>
        </w:numPr>
        <w:spacing w:after="160" w:line="276" w:lineRule="auto"/>
        <w:ind w:left="284" w:hanging="284"/>
        <w:rPr>
          <w:rFonts w:ascii="Calibri" w:eastAsia="Calibri" w:hAnsi="Calibri" w:cs="Calibri"/>
          <w:sz w:val="22"/>
        </w:rPr>
      </w:pPr>
      <w:r w:rsidRPr="00060D11">
        <w:rPr>
          <w:rFonts w:ascii="Calibri" w:eastAsia="Calibri" w:hAnsi="Calibri" w:cs="Calibri"/>
          <w:sz w:val="22"/>
        </w:rPr>
        <w:t>the number, location, training needs and gender of teachers requiring upgrading</w:t>
      </w:r>
      <w:r w:rsidR="00A05E99" w:rsidRPr="00060D11">
        <w:rPr>
          <w:rFonts w:ascii="Calibri" w:eastAsia="Calibri" w:hAnsi="Calibri" w:cs="Calibri"/>
          <w:sz w:val="22"/>
        </w:rPr>
        <w:t>;</w:t>
      </w:r>
    </w:p>
    <w:p w14:paraId="3FD4F711" w14:textId="06E25751" w:rsidR="001F26A6" w:rsidRPr="00060D11" w:rsidRDefault="001F26A6" w:rsidP="00D52EF6">
      <w:pPr>
        <w:pStyle w:val="ListParagraph"/>
        <w:widowControl w:val="0"/>
        <w:numPr>
          <w:ilvl w:val="0"/>
          <w:numId w:val="9"/>
        </w:numPr>
        <w:spacing w:after="160" w:line="276" w:lineRule="auto"/>
        <w:ind w:left="284" w:hanging="284"/>
        <w:rPr>
          <w:rFonts w:ascii="Calibri" w:eastAsia="Calibri" w:hAnsi="Calibri" w:cs="Calibri"/>
          <w:sz w:val="22"/>
        </w:rPr>
      </w:pPr>
      <w:r w:rsidRPr="00060D11">
        <w:rPr>
          <w:rFonts w:ascii="Calibri" w:eastAsia="Calibri" w:hAnsi="Calibri" w:cs="Calibri"/>
          <w:sz w:val="22"/>
        </w:rPr>
        <w:t>agreement on criteria for the selection of priority teachers for accessing in-service programming</w:t>
      </w:r>
      <w:r w:rsidR="00A05E99" w:rsidRPr="00060D11">
        <w:rPr>
          <w:rFonts w:ascii="Calibri" w:eastAsia="Calibri" w:hAnsi="Calibri" w:cs="Calibri"/>
          <w:sz w:val="22"/>
        </w:rPr>
        <w:t>;</w:t>
      </w:r>
    </w:p>
    <w:p w14:paraId="68172B6D" w14:textId="11640692" w:rsidR="001F26A6" w:rsidRPr="00060D11" w:rsidRDefault="001F26A6" w:rsidP="00D52EF6">
      <w:pPr>
        <w:pStyle w:val="ListParagraph"/>
        <w:widowControl w:val="0"/>
        <w:numPr>
          <w:ilvl w:val="0"/>
          <w:numId w:val="9"/>
        </w:numPr>
        <w:spacing w:after="160" w:line="276" w:lineRule="auto"/>
        <w:ind w:left="284" w:hanging="284"/>
        <w:rPr>
          <w:rFonts w:ascii="Calibri" w:eastAsia="Calibri" w:hAnsi="Calibri" w:cs="Calibri"/>
          <w:sz w:val="22"/>
        </w:rPr>
      </w:pPr>
      <w:r w:rsidRPr="00060D11">
        <w:rPr>
          <w:rFonts w:ascii="Calibri" w:eastAsia="Calibri" w:hAnsi="Calibri" w:cs="Calibri"/>
          <w:sz w:val="22"/>
        </w:rPr>
        <w:t>the selection of implementing partners that will design and deliver in-service programming</w:t>
      </w:r>
      <w:r w:rsidR="00A05E99" w:rsidRPr="00060D11">
        <w:rPr>
          <w:rFonts w:ascii="Calibri" w:eastAsia="Calibri" w:hAnsi="Calibri" w:cs="Calibri"/>
          <w:sz w:val="22"/>
        </w:rPr>
        <w:t>;</w:t>
      </w:r>
    </w:p>
    <w:p w14:paraId="5BE9F626" w14:textId="27066CE1" w:rsidR="001F26A6" w:rsidRPr="00060D11" w:rsidRDefault="001F26A6" w:rsidP="00D52EF6">
      <w:pPr>
        <w:pStyle w:val="ListParagraph"/>
        <w:widowControl w:val="0"/>
        <w:numPr>
          <w:ilvl w:val="0"/>
          <w:numId w:val="9"/>
        </w:numPr>
        <w:spacing w:after="160" w:line="276" w:lineRule="auto"/>
        <w:ind w:left="284" w:hanging="284"/>
        <w:rPr>
          <w:rFonts w:ascii="Calibri" w:eastAsia="Calibri" w:hAnsi="Calibri" w:cs="Calibri"/>
          <w:sz w:val="22"/>
        </w:rPr>
      </w:pPr>
      <w:r w:rsidRPr="00060D11">
        <w:rPr>
          <w:rFonts w:ascii="Calibri" w:eastAsia="Calibri" w:hAnsi="Calibri" w:cs="Calibri"/>
          <w:sz w:val="22"/>
        </w:rPr>
        <w:t>the number, location, training needs and gender of those who will support teachers to apply their new knowledge and skills</w:t>
      </w:r>
      <w:r w:rsidR="00A05E99" w:rsidRPr="00060D11">
        <w:rPr>
          <w:rFonts w:ascii="Calibri" w:eastAsia="Calibri" w:hAnsi="Calibri" w:cs="Calibri"/>
          <w:sz w:val="22"/>
        </w:rPr>
        <w:t>;</w:t>
      </w:r>
      <w:r w:rsidR="003961B2" w:rsidRPr="00060D11">
        <w:rPr>
          <w:rFonts w:ascii="Calibri" w:eastAsia="Calibri" w:hAnsi="Calibri" w:cs="Calibri"/>
          <w:sz w:val="22"/>
        </w:rPr>
        <w:t xml:space="preserve"> and</w:t>
      </w:r>
    </w:p>
    <w:p w14:paraId="3994EBD1" w14:textId="3D2335C2" w:rsidR="001F26A6" w:rsidRPr="00060D11" w:rsidRDefault="001F26A6" w:rsidP="004E780D">
      <w:pPr>
        <w:pStyle w:val="ListParagraph"/>
        <w:widowControl w:val="0"/>
        <w:numPr>
          <w:ilvl w:val="0"/>
          <w:numId w:val="9"/>
        </w:numPr>
        <w:spacing w:after="120" w:line="276" w:lineRule="auto"/>
        <w:ind w:left="284" w:hanging="284"/>
      </w:pPr>
      <w:r w:rsidRPr="00060D11">
        <w:rPr>
          <w:rFonts w:ascii="Calibri" w:eastAsia="Calibri" w:hAnsi="Calibri" w:cs="Calibri"/>
          <w:sz w:val="22"/>
        </w:rPr>
        <w:t>focal areas for engagement of technical assistance to improve the provision of upgrading programs for teachers and the support systems to enable the application of new knowledge and skills.</w:t>
      </w:r>
    </w:p>
    <w:p w14:paraId="0AD22753" w14:textId="6ACCCA05" w:rsidR="00FB630A" w:rsidRPr="00060D11" w:rsidRDefault="00FB630A" w:rsidP="004E780D">
      <w:pPr>
        <w:widowControl w:val="0"/>
        <w:spacing w:after="160" w:line="276" w:lineRule="auto"/>
      </w:pPr>
      <w:r w:rsidRPr="00060D11">
        <w:rPr>
          <w:rFonts w:ascii="Calibri" w:eastAsia="Calibri" w:hAnsi="Calibri" w:cs="Calibri"/>
        </w:rPr>
        <w:t xml:space="preserve">This information will form the basis for </w:t>
      </w:r>
      <w:r w:rsidR="003165B8" w:rsidRPr="00060D11">
        <w:rPr>
          <w:rFonts w:ascii="Calibri" w:eastAsia="Calibri" w:hAnsi="Calibri" w:cs="Calibri"/>
        </w:rPr>
        <w:t>discussions on appropriate approaches and the development of in-service training programs (See 2.3).</w:t>
      </w:r>
    </w:p>
    <w:bookmarkEnd w:id="52"/>
    <w:p w14:paraId="7B42C9B3" w14:textId="6A8D6F2E" w:rsidR="001F26A6" w:rsidRPr="00060D11" w:rsidRDefault="008D6E5F" w:rsidP="004E780D">
      <w:pPr>
        <w:pStyle w:val="ListParagraph"/>
        <w:widowControl w:val="0"/>
        <w:numPr>
          <w:ilvl w:val="1"/>
          <w:numId w:val="49"/>
        </w:numPr>
        <w:spacing w:after="120" w:line="276" w:lineRule="auto"/>
        <w:rPr>
          <w:rFonts w:ascii="Calibri" w:eastAsia="Calibri" w:hAnsi="Calibri" w:cs="Calibri"/>
          <w:i/>
          <w:iCs/>
        </w:rPr>
      </w:pPr>
      <w:r w:rsidRPr="00060D11">
        <w:rPr>
          <w:rFonts w:eastAsia="Times New Roman" w:cstheme="minorHAnsi"/>
          <w:i/>
          <w:iCs/>
          <w:sz w:val="22"/>
        </w:rPr>
        <w:t>Early grade teachers are receiving improved support and supervision to apply their knowledge and skills of early grade teaching in the classroom</w:t>
      </w:r>
      <w:r w:rsidR="001F26A6" w:rsidRPr="00060D11">
        <w:rPr>
          <w:rFonts w:eastAsia="Times New Roman" w:cstheme="minorHAnsi"/>
          <w:i/>
          <w:iCs/>
          <w:sz w:val="22"/>
        </w:rPr>
        <w:t>.</w:t>
      </w:r>
    </w:p>
    <w:p w14:paraId="4C40D71B" w14:textId="40656341" w:rsidR="001F26A6" w:rsidRPr="00060D11" w:rsidRDefault="001F26A6" w:rsidP="004E780D">
      <w:pPr>
        <w:widowControl w:val="0"/>
        <w:spacing w:after="120" w:line="276" w:lineRule="auto"/>
        <w:rPr>
          <w:rFonts w:ascii="Calibri" w:eastAsia="Calibri" w:hAnsi="Calibri" w:cs="Calibri"/>
        </w:rPr>
      </w:pPr>
      <w:r w:rsidRPr="00060D11">
        <w:t xml:space="preserve">Appropriate supervision and coaching </w:t>
      </w:r>
      <w:r w:rsidR="00A05E99" w:rsidRPr="00060D11">
        <w:t xml:space="preserve">is </w:t>
      </w:r>
      <w:r w:rsidRPr="00060D11">
        <w:t>needed to help teachers to apply new knowledge and skills and to continuously improve their knowledge and teaching practice.</w:t>
      </w:r>
      <w:r w:rsidRPr="00060D11">
        <w:rPr>
          <w:rFonts w:ascii="Calibri" w:eastAsia="Calibri" w:hAnsi="Calibri" w:cs="Calibri"/>
        </w:rPr>
        <w:t xml:space="preserve"> Augmenting the upgrading of the knowledge and skills of early grades teachers (IO 2.1) is the need for a parallel training and support process, whereby qualified peer teachers, master and head teachers and education supervisors will participate in training programs based on proven models to improve the effectiveness of their support to teachers in applying new knowledge and skills acquired through in-service programs.</w:t>
      </w:r>
      <w:r w:rsidR="00C03AD1" w:rsidRPr="00060D11">
        <w:rPr>
          <w:rFonts w:ascii="Calibri" w:eastAsia="Calibri" w:hAnsi="Calibri" w:cs="Calibri"/>
        </w:rPr>
        <w:t xml:space="preserve"> This includes the application of formative assessment techniques</w:t>
      </w:r>
      <w:r w:rsidR="006A67FA" w:rsidRPr="00060D11">
        <w:rPr>
          <w:rFonts w:ascii="Calibri" w:eastAsia="Calibri" w:hAnsi="Calibri" w:cs="Calibri"/>
        </w:rPr>
        <w:t xml:space="preserve"> by teachers in the classroom.</w:t>
      </w:r>
    </w:p>
    <w:p w14:paraId="6E89030B" w14:textId="1B6A86D7" w:rsidR="001F26A6" w:rsidRPr="00060D11" w:rsidRDefault="001F26A6" w:rsidP="00D52EF6">
      <w:pPr>
        <w:widowControl w:val="0"/>
        <w:spacing w:line="276" w:lineRule="auto"/>
        <w:rPr>
          <w:rFonts w:ascii="Calibri" w:eastAsia="Calibri" w:hAnsi="Calibri" w:cs="Calibri"/>
        </w:rPr>
      </w:pPr>
      <w:r w:rsidRPr="00060D11">
        <w:rPr>
          <w:rFonts w:ascii="Calibri" w:eastAsia="Calibri" w:hAnsi="Calibri" w:cs="Calibri"/>
          <w:b/>
          <w:bCs/>
        </w:rPr>
        <w:t xml:space="preserve">It is proposed that the PIE investment support the achievement of this IO </w:t>
      </w:r>
      <w:r w:rsidRPr="00060D11">
        <w:rPr>
          <w:rFonts w:ascii="Calibri" w:eastAsia="Calibri" w:hAnsi="Calibri" w:cs="Calibri"/>
        </w:rPr>
        <w:t xml:space="preserve">in targeted provinces by supporting the </w:t>
      </w:r>
      <w:r w:rsidR="004F62A5" w:rsidRPr="00060D11">
        <w:rPr>
          <w:rFonts w:ascii="Calibri" w:eastAsia="Calibri" w:hAnsi="Calibri" w:cs="Calibri"/>
        </w:rPr>
        <w:t>PDoE</w:t>
      </w:r>
      <w:r w:rsidRPr="00060D11">
        <w:rPr>
          <w:rFonts w:ascii="Calibri" w:eastAsia="Calibri" w:hAnsi="Calibri" w:cs="Calibri"/>
        </w:rPr>
        <w:t xml:space="preserve"> to:</w:t>
      </w:r>
    </w:p>
    <w:p w14:paraId="1946ADD7" w14:textId="45C31169" w:rsidR="001F26A6" w:rsidRPr="00060D11" w:rsidRDefault="001F26A6" w:rsidP="00D52EF6">
      <w:pPr>
        <w:pStyle w:val="ListParagraph"/>
        <w:widowControl w:val="0"/>
        <w:numPr>
          <w:ilvl w:val="0"/>
          <w:numId w:val="15"/>
        </w:numPr>
        <w:spacing w:after="160" w:line="276" w:lineRule="auto"/>
        <w:rPr>
          <w:rFonts w:ascii="Calibri" w:eastAsia="Calibri" w:hAnsi="Calibri" w:cs="Calibri"/>
          <w:sz w:val="22"/>
        </w:rPr>
      </w:pPr>
      <w:r w:rsidRPr="00060D11">
        <w:rPr>
          <w:rFonts w:ascii="Calibri" w:eastAsia="Calibri" w:hAnsi="Calibri" w:cs="Calibri"/>
          <w:sz w:val="22"/>
        </w:rPr>
        <w:t>provide for ongoing supervision, coaching and support to ensure the application and continued use of new knowledge and skills in teachers’ practice</w:t>
      </w:r>
      <w:r w:rsidR="00A05E99" w:rsidRPr="00060D11">
        <w:rPr>
          <w:rFonts w:ascii="Calibri" w:eastAsia="Calibri" w:hAnsi="Calibri" w:cs="Calibri"/>
          <w:sz w:val="22"/>
        </w:rPr>
        <w:t>;</w:t>
      </w:r>
    </w:p>
    <w:p w14:paraId="4787D9DC" w14:textId="77777777" w:rsidR="001F26A6" w:rsidRPr="00060D11" w:rsidRDefault="001F26A6" w:rsidP="00D52EF6">
      <w:pPr>
        <w:pStyle w:val="ListParagraph"/>
        <w:widowControl w:val="0"/>
        <w:numPr>
          <w:ilvl w:val="0"/>
          <w:numId w:val="15"/>
        </w:numPr>
        <w:spacing w:after="160" w:line="276" w:lineRule="auto"/>
        <w:rPr>
          <w:b/>
          <w:bCs/>
        </w:rPr>
      </w:pPr>
      <w:r w:rsidRPr="00060D11">
        <w:rPr>
          <w:rFonts w:ascii="Calibri" w:eastAsia="Calibri" w:hAnsi="Calibri" w:cs="Calibri"/>
          <w:sz w:val="22"/>
        </w:rPr>
        <w:t xml:space="preserve">improve the systems for the effective support and supervision of teachers to apply new knowledge and skills. </w:t>
      </w:r>
    </w:p>
    <w:p w14:paraId="41BDB513" w14:textId="447F5758" w:rsidR="001F26A6" w:rsidRPr="00060D11" w:rsidRDefault="001F26A6" w:rsidP="00396EA3">
      <w:pPr>
        <w:widowControl w:val="0"/>
        <w:spacing w:line="276" w:lineRule="auto"/>
        <w:rPr>
          <w:rFonts w:ascii="Calibri" w:eastAsia="Calibri" w:hAnsi="Calibri" w:cs="Calibri"/>
        </w:rPr>
      </w:pPr>
      <w:r w:rsidRPr="00060D11">
        <w:rPr>
          <w:rFonts w:ascii="Calibri" w:eastAsia="Calibri" w:hAnsi="Calibri" w:cs="Calibri"/>
          <w:b/>
          <w:bCs/>
        </w:rPr>
        <w:t>During the Inception Phase</w:t>
      </w:r>
      <w:r w:rsidRPr="00060D11">
        <w:rPr>
          <w:rFonts w:ascii="Calibri" w:eastAsia="Calibri" w:hAnsi="Calibri" w:cs="Calibri"/>
        </w:rPr>
        <w:t xml:space="preserve">, the </w:t>
      </w:r>
      <w:r w:rsidR="005662DB" w:rsidRPr="00060D11">
        <w:rPr>
          <w:rFonts w:ascii="Calibri" w:eastAsia="Calibri" w:hAnsi="Calibri" w:cs="Calibri"/>
        </w:rPr>
        <w:t>managing contractor</w:t>
      </w:r>
      <w:r w:rsidRPr="00060D11">
        <w:rPr>
          <w:rFonts w:ascii="Calibri" w:eastAsia="Calibri" w:hAnsi="Calibri" w:cs="Calibri"/>
        </w:rPr>
        <w:t xml:space="preserve"> will be tasked to work with provincial education service providers (government and church) to:</w:t>
      </w:r>
    </w:p>
    <w:p w14:paraId="25D85FD0" w14:textId="580F9723" w:rsidR="001F26A6" w:rsidRPr="00060D11" w:rsidRDefault="001F26A6" w:rsidP="00396EA3">
      <w:pPr>
        <w:pStyle w:val="ListParagraph"/>
        <w:numPr>
          <w:ilvl w:val="0"/>
          <w:numId w:val="10"/>
        </w:numPr>
        <w:spacing w:after="160" w:line="276" w:lineRule="auto"/>
        <w:rPr>
          <w:rFonts w:ascii="Calibri" w:eastAsia="Calibri" w:hAnsi="Calibri" w:cs="Calibri"/>
          <w:sz w:val="22"/>
        </w:rPr>
      </w:pPr>
      <w:r w:rsidRPr="00060D11">
        <w:rPr>
          <w:rFonts w:ascii="Calibri" w:eastAsia="Calibri" w:hAnsi="Calibri" w:cs="Calibri"/>
          <w:sz w:val="22"/>
        </w:rPr>
        <w:t>determine the number, location and training needs of peers, master and head teachers and education supervisors who will supervise, coach and support teachers to apply their new knowledge and skills</w:t>
      </w:r>
      <w:r w:rsidR="00A05E99" w:rsidRPr="00060D11">
        <w:rPr>
          <w:rFonts w:ascii="Calibri" w:eastAsia="Calibri" w:hAnsi="Calibri" w:cs="Calibri"/>
          <w:sz w:val="22"/>
        </w:rPr>
        <w:t>;</w:t>
      </w:r>
    </w:p>
    <w:p w14:paraId="78E07418" w14:textId="073A6C6E" w:rsidR="001F26A6" w:rsidRPr="00060D11" w:rsidRDefault="001F26A6" w:rsidP="00396EA3">
      <w:pPr>
        <w:pStyle w:val="ListParagraph"/>
        <w:numPr>
          <w:ilvl w:val="0"/>
          <w:numId w:val="10"/>
        </w:numPr>
        <w:spacing w:after="160" w:line="276" w:lineRule="auto"/>
        <w:rPr>
          <w:rFonts w:ascii="Calibri" w:eastAsia="Calibri" w:hAnsi="Calibri" w:cs="Calibri"/>
          <w:sz w:val="22"/>
        </w:rPr>
      </w:pPr>
      <w:r w:rsidRPr="00060D11">
        <w:rPr>
          <w:rFonts w:ascii="Calibri" w:eastAsia="Calibri" w:hAnsi="Calibri" w:cs="Calibri"/>
          <w:sz w:val="22"/>
        </w:rPr>
        <w:t>identify prospective training providers to deliver the training programs to those who will support teachers to apply their new knowledge and skills</w:t>
      </w:r>
      <w:r w:rsidR="00A05E99" w:rsidRPr="00060D11">
        <w:rPr>
          <w:rFonts w:ascii="Calibri" w:eastAsia="Calibri" w:hAnsi="Calibri" w:cs="Calibri"/>
          <w:sz w:val="22"/>
        </w:rPr>
        <w:t>;</w:t>
      </w:r>
    </w:p>
    <w:p w14:paraId="55D2AC23" w14:textId="772B21AB" w:rsidR="001F26A6" w:rsidRPr="00060D11" w:rsidRDefault="001F26A6" w:rsidP="00396EA3">
      <w:pPr>
        <w:pStyle w:val="ListParagraph"/>
        <w:widowControl w:val="0"/>
        <w:numPr>
          <w:ilvl w:val="0"/>
          <w:numId w:val="10"/>
        </w:numPr>
        <w:spacing w:after="160" w:line="276" w:lineRule="auto"/>
        <w:rPr>
          <w:rFonts w:ascii="Calibri" w:eastAsia="Calibri" w:hAnsi="Calibri" w:cs="Calibri"/>
          <w:sz w:val="22"/>
        </w:rPr>
      </w:pPr>
      <w:r w:rsidRPr="00060D11">
        <w:rPr>
          <w:rFonts w:ascii="Calibri" w:eastAsia="Calibri" w:hAnsi="Calibri" w:cs="Calibri"/>
          <w:sz w:val="22"/>
        </w:rPr>
        <w:t>assess the barriers and constraints to the systems that provide teacher upgrading and support and prioriti</w:t>
      </w:r>
      <w:r w:rsidR="00B163E6">
        <w:rPr>
          <w:rFonts w:ascii="Calibri" w:eastAsia="Calibri" w:hAnsi="Calibri" w:cs="Calibri"/>
          <w:sz w:val="22"/>
        </w:rPr>
        <w:t>s</w:t>
      </w:r>
      <w:r w:rsidRPr="00060D11">
        <w:rPr>
          <w:rFonts w:ascii="Calibri" w:eastAsia="Calibri" w:hAnsi="Calibri" w:cs="Calibri"/>
          <w:sz w:val="22"/>
        </w:rPr>
        <w:t>e for improvement</w:t>
      </w:r>
      <w:r w:rsidR="00A05E99" w:rsidRPr="00060D11">
        <w:rPr>
          <w:rFonts w:ascii="Calibri" w:eastAsia="Calibri" w:hAnsi="Calibri" w:cs="Calibri"/>
          <w:sz w:val="22"/>
        </w:rPr>
        <w:t>;</w:t>
      </w:r>
    </w:p>
    <w:p w14:paraId="0E229874" w14:textId="1446526B" w:rsidR="001F26A6" w:rsidRPr="00060D11" w:rsidRDefault="001F26A6" w:rsidP="00396EA3">
      <w:pPr>
        <w:pStyle w:val="ListParagraph"/>
        <w:widowControl w:val="0"/>
        <w:numPr>
          <w:ilvl w:val="0"/>
          <w:numId w:val="10"/>
        </w:numPr>
        <w:spacing w:after="160" w:line="276" w:lineRule="auto"/>
        <w:rPr>
          <w:rFonts w:ascii="Calibri" w:eastAsia="Calibri" w:hAnsi="Calibri" w:cs="Calibri"/>
          <w:sz w:val="22"/>
        </w:rPr>
      </w:pPr>
      <w:r w:rsidRPr="00060D11">
        <w:rPr>
          <w:rFonts w:ascii="Calibri" w:eastAsia="Calibri" w:hAnsi="Calibri" w:cs="Calibri"/>
          <w:sz w:val="22"/>
        </w:rPr>
        <w:t>review the systems, policies and processes for the provision of teacher in-service and professional development programs, drawing on proven models and identification of options for improving the quantity and quality of programming (e.g., coordination with teacher colleges)</w:t>
      </w:r>
      <w:r w:rsidR="00A05E99" w:rsidRPr="00060D11">
        <w:rPr>
          <w:rFonts w:ascii="Calibri" w:eastAsia="Calibri" w:hAnsi="Calibri" w:cs="Calibri"/>
          <w:sz w:val="22"/>
        </w:rPr>
        <w:t>;</w:t>
      </w:r>
    </w:p>
    <w:p w14:paraId="603F5688" w14:textId="77777777" w:rsidR="001F26A6" w:rsidRPr="00060D11" w:rsidRDefault="001F26A6" w:rsidP="00396EA3">
      <w:pPr>
        <w:pStyle w:val="ListParagraph"/>
        <w:widowControl w:val="0"/>
        <w:numPr>
          <w:ilvl w:val="0"/>
          <w:numId w:val="10"/>
        </w:numPr>
        <w:spacing w:after="160" w:line="276" w:lineRule="auto"/>
        <w:rPr>
          <w:rFonts w:ascii="Calibri" w:eastAsia="Calibri" w:hAnsi="Calibri" w:cs="Calibri"/>
          <w:sz w:val="22"/>
        </w:rPr>
      </w:pPr>
      <w:r w:rsidRPr="00060D11">
        <w:rPr>
          <w:rFonts w:ascii="Calibri" w:eastAsia="Calibri" w:hAnsi="Calibri" w:cs="Calibri"/>
          <w:sz w:val="22"/>
        </w:rPr>
        <w:t>review the systems, policies, practices, processes and extent of supervision and coaching of teachers.</w:t>
      </w:r>
    </w:p>
    <w:p w14:paraId="78E788AD" w14:textId="77777777" w:rsidR="001F26A6" w:rsidRPr="00060D11" w:rsidRDefault="001F26A6" w:rsidP="00396EA3">
      <w:pPr>
        <w:widowControl w:val="0"/>
        <w:spacing w:line="276" w:lineRule="auto"/>
        <w:rPr>
          <w:rFonts w:ascii="Calibri" w:eastAsia="Calibri" w:hAnsi="Calibri" w:cs="Calibri"/>
        </w:rPr>
      </w:pPr>
      <w:r w:rsidRPr="00060D11">
        <w:rPr>
          <w:rFonts w:ascii="Calibri" w:eastAsia="Calibri" w:hAnsi="Calibri" w:cs="Calibri"/>
          <w:b/>
          <w:bCs/>
        </w:rPr>
        <w:t>At Phase 1 implementation</w:t>
      </w:r>
      <w:r w:rsidRPr="00060D11">
        <w:rPr>
          <w:rFonts w:ascii="Calibri" w:eastAsia="Calibri" w:hAnsi="Calibri" w:cs="Calibri"/>
        </w:rPr>
        <w:t xml:space="preserve"> it is anticipated that, based on the actions taken during inception, information will be available on the following to guide implementation:</w:t>
      </w:r>
    </w:p>
    <w:p w14:paraId="65735CEA" w14:textId="43349E4B" w:rsidR="001F26A6" w:rsidRPr="00060D11" w:rsidRDefault="001F26A6" w:rsidP="00396EA3">
      <w:pPr>
        <w:pStyle w:val="ListParagraph"/>
        <w:numPr>
          <w:ilvl w:val="0"/>
          <w:numId w:val="11"/>
        </w:numPr>
        <w:spacing w:after="160" w:line="276" w:lineRule="auto"/>
        <w:ind w:left="630"/>
        <w:rPr>
          <w:rFonts w:ascii="Calibri" w:eastAsia="Calibri" w:hAnsi="Calibri" w:cs="Calibri"/>
          <w:sz w:val="22"/>
        </w:rPr>
      </w:pPr>
      <w:r w:rsidRPr="00060D11">
        <w:rPr>
          <w:rFonts w:ascii="Calibri" w:eastAsia="Calibri" w:hAnsi="Calibri" w:cs="Calibri"/>
          <w:sz w:val="22"/>
        </w:rPr>
        <w:t>the number, location and training needs of peers, master and head teachers and education supervisors</w:t>
      </w:r>
      <w:r w:rsidR="00A05E99" w:rsidRPr="00060D11">
        <w:rPr>
          <w:rFonts w:ascii="Calibri" w:eastAsia="Calibri" w:hAnsi="Calibri" w:cs="Calibri"/>
          <w:sz w:val="22"/>
        </w:rPr>
        <w:t>;</w:t>
      </w:r>
    </w:p>
    <w:p w14:paraId="15C077D1" w14:textId="127ECA84" w:rsidR="001F26A6" w:rsidRPr="00060D11" w:rsidRDefault="001F26A6" w:rsidP="00396EA3">
      <w:pPr>
        <w:pStyle w:val="ListParagraph"/>
        <w:numPr>
          <w:ilvl w:val="0"/>
          <w:numId w:val="11"/>
        </w:numPr>
        <w:spacing w:after="160" w:line="276" w:lineRule="auto"/>
        <w:ind w:left="630"/>
        <w:rPr>
          <w:rFonts w:ascii="Calibri" w:eastAsia="Calibri" w:hAnsi="Calibri" w:cs="Calibri"/>
          <w:sz w:val="22"/>
        </w:rPr>
      </w:pPr>
      <w:r w:rsidRPr="00060D11">
        <w:rPr>
          <w:rFonts w:ascii="Calibri" w:eastAsia="Calibri" w:hAnsi="Calibri" w:cs="Calibri"/>
          <w:sz w:val="22"/>
        </w:rPr>
        <w:t xml:space="preserve">prospective training providers identified to deliver the training </w:t>
      </w:r>
      <w:r w:rsidR="005A342E" w:rsidRPr="00060D11">
        <w:rPr>
          <w:rFonts w:ascii="Calibri" w:eastAsia="Calibri" w:hAnsi="Calibri" w:cs="Calibri"/>
          <w:sz w:val="22"/>
        </w:rPr>
        <w:t>models</w:t>
      </w:r>
      <w:r w:rsidRPr="00060D11">
        <w:rPr>
          <w:rFonts w:ascii="Calibri" w:eastAsia="Calibri" w:hAnsi="Calibri" w:cs="Calibri"/>
          <w:sz w:val="22"/>
        </w:rPr>
        <w:t xml:space="preserve"> to those who will support teachers to apply their new knowledge and skills</w:t>
      </w:r>
      <w:r w:rsidR="00A05E99" w:rsidRPr="00060D11">
        <w:rPr>
          <w:rFonts w:ascii="Calibri" w:eastAsia="Calibri" w:hAnsi="Calibri" w:cs="Calibri"/>
          <w:sz w:val="22"/>
        </w:rPr>
        <w:t>;</w:t>
      </w:r>
    </w:p>
    <w:p w14:paraId="13C15B9A" w14:textId="7D7481A8" w:rsidR="001F26A6" w:rsidRPr="00060D11" w:rsidRDefault="001F26A6" w:rsidP="004E780D">
      <w:pPr>
        <w:pStyle w:val="ListParagraph"/>
        <w:numPr>
          <w:ilvl w:val="0"/>
          <w:numId w:val="11"/>
        </w:numPr>
        <w:spacing w:line="276" w:lineRule="auto"/>
        <w:ind w:left="630"/>
        <w:rPr>
          <w:rFonts w:ascii="Calibri" w:eastAsia="Calibri" w:hAnsi="Calibri" w:cs="Calibri"/>
          <w:sz w:val="22"/>
        </w:rPr>
      </w:pPr>
      <w:r w:rsidRPr="00060D11">
        <w:rPr>
          <w:rFonts w:ascii="Calibri" w:eastAsia="Calibri" w:hAnsi="Calibri" w:cs="Calibri"/>
          <w:sz w:val="22"/>
        </w:rPr>
        <w:t>the priority barriers and constraints to address in the systems that provide teacher upgrading</w:t>
      </w:r>
      <w:r w:rsidR="00A05E99" w:rsidRPr="00060D11">
        <w:rPr>
          <w:rFonts w:ascii="Calibri" w:eastAsia="Calibri" w:hAnsi="Calibri" w:cs="Calibri"/>
          <w:sz w:val="22"/>
        </w:rPr>
        <w:t>;</w:t>
      </w:r>
    </w:p>
    <w:p w14:paraId="7BE3F224" w14:textId="4C6C51A1" w:rsidR="001F26A6" w:rsidRPr="00060D11" w:rsidRDefault="001F26A6" w:rsidP="00396EA3">
      <w:pPr>
        <w:pStyle w:val="ListParagraph"/>
        <w:numPr>
          <w:ilvl w:val="0"/>
          <w:numId w:val="11"/>
        </w:numPr>
        <w:spacing w:line="276" w:lineRule="auto"/>
        <w:ind w:left="630"/>
        <w:rPr>
          <w:rFonts w:ascii="Calibri" w:eastAsia="Calibri" w:hAnsi="Calibri" w:cs="Calibri"/>
          <w:sz w:val="22"/>
        </w:rPr>
      </w:pPr>
      <w:r w:rsidRPr="00060D11">
        <w:rPr>
          <w:rFonts w:ascii="Calibri" w:eastAsia="Calibri" w:hAnsi="Calibri" w:cs="Calibri"/>
          <w:sz w:val="22"/>
        </w:rPr>
        <w:t>the current systems, policies and processes for the provision of supervision of teaching practice and the type and level of support required for teachers to help them improve their teaching practices.</w:t>
      </w:r>
    </w:p>
    <w:p w14:paraId="72846A52" w14:textId="77777777" w:rsidR="00A05E99" w:rsidRPr="00060D11" w:rsidRDefault="00A05E99" w:rsidP="004E780D">
      <w:pPr>
        <w:pStyle w:val="ListParagraph"/>
        <w:spacing w:line="276" w:lineRule="auto"/>
        <w:ind w:left="630"/>
        <w:rPr>
          <w:rFonts w:ascii="Calibri" w:eastAsia="Calibri" w:hAnsi="Calibri" w:cs="Calibri"/>
          <w:sz w:val="22"/>
        </w:rPr>
      </w:pPr>
    </w:p>
    <w:p w14:paraId="6903607A" w14:textId="4A2A0356" w:rsidR="00397A8F" w:rsidRPr="00060D11" w:rsidRDefault="004F62A5" w:rsidP="004E780D">
      <w:pPr>
        <w:pStyle w:val="ListParagraph"/>
        <w:widowControl w:val="0"/>
        <w:numPr>
          <w:ilvl w:val="1"/>
          <w:numId w:val="49"/>
        </w:numPr>
        <w:spacing w:line="276" w:lineRule="auto"/>
        <w:rPr>
          <w:rFonts w:ascii="Calibri" w:eastAsia="Calibri" w:hAnsi="Calibri" w:cs="Calibri"/>
          <w:i/>
          <w:iCs/>
        </w:rPr>
      </w:pPr>
      <w:r w:rsidRPr="00060D11">
        <w:rPr>
          <w:rFonts w:ascii="Calibri" w:eastAsia="Calibri" w:hAnsi="Calibri" w:cs="Calibri"/>
          <w:i/>
          <w:iCs/>
          <w:sz w:val="22"/>
        </w:rPr>
        <w:t>NDoE</w:t>
      </w:r>
      <w:r w:rsidR="00435CB8" w:rsidRPr="00060D11">
        <w:rPr>
          <w:rFonts w:ascii="Calibri" w:eastAsia="Calibri" w:hAnsi="Calibri" w:cs="Calibri"/>
          <w:i/>
          <w:iCs/>
          <w:sz w:val="22"/>
        </w:rPr>
        <w:t xml:space="preserve"> and </w:t>
      </w:r>
      <w:r w:rsidRPr="00060D11">
        <w:rPr>
          <w:rFonts w:ascii="Calibri" w:eastAsia="Calibri" w:hAnsi="Calibri" w:cs="Calibri"/>
          <w:i/>
          <w:iCs/>
          <w:sz w:val="22"/>
        </w:rPr>
        <w:t>PDoE</w:t>
      </w:r>
      <w:r w:rsidR="00435CB8" w:rsidRPr="00060D11">
        <w:rPr>
          <w:rFonts w:ascii="Calibri" w:eastAsia="Calibri" w:hAnsi="Calibri" w:cs="Calibri"/>
          <w:i/>
          <w:iCs/>
          <w:sz w:val="22"/>
        </w:rPr>
        <w:t xml:space="preserve"> identify effective and sustainable evidence based strategies to improve the</w:t>
      </w:r>
      <w:r w:rsidR="00A05E99" w:rsidRPr="00060D11">
        <w:rPr>
          <w:rFonts w:ascii="Calibri" w:eastAsia="Calibri" w:hAnsi="Calibri" w:cs="Calibri"/>
          <w:i/>
          <w:iCs/>
          <w:sz w:val="22"/>
        </w:rPr>
        <w:t xml:space="preserve"> </w:t>
      </w:r>
      <w:r w:rsidR="00435CB8" w:rsidRPr="00060D11">
        <w:rPr>
          <w:rFonts w:ascii="Calibri" w:eastAsia="Calibri" w:hAnsi="Calibri" w:cs="Calibri"/>
          <w:i/>
          <w:iCs/>
          <w:sz w:val="22"/>
        </w:rPr>
        <w:t>quality of teaching and student learning outcomes</w:t>
      </w:r>
    </w:p>
    <w:p w14:paraId="13885952" w14:textId="77777777" w:rsidR="00A05E99" w:rsidRPr="00060D11" w:rsidRDefault="00A05E99" w:rsidP="004E780D">
      <w:pPr>
        <w:widowControl w:val="0"/>
        <w:spacing w:line="276" w:lineRule="auto"/>
        <w:rPr>
          <w:rFonts w:ascii="Calibri" w:eastAsia="Calibri" w:hAnsi="Calibri" w:cs="Calibri"/>
          <w:i/>
          <w:iCs/>
        </w:rPr>
      </w:pPr>
    </w:p>
    <w:p w14:paraId="53140FE4" w14:textId="5F798C92" w:rsidR="00CA378D" w:rsidRPr="00060D11" w:rsidRDefault="00FA347F" w:rsidP="004E780D">
      <w:pPr>
        <w:widowControl w:val="0"/>
        <w:spacing w:after="120" w:line="276" w:lineRule="auto"/>
        <w:rPr>
          <w:rFonts w:ascii="Calibri" w:eastAsia="Calibri" w:hAnsi="Calibri" w:cs="Calibri"/>
        </w:rPr>
      </w:pPr>
      <w:r w:rsidRPr="00060D11">
        <w:rPr>
          <w:rFonts w:ascii="Calibri" w:eastAsia="Calibri" w:hAnsi="Calibri" w:cs="Calibri"/>
        </w:rPr>
        <w:t>There is already a</w:t>
      </w:r>
      <w:r w:rsidR="008C035E" w:rsidRPr="00060D11">
        <w:rPr>
          <w:rFonts w:ascii="Calibri" w:eastAsia="Calibri" w:hAnsi="Calibri" w:cs="Calibri"/>
        </w:rPr>
        <w:t>n extensive evidence base of successful models</w:t>
      </w:r>
      <w:r w:rsidR="002500E9" w:rsidRPr="00060D11">
        <w:rPr>
          <w:rFonts w:ascii="Calibri" w:eastAsia="Calibri" w:hAnsi="Calibri" w:cs="Calibri"/>
        </w:rPr>
        <w:t xml:space="preserve"> often sharing common principles</w:t>
      </w:r>
      <w:r w:rsidR="008C035E" w:rsidRPr="00060D11">
        <w:rPr>
          <w:rFonts w:ascii="Calibri" w:eastAsia="Calibri" w:hAnsi="Calibri" w:cs="Calibri"/>
        </w:rPr>
        <w:t xml:space="preserve"> to improve teaching and student learning in </w:t>
      </w:r>
      <w:r w:rsidR="00811D1E" w:rsidRPr="00060D11">
        <w:rPr>
          <w:rFonts w:ascii="Calibri" w:eastAsia="Calibri" w:hAnsi="Calibri" w:cs="Calibri"/>
        </w:rPr>
        <w:t>low resource contexts such as PNG</w:t>
      </w:r>
      <w:r w:rsidR="00D76192" w:rsidRPr="00060D11">
        <w:rPr>
          <w:rStyle w:val="FootnoteReference"/>
          <w:rFonts w:ascii="Calibri" w:eastAsia="Calibri" w:hAnsi="Calibri" w:cs="Calibri"/>
        </w:rPr>
        <w:footnoteReference w:id="69"/>
      </w:r>
      <w:r w:rsidR="00DC3642" w:rsidRPr="00060D11">
        <w:rPr>
          <w:rFonts w:ascii="Calibri" w:eastAsia="Calibri" w:hAnsi="Calibri" w:cs="Calibri"/>
        </w:rPr>
        <w:t xml:space="preserve">. The recent PPF has also highlighted some valuable </w:t>
      </w:r>
      <w:r w:rsidR="008675E2" w:rsidRPr="00060D11">
        <w:rPr>
          <w:rFonts w:ascii="Calibri" w:eastAsia="Calibri" w:hAnsi="Calibri" w:cs="Calibri"/>
        </w:rPr>
        <w:t>ways of working</w:t>
      </w:r>
      <w:r w:rsidR="00AF2146" w:rsidRPr="00060D11">
        <w:rPr>
          <w:rFonts w:ascii="Calibri" w:eastAsia="Calibri" w:hAnsi="Calibri" w:cs="Calibri"/>
        </w:rPr>
        <w:t xml:space="preserve"> in the PNG context</w:t>
      </w:r>
      <w:r w:rsidR="008675E2" w:rsidRPr="00060D11">
        <w:rPr>
          <w:rFonts w:ascii="Calibri" w:eastAsia="Calibri" w:hAnsi="Calibri" w:cs="Calibri"/>
        </w:rPr>
        <w:t>, including support for children with a disability</w:t>
      </w:r>
      <w:r w:rsidR="00DC3642" w:rsidRPr="00060D11">
        <w:rPr>
          <w:rFonts w:ascii="Calibri" w:eastAsia="Calibri" w:hAnsi="Calibri" w:cs="Calibri"/>
        </w:rPr>
        <w:t xml:space="preserve"> </w:t>
      </w:r>
      <w:r w:rsidR="002137DE" w:rsidRPr="00060D11">
        <w:rPr>
          <w:rFonts w:ascii="Calibri" w:eastAsia="Calibri" w:hAnsi="Calibri" w:cs="Calibri"/>
        </w:rPr>
        <w:t xml:space="preserve">and use of </w:t>
      </w:r>
      <w:r w:rsidR="002137DE" w:rsidRPr="00060D11">
        <w:rPr>
          <w:rFonts w:ascii="Calibri" w:eastAsia="Calibri" w:hAnsi="Calibri" w:cs="Calibri"/>
          <w:i/>
          <w:iCs/>
        </w:rPr>
        <w:t xml:space="preserve">Bilum </w:t>
      </w:r>
      <w:r w:rsidR="002137DE" w:rsidRPr="00060D11">
        <w:rPr>
          <w:rFonts w:ascii="Calibri" w:eastAsia="Calibri" w:hAnsi="Calibri" w:cs="Calibri"/>
        </w:rPr>
        <w:t xml:space="preserve">books </w:t>
      </w:r>
      <w:r w:rsidR="00DC3642" w:rsidRPr="00060D11">
        <w:rPr>
          <w:rFonts w:ascii="Calibri" w:eastAsia="Calibri" w:hAnsi="Calibri" w:cs="Calibri"/>
        </w:rPr>
        <w:t xml:space="preserve">that could inform </w:t>
      </w:r>
      <w:r w:rsidR="005B0B9F" w:rsidRPr="00060D11">
        <w:rPr>
          <w:rFonts w:ascii="Calibri" w:eastAsia="Calibri" w:hAnsi="Calibri" w:cs="Calibri"/>
        </w:rPr>
        <w:t>PIE</w:t>
      </w:r>
      <w:r w:rsidR="002806F8" w:rsidRPr="00060D11">
        <w:rPr>
          <w:rFonts w:ascii="Calibri" w:eastAsia="Calibri" w:hAnsi="Calibri" w:cs="Calibri"/>
        </w:rPr>
        <w:t>’s investment</w:t>
      </w:r>
      <w:r w:rsidR="00811D1E" w:rsidRPr="00060D11">
        <w:rPr>
          <w:rFonts w:ascii="Calibri" w:eastAsia="Calibri" w:hAnsi="Calibri" w:cs="Calibri"/>
        </w:rPr>
        <w:t xml:space="preserve">. </w:t>
      </w:r>
      <w:r w:rsidR="00046F4F" w:rsidRPr="00060D11">
        <w:rPr>
          <w:rFonts w:ascii="Calibri" w:eastAsia="Calibri" w:hAnsi="Calibri" w:cs="Calibri"/>
        </w:rPr>
        <w:t>These approaches</w:t>
      </w:r>
      <w:r w:rsidR="00736D3C" w:rsidRPr="00060D11">
        <w:rPr>
          <w:rFonts w:ascii="Calibri" w:eastAsia="Calibri" w:hAnsi="Calibri" w:cs="Calibri"/>
        </w:rPr>
        <w:t xml:space="preserve"> and principles</w:t>
      </w:r>
      <w:r w:rsidR="00046F4F" w:rsidRPr="00060D11">
        <w:rPr>
          <w:rFonts w:ascii="Calibri" w:eastAsia="Calibri" w:hAnsi="Calibri" w:cs="Calibri"/>
        </w:rPr>
        <w:t xml:space="preserve"> </w:t>
      </w:r>
      <w:r w:rsidR="0057756A" w:rsidRPr="00060D11">
        <w:rPr>
          <w:rFonts w:ascii="Calibri" w:eastAsia="Calibri" w:hAnsi="Calibri" w:cs="Calibri"/>
        </w:rPr>
        <w:t>will</w:t>
      </w:r>
      <w:r w:rsidR="00046F4F" w:rsidRPr="00060D11">
        <w:rPr>
          <w:rFonts w:ascii="Calibri" w:eastAsia="Calibri" w:hAnsi="Calibri" w:cs="Calibri"/>
        </w:rPr>
        <w:t xml:space="preserve"> be drawn on to inform </w:t>
      </w:r>
      <w:r w:rsidR="00C70506" w:rsidRPr="00060D11">
        <w:rPr>
          <w:rFonts w:ascii="Calibri" w:eastAsia="Calibri" w:hAnsi="Calibri" w:cs="Calibri"/>
        </w:rPr>
        <w:t xml:space="preserve">contextually relevant </w:t>
      </w:r>
      <w:r w:rsidR="00046F4F" w:rsidRPr="00060D11">
        <w:rPr>
          <w:rFonts w:ascii="Calibri" w:eastAsia="Calibri" w:hAnsi="Calibri" w:cs="Calibri"/>
        </w:rPr>
        <w:t xml:space="preserve">PIE supported models for upgrading </w:t>
      </w:r>
      <w:r w:rsidR="00312182" w:rsidRPr="00060D11">
        <w:rPr>
          <w:rFonts w:ascii="Calibri" w:eastAsia="Calibri" w:hAnsi="Calibri" w:cs="Calibri"/>
        </w:rPr>
        <w:t>teacher skills and knowledge</w:t>
      </w:r>
      <w:r w:rsidR="00C70506" w:rsidRPr="00060D11">
        <w:rPr>
          <w:rFonts w:ascii="Calibri" w:eastAsia="Calibri" w:hAnsi="Calibri" w:cs="Calibri"/>
        </w:rPr>
        <w:t xml:space="preserve"> at the provincial level</w:t>
      </w:r>
      <w:r w:rsidR="00312182" w:rsidRPr="00060D11">
        <w:rPr>
          <w:rFonts w:ascii="Calibri" w:eastAsia="Calibri" w:hAnsi="Calibri" w:cs="Calibri"/>
        </w:rPr>
        <w:t>.</w:t>
      </w:r>
      <w:r w:rsidR="00A4626F" w:rsidRPr="00060D11">
        <w:rPr>
          <w:rFonts w:ascii="Calibri" w:eastAsia="Calibri" w:hAnsi="Calibri" w:cs="Calibri"/>
        </w:rPr>
        <w:t xml:space="preserve"> </w:t>
      </w:r>
    </w:p>
    <w:p w14:paraId="39C23CAA" w14:textId="32270A82" w:rsidR="00E439E9" w:rsidRPr="00060D11" w:rsidRDefault="00EE09EB" w:rsidP="004E780D">
      <w:pPr>
        <w:widowControl w:val="0"/>
        <w:spacing w:after="120" w:line="276" w:lineRule="auto"/>
        <w:rPr>
          <w:rFonts w:ascii="Calibri" w:eastAsia="Calibri" w:hAnsi="Calibri" w:cs="Calibri"/>
        </w:rPr>
      </w:pPr>
      <w:r w:rsidRPr="00060D11">
        <w:rPr>
          <w:rFonts w:ascii="Calibri" w:eastAsia="Calibri" w:hAnsi="Calibri" w:cs="Calibri"/>
          <w:b/>
          <w:bCs/>
        </w:rPr>
        <w:t>At</w:t>
      </w:r>
      <w:r w:rsidR="00E10D41" w:rsidRPr="00060D11">
        <w:rPr>
          <w:rFonts w:ascii="Calibri" w:eastAsia="Calibri" w:hAnsi="Calibri" w:cs="Calibri"/>
          <w:b/>
          <w:bCs/>
        </w:rPr>
        <w:t xml:space="preserve"> </w:t>
      </w:r>
      <w:r w:rsidRPr="00060D11">
        <w:rPr>
          <w:rFonts w:ascii="Calibri" w:eastAsia="Calibri" w:hAnsi="Calibri" w:cs="Calibri"/>
          <w:b/>
          <w:bCs/>
        </w:rPr>
        <w:t>Phase 1</w:t>
      </w:r>
      <w:r w:rsidR="00E10D41" w:rsidRPr="00060D11">
        <w:rPr>
          <w:rFonts w:ascii="Calibri" w:eastAsia="Calibri" w:hAnsi="Calibri" w:cs="Calibri"/>
          <w:b/>
          <w:bCs/>
        </w:rPr>
        <w:t xml:space="preserve"> </w:t>
      </w:r>
      <w:r w:rsidR="00A826E0" w:rsidRPr="00060D11">
        <w:rPr>
          <w:rFonts w:ascii="Calibri" w:eastAsia="Calibri" w:hAnsi="Calibri" w:cs="Calibri"/>
          <w:b/>
          <w:bCs/>
        </w:rPr>
        <w:t>Implementation</w:t>
      </w:r>
      <w:r w:rsidR="00E10D41" w:rsidRPr="00060D11">
        <w:rPr>
          <w:rFonts w:ascii="Calibri" w:eastAsia="Calibri" w:hAnsi="Calibri" w:cs="Calibri"/>
          <w:b/>
          <w:bCs/>
        </w:rPr>
        <w:t>,</w:t>
      </w:r>
      <w:r w:rsidR="00E10D41" w:rsidRPr="00060D11">
        <w:rPr>
          <w:rFonts w:ascii="Calibri" w:eastAsia="Calibri" w:hAnsi="Calibri" w:cs="Calibri"/>
        </w:rPr>
        <w:t xml:space="preserve"> t</w:t>
      </w:r>
      <w:r w:rsidR="00811D1E" w:rsidRPr="00060D11">
        <w:rPr>
          <w:rFonts w:ascii="Calibri" w:eastAsia="Calibri" w:hAnsi="Calibri" w:cs="Calibri"/>
        </w:rPr>
        <w:t xml:space="preserve">he </w:t>
      </w:r>
      <w:r w:rsidR="005662DB" w:rsidRPr="00060D11">
        <w:rPr>
          <w:rFonts w:ascii="Calibri" w:eastAsia="Calibri" w:hAnsi="Calibri" w:cs="Calibri"/>
        </w:rPr>
        <w:t>managing contractor</w:t>
      </w:r>
      <w:r w:rsidR="00811D1E" w:rsidRPr="00060D11">
        <w:rPr>
          <w:rFonts w:ascii="Calibri" w:eastAsia="Calibri" w:hAnsi="Calibri" w:cs="Calibri"/>
        </w:rPr>
        <w:t xml:space="preserve"> will support </w:t>
      </w:r>
      <w:r w:rsidR="00787C58" w:rsidRPr="00060D11">
        <w:rPr>
          <w:rFonts w:ascii="Calibri" w:eastAsia="Calibri" w:hAnsi="Calibri" w:cs="Calibri"/>
        </w:rPr>
        <w:t xml:space="preserve">participatory processes with key stakeholders </w:t>
      </w:r>
      <w:r w:rsidR="00E439E9" w:rsidRPr="00060D11">
        <w:rPr>
          <w:rFonts w:ascii="Calibri" w:eastAsia="Calibri" w:hAnsi="Calibri" w:cs="Calibri"/>
        </w:rPr>
        <w:t xml:space="preserve">at </w:t>
      </w:r>
      <w:r w:rsidR="004F62A5" w:rsidRPr="00060D11">
        <w:rPr>
          <w:rFonts w:ascii="Calibri" w:eastAsia="Calibri" w:hAnsi="Calibri" w:cs="Calibri"/>
        </w:rPr>
        <w:t>NDoE</w:t>
      </w:r>
      <w:r w:rsidR="00E439E9" w:rsidRPr="00060D11">
        <w:rPr>
          <w:rFonts w:ascii="Calibri" w:eastAsia="Calibri" w:hAnsi="Calibri" w:cs="Calibri"/>
        </w:rPr>
        <w:t xml:space="preserve"> and </w:t>
      </w:r>
      <w:r w:rsidR="006D0553" w:rsidRPr="00060D11">
        <w:rPr>
          <w:rFonts w:ascii="Calibri" w:eastAsia="Calibri" w:hAnsi="Calibri" w:cs="Calibri"/>
        </w:rPr>
        <w:t>in target provinces</w:t>
      </w:r>
      <w:r w:rsidR="00E439E9" w:rsidRPr="00060D11">
        <w:rPr>
          <w:rFonts w:ascii="Calibri" w:eastAsia="Calibri" w:hAnsi="Calibri" w:cs="Calibri"/>
        </w:rPr>
        <w:t xml:space="preserve"> </w:t>
      </w:r>
      <w:r w:rsidR="00787C58" w:rsidRPr="00060D11">
        <w:rPr>
          <w:rFonts w:ascii="Calibri" w:eastAsia="Calibri" w:hAnsi="Calibri" w:cs="Calibri"/>
        </w:rPr>
        <w:t xml:space="preserve">to </w:t>
      </w:r>
      <w:r w:rsidR="000E0216" w:rsidRPr="00060D11">
        <w:rPr>
          <w:rFonts w:ascii="Calibri" w:eastAsia="Calibri" w:hAnsi="Calibri" w:cs="Calibri"/>
        </w:rPr>
        <w:t xml:space="preserve">discuss </w:t>
      </w:r>
      <w:r w:rsidR="008403A0" w:rsidRPr="00060D11">
        <w:rPr>
          <w:rFonts w:ascii="Calibri" w:eastAsia="Calibri" w:hAnsi="Calibri" w:cs="Calibri"/>
        </w:rPr>
        <w:t xml:space="preserve">the information </w:t>
      </w:r>
      <w:r w:rsidR="009D6B09" w:rsidRPr="00060D11">
        <w:rPr>
          <w:rFonts w:ascii="Calibri" w:eastAsia="Calibri" w:hAnsi="Calibri" w:cs="Calibri"/>
        </w:rPr>
        <w:t>gathered during inception</w:t>
      </w:r>
      <w:r w:rsidR="00317743" w:rsidRPr="00060D11">
        <w:rPr>
          <w:rFonts w:ascii="Calibri" w:eastAsia="Calibri" w:hAnsi="Calibri" w:cs="Calibri"/>
        </w:rPr>
        <w:t xml:space="preserve"> including: </w:t>
      </w:r>
      <w:r w:rsidR="001F2B9A" w:rsidRPr="00060D11">
        <w:rPr>
          <w:rFonts w:ascii="Calibri" w:eastAsia="Calibri" w:hAnsi="Calibri" w:cs="Calibri"/>
        </w:rPr>
        <w:t>teacher knowledge and skills needs (and competencies) of teachers of early grades</w:t>
      </w:r>
      <w:r w:rsidR="00341DF0">
        <w:rPr>
          <w:rFonts w:ascii="Calibri" w:eastAsia="Calibri" w:hAnsi="Calibri" w:cs="Calibri"/>
        </w:rPr>
        <w:t> </w:t>
      </w:r>
      <w:r w:rsidR="00DB4734" w:rsidRPr="00060D11">
        <w:rPr>
          <w:rFonts w:ascii="Calibri" w:eastAsia="Calibri" w:hAnsi="Calibri" w:cs="Calibri"/>
        </w:rPr>
        <w:t>(IO</w:t>
      </w:r>
      <w:r w:rsidR="00341DF0">
        <w:rPr>
          <w:rFonts w:ascii="Calibri" w:eastAsia="Calibri" w:hAnsi="Calibri" w:cs="Calibri"/>
        </w:rPr>
        <w:t> </w:t>
      </w:r>
      <w:r w:rsidR="00DB4734" w:rsidRPr="00060D11">
        <w:rPr>
          <w:rFonts w:ascii="Calibri" w:eastAsia="Calibri" w:hAnsi="Calibri" w:cs="Calibri"/>
        </w:rPr>
        <w:t>2.1)</w:t>
      </w:r>
      <w:r w:rsidR="00317743" w:rsidRPr="00060D11">
        <w:rPr>
          <w:rFonts w:ascii="Calibri" w:eastAsia="Calibri" w:hAnsi="Calibri" w:cs="Calibri"/>
        </w:rPr>
        <w:t>;</w:t>
      </w:r>
      <w:r w:rsidR="009D6B09" w:rsidRPr="00060D11">
        <w:rPr>
          <w:rFonts w:ascii="Calibri" w:eastAsia="Calibri" w:hAnsi="Calibri" w:cs="Calibri"/>
        </w:rPr>
        <w:t xml:space="preserve"> </w:t>
      </w:r>
      <w:r w:rsidR="00D23718" w:rsidRPr="00060D11">
        <w:rPr>
          <w:rFonts w:ascii="Calibri" w:eastAsia="Calibri" w:hAnsi="Calibri" w:cs="Calibri"/>
        </w:rPr>
        <w:t>and status of current supervisory and support arrangements (</w:t>
      </w:r>
      <w:r w:rsidR="00DB4734" w:rsidRPr="00060D11">
        <w:rPr>
          <w:rFonts w:ascii="Calibri" w:eastAsia="Calibri" w:hAnsi="Calibri" w:cs="Calibri"/>
        </w:rPr>
        <w:t>IO 2.2)</w:t>
      </w:r>
      <w:r w:rsidR="00F75294" w:rsidRPr="00060D11">
        <w:rPr>
          <w:rFonts w:ascii="Calibri" w:eastAsia="Calibri" w:hAnsi="Calibri" w:cs="Calibri"/>
        </w:rPr>
        <w:t xml:space="preserve"> </w:t>
      </w:r>
      <w:r w:rsidR="00BB4CF3" w:rsidRPr="00060D11">
        <w:rPr>
          <w:rFonts w:ascii="Calibri" w:eastAsia="Calibri" w:hAnsi="Calibri" w:cs="Calibri"/>
        </w:rPr>
        <w:t>and agree on an</w:t>
      </w:r>
      <w:r w:rsidR="00D91DFB" w:rsidRPr="00060D11">
        <w:rPr>
          <w:rFonts w:ascii="Calibri" w:eastAsia="Calibri" w:hAnsi="Calibri" w:cs="Calibri"/>
        </w:rPr>
        <w:t xml:space="preserve"> </w:t>
      </w:r>
      <w:r w:rsidR="000E0216" w:rsidRPr="00060D11">
        <w:rPr>
          <w:rFonts w:ascii="Calibri" w:eastAsia="Calibri" w:hAnsi="Calibri" w:cs="Calibri"/>
        </w:rPr>
        <w:t>appropriate</w:t>
      </w:r>
      <w:r w:rsidR="009F0C05" w:rsidRPr="00060D11">
        <w:rPr>
          <w:rFonts w:ascii="Calibri" w:eastAsia="Calibri" w:hAnsi="Calibri" w:cs="Calibri"/>
        </w:rPr>
        <w:t>,</w:t>
      </w:r>
      <w:r w:rsidR="001F2B9A" w:rsidRPr="00060D11">
        <w:rPr>
          <w:rFonts w:ascii="Calibri" w:eastAsia="Calibri" w:hAnsi="Calibri" w:cs="Calibri"/>
        </w:rPr>
        <w:t xml:space="preserve"> </w:t>
      </w:r>
      <w:r w:rsidR="00D91DFB" w:rsidRPr="00060D11">
        <w:rPr>
          <w:rFonts w:ascii="Calibri" w:eastAsia="Calibri" w:hAnsi="Calibri" w:cs="Calibri"/>
        </w:rPr>
        <w:t xml:space="preserve">proven </w:t>
      </w:r>
      <w:r w:rsidR="000E0216" w:rsidRPr="00060D11">
        <w:rPr>
          <w:rFonts w:ascii="Calibri" w:eastAsia="Calibri" w:hAnsi="Calibri" w:cs="Calibri"/>
        </w:rPr>
        <w:t xml:space="preserve">model </w:t>
      </w:r>
      <w:r w:rsidR="000820A8" w:rsidRPr="00060D11">
        <w:rPr>
          <w:rFonts w:ascii="Calibri" w:eastAsia="Calibri" w:hAnsi="Calibri" w:cs="Calibri"/>
        </w:rPr>
        <w:t xml:space="preserve">that </w:t>
      </w:r>
      <w:r w:rsidR="009E6C68" w:rsidRPr="00060D11">
        <w:rPr>
          <w:rFonts w:ascii="Calibri" w:eastAsia="Calibri" w:hAnsi="Calibri" w:cs="Calibri"/>
        </w:rPr>
        <w:t>is</w:t>
      </w:r>
      <w:r w:rsidR="000820A8" w:rsidRPr="00060D11">
        <w:rPr>
          <w:rFonts w:ascii="Calibri" w:eastAsia="Calibri" w:hAnsi="Calibri" w:cs="Calibri"/>
        </w:rPr>
        <w:t xml:space="preserve"> feasible from a technical perspective</w:t>
      </w:r>
      <w:r w:rsidR="00574D7E" w:rsidRPr="00060D11">
        <w:rPr>
          <w:rFonts w:ascii="Calibri" w:eastAsia="Calibri" w:hAnsi="Calibri" w:cs="Calibri"/>
        </w:rPr>
        <w:t>, respond</w:t>
      </w:r>
      <w:r w:rsidR="009E6C68" w:rsidRPr="00060D11">
        <w:rPr>
          <w:rFonts w:ascii="Calibri" w:eastAsia="Calibri" w:hAnsi="Calibri" w:cs="Calibri"/>
        </w:rPr>
        <w:t>s</w:t>
      </w:r>
      <w:r w:rsidR="00574D7E" w:rsidRPr="00060D11">
        <w:rPr>
          <w:rFonts w:ascii="Calibri" w:eastAsia="Calibri" w:hAnsi="Calibri" w:cs="Calibri"/>
        </w:rPr>
        <w:t xml:space="preserve"> to the identified needs</w:t>
      </w:r>
      <w:r w:rsidR="00DC3F35" w:rsidRPr="00060D11">
        <w:rPr>
          <w:rFonts w:ascii="Calibri" w:eastAsia="Calibri" w:hAnsi="Calibri" w:cs="Calibri"/>
        </w:rPr>
        <w:t xml:space="preserve"> of teachers and ha</w:t>
      </w:r>
      <w:r w:rsidR="00341DF0">
        <w:rPr>
          <w:rFonts w:ascii="Calibri" w:eastAsia="Calibri" w:hAnsi="Calibri" w:cs="Calibri"/>
        </w:rPr>
        <w:t>s</w:t>
      </w:r>
      <w:r w:rsidR="00DC3F35" w:rsidRPr="00060D11">
        <w:rPr>
          <w:rFonts w:ascii="Calibri" w:eastAsia="Calibri" w:hAnsi="Calibri" w:cs="Calibri"/>
        </w:rPr>
        <w:t xml:space="preserve"> appropriate buy in from implementing partners</w:t>
      </w:r>
      <w:r w:rsidR="000E0216" w:rsidRPr="00060D11">
        <w:rPr>
          <w:rFonts w:ascii="Calibri" w:eastAsia="Calibri" w:hAnsi="Calibri" w:cs="Calibri"/>
        </w:rPr>
        <w:t xml:space="preserve">. </w:t>
      </w:r>
      <w:r w:rsidR="006373E7" w:rsidRPr="00060D11">
        <w:rPr>
          <w:rFonts w:ascii="Calibri" w:eastAsia="Calibri" w:hAnsi="Calibri" w:cs="Calibri"/>
        </w:rPr>
        <w:t>The</w:t>
      </w:r>
      <w:r w:rsidR="007E51FB" w:rsidRPr="00060D11">
        <w:rPr>
          <w:rFonts w:ascii="Calibri" w:eastAsia="Calibri" w:hAnsi="Calibri" w:cs="Calibri"/>
        </w:rPr>
        <w:t xml:space="preserve"> </w:t>
      </w:r>
      <w:r w:rsidR="005662DB" w:rsidRPr="00060D11">
        <w:rPr>
          <w:rFonts w:ascii="Calibri" w:eastAsia="Calibri" w:hAnsi="Calibri" w:cs="Calibri"/>
        </w:rPr>
        <w:t>managing contractor</w:t>
      </w:r>
      <w:r w:rsidR="007E51FB" w:rsidRPr="00060D11">
        <w:rPr>
          <w:rFonts w:ascii="Calibri" w:eastAsia="Calibri" w:hAnsi="Calibri" w:cs="Calibri"/>
        </w:rPr>
        <w:t xml:space="preserve"> will work </w:t>
      </w:r>
      <w:r w:rsidR="00C839BF" w:rsidRPr="00060D11">
        <w:rPr>
          <w:rFonts w:ascii="Calibri" w:eastAsia="Calibri" w:hAnsi="Calibri" w:cs="Calibri"/>
        </w:rPr>
        <w:t xml:space="preserve">with appropriate implementing partners to further tailor the approaches </w:t>
      </w:r>
      <w:r w:rsidR="00ED68E9" w:rsidRPr="00060D11">
        <w:rPr>
          <w:rFonts w:ascii="Calibri" w:eastAsia="Calibri" w:hAnsi="Calibri" w:cs="Calibri"/>
        </w:rPr>
        <w:t>to develop</w:t>
      </w:r>
      <w:r w:rsidR="00C839BF" w:rsidRPr="00060D11">
        <w:rPr>
          <w:rFonts w:ascii="Calibri" w:eastAsia="Calibri" w:hAnsi="Calibri" w:cs="Calibri"/>
        </w:rPr>
        <w:t xml:space="preserve"> customized teacher in-service programs</w:t>
      </w:r>
      <w:r w:rsidR="007A0781" w:rsidRPr="00060D11">
        <w:rPr>
          <w:rFonts w:ascii="Calibri" w:eastAsia="Calibri" w:hAnsi="Calibri" w:cs="Calibri"/>
        </w:rPr>
        <w:t xml:space="preserve"> focused on </w:t>
      </w:r>
      <w:r w:rsidR="005D65BC" w:rsidRPr="00060D11">
        <w:rPr>
          <w:rFonts w:ascii="Calibri" w:eastAsia="Calibri" w:hAnsi="Calibri" w:cs="Calibri"/>
        </w:rPr>
        <w:t xml:space="preserve">improving </w:t>
      </w:r>
      <w:r w:rsidR="007A0781" w:rsidRPr="00060D11">
        <w:rPr>
          <w:rFonts w:ascii="Calibri" w:eastAsia="Calibri" w:hAnsi="Calibri" w:cs="Calibri"/>
        </w:rPr>
        <w:t>foundational learning</w:t>
      </w:r>
      <w:r w:rsidR="00ED68E9" w:rsidRPr="00060D11">
        <w:rPr>
          <w:rFonts w:ascii="Calibri" w:eastAsia="Calibri" w:hAnsi="Calibri" w:cs="Calibri"/>
        </w:rPr>
        <w:t xml:space="preserve">. </w:t>
      </w:r>
      <w:r w:rsidR="002137DE" w:rsidRPr="00060D11">
        <w:rPr>
          <w:rFonts w:ascii="Calibri" w:eastAsia="Calibri" w:hAnsi="Calibri" w:cs="Calibri"/>
        </w:rPr>
        <w:t xml:space="preserve">To inform the content of the programs, the managing contractor should also consider the effect on teaching and learning of the curriculum, including the availability of learning materials.  </w:t>
      </w:r>
      <w:r w:rsidR="00ED68E9" w:rsidRPr="00060D11">
        <w:rPr>
          <w:rFonts w:ascii="Calibri" w:eastAsia="Calibri" w:hAnsi="Calibri" w:cs="Calibri"/>
        </w:rPr>
        <w:t xml:space="preserve">These programs </w:t>
      </w:r>
      <w:r w:rsidR="006373E7" w:rsidRPr="00060D11">
        <w:rPr>
          <w:rFonts w:ascii="Calibri" w:eastAsia="Calibri" w:hAnsi="Calibri" w:cs="Calibri"/>
        </w:rPr>
        <w:t xml:space="preserve">might be different for different provinces based on the </w:t>
      </w:r>
      <w:r w:rsidR="00D76192" w:rsidRPr="00060D11">
        <w:rPr>
          <w:rFonts w:ascii="Calibri" w:eastAsia="Calibri" w:hAnsi="Calibri" w:cs="Calibri"/>
        </w:rPr>
        <w:t xml:space="preserve">operating </w:t>
      </w:r>
      <w:r w:rsidR="00A90813" w:rsidRPr="00060D11">
        <w:rPr>
          <w:rFonts w:ascii="Calibri" w:eastAsia="Calibri" w:hAnsi="Calibri" w:cs="Calibri"/>
        </w:rPr>
        <w:t>environment</w:t>
      </w:r>
      <w:r w:rsidR="00B31573" w:rsidRPr="00060D11">
        <w:rPr>
          <w:rFonts w:ascii="Calibri" w:eastAsia="Calibri" w:hAnsi="Calibri" w:cs="Calibri"/>
        </w:rPr>
        <w:t xml:space="preserve"> and resources available</w:t>
      </w:r>
      <w:r w:rsidR="00430B6D" w:rsidRPr="00060D11">
        <w:rPr>
          <w:rFonts w:ascii="Calibri" w:eastAsia="Calibri" w:hAnsi="Calibri" w:cs="Calibri"/>
        </w:rPr>
        <w:t xml:space="preserve"> to ensure maximum potential for sustainability</w:t>
      </w:r>
      <w:r w:rsidR="0046423A" w:rsidRPr="00060D11">
        <w:rPr>
          <w:rFonts w:ascii="Calibri" w:eastAsia="Calibri" w:hAnsi="Calibri" w:cs="Calibri"/>
        </w:rPr>
        <w:t>.</w:t>
      </w:r>
      <w:r w:rsidR="007E51FB" w:rsidRPr="00060D11">
        <w:rPr>
          <w:rFonts w:ascii="Calibri" w:eastAsia="Calibri" w:hAnsi="Calibri" w:cs="Calibri"/>
        </w:rPr>
        <w:t xml:space="preserve"> </w:t>
      </w:r>
    </w:p>
    <w:p w14:paraId="49982F6E" w14:textId="5059F41E" w:rsidR="00002BDA" w:rsidRPr="00060D11" w:rsidRDefault="00451BF6" w:rsidP="004E780D">
      <w:pPr>
        <w:widowControl w:val="0"/>
        <w:spacing w:after="120" w:line="276" w:lineRule="auto"/>
        <w:rPr>
          <w:rFonts w:ascii="Calibri" w:eastAsia="Calibri" w:hAnsi="Calibri" w:cs="Calibri"/>
        </w:rPr>
      </w:pPr>
      <w:r w:rsidRPr="00060D11">
        <w:rPr>
          <w:rFonts w:ascii="Calibri" w:eastAsia="Calibri" w:hAnsi="Calibri" w:cs="Calibri"/>
          <w:b/>
          <w:bCs/>
        </w:rPr>
        <w:t>During</w:t>
      </w:r>
      <w:r w:rsidR="0046423A" w:rsidRPr="00060D11">
        <w:rPr>
          <w:rFonts w:ascii="Calibri" w:eastAsia="Calibri" w:hAnsi="Calibri" w:cs="Calibri"/>
          <w:b/>
          <w:bCs/>
        </w:rPr>
        <w:t xml:space="preserve"> </w:t>
      </w:r>
      <w:r w:rsidR="00D01A38" w:rsidRPr="00060D11">
        <w:rPr>
          <w:rFonts w:ascii="Calibri" w:eastAsia="Calibri" w:hAnsi="Calibri" w:cs="Calibri"/>
          <w:b/>
          <w:bCs/>
        </w:rPr>
        <w:t xml:space="preserve">Phase 1 </w:t>
      </w:r>
      <w:r w:rsidR="0046423A" w:rsidRPr="00060D11">
        <w:rPr>
          <w:rFonts w:ascii="Calibri" w:eastAsia="Calibri" w:hAnsi="Calibri" w:cs="Calibri"/>
          <w:b/>
          <w:bCs/>
        </w:rPr>
        <w:t>implementation</w:t>
      </w:r>
      <w:r w:rsidR="0046423A" w:rsidRPr="00060D11">
        <w:rPr>
          <w:rFonts w:ascii="Calibri" w:eastAsia="Calibri" w:hAnsi="Calibri" w:cs="Calibri"/>
        </w:rPr>
        <w:t xml:space="preserve"> </w:t>
      </w:r>
      <w:r w:rsidR="00D01A38" w:rsidRPr="00060D11">
        <w:rPr>
          <w:rFonts w:ascii="Calibri" w:eastAsia="Calibri" w:hAnsi="Calibri" w:cs="Calibri"/>
        </w:rPr>
        <w:t xml:space="preserve">these </w:t>
      </w:r>
      <w:r w:rsidR="003750BB" w:rsidRPr="00060D11">
        <w:rPr>
          <w:rFonts w:ascii="Calibri" w:eastAsia="Calibri" w:hAnsi="Calibri" w:cs="Calibri"/>
        </w:rPr>
        <w:t xml:space="preserve">programs </w:t>
      </w:r>
      <w:r w:rsidR="00D01A38" w:rsidRPr="00060D11">
        <w:rPr>
          <w:rFonts w:ascii="Calibri" w:eastAsia="Calibri" w:hAnsi="Calibri" w:cs="Calibri"/>
        </w:rPr>
        <w:t xml:space="preserve">will be rolled out in four provinces. </w:t>
      </w:r>
      <w:r w:rsidR="004C5F3E" w:rsidRPr="00060D11">
        <w:rPr>
          <w:rFonts w:ascii="Calibri" w:eastAsia="Calibri" w:hAnsi="Calibri" w:cs="Calibri"/>
        </w:rPr>
        <w:t xml:space="preserve">A strong </w:t>
      </w:r>
      <w:r w:rsidR="00567DFA" w:rsidRPr="00060D11">
        <w:rPr>
          <w:rFonts w:ascii="Calibri" w:eastAsia="Calibri" w:hAnsi="Calibri" w:cs="Calibri"/>
        </w:rPr>
        <w:t xml:space="preserve">Monitoring, </w:t>
      </w:r>
      <w:r w:rsidR="00052FC0" w:rsidRPr="00060D11">
        <w:rPr>
          <w:rFonts w:ascii="Calibri" w:eastAsia="Calibri" w:hAnsi="Calibri" w:cs="Calibri"/>
        </w:rPr>
        <w:t>Evaluation and Learning (</w:t>
      </w:r>
      <w:r w:rsidR="004C5F3E" w:rsidRPr="00060D11">
        <w:rPr>
          <w:rFonts w:ascii="Calibri" w:eastAsia="Calibri" w:hAnsi="Calibri" w:cs="Calibri"/>
        </w:rPr>
        <w:t>MERL</w:t>
      </w:r>
      <w:r w:rsidR="00052FC0" w:rsidRPr="00060D11">
        <w:rPr>
          <w:rFonts w:ascii="Calibri" w:eastAsia="Calibri" w:hAnsi="Calibri" w:cs="Calibri"/>
        </w:rPr>
        <w:t>)</w:t>
      </w:r>
      <w:r w:rsidR="004C5F3E" w:rsidRPr="00060D11">
        <w:rPr>
          <w:rFonts w:ascii="Calibri" w:eastAsia="Calibri" w:hAnsi="Calibri" w:cs="Calibri"/>
        </w:rPr>
        <w:t xml:space="preserve"> system that works in partnership with GoPNG</w:t>
      </w:r>
      <w:r w:rsidR="007D5ACD" w:rsidRPr="00060D11">
        <w:rPr>
          <w:rFonts w:ascii="Calibri" w:eastAsia="Calibri" w:hAnsi="Calibri" w:cs="Calibri"/>
        </w:rPr>
        <w:t xml:space="preserve"> will use b</w:t>
      </w:r>
      <w:r w:rsidR="00B766C9" w:rsidRPr="00060D11">
        <w:rPr>
          <w:rFonts w:ascii="Calibri" w:eastAsia="Calibri" w:hAnsi="Calibri" w:cs="Calibri"/>
        </w:rPr>
        <w:t>aseline</w:t>
      </w:r>
      <w:r w:rsidR="00471BEA" w:rsidRPr="00060D11">
        <w:rPr>
          <w:rFonts w:ascii="Calibri" w:eastAsia="Calibri" w:hAnsi="Calibri" w:cs="Calibri"/>
        </w:rPr>
        <w:t>s of both teacher and student competencies along with c</w:t>
      </w:r>
      <w:r w:rsidR="00B766C9" w:rsidRPr="00060D11">
        <w:rPr>
          <w:rFonts w:ascii="Calibri" w:eastAsia="Calibri" w:hAnsi="Calibri" w:cs="Calibri"/>
        </w:rPr>
        <w:t xml:space="preserve">lose monitoring </w:t>
      </w:r>
      <w:r w:rsidR="007D5ACD" w:rsidRPr="00060D11">
        <w:rPr>
          <w:rFonts w:ascii="Calibri" w:eastAsia="Calibri" w:hAnsi="Calibri" w:cs="Calibri"/>
        </w:rPr>
        <w:t xml:space="preserve">and quick feedback loops to adapt the approaches based on what </w:t>
      </w:r>
      <w:r w:rsidR="00EE7D92" w:rsidRPr="00060D11">
        <w:rPr>
          <w:rFonts w:ascii="Calibri" w:eastAsia="Calibri" w:hAnsi="Calibri" w:cs="Calibri"/>
        </w:rPr>
        <w:t xml:space="preserve">is working and changes </w:t>
      </w:r>
      <w:r w:rsidR="002137DE" w:rsidRPr="00060D11">
        <w:rPr>
          <w:rFonts w:ascii="Calibri" w:eastAsia="Calibri" w:hAnsi="Calibri" w:cs="Calibri"/>
        </w:rPr>
        <w:t>in</w:t>
      </w:r>
      <w:r w:rsidR="00EE7D92" w:rsidRPr="00060D11">
        <w:rPr>
          <w:rFonts w:ascii="Calibri" w:eastAsia="Calibri" w:hAnsi="Calibri" w:cs="Calibri"/>
        </w:rPr>
        <w:t xml:space="preserve"> context. </w:t>
      </w:r>
      <w:r w:rsidR="00F446FC" w:rsidRPr="00060D11">
        <w:rPr>
          <w:rFonts w:ascii="Calibri" w:eastAsia="Calibri" w:hAnsi="Calibri" w:cs="Calibri"/>
        </w:rPr>
        <w:t xml:space="preserve"> A simple baseline of student learning</w:t>
      </w:r>
      <w:r w:rsidR="00F446FC" w:rsidRPr="00060D11">
        <w:rPr>
          <w:rStyle w:val="FootnoteReference"/>
          <w:rFonts w:ascii="Calibri" w:eastAsia="Calibri" w:hAnsi="Calibri" w:cs="Calibri"/>
        </w:rPr>
        <w:footnoteReference w:id="70"/>
      </w:r>
      <w:r w:rsidR="00F446FC" w:rsidRPr="00060D11">
        <w:rPr>
          <w:rFonts w:ascii="Calibri" w:eastAsia="Calibri" w:hAnsi="Calibri" w:cs="Calibri"/>
        </w:rPr>
        <w:t xml:space="preserve"> </w:t>
      </w:r>
      <w:r w:rsidR="006A67FA" w:rsidRPr="00060D11">
        <w:rPr>
          <w:rFonts w:ascii="Calibri" w:eastAsia="Calibri" w:hAnsi="Calibri" w:cs="Calibri"/>
        </w:rPr>
        <w:t xml:space="preserve">conducted prior to implementation (and then again at </w:t>
      </w:r>
      <w:r w:rsidR="00CB2E94" w:rsidRPr="00060D11">
        <w:rPr>
          <w:rFonts w:ascii="Calibri" w:eastAsia="Calibri" w:hAnsi="Calibri" w:cs="Calibri"/>
        </w:rPr>
        <w:t xml:space="preserve">agreed </w:t>
      </w:r>
      <w:r w:rsidR="006A67FA" w:rsidRPr="00060D11">
        <w:rPr>
          <w:rFonts w:ascii="Calibri" w:eastAsia="Calibri" w:hAnsi="Calibri" w:cs="Calibri"/>
        </w:rPr>
        <w:t xml:space="preserve">mid- and end line points) </w:t>
      </w:r>
      <w:r w:rsidR="00F446FC" w:rsidRPr="00060D11">
        <w:rPr>
          <w:rFonts w:ascii="Calibri" w:eastAsia="Calibri" w:hAnsi="Calibri" w:cs="Calibri"/>
        </w:rPr>
        <w:t>will ensure the focus on teacher development is strongly linked to classroom learning</w:t>
      </w:r>
      <w:r w:rsidR="002137DE" w:rsidRPr="00060D11">
        <w:rPr>
          <w:rFonts w:ascii="Calibri" w:eastAsia="Calibri" w:hAnsi="Calibri" w:cs="Calibri"/>
        </w:rPr>
        <w:t>.</w:t>
      </w:r>
      <w:r w:rsidR="00C03AD1" w:rsidRPr="00060D11">
        <w:rPr>
          <w:rFonts w:ascii="Calibri" w:eastAsia="Calibri" w:hAnsi="Calibri" w:cs="Calibri"/>
        </w:rPr>
        <w:t xml:space="preserve"> Given the absence</w:t>
      </w:r>
      <w:r w:rsidR="006A67FA" w:rsidRPr="00060D11">
        <w:rPr>
          <w:rFonts w:ascii="Calibri" w:eastAsia="Calibri" w:hAnsi="Calibri" w:cs="Calibri"/>
        </w:rPr>
        <w:t xml:space="preserve"> of a national assessment system, such a baseline assessment may serve as a useful demonstration model </w:t>
      </w:r>
      <w:r w:rsidR="00DC2F0D" w:rsidRPr="00060D11">
        <w:rPr>
          <w:rFonts w:ascii="Calibri" w:eastAsia="Calibri" w:hAnsi="Calibri" w:cs="Calibri"/>
        </w:rPr>
        <w:t xml:space="preserve">for summative assessment </w:t>
      </w:r>
      <w:r w:rsidR="006A67FA" w:rsidRPr="00060D11">
        <w:rPr>
          <w:rFonts w:ascii="Calibri" w:eastAsia="Calibri" w:hAnsi="Calibri" w:cs="Calibri"/>
        </w:rPr>
        <w:t xml:space="preserve">that could inform national level policy and planning for a nationwide assessment system </w:t>
      </w:r>
      <w:r w:rsidR="00DC2F0D" w:rsidRPr="00060D11">
        <w:rPr>
          <w:rFonts w:ascii="Calibri" w:eastAsia="Calibri" w:hAnsi="Calibri" w:cs="Calibri"/>
        </w:rPr>
        <w:t>consistent with SDG Indicator 4.1.1a</w:t>
      </w:r>
      <w:r w:rsidR="00DC2F0D" w:rsidRPr="00060D11">
        <w:rPr>
          <w:rStyle w:val="FootnoteReference"/>
          <w:rFonts w:ascii="Calibri" w:eastAsia="Calibri" w:hAnsi="Calibri" w:cs="Calibri"/>
        </w:rPr>
        <w:footnoteReference w:id="71"/>
      </w:r>
      <w:r w:rsidR="00DC2F0D" w:rsidRPr="00060D11">
        <w:rPr>
          <w:rFonts w:ascii="Calibri" w:eastAsia="Calibri" w:hAnsi="Calibri" w:cs="Calibri"/>
        </w:rPr>
        <w:t>. (See Enabling Outcome</w:t>
      </w:r>
      <w:r w:rsidR="00894A5B">
        <w:rPr>
          <w:rFonts w:ascii="Calibri" w:eastAsia="Calibri" w:hAnsi="Calibri" w:cs="Calibri"/>
        </w:rPr>
        <w:t> </w:t>
      </w:r>
      <w:r w:rsidR="00DC2F0D" w:rsidRPr="00060D11">
        <w:rPr>
          <w:rFonts w:ascii="Calibri" w:eastAsia="Calibri" w:hAnsi="Calibri" w:cs="Calibri"/>
        </w:rPr>
        <w:t>3)</w:t>
      </w:r>
    </w:p>
    <w:p w14:paraId="657E0CE8" w14:textId="012C26F0" w:rsidR="0046423A" w:rsidRDefault="00B31573" w:rsidP="004E780D">
      <w:pPr>
        <w:widowControl w:val="0"/>
        <w:spacing w:line="276" w:lineRule="auto"/>
        <w:rPr>
          <w:rFonts w:ascii="Calibri" w:eastAsia="Calibri" w:hAnsi="Calibri" w:cs="Calibri"/>
        </w:rPr>
      </w:pPr>
      <w:r w:rsidRPr="00060D11">
        <w:rPr>
          <w:rFonts w:ascii="Calibri" w:eastAsia="Calibri" w:hAnsi="Calibri" w:cs="Calibri"/>
        </w:rPr>
        <w:t>Over the lifetime of the program, success</w:t>
      </w:r>
      <w:r w:rsidR="00002BDA" w:rsidRPr="00060D11">
        <w:rPr>
          <w:rFonts w:ascii="Calibri" w:eastAsia="Calibri" w:hAnsi="Calibri" w:cs="Calibri"/>
        </w:rPr>
        <w:t xml:space="preserve">ful models will be shared with other </w:t>
      </w:r>
      <w:r w:rsidR="00017091" w:rsidRPr="00060D11">
        <w:rPr>
          <w:rFonts w:ascii="Calibri" w:eastAsia="Calibri" w:hAnsi="Calibri" w:cs="Calibri"/>
        </w:rPr>
        <w:t xml:space="preserve">target </w:t>
      </w:r>
      <w:r w:rsidR="00002BDA" w:rsidRPr="00060D11">
        <w:rPr>
          <w:rFonts w:ascii="Calibri" w:eastAsia="Calibri" w:hAnsi="Calibri" w:cs="Calibri"/>
        </w:rPr>
        <w:t>provinces</w:t>
      </w:r>
      <w:r w:rsidR="002C25E3" w:rsidRPr="00060D11">
        <w:rPr>
          <w:rFonts w:ascii="Calibri" w:eastAsia="Calibri" w:hAnsi="Calibri" w:cs="Calibri"/>
        </w:rPr>
        <w:t xml:space="preserve">, </w:t>
      </w:r>
      <w:r w:rsidR="00017091" w:rsidRPr="00060D11">
        <w:rPr>
          <w:rFonts w:ascii="Calibri" w:eastAsia="Calibri" w:hAnsi="Calibri" w:cs="Calibri"/>
        </w:rPr>
        <w:t>non</w:t>
      </w:r>
      <w:r w:rsidR="00894A5B">
        <w:rPr>
          <w:rFonts w:ascii="Calibri" w:eastAsia="Calibri" w:hAnsi="Calibri" w:cs="Calibri"/>
        </w:rPr>
        <w:noBreakHyphen/>
      </w:r>
      <w:r w:rsidR="00017091" w:rsidRPr="00060D11">
        <w:rPr>
          <w:rFonts w:ascii="Calibri" w:eastAsia="Calibri" w:hAnsi="Calibri" w:cs="Calibri"/>
        </w:rPr>
        <w:t xml:space="preserve">target </w:t>
      </w:r>
      <w:r w:rsidR="002C25E3" w:rsidRPr="00060D11">
        <w:rPr>
          <w:rFonts w:ascii="Calibri" w:eastAsia="Calibri" w:hAnsi="Calibri" w:cs="Calibri"/>
        </w:rPr>
        <w:t xml:space="preserve">provinces and </w:t>
      </w:r>
      <w:r w:rsidR="004F62A5" w:rsidRPr="00060D11">
        <w:rPr>
          <w:rFonts w:ascii="Calibri" w:eastAsia="Calibri" w:hAnsi="Calibri" w:cs="Calibri"/>
        </w:rPr>
        <w:t>NDoE</w:t>
      </w:r>
      <w:r w:rsidR="00002BDA" w:rsidRPr="00060D11">
        <w:rPr>
          <w:rFonts w:ascii="Calibri" w:eastAsia="Calibri" w:hAnsi="Calibri" w:cs="Calibri"/>
        </w:rPr>
        <w:t xml:space="preserve"> to inform and influence relevant policies</w:t>
      </w:r>
      <w:r w:rsidR="000B2A53" w:rsidRPr="00060D11">
        <w:rPr>
          <w:rFonts w:ascii="Calibri" w:eastAsia="Calibri" w:hAnsi="Calibri" w:cs="Calibri"/>
        </w:rPr>
        <w:t xml:space="preserve"> </w:t>
      </w:r>
      <w:r w:rsidR="002C25E3" w:rsidRPr="00060D11">
        <w:rPr>
          <w:rFonts w:ascii="Calibri" w:eastAsia="Calibri" w:hAnsi="Calibri" w:cs="Calibri"/>
        </w:rPr>
        <w:t xml:space="preserve">and system reform </w:t>
      </w:r>
      <w:r w:rsidR="000B2A53" w:rsidRPr="00060D11">
        <w:rPr>
          <w:rFonts w:ascii="Calibri" w:eastAsia="Calibri" w:hAnsi="Calibri" w:cs="Calibri"/>
        </w:rPr>
        <w:t xml:space="preserve">that will improve </w:t>
      </w:r>
      <w:r w:rsidR="002C25E3" w:rsidRPr="00060D11">
        <w:rPr>
          <w:rFonts w:ascii="Calibri" w:eastAsia="Calibri" w:hAnsi="Calibri" w:cs="Calibri"/>
        </w:rPr>
        <w:t>teacher training and student learning.</w:t>
      </w:r>
    </w:p>
    <w:p w14:paraId="15DE66D5" w14:textId="77777777" w:rsidR="00832B17" w:rsidRPr="00060D11" w:rsidRDefault="00832B17" w:rsidP="004E780D">
      <w:pPr>
        <w:widowControl w:val="0"/>
        <w:spacing w:line="276" w:lineRule="auto"/>
        <w:rPr>
          <w:rFonts w:ascii="Calibri" w:eastAsia="Calibri" w:hAnsi="Calibri" w:cs="Calibri"/>
        </w:rPr>
      </w:pPr>
    </w:p>
    <w:p w14:paraId="5074B6CF" w14:textId="77777777" w:rsidR="001F26A6" w:rsidRPr="00060D11" w:rsidRDefault="001F26A6" w:rsidP="004E780D">
      <w:pPr>
        <w:widowControl w:val="0"/>
        <w:spacing w:line="276" w:lineRule="auto"/>
        <w:rPr>
          <w:rFonts w:ascii="Calibri" w:eastAsia="Calibri" w:hAnsi="Calibri" w:cs="Calibri"/>
        </w:rPr>
      </w:pPr>
      <w:r w:rsidRPr="00060D11">
        <w:rPr>
          <w:noProof/>
          <w:lang w:eastAsia="en-AU"/>
        </w:rPr>
        <mc:AlternateContent>
          <mc:Choice Requires="wps">
            <w:drawing>
              <wp:inline distT="0" distB="0" distL="0" distR="0" wp14:anchorId="17676B6A" wp14:editId="11C7BF0B">
                <wp:extent cx="5861050" cy="655200"/>
                <wp:effectExtent l="0" t="0" r="25400" b="12065"/>
                <wp:docPr id="23" name="Text Box 23"/>
                <wp:cNvGraphicFramePr/>
                <a:graphic xmlns:a="http://schemas.openxmlformats.org/drawingml/2006/main">
                  <a:graphicData uri="http://schemas.microsoft.com/office/word/2010/wordprocessingShape">
                    <wps:wsp>
                      <wps:cNvSpPr txBox="1"/>
                      <wps:spPr>
                        <a:xfrm>
                          <a:off x="0" y="0"/>
                          <a:ext cx="5861050" cy="655200"/>
                        </a:xfrm>
                        <a:prstGeom prst="roundRect">
                          <a:avLst/>
                        </a:prstGeom>
                        <a:gradFill flip="none" rotWithShape="1">
                          <a:gsLst>
                            <a:gs pos="0">
                              <a:srgbClr val="007C89">
                                <a:tint val="66000"/>
                                <a:satMod val="160000"/>
                              </a:srgbClr>
                            </a:gs>
                            <a:gs pos="50000">
                              <a:srgbClr val="007C89">
                                <a:tint val="44500"/>
                                <a:satMod val="160000"/>
                              </a:srgbClr>
                            </a:gs>
                            <a:gs pos="100000">
                              <a:srgbClr val="007C89">
                                <a:tint val="23500"/>
                                <a:satMod val="160000"/>
                              </a:srgbClr>
                            </a:gs>
                          </a:gsLst>
                          <a:lin ang="2700000" scaled="1"/>
                          <a:tileRect/>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A5C451" w14:textId="2C69EBE2" w:rsidR="00F96637" w:rsidRPr="00F106F4" w:rsidRDefault="00F96637" w:rsidP="001F26A6">
                            <w:pPr>
                              <w:rPr>
                                <w:rFonts w:cstheme="minorHAnsi"/>
                              </w:rPr>
                            </w:pPr>
                            <w:r>
                              <w:rPr>
                                <w:rFonts w:cstheme="minorHAnsi"/>
                                <w:b/>
                                <w:bCs/>
                              </w:rPr>
                              <w:t xml:space="preserve">Enabling Outcome 3:  </w:t>
                            </w:r>
                            <w:r>
                              <w:rPr>
                                <w:rFonts w:cstheme="minorHAnsi"/>
                              </w:rPr>
                              <w:t>Evidence of systemic change</w:t>
                            </w:r>
                            <w:r w:rsidRPr="00EE4C95">
                              <w:rPr>
                                <w:rFonts w:cstheme="minorHAnsi"/>
                              </w:rPr>
                              <w:t xml:space="preserve"> </w:t>
                            </w:r>
                            <w:r>
                              <w:rPr>
                                <w:rFonts w:cstheme="minorHAnsi"/>
                              </w:rPr>
                              <w:t>within the education</w:t>
                            </w:r>
                            <w:r w:rsidRPr="00EE4C95">
                              <w:rPr>
                                <w:rFonts w:cstheme="minorHAnsi"/>
                              </w:rPr>
                              <w:t xml:space="preserve"> </w:t>
                            </w:r>
                            <w:r>
                              <w:rPr>
                                <w:rFonts w:cstheme="minorHAnsi"/>
                              </w:rPr>
                              <w:t>sector</w:t>
                            </w:r>
                            <w:r w:rsidRPr="00EE4C95">
                              <w:rPr>
                                <w:rFonts w:cstheme="minorHAnsi"/>
                              </w:rPr>
                              <w:t xml:space="preserve"> t</w:t>
                            </w:r>
                            <w:r>
                              <w:rPr>
                                <w:rFonts w:cstheme="minorHAnsi"/>
                              </w:rPr>
                              <w:t>hat improves the</w:t>
                            </w:r>
                            <w:r w:rsidRPr="00EE4C95">
                              <w:rPr>
                                <w:rFonts w:cstheme="minorHAnsi"/>
                              </w:rPr>
                              <w:t xml:space="preserve"> deliver</w:t>
                            </w:r>
                            <w:r>
                              <w:rPr>
                                <w:rFonts w:cstheme="minorHAnsi"/>
                              </w:rPr>
                              <w:t>y</w:t>
                            </w:r>
                            <w:r w:rsidRPr="00EE4C95">
                              <w:rPr>
                                <w:rFonts w:cstheme="minorHAnsi"/>
                              </w:rPr>
                              <w:t xml:space="preserve"> </w:t>
                            </w:r>
                            <w:r>
                              <w:rPr>
                                <w:rFonts w:cstheme="minorHAnsi"/>
                              </w:rPr>
                              <w:t xml:space="preserve">of early grades </w:t>
                            </w:r>
                            <w:r w:rsidRPr="00EE4C95">
                              <w:rPr>
                                <w:rFonts w:cstheme="minorHAnsi"/>
                              </w:rPr>
                              <w:t>education</w:t>
                            </w:r>
                            <w:r w:rsidRPr="00600246" w:rsidDel="00670EC0">
                              <w:rPr>
                                <w:rFonts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17676B6A" id="Text Box 23" o:spid="_x0000_s1070" style="width:461.5pt;height:51.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" fillcolor="#94bdc6" strokeweight=".5pt">
                <v:fill color2="#e0eaec" rotate="t" angle="45" colors="0 #94bdc6;.5 #bfd5da;1 #e0eaec" focus="100%" type="gradient"/>
                <v:textbox>
                  <w:txbxContent>
                    <w:p w14:paraId="79A5C451" w14:textId="2C69EBE2" w:rsidR="00F96637" w:rsidRPr="00F106F4" w:rsidRDefault="00F96637" w:rsidP="001F26A6">
                      <w:pPr>
                        <w:rPr>
                          <w:rFonts w:cstheme="minorHAnsi"/>
                        </w:rPr>
                      </w:pPr>
                      <w:r>
                        <w:rPr>
                          <w:rFonts w:cstheme="minorHAnsi"/>
                          <w:b/>
                          <w:bCs/>
                        </w:rPr>
                        <w:t xml:space="preserve">Enabling Outcome 3:  </w:t>
                      </w:r>
                      <w:r>
                        <w:rPr>
                          <w:rFonts w:cstheme="minorHAnsi"/>
                        </w:rPr>
                        <w:t>Evidence of systemic change</w:t>
                      </w:r>
                      <w:r w:rsidRPr="00EE4C95">
                        <w:rPr>
                          <w:rFonts w:cstheme="minorHAnsi"/>
                        </w:rPr>
                        <w:t xml:space="preserve"> </w:t>
                      </w:r>
                      <w:r>
                        <w:rPr>
                          <w:rFonts w:cstheme="minorHAnsi"/>
                        </w:rPr>
                        <w:t>within the education</w:t>
                      </w:r>
                      <w:r w:rsidRPr="00EE4C95">
                        <w:rPr>
                          <w:rFonts w:cstheme="minorHAnsi"/>
                        </w:rPr>
                        <w:t xml:space="preserve"> </w:t>
                      </w:r>
                      <w:r>
                        <w:rPr>
                          <w:rFonts w:cstheme="minorHAnsi"/>
                        </w:rPr>
                        <w:t>sector</w:t>
                      </w:r>
                      <w:r w:rsidRPr="00EE4C95">
                        <w:rPr>
                          <w:rFonts w:cstheme="minorHAnsi"/>
                        </w:rPr>
                        <w:t xml:space="preserve"> t</w:t>
                      </w:r>
                      <w:r>
                        <w:rPr>
                          <w:rFonts w:cstheme="minorHAnsi"/>
                        </w:rPr>
                        <w:t>hat improves the</w:t>
                      </w:r>
                      <w:r w:rsidRPr="00EE4C95">
                        <w:rPr>
                          <w:rFonts w:cstheme="minorHAnsi"/>
                        </w:rPr>
                        <w:t xml:space="preserve"> deliver</w:t>
                      </w:r>
                      <w:r>
                        <w:rPr>
                          <w:rFonts w:cstheme="minorHAnsi"/>
                        </w:rPr>
                        <w:t>y</w:t>
                      </w:r>
                      <w:r w:rsidRPr="00EE4C95">
                        <w:rPr>
                          <w:rFonts w:cstheme="minorHAnsi"/>
                        </w:rPr>
                        <w:t xml:space="preserve"> </w:t>
                      </w:r>
                      <w:r>
                        <w:rPr>
                          <w:rFonts w:cstheme="minorHAnsi"/>
                        </w:rPr>
                        <w:t xml:space="preserve">of early grades </w:t>
                      </w:r>
                      <w:r w:rsidRPr="00EE4C95">
                        <w:rPr>
                          <w:rFonts w:cstheme="minorHAnsi"/>
                        </w:rPr>
                        <w:t>education</w:t>
                      </w:r>
                      <w:r w:rsidRPr="00600246" w:rsidDel="00670EC0">
                        <w:rPr>
                          <w:rFonts w:cstheme="minorHAnsi"/>
                        </w:rPr>
                        <w:t xml:space="preserve"> </w:t>
                      </w:r>
                    </w:p>
                  </w:txbxContent>
                </v:textbox>
                <w10:anchorlock/>
              </v:roundrect>
            </w:pict>
          </mc:Fallback>
        </mc:AlternateContent>
      </w:r>
    </w:p>
    <w:p w14:paraId="40B0C225" w14:textId="77777777" w:rsidR="001F26A6" w:rsidRPr="00060D11" w:rsidRDefault="001F26A6" w:rsidP="004E780D">
      <w:pPr>
        <w:spacing w:line="276" w:lineRule="auto"/>
      </w:pPr>
    </w:p>
    <w:p w14:paraId="7AEF685B" w14:textId="77777777" w:rsidR="00CA378D" w:rsidRPr="00060D11" w:rsidRDefault="001F26A6" w:rsidP="00D52EF6">
      <w:pPr>
        <w:spacing w:line="276" w:lineRule="auto"/>
      </w:pPr>
      <w:r w:rsidRPr="00060D11">
        <w:t xml:space="preserve">High performing systems tend to focus on a small number of ambitious goals, to develop capacity to </w:t>
      </w:r>
    </w:p>
    <w:p w14:paraId="5814DD2E" w14:textId="731154CE" w:rsidR="001F26A6" w:rsidRPr="00060D11" w:rsidRDefault="001F26A6" w:rsidP="004E780D">
      <w:pPr>
        <w:spacing w:after="120" w:line="276" w:lineRule="auto"/>
      </w:pPr>
      <w:r w:rsidRPr="00060D11">
        <w:t xml:space="preserve">implement those goals and to encourage reflection and learning in order to expand the willingness and capability of the system to address a broader range of challenges. </w:t>
      </w:r>
    </w:p>
    <w:p w14:paraId="33762273" w14:textId="1E13CA7F" w:rsidR="001F26A6" w:rsidRPr="00060D11" w:rsidRDefault="001F26A6" w:rsidP="004E780D">
      <w:pPr>
        <w:spacing w:after="120" w:line="276" w:lineRule="auto"/>
      </w:pPr>
      <w:r w:rsidRPr="00060D11">
        <w:t xml:space="preserve">While Targeted Outcomes 1 and 2 focus on specific crises currently challenging the education system, </w:t>
      </w:r>
      <w:r w:rsidR="00227767" w:rsidRPr="00060D11">
        <w:t xml:space="preserve">Enabling </w:t>
      </w:r>
      <w:r w:rsidRPr="00060D11">
        <w:t>Outcome 3 focuses on the importance of supporting education service providers to use the experience of addressing these crises to improve the overall ‘health’ of the education system.</w:t>
      </w:r>
    </w:p>
    <w:p w14:paraId="56146F77" w14:textId="77777777" w:rsidR="001F26A6" w:rsidRPr="00060D11" w:rsidRDefault="001F26A6" w:rsidP="004E780D">
      <w:pPr>
        <w:spacing w:after="120" w:line="276" w:lineRule="auto"/>
      </w:pPr>
      <w:r w:rsidRPr="00060D11">
        <w:t>The NEP is a results-focused plan. However, provincial consultations carried out during the preparation of this design demonstrate quite clearly that the improved planning at the national level is not being converted into improved effectiveness in education service delivery. There is limited capacity at the provincial level to carry out the functions related to education as assigned by the national government.</w:t>
      </w:r>
      <w:r w:rsidRPr="00060D11">
        <w:rPr>
          <w:rStyle w:val="FootnoteReference"/>
        </w:rPr>
        <w:footnoteReference w:id="72"/>
      </w:r>
      <w:r w:rsidRPr="00060D11">
        <w:t xml:space="preserve"> </w:t>
      </w:r>
    </w:p>
    <w:p w14:paraId="69051254" w14:textId="58ADC431" w:rsidR="001F26A6" w:rsidRPr="00060D11" w:rsidRDefault="001F26A6" w:rsidP="004E780D">
      <w:pPr>
        <w:spacing w:after="120" w:line="276" w:lineRule="auto"/>
      </w:pPr>
      <w:r w:rsidRPr="00060D11">
        <w:t xml:space="preserve">Without deliberate problem analysis and targeted capacity development of </w:t>
      </w:r>
      <w:r w:rsidR="002137DE" w:rsidRPr="00060D11">
        <w:t xml:space="preserve">local </w:t>
      </w:r>
      <w:r w:rsidRPr="00060D11">
        <w:t>leaders, staff, systems and procedures, as well as the development of effective monitoring of performance and feedback loops to decision-makers, the aspirations of the NEP will be difficult to achieve.</w:t>
      </w:r>
    </w:p>
    <w:p w14:paraId="2237D3B7" w14:textId="3A8B7ABE" w:rsidR="00CA378D" w:rsidRPr="00060D11" w:rsidRDefault="001F26A6" w:rsidP="004E780D">
      <w:pPr>
        <w:spacing w:line="276" w:lineRule="auto"/>
      </w:pPr>
      <w:r w:rsidRPr="00060D11">
        <w:t>Enabling Outcome 3 articulates the intent to support system owners (national and provincial) to identify and diagnose system weaknesses and to improve their capacity to address issues and deliver education services.</w:t>
      </w:r>
      <w:r w:rsidR="00A555D2" w:rsidRPr="00060D11">
        <w:t xml:space="preserve"> </w:t>
      </w:r>
    </w:p>
    <w:p w14:paraId="13F09DD2" w14:textId="77777777" w:rsidR="00CA378D" w:rsidRPr="00060D11" w:rsidRDefault="00CA378D" w:rsidP="00D52EF6">
      <w:pPr>
        <w:spacing w:line="276" w:lineRule="auto"/>
      </w:pPr>
    </w:p>
    <w:p w14:paraId="6F925802" w14:textId="2A57C61D" w:rsidR="00CA378D" w:rsidRPr="00060D11" w:rsidRDefault="001F26A6" w:rsidP="004E780D">
      <w:pPr>
        <w:widowControl w:val="0"/>
        <w:spacing w:line="276" w:lineRule="auto"/>
        <w:ind w:left="454" w:hanging="454"/>
      </w:pPr>
      <w:r w:rsidRPr="00060D11">
        <w:t>Three I</w:t>
      </w:r>
      <w:r w:rsidR="00CA378D" w:rsidRPr="00060D11">
        <w:t>O</w:t>
      </w:r>
      <w:r w:rsidRPr="00060D11">
        <w:t xml:space="preserve">s contribute to the achievement </w:t>
      </w:r>
      <w:r w:rsidR="00677E92" w:rsidRPr="00060D11">
        <w:t xml:space="preserve">of </w:t>
      </w:r>
      <w:r w:rsidR="00227767" w:rsidRPr="00060D11">
        <w:t>Enabling</w:t>
      </w:r>
      <w:r w:rsidR="00CA378D" w:rsidRPr="00060D11">
        <w:t xml:space="preserve"> </w:t>
      </w:r>
      <w:r w:rsidRPr="00060D11">
        <w:t>Outcome 3</w:t>
      </w:r>
      <w:r w:rsidR="009E30A3" w:rsidRPr="00060D11">
        <w:t>, as follows:</w:t>
      </w:r>
    </w:p>
    <w:p w14:paraId="6BD3E115" w14:textId="77777777" w:rsidR="00CA378D" w:rsidRPr="00060D11" w:rsidRDefault="00CA378D" w:rsidP="004E780D">
      <w:pPr>
        <w:widowControl w:val="0"/>
        <w:spacing w:after="120" w:line="276" w:lineRule="auto"/>
        <w:ind w:left="454" w:hanging="454"/>
        <w:rPr>
          <w:i/>
          <w:iCs/>
        </w:rPr>
      </w:pPr>
      <w:bookmarkStart w:id="53" w:name="_Hlk67909183"/>
    </w:p>
    <w:p w14:paraId="256A51F5" w14:textId="421DF621" w:rsidR="001F26A6" w:rsidRPr="00060D11" w:rsidRDefault="009E30A3" w:rsidP="00A15506">
      <w:pPr>
        <w:pStyle w:val="ListParagraph"/>
        <w:numPr>
          <w:ilvl w:val="1"/>
          <w:numId w:val="52"/>
        </w:numPr>
        <w:spacing w:line="276" w:lineRule="auto"/>
        <w:rPr>
          <w:rFonts w:ascii="Calibri" w:eastAsia="Calibri" w:hAnsi="Calibri" w:cs="Calibri"/>
          <w:i/>
          <w:iCs/>
          <w:sz w:val="22"/>
        </w:rPr>
      </w:pPr>
      <w:r w:rsidRPr="00060D11">
        <w:rPr>
          <w:rFonts w:ascii="Calibri" w:eastAsia="Calibri" w:hAnsi="Calibri" w:cs="Calibri"/>
          <w:i/>
          <w:iCs/>
          <w:sz w:val="22"/>
        </w:rPr>
        <w:t xml:space="preserve">In priority areas of early grade education reform key actors </w:t>
      </w:r>
      <w:r w:rsidR="00D9476B" w:rsidRPr="00060D11">
        <w:rPr>
          <w:rFonts w:ascii="Calibri" w:eastAsia="Calibri" w:hAnsi="Calibri" w:cs="Calibri"/>
          <w:i/>
          <w:iCs/>
          <w:sz w:val="22"/>
        </w:rPr>
        <w:t xml:space="preserve">in </w:t>
      </w:r>
      <w:r w:rsidR="004F62A5" w:rsidRPr="00060D11">
        <w:rPr>
          <w:rFonts w:ascii="Calibri" w:eastAsia="Calibri" w:hAnsi="Calibri" w:cs="Calibri"/>
          <w:i/>
          <w:iCs/>
          <w:sz w:val="22"/>
        </w:rPr>
        <w:t>NDoE</w:t>
      </w:r>
      <w:r w:rsidR="00D9476B" w:rsidRPr="00060D11">
        <w:rPr>
          <w:rFonts w:ascii="Calibri" w:eastAsia="Calibri" w:hAnsi="Calibri" w:cs="Calibri"/>
          <w:i/>
          <w:iCs/>
          <w:sz w:val="22"/>
        </w:rPr>
        <w:t xml:space="preserve">, </w:t>
      </w:r>
      <w:r w:rsidR="004F62A5" w:rsidRPr="00060D11">
        <w:rPr>
          <w:rFonts w:ascii="Calibri" w:eastAsia="Calibri" w:hAnsi="Calibri" w:cs="Calibri"/>
          <w:i/>
          <w:iCs/>
          <w:sz w:val="22"/>
        </w:rPr>
        <w:t>PDoE</w:t>
      </w:r>
      <w:r w:rsidR="00D9476B" w:rsidRPr="00060D11">
        <w:rPr>
          <w:rFonts w:ascii="Calibri" w:eastAsia="Calibri" w:hAnsi="Calibri" w:cs="Calibri"/>
          <w:i/>
          <w:iCs/>
          <w:sz w:val="22"/>
        </w:rPr>
        <w:t>, DHERST and other relevant departments have capability to coordinate with stakeholders, diagnose and address system weaknesses.</w:t>
      </w:r>
    </w:p>
    <w:p w14:paraId="0BF9A412" w14:textId="77777777" w:rsidR="00CA378D" w:rsidRPr="00060D11" w:rsidRDefault="00CA378D" w:rsidP="004E780D">
      <w:pPr>
        <w:pStyle w:val="ListParagraph"/>
        <w:spacing w:line="276" w:lineRule="auto"/>
        <w:rPr>
          <w:i/>
          <w:iCs/>
        </w:rPr>
      </w:pPr>
    </w:p>
    <w:bookmarkEnd w:id="53"/>
    <w:p w14:paraId="7AD6E377" w14:textId="7F09719C" w:rsidR="001F26A6" w:rsidRPr="00060D11" w:rsidRDefault="001F26A6" w:rsidP="004E780D">
      <w:pPr>
        <w:spacing w:after="120" w:line="276" w:lineRule="auto"/>
      </w:pPr>
      <w:r w:rsidRPr="00060D11">
        <w:rPr>
          <w:rFonts w:ascii="Calibri" w:eastAsia="Calibri" w:hAnsi="Calibri" w:cs="Calibri"/>
          <w:b/>
          <w:bCs/>
        </w:rPr>
        <w:t xml:space="preserve">During the Inception Phase, the </w:t>
      </w:r>
      <w:r w:rsidR="005662DB" w:rsidRPr="00060D11">
        <w:rPr>
          <w:rFonts w:ascii="Calibri" w:eastAsia="Calibri" w:hAnsi="Calibri" w:cs="Calibri"/>
          <w:b/>
          <w:bCs/>
        </w:rPr>
        <w:t>managing contractor</w:t>
      </w:r>
      <w:r w:rsidRPr="00060D11">
        <w:rPr>
          <w:rFonts w:ascii="Calibri" w:eastAsia="Calibri" w:hAnsi="Calibri" w:cs="Calibri"/>
          <w:b/>
          <w:bCs/>
        </w:rPr>
        <w:t xml:space="preserve"> will support a participatory problem analysis</w:t>
      </w:r>
      <w:r w:rsidRPr="00060D11">
        <w:rPr>
          <w:rStyle w:val="FootnoteReference"/>
          <w:rFonts w:ascii="Calibri" w:eastAsia="Calibri" w:hAnsi="Calibri" w:cs="Calibri"/>
          <w:b/>
          <w:bCs/>
        </w:rPr>
        <w:footnoteReference w:id="73"/>
      </w:r>
      <w:r w:rsidRPr="00060D11">
        <w:rPr>
          <w:rFonts w:ascii="Calibri" w:eastAsia="Calibri" w:hAnsi="Calibri" w:cs="Calibri"/>
          <w:b/>
          <w:bCs/>
        </w:rPr>
        <w:t xml:space="preserve"> process </w:t>
      </w:r>
      <w:r w:rsidRPr="00060D11">
        <w:rPr>
          <w:rFonts w:ascii="Calibri" w:eastAsia="Calibri" w:hAnsi="Calibri" w:cs="Calibri"/>
        </w:rPr>
        <w:t xml:space="preserve">(ideally led by partners) within selected sections of </w:t>
      </w:r>
      <w:r w:rsidR="004F62A5" w:rsidRPr="00060D11">
        <w:rPr>
          <w:rFonts w:ascii="Calibri" w:eastAsia="Calibri" w:hAnsi="Calibri" w:cs="Calibri"/>
        </w:rPr>
        <w:t>NDoE</w:t>
      </w:r>
      <w:r w:rsidRPr="00060D11">
        <w:rPr>
          <w:rFonts w:ascii="Calibri" w:eastAsia="Calibri" w:hAnsi="Calibri" w:cs="Calibri"/>
        </w:rPr>
        <w:t xml:space="preserve"> and within the four target provinces</w:t>
      </w:r>
      <w:r w:rsidRPr="00060D11">
        <w:rPr>
          <w:rFonts w:ascii="Calibri" w:eastAsia="Calibri" w:hAnsi="Calibri" w:cs="Calibri"/>
          <w:b/>
          <w:bCs/>
        </w:rPr>
        <w:t xml:space="preserve">. </w:t>
      </w:r>
      <w:r w:rsidRPr="00060D11">
        <w:rPr>
          <w:rFonts w:ascii="Calibri" w:eastAsia="Calibri" w:hAnsi="Calibri" w:cs="Calibri"/>
        </w:rPr>
        <w:t>The aim would be</w:t>
      </w:r>
      <w:r w:rsidRPr="00060D11">
        <w:t xml:space="preserve"> to support the system owners (</w:t>
      </w:r>
      <w:r w:rsidR="004F62A5" w:rsidRPr="00060D11">
        <w:t>NDoE</w:t>
      </w:r>
      <w:r w:rsidRPr="00060D11">
        <w:t xml:space="preserve">, provincial, district and local governments, as well as church service providers) to identify the problems and causal factors, breaking down the problem into a manageable set of focal areas for engagement, including (but not limited to) capacity impediments within the system which may inhibit the achievement of reforms. Jointly deconstructing issues builds trust and a shared understanding of why certain issues are important. An indicative list of </w:t>
      </w:r>
      <w:r w:rsidR="003B2CFC" w:rsidRPr="00060D11">
        <w:t>system weaknesses</w:t>
      </w:r>
      <w:r w:rsidRPr="00060D11">
        <w:t xml:space="preserve"> </w:t>
      </w:r>
      <w:r w:rsidR="00E83E53" w:rsidRPr="00060D11">
        <w:t>was</w:t>
      </w:r>
      <w:r w:rsidRPr="00060D11">
        <w:t xml:space="preserve"> listed in</w:t>
      </w:r>
      <w:r w:rsidR="003B2CFC" w:rsidRPr="00060D11">
        <w:t xml:space="preserve"> Section D1 (p.</w:t>
      </w:r>
      <w:r w:rsidR="00585C21" w:rsidRPr="00060D11">
        <w:t>30)</w:t>
      </w:r>
      <w:r w:rsidRPr="00060D11">
        <w:t xml:space="preserve">. To refine this list </w:t>
      </w:r>
      <w:r w:rsidR="00E33A71" w:rsidRPr="00060D11">
        <w:t xml:space="preserve">(or identify new issues) </w:t>
      </w:r>
      <w:r w:rsidRPr="00060D11">
        <w:t xml:space="preserve">and find a starting point for PIE’s support, a process of prioritisation needs to take place that focuses on those specific issues where it is both technically and politically possible for results to be achieved. </w:t>
      </w:r>
      <w:r w:rsidR="002137DE" w:rsidRPr="00060D11">
        <w:t xml:space="preserve">Indicative areas include support for planning and budgeting to maximise the reach of limited domestic resources available to the </w:t>
      </w:r>
      <w:r w:rsidR="001873D5" w:rsidRPr="00060D11">
        <w:t>sector, a</w:t>
      </w:r>
      <w:r w:rsidR="00DC2F0D" w:rsidRPr="00060D11">
        <w:t xml:space="preserve"> student assessment system to inform policy and planning </w:t>
      </w:r>
      <w:r w:rsidR="002137DE" w:rsidRPr="00060D11">
        <w:t>and</w:t>
      </w:r>
      <w:r w:rsidR="006A67FA" w:rsidRPr="00060D11">
        <w:t xml:space="preserve"> </w:t>
      </w:r>
      <w:r w:rsidR="002137DE" w:rsidRPr="00060D11">
        <w:t xml:space="preserve">systems strengthening for continuous professional development of teachers in the early grades. </w:t>
      </w:r>
      <w:r w:rsidRPr="00060D11">
        <w:t xml:space="preserve">In deciding what solutions will be used to resolve the issues, PIE technical support should ensure consideration is given to existing local practices or ideas, technical ‘good practices’ that have worked well in similar contexts and a variety of approaches that attack the problem from several directions. This will ensure any approaches that have already </w:t>
      </w:r>
      <w:r w:rsidR="00677E92" w:rsidRPr="00060D11">
        <w:t xml:space="preserve">been </w:t>
      </w:r>
      <w:r w:rsidRPr="00060D11">
        <w:t>demonstrated to be political possible in the PNG political or cultural context and</w:t>
      </w:r>
      <w:r w:rsidR="00677E92" w:rsidRPr="00060D11">
        <w:t>/</w:t>
      </w:r>
      <w:r w:rsidRPr="00060D11">
        <w:t>or other low resource environments are not overlooked.</w:t>
      </w:r>
    </w:p>
    <w:p w14:paraId="20E146AA" w14:textId="77777777" w:rsidR="001F26A6" w:rsidRPr="00060D11" w:rsidRDefault="001F26A6" w:rsidP="004E780D">
      <w:pPr>
        <w:spacing w:after="120" w:line="276" w:lineRule="auto"/>
      </w:pPr>
      <w:r w:rsidRPr="00060D11">
        <w:t xml:space="preserve">These participatory processes will inform the development of Activity Support Plans for agreed priorities which will, in turn, provide the framework </w:t>
      </w:r>
      <w:r w:rsidRPr="00060D11">
        <w:rPr>
          <w:rFonts w:ascii="Calibri" w:eastAsia="Calibri" w:hAnsi="Calibri" w:cs="Calibri"/>
        </w:rPr>
        <w:t xml:space="preserve">for the provision of any inputs from the PIE investment (i.e., long-term and short-term technical assistance, coaching, training). The baseline and targets of these Activity Support Plans will also form the basis for monitoring the quality and contribution of PIE inputs. </w:t>
      </w:r>
    </w:p>
    <w:p w14:paraId="7D60BA1A" w14:textId="3437C367" w:rsidR="001F26A6" w:rsidRPr="00060D11" w:rsidRDefault="001F26A6" w:rsidP="00396EA3">
      <w:pPr>
        <w:pStyle w:val="ListParagraph"/>
        <w:spacing w:line="276" w:lineRule="auto"/>
        <w:ind w:left="0"/>
        <w:rPr>
          <w:rFonts w:ascii="Calibri" w:eastAsia="Calibri" w:hAnsi="Calibri" w:cs="Calibri"/>
          <w:sz w:val="22"/>
        </w:rPr>
      </w:pPr>
      <w:r w:rsidRPr="00060D11">
        <w:rPr>
          <w:rFonts w:ascii="Calibri" w:eastAsia="Calibri" w:hAnsi="Calibri" w:cs="Calibri"/>
          <w:b/>
          <w:bCs/>
          <w:sz w:val="22"/>
        </w:rPr>
        <w:t xml:space="preserve">By Phase 1 Implementation Activity Support Plans will have been completed for the four provinces </w:t>
      </w:r>
      <w:r w:rsidR="007749D0" w:rsidRPr="00060D11">
        <w:rPr>
          <w:rFonts w:ascii="Calibri" w:eastAsia="Calibri" w:hAnsi="Calibri" w:cs="Calibri"/>
          <w:b/>
          <w:bCs/>
          <w:sz w:val="22"/>
        </w:rPr>
        <w:t xml:space="preserve">for agreed priority areas </w:t>
      </w:r>
      <w:r w:rsidRPr="00060D11">
        <w:rPr>
          <w:rFonts w:ascii="Calibri" w:eastAsia="Calibri" w:hAnsi="Calibri" w:cs="Calibri"/>
          <w:sz w:val="22"/>
        </w:rPr>
        <w:t xml:space="preserve">and PIE support can commence in accordance with the requirements of those plans. </w:t>
      </w:r>
    </w:p>
    <w:p w14:paraId="010C360B" w14:textId="77777777" w:rsidR="00677E92" w:rsidRPr="00060D11" w:rsidRDefault="00677E92" w:rsidP="004E780D">
      <w:pPr>
        <w:pStyle w:val="ListParagraph"/>
        <w:spacing w:line="276" w:lineRule="auto"/>
        <w:rPr>
          <w:rFonts w:ascii="Calibri" w:eastAsia="Calibri" w:hAnsi="Calibri" w:cs="Calibri"/>
          <w:i/>
          <w:iCs/>
          <w:sz w:val="22"/>
        </w:rPr>
      </w:pPr>
    </w:p>
    <w:p w14:paraId="6F847985" w14:textId="020AB2BE" w:rsidR="00C04BC8" w:rsidRPr="00060D11" w:rsidRDefault="007749D0" w:rsidP="00A15506">
      <w:pPr>
        <w:pStyle w:val="ListParagraph"/>
        <w:numPr>
          <w:ilvl w:val="1"/>
          <w:numId w:val="52"/>
        </w:numPr>
        <w:spacing w:line="276" w:lineRule="auto"/>
        <w:rPr>
          <w:rFonts w:ascii="Calibri" w:eastAsia="Calibri" w:hAnsi="Calibri" w:cs="Calibri"/>
          <w:i/>
          <w:iCs/>
        </w:rPr>
      </w:pPr>
      <w:r w:rsidRPr="00060D11">
        <w:rPr>
          <w:rFonts w:ascii="Calibri" w:eastAsia="Calibri" w:hAnsi="Calibri" w:cs="Calibri"/>
          <w:i/>
          <w:iCs/>
          <w:sz w:val="22"/>
        </w:rPr>
        <w:t xml:space="preserve">In priority areas of early grade education reform key actors </w:t>
      </w:r>
      <w:r w:rsidR="00354155" w:rsidRPr="00060D11">
        <w:rPr>
          <w:rFonts w:ascii="Calibri" w:eastAsia="Calibri" w:hAnsi="Calibri" w:cs="Calibri"/>
          <w:i/>
          <w:iCs/>
          <w:sz w:val="22"/>
        </w:rPr>
        <w:t xml:space="preserve">in </w:t>
      </w:r>
      <w:r w:rsidR="004F62A5" w:rsidRPr="00060D11">
        <w:rPr>
          <w:rFonts w:ascii="Calibri" w:eastAsia="Calibri" w:hAnsi="Calibri" w:cs="Calibri"/>
          <w:i/>
          <w:iCs/>
          <w:sz w:val="22"/>
        </w:rPr>
        <w:t>PDoE</w:t>
      </w:r>
      <w:r w:rsidR="00354155" w:rsidRPr="00060D11">
        <w:rPr>
          <w:rFonts w:ascii="Calibri" w:eastAsia="Calibri" w:hAnsi="Calibri" w:cs="Calibri"/>
          <w:i/>
          <w:iCs/>
          <w:sz w:val="22"/>
        </w:rPr>
        <w:t xml:space="preserve"> improve collection, collation, validation, and analysis of data in targeted provinces, districts and schools</w:t>
      </w:r>
      <w:r w:rsidR="001F5ADA" w:rsidRPr="00060D11">
        <w:rPr>
          <w:rFonts w:ascii="Calibri" w:eastAsia="Calibri" w:hAnsi="Calibri" w:cs="Calibri"/>
          <w:i/>
          <w:iCs/>
          <w:sz w:val="22"/>
        </w:rPr>
        <w:t>.</w:t>
      </w:r>
    </w:p>
    <w:p w14:paraId="7BA44BB6" w14:textId="77777777" w:rsidR="00677E92" w:rsidRPr="00060D11" w:rsidRDefault="00677E92" w:rsidP="004E780D">
      <w:pPr>
        <w:spacing w:line="276" w:lineRule="auto"/>
      </w:pPr>
    </w:p>
    <w:p w14:paraId="53A1F70E" w14:textId="7505D409" w:rsidR="001F26A6" w:rsidRPr="00060D11" w:rsidRDefault="001F26A6" w:rsidP="004E780D">
      <w:pPr>
        <w:spacing w:after="120" w:line="276" w:lineRule="auto"/>
        <w:rPr>
          <w:caps/>
        </w:rPr>
      </w:pPr>
      <w:r w:rsidRPr="00060D11">
        <w:t>One of the main mechanisms underpinning systemic reform is support for educators to generate, analyse, exchange and discuss data as the basis for evidence-based decision making. Both the MERL Plan (Appendix E) and the budget allocated to its implementation (approximately 10 percent of the activity operations; 5 percent of the total budget) reflect a strong emphasis on the centrality of performance monitoring, as well as upon the development of stakeholder approved mechanisms for learning from experience and sharing evidence to influence decision-making on policy, programming (national level) and adoption / adaptation (provincial level).</w:t>
      </w:r>
    </w:p>
    <w:p w14:paraId="078FB57F" w14:textId="05225AC7" w:rsidR="001F26A6" w:rsidRPr="00060D11" w:rsidRDefault="001F26A6" w:rsidP="004E780D">
      <w:pPr>
        <w:pStyle w:val="ListParagraph"/>
        <w:spacing w:after="120" w:line="276" w:lineRule="auto"/>
        <w:ind w:left="0"/>
        <w:rPr>
          <w:sz w:val="22"/>
        </w:rPr>
      </w:pPr>
      <w:r w:rsidRPr="00060D11">
        <w:rPr>
          <w:rFonts w:ascii="Calibri" w:eastAsia="Calibri" w:hAnsi="Calibri" w:cs="Calibri"/>
          <w:b/>
          <w:bCs/>
          <w:sz w:val="22"/>
        </w:rPr>
        <w:t xml:space="preserve">It is proposed that the investment will support the achievement of this IO starting in the Inception Phase. </w:t>
      </w:r>
      <w:r w:rsidRPr="00060D11">
        <w:rPr>
          <w:sz w:val="22"/>
        </w:rPr>
        <w:t xml:space="preserve">The </w:t>
      </w:r>
      <w:r w:rsidR="005662DB" w:rsidRPr="00060D11">
        <w:rPr>
          <w:sz w:val="22"/>
        </w:rPr>
        <w:t>managing contractor</w:t>
      </w:r>
      <w:r w:rsidRPr="00060D11">
        <w:rPr>
          <w:sz w:val="22"/>
        </w:rPr>
        <w:t xml:space="preserve"> will work with sub-national stakeholders to carry out a situational analysis:</w:t>
      </w:r>
    </w:p>
    <w:p w14:paraId="2F3281B5" w14:textId="340F396F" w:rsidR="001F26A6" w:rsidRPr="00060D11" w:rsidRDefault="001F26A6" w:rsidP="00396EA3">
      <w:pPr>
        <w:pStyle w:val="ListParagraph"/>
        <w:numPr>
          <w:ilvl w:val="0"/>
          <w:numId w:val="12"/>
        </w:numPr>
        <w:spacing w:after="160" w:line="276" w:lineRule="auto"/>
        <w:ind w:left="720"/>
        <w:rPr>
          <w:sz w:val="22"/>
        </w:rPr>
      </w:pPr>
      <w:r w:rsidRPr="00060D11">
        <w:rPr>
          <w:sz w:val="22"/>
        </w:rPr>
        <w:t>review and analyse the type and extent of data being collected for relevance to decision-making at the provincial and national levels</w:t>
      </w:r>
      <w:r w:rsidR="001F5ADA" w:rsidRPr="00060D11">
        <w:rPr>
          <w:sz w:val="22"/>
        </w:rPr>
        <w:t>;</w:t>
      </w:r>
      <w:r w:rsidR="003961B2" w:rsidRPr="00060D11">
        <w:rPr>
          <w:sz w:val="22"/>
        </w:rPr>
        <w:t xml:space="preserve"> and</w:t>
      </w:r>
    </w:p>
    <w:p w14:paraId="435AE6B8" w14:textId="165E87FC" w:rsidR="001F5ADA" w:rsidRPr="00060D11" w:rsidRDefault="001F26A6" w:rsidP="004E780D">
      <w:pPr>
        <w:pStyle w:val="ListParagraph"/>
        <w:numPr>
          <w:ilvl w:val="0"/>
          <w:numId w:val="12"/>
        </w:numPr>
        <w:spacing w:after="120" w:line="276" w:lineRule="auto"/>
        <w:ind w:left="720"/>
        <w:contextualSpacing w:val="0"/>
        <w:rPr>
          <w:rFonts w:ascii="Calibri" w:eastAsia="Calibri" w:hAnsi="Calibri" w:cs="Calibri"/>
          <w:b/>
          <w:bCs/>
          <w:sz w:val="22"/>
        </w:rPr>
      </w:pPr>
      <w:r w:rsidRPr="00060D11">
        <w:rPr>
          <w:sz w:val="22"/>
        </w:rPr>
        <w:t>document and critically review the processes for data collection, collation, validation and analysis at sub-national levels drawing on any existing reviews.</w:t>
      </w:r>
    </w:p>
    <w:p w14:paraId="7F4F6DB4" w14:textId="566BB3B7" w:rsidR="001F26A6" w:rsidRPr="00060D11" w:rsidRDefault="001F26A6" w:rsidP="004E780D">
      <w:pPr>
        <w:pStyle w:val="ListParagraph"/>
        <w:spacing w:after="120" w:line="276" w:lineRule="auto"/>
        <w:ind w:left="0"/>
        <w:contextualSpacing w:val="0"/>
        <w:rPr>
          <w:rFonts w:ascii="Calibri" w:eastAsia="Calibri" w:hAnsi="Calibri" w:cs="Calibri"/>
          <w:sz w:val="22"/>
        </w:rPr>
      </w:pPr>
      <w:r w:rsidRPr="00060D11">
        <w:rPr>
          <w:rFonts w:ascii="Calibri" w:eastAsia="Calibri" w:hAnsi="Calibri" w:cs="Calibri"/>
          <w:b/>
          <w:bCs/>
          <w:sz w:val="22"/>
        </w:rPr>
        <w:t xml:space="preserve">At Phase 1 Implementation </w:t>
      </w:r>
      <w:r w:rsidRPr="00060D11">
        <w:rPr>
          <w:rFonts w:ascii="Calibri" w:eastAsia="Calibri" w:hAnsi="Calibri" w:cs="Calibri"/>
          <w:sz w:val="22"/>
        </w:rPr>
        <w:t xml:space="preserve">the </w:t>
      </w:r>
      <w:r w:rsidR="005662DB" w:rsidRPr="00060D11">
        <w:rPr>
          <w:rFonts w:ascii="Calibri" w:eastAsia="Calibri" w:hAnsi="Calibri" w:cs="Calibri"/>
          <w:sz w:val="22"/>
        </w:rPr>
        <w:t>managing contractor</w:t>
      </w:r>
      <w:r w:rsidRPr="00060D11">
        <w:rPr>
          <w:rFonts w:ascii="Calibri" w:eastAsia="Calibri" w:hAnsi="Calibri" w:cs="Calibri"/>
          <w:sz w:val="22"/>
        </w:rPr>
        <w:t xml:space="preserve"> would support GoPNG officials with a problem analysis process focused on the MERL system at the national and sub-national levels to be carried out. Using similar participatory processes as outlined in 3.1, a</w:t>
      </w:r>
      <w:r w:rsidR="002B7832" w:rsidRPr="00060D11">
        <w:rPr>
          <w:rFonts w:ascii="Calibri" w:eastAsia="Calibri" w:hAnsi="Calibri" w:cs="Calibri"/>
          <w:sz w:val="22"/>
        </w:rPr>
        <w:t>n Activity S</w:t>
      </w:r>
      <w:r w:rsidRPr="00060D11">
        <w:rPr>
          <w:rFonts w:ascii="Calibri" w:eastAsia="Calibri" w:hAnsi="Calibri" w:cs="Calibri"/>
          <w:sz w:val="22"/>
        </w:rPr>
        <w:t xml:space="preserve">upport </w:t>
      </w:r>
      <w:r w:rsidR="002B7832" w:rsidRPr="00060D11">
        <w:rPr>
          <w:rFonts w:ascii="Calibri" w:eastAsia="Calibri" w:hAnsi="Calibri" w:cs="Calibri"/>
          <w:sz w:val="22"/>
        </w:rPr>
        <w:t>P</w:t>
      </w:r>
      <w:r w:rsidRPr="00060D11">
        <w:rPr>
          <w:rFonts w:ascii="Calibri" w:eastAsia="Calibri" w:hAnsi="Calibri" w:cs="Calibri"/>
          <w:sz w:val="22"/>
        </w:rPr>
        <w:t xml:space="preserve">lan for interventions in priority areas would be drafted. This </w:t>
      </w:r>
      <w:r w:rsidRPr="00060D11">
        <w:rPr>
          <w:sz w:val="22"/>
        </w:rPr>
        <w:t xml:space="preserve">Plan will, in turn, provide the framework </w:t>
      </w:r>
      <w:r w:rsidRPr="00060D11">
        <w:rPr>
          <w:rFonts w:ascii="Calibri" w:eastAsia="Calibri" w:hAnsi="Calibri" w:cs="Calibri"/>
          <w:sz w:val="22"/>
        </w:rPr>
        <w:t>for the provision of any inputs from the PIE investment (i.e., long-term and short-term technical assistance, coaching, training).</w:t>
      </w:r>
    </w:p>
    <w:p w14:paraId="401E018C" w14:textId="77777777" w:rsidR="001F5ADA" w:rsidRPr="00060D11" w:rsidRDefault="001F5ADA" w:rsidP="00396EA3">
      <w:pPr>
        <w:pStyle w:val="ListParagraph"/>
        <w:spacing w:line="276" w:lineRule="auto"/>
        <w:rPr>
          <w:rFonts w:ascii="Calibri" w:eastAsia="Calibri" w:hAnsi="Calibri" w:cs="Calibri"/>
          <w:i/>
          <w:iCs/>
        </w:rPr>
      </w:pPr>
    </w:p>
    <w:p w14:paraId="2530A075" w14:textId="70D32DCD" w:rsidR="001F26A6" w:rsidRPr="00060D11" w:rsidRDefault="002E388A" w:rsidP="004E780D">
      <w:pPr>
        <w:spacing w:line="276" w:lineRule="auto"/>
        <w:ind w:left="720" w:hanging="720"/>
        <w:rPr>
          <w:rFonts w:ascii="Calibri" w:eastAsia="Calibri" w:hAnsi="Calibri" w:cs="Calibri"/>
          <w:i/>
          <w:iCs/>
        </w:rPr>
      </w:pPr>
      <w:r w:rsidRPr="00060D11">
        <w:rPr>
          <w:rFonts w:ascii="Calibri" w:eastAsia="Calibri" w:hAnsi="Calibri" w:cs="Calibri"/>
          <w:i/>
          <w:iCs/>
        </w:rPr>
        <w:t>3.</w:t>
      </w:r>
      <w:r w:rsidR="001F5ADA" w:rsidRPr="00060D11">
        <w:rPr>
          <w:rFonts w:ascii="Calibri" w:eastAsia="Calibri" w:hAnsi="Calibri" w:cs="Calibri"/>
          <w:i/>
          <w:iCs/>
        </w:rPr>
        <w:t>3</w:t>
      </w:r>
      <w:r w:rsidRPr="00060D11">
        <w:rPr>
          <w:rFonts w:ascii="Calibri" w:eastAsia="Calibri" w:hAnsi="Calibri" w:cs="Calibri"/>
          <w:i/>
          <w:iCs/>
        </w:rPr>
        <w:t xml:space="preserve"> </w:t>
      </w:r>
      <w:r w:rsidRPr="00060D11">
        <w:rPr>
          <w:rFonts w:ascii="Calibri" w:eastAsia="Calibri" w:hAnsi="Calibri" w:cs="Calibri"/>
          <w:i/>
          <w:iCs/>
        </w:rPr>
        <w:tab/>
        <w:t xml:space="preserve">In priority areas of early grade education reform key actors in </w:t>
      </w:r>
      <w:r w:rsidR="004F62A5" w:rsidRPr="00060D11">
        <w:rPr>
          <w:rFonts w:ascii="Calibri" w:eastAsia="Calibri" w:hAnsi="Calibri" w:cs="Calibri"/>
          <w:i/>
          <w:iCs/>
        </w:rPr>
        <w:t>NDoE</w:t>
      </w:r>
      <w:r w:rsidRPr="00060D11">
        <w:rPr>
          <w:rFonts w:ascii="Calibri" w:eastAsia="Calibri" w:hAnsi="Calibri" w:cs="Calibri"/>
          <w:i/>
          <w:iCs/>
        </w:rPr>
        <w:t xml:space="preserve"> (Research and Evaluation Division) have enhanced capability to analyse data and use performance information (specifically from targeted provinces) to inform policy and planning services of </w:t>
      </w:r>
      <w:r w:rsidR="004F62A5" w:rsidRPr="00060D11">
        <w:rPr>
          <w:rFonts w:ascii="Calibri" w:eastAsia="Calibri" w:hAnsi="Calibri" w:cs="Calibri"/>
          <w:i/>
          <w:iCs/>
        </w:rPr>
        <w:t>NDoE</w:t>
      </w:r>
      <w:r w:rsidRPr="00060D11">
        <w:rPr>
          <w:rFonts w:ascii="Calibri" w:eastAsia="Calibri" w:hAnsi="Calibri" w:cs="Calibri"/>
          <w:i/>
          <w:iCs/>
        </w:rPr>
        <w:t xml:space="preserve"> (Policy and Planning Division)</w:t>
      </w:r>
      <w:r w:rsidR="001F5ADA" w:rsidRPr="00060D11">
        <w:rPr>
          <w:rFonts w:ascii="Calibri" w:eastAsia="Calibri" w:hAnsi="Calibri" w:cs="Calibri"/>
          <w:i/>
          <w:iCs/>
        </w:rPr>
        <w:t>.</w:t>
      </w:r>
    </w:p>
    <w:p w14:paraId="5F207F50" w14:textId="77777777" w:rsidR="001F5ADA" w:rsidRPr="00060D11" w:rsidRDefault="001F5ADA" w:rsidP="00396EA3">
      <w:pPr>
        <w:spacing w:line="276" w:lineRule="auto"/>
        <w:rPr>
          <w:rFonts w:ascii="Calibri" w:eastAsia="Calibri" w:hAnsi="Calibri" w:cs="Calibri"/>
        </w:rPr>
      </w:pPr>
    </w:p>
    <w:p w14:paraId="4BAA9232" w14:textId="5CB4A127" w:rsidR="002649A9" w:rsidRPr="00060D11" w:rsidRDefault="002649A9" w:rsidP="004E780D">
      <w:pPr>
        <w:spacing w:after="120" w:line="276" w:lineRule="auto"/>
        <w:rPr>
          <w:rFonts w:ascii="Calibri" w:eastAsia="Calibri" w:hAnsi="Calibri" w:cs="Calibri"/>
        </w:rPr>
      </w:pPr>
      <w:r w:rsidRPr="00060D11">
        <w:rPr>
          <w:rFonts w:ascii="Calibri" w:eastAsia="Calibri" w:hAnsi="Calibri" w:cs="Calibri"/>
        </w:rPr>
        <w:t xml:space="preserve">Even if appropriate data is collected, analysed and disseminated to relevant stakeholders, there needs to be an expectation and requirement that the performance information products will be </w:t>
      </w:r>
      <w:r w:rsidR="00F34B28" w:rsidRPr="00060D11">
        <w:rPr>
          <w:rFonts w:ascii="Calibri" w:eastAsia="Calibri" w:hAnsi="Calibri" w:cs="Calibri"/>
        </w:rPr>
        <w:t xml:space="preserve">communicated, </w:t>
      </w:r>
      <w:r w:rsidRPr="00060D11">
        <w:rPr>
          <w:rFonts w:ascii="Calibri" w:eastAsia="Calibri" w:hAnsi="Calibri" w:cs="Calibri"/>
        </w:rPr>
        <w:t xml:space="preserve">discussed and considered to inform policy, strategies, plans and programs. During the design process, examples were provided that indicate that performance information is not being used as effectively as needed to effect improvements in the education system. One example is the LEG; while its objectives include the intent to </w:t>
      </w:r>
      <w:r w:rsidRPr="00060D11">
        <w:rPr>
          <w:rFonts w:ascii="Calibri" w:eastAsia="Calibri" w:hAnsi="Calibri" w:cs="Calibri"/>
          <w:i/>
          <w:iCs/>
        </w:rPr>
        <w:t>use</w:t>
      </w:r>
      <w:r w:rsidRPr="00060D11">
        <w:rPr>
          <w:rFonts w:ascii="Calibri" w:eastAsia="Calibri" w:hAnsi="Calibri" w:cs="Calibri"/>
        </w:rPr>
        <w:t xml:space="preserve"> performance information, the LEG has tended to limit its activities to information sharing.</w:t>
      </w:r>
      <w:r w:rsidR="00816273" w:rsidRPr="00060D11">
        <w:rPr>
          <w:rFonts w:ascii="Calibri" w:eastAsia="Calibri" w:hAnsi="Calibri" w:cs="Calibri"/>
        </w:rPr>
        <w:t xml:space="preserve"> A PIE supported baseline of student learning and teacher competencies will serve as a useful </w:t>
      </w:r>
      <w:r w:rsidR="00CB2E94" w:rsidRPr="00060D11">
        <w:rPr>
          <w:rFonts w:ascii="Calibri" w:eastAsia="Calibri" w:hAnsi="Calibri" w:cs="Calibri"/>
        </w:rPr>
        <w:t>diagnostic</w:t>
      </w:r>
      <w:r w:rsidR="00816273" w:rsidRPr="00060D11">
        <w:rPr>
          <w:rFonts w:ascii="Calibri" w:eastAsia="Calibri" w:hAnsi="Calibri" w:cs="Calibri"/>
        </w:rPr>
        <w:t xml:space="preserve"> for further analysis and ongoing monitoring, with a view to inform policy and planning </w:t>
      </w:r>
      <w:r w:rsidR="00CB2E94" w:rsidRPr="00060D11">
        <w:rPr>
          <w:rFonts w:ascii="Calibri" w:eastAsia="Calibri" w:hAnsi="Calibri" w:cs="Calibri"/>
        </w:rPr>
        <w:t xml:space="preserve">including the development of a nationwide student assessment system </w:t>
      </w:r>
      <w:r w:rsidR="00816273" w:rsidRPr="00060D11">
        <w:rPr>
          <w:rFonts w:ascii="Calibri" w:eastAsia="Calibri" w:hAnsi="Calibri" w:cs="Calibri"/>
        </w:rPr>
        <w:t>over time.</w:t>
      </w:r>
    </w:p>
    <w:p w14:paraId="69B75B2F" w14:textId="617E2A4D" w:rsidR="002649A9" w:rsidRPr="00060D11" w:rsidRDefault="002649A9" w:rsidP="004E780D">
      <w:pPr>
        <w:spacing w:after="120" w:line="276" w:lineRule="auto"/>
        <w:rPr>
          <w:rFonts w:ascii="Calibri" w:eastAsia="Calibri" w:hAnsi="Calibri" w:cs="Calibri"/>
        </w:rPr>
      </w:pPr>
      <w:r w:rsidRPr="00060D11">
        <w:rPr>
          <w:rFonts w:ascii="Calibri" w:eastAsia="Calibri" w:hAnsi="Calibri" w:cs="Calibri"/>
          <w:b/>
          <w:bCs/>
        </w:rPr>
        <w:t xml:space="preserve">During the Inception Phase </w:t>
      </w:r>
      <w:r w:rsidRPr="00060D11">
        <w:rPr>
          <w:rFonts w:ascii="Calibri" w:eastAsia="Calibri" w:hAnsi="Calibri" w:cs="Calibri"/>
        </w:rPr>
        <w:t xml:space="preserve">the </w:t>
      </w:r>
      <w:r w:rsidR="005662DB" w:rsidRPr="00060D11">
        <w:rPr>
          <w:rFonts w:ascii="Calibri" w:eastAsia="Calibri" w:hAnsi="Calibri" w:cs="Calibri"/>
        </w:rPr>
        <w:t>managing contractor</w:t>
      </w:r>
      <w:r w:rsidRPr="00060D11">
        <w:rPr>
          <w:rFonts w:ascii="Calibri" w:eastAsia="Calibri" w:hAnsi="Calibri" w:cs="Calibri"/>
        </w:rPr>
        <w:t xml:space="preserve"> will work with relevant </w:t>
      </w:r>
      <w:r w:rsidR="004F62A5" w:rsidRPr="00060D11">
        <w:rPr>
          <w:rFonts w:ascii="Calibri" w:eastAsia="Calibri" w:hAnsi="Calibri" w:cs="Calibri"/>
        </w:rPr>
        <w:t>NDoE</w:t>
      </w:r>
      <w:r w:rsidRPr="00060D11">
        <w:rPr>
          <w:rFonts w:ascii="Calibri" w:eastAsia="Calibri" w:hAnsi="Calibri" w:cs="Calibri"/>
        </w:rPr>
        <w:t xml:space="preserve"> stakeholders to:</w:t>
      </w:r>
    </w:p>
    <w:p w14:paraId="3A31FDCE" w14:textId="19F86E40" w:rsidR="002649A9" w:rsidRPr="00060D11" w:rsidRDefault="002649A9" w:rsidP="00396EA3">
      <w:pPr>
        <w:pStyle w:val="ListParagraph"/>
        <w:numPr>
          <w:ilvl w:val="0"/>
          <w:numId w:val="16"/>
        </w:numPr>
        <w:spacing w:after="160" w:line="276" w:lineRule="auto"/>
        <w:rPr>
          <w:rFonts w:ascii="Calibri" w:eastAsia="Calibri" w:hAnsi="Calibri" w:cs="Calibri"/>
          <w:sz w:val="22"/>
        </w:rPr>
      </w:pPr>
      <w:bookmarkStart w:id="54" w:name="_Hlk68585535"/>
      <w:r w:rsidRPr="00060D11">
        <w:rPr>
          <w:rFonts w:ascii="Calibri" w:eastAsia="Calibri" w:hAnsi="Calibri" w:cs="Calibri"/>
          <w:sz w:val="22"/>
        </w:rPr>
        <w:t>document and review the current processes for investigating and acting upon the implications of emerging performance information and analysis to modify policy and planning</w:t>
      </w:r>
      <w:r w:rsidR="00F46754" w:rsidRPr="00060D11">
        <w:rPr>
          <w:rFonts w:ascii="Calibri" w:eastAsia="Calibri" w:hAnsi="Calibri" w:cs="Calibri"/>
          <w:sz w:val="22"/>
        </w:rPr>
        <w:t>;</w:t>
      </w:r>
      <w:r w:rsidR="003961B2" w:rsidRPr="00060D11">
        <w:rPr>
          <w:rFonts w:ascii="Calibri" w:eastAsia="Calibri" w:hAnsi="Calibri" w:cs="Calibri"/>
          <w:sz w:val="22"/>
        </w:rPr>
        <w:t xml:space="preserve"> and</w:t>
      </w:r>
    </w:p>
    <w:p w14:paraId="2AE2989C" w14:textId="1582D8E3" w:rsidR="002649A9" w:rsidRPr="00060D11" w:rsidRDefault="003961B2" w:rsidP="00396EA3">
      <w:pPr>
        <w:pStyle w:val="ListParagraph"/>
        <w:numPr>
          <w:ilvl w:val="0"/>
          <w:numId w:val="13"/>
        </w:numPr>
        <w:spacing w:after="160" w:line="276" w:lineRule="auto"/>
        <w:rPr>
          <w:rFonts w:ascii="Calibri" w:eastAsia="Calibri" w:hAnsi="Calibri" w:cs="Calibri"/>
          <w:sz w:val="22"/>
        </w:rPr>
      </w:pPr>
      <w:r w:rsidRPr="00060D11">
        <w:rPr>
          <w:rFonts w:ascii="Calibri" w:eastAsia="Calibri" w:hAnsi="Calibri" w:cs="Calibri"/>
          <w:sz w:val="22"/>
        </w:rPr>
        <w:t>i</w:t>
      </w:r>
      <w:r w:rsidR="002649A9" w:rsidRPr="00060D11">
        <w:rPr>
          <w:rFonts w:ascii="Calibri" w:eastAsia="Calibri" w:hAnsi="Calibri" w:cs="Calibri"/>
          <w:sz w:val="22"/>
        </w:rPr>
        <w:t>dentify potential areas for process improvements and provide recommendations for PIE support, including potential changes in structures and processes for policy and planning to ensure inclusion of relevant evidence and analysis arising from implementation experiences at the sub-national level.</w:t>
      </w:r>
    </w:p>
    <w:bookmarkEnd w:id="54"/>
    <w:p w14:paraId="55886AF7" w14:textId="189CF04E" w:rsidR="001F26A6" w:rsidRPr="00060D11" w:rsidRDefault="002649A9" w:rsidP="00396EA3">
      <w:pPr>
        <w:spacing w:line="276" w:lineRule="auto"/>
        <w:rPr>
          <w:rFonts w:ascii="Calibri" w:eastAsia="Calibri" w:hAnsi="Calibri" w:cs="Calibri"/>
        </w:rPr>
      </w:pPr>
      <w:r w:rsidRPr="00060D11">
        <w:rPr>
          <w:rFonts w:ascii="Calibri" w:eastAsia="Calibri" w:hAnsi="Calibri" w:cs="Calibri"/>
          <w:b/>
          <w:bCs/>
        </w:rPr>
        <w:t>At Phase 1 implementation</w:t>
      </w:r>
      <w:r w:rsidRPr="00060D11">
        <w:t xml:space="preserve"> </w:t>
      </w:r>
      <w:r w:rsidR="002E30DC" w:rsidRPr="00060D11">
        <w:t xml:space="preserve">the </w:t>
      </w:r>
      <w:r w:rsidR="005662DB" w:rsidRPr="00060D11">
        <w:t>managing contractor</w:t>
      </w:r>
      <w:r w:rsidR="002E30DC" w:rsidRPr="00060D11">
        <w:t xml:space="preserve"> will facilitate </w:t>
      </w:r>
      <w:r w:rsidRPr="00060D11">
        <w:rPr>
          <w:rFonts w:ascii="Calibri" w:eastAsia="Calibri" w:hAnsi="Calibri" w:cs="Calibri"/>
        </w:rPr>
        <w:t xml:space="preserve">a participatory diagnostic assessment of the capacity of </w:t>
      </w:r>
      <w:r w:rsidR="004F62A5" w:rsidRPr="00060D11">
        <w:rPr>
          <w:rFonts w:ascii="Calibri" w:eastAsia="Calibri" w:hAnsi="Calibri" w:cs="Calibri"/>
        </w:rPr>
        <w:t>NDoE</w:t>
      </w:r>
      <w:r w:rsidRPr="00060D11">
        <w:rPr>
          <w:rFonts w:ascii="Calibri" w:eastAsia="Calibri" w:hAnsi="Calibri" w:cs="Calibri"/>
        </w:rPr>
        <w:t xml:space="preserve"> units/stakeholders with functional responsibility for policy and planning in priority areas would be carried out. This assessment will provide a baseline of the capacity of the relevant units/individuals with functional responsibilities in this area</w:t>
      </w:r>
      <w:r w:rsidR="002E30DC" w:rsidRPr="00060D11">
        <w:rPr>
          <w:rFonts w:ascii="Calibri" w:eastAsia="Calibri" w:hAnsi="Calibri" w:cs="Calibri"/>
        </w:rPr>
        <w:t xml:space="preserve"> along with other system weaknesses</w:t>
      </w:r>
      <w:r w:rsidR="007B005B" w:rsidRPr="00060D11">
        <w:rPr>
          <w:rFonts w:ascii="Calibri" w:eastAsia="Calibri" w:hAnsi="Calibri" w:cs="Calibri"/>
        </w:rPr>
        <w:t xml:space="preserve"> to be addressed</w:t>
      </w:r>
      <w:r w:rsidRPr="00060D11">
        <w:rPr>
          <w:rFonts w:ascii="Calibri" w:eastAsia="Calibri" w:hAnsi="Calibri" w:cs="Calibri"/>
        </w:rPr>
        <w:t xml:space="preserve">. </w:t>
      </w:r>
      <w:r w:rsidR="001A123D" w:rsidRPr="00060D11">
        <w:rPr>
          <w:rFonts w:ascii="Calibri" w:eastAsia="Calibri" w:hAnsi="Calibri" w:cs="Calibri"/>
        </w:rPr>
        <w:t>Support for p</w:t>
      </w:r>
      <w:r w:rsidR="00146D28" w:rsidRPr="00060D11">
        <w:rPr>
          <w:rFonts w:ascii="Calibri" w:eastAsia="Calibri" w:hAnsi="Calibri" w:cs="Calibri"/>
        </w:rPr>
        <w:t xml:space="preserve">riority areas </w:t>
      </w:r>
      <w:r w:rsidR="008C362C" w:rsidRPr="00060D11">
        <w:rPr>
          <w:rFonts w:ascii="Calibri" w:eastAsia="Calibri" w:hAnsi="Calibri" w:cs="Calibri"/>
        </w:rPr>
        <w:t xml:space="preserve">where it is both technically and politically possible for results to be achieved </w:t>
      </w:r>
      <w:r w:rsidR="00736BF5" w:rsidRPr="00060D11">
        <w:rPr>
          <w:rFonts w:ascii="Calibri" w:eastAsia="Calibri" w:hAnsi="Calibri" w:cs="Calibri"/>
        </w:rPr>
        <w:t xml:space="preserve">(along with baselines) </w:t>
      </w:r>
      <w:r w:rsidR="008C362C" w:rsidRPr="00060D11">
        <w:rPr>
          <w:rFonts w:ascii="Calibri" w:eastAsia="Calibri" w:hAnsi="Calibri" w:cs="Calibri"/>
        </w:rPr>
        <w:t xml:space="preserve">will be </w:t>
      </w:r>
      <w:r w:rsidR="000C3CD1" w:rsidRPr="00060D11">
        <w:rPr>
          <w:rFonts w:ascii="Calibri" w:eastAsia="Calibri" w:hAnsi="Calibri" w:cs="Calibri"/>
        </w:rPr>
        <w:t>included</w:t>
      </w:r>
      <w:r w:rsidR="001A123D" w:rsidRPr="00060D11">
        <w:rPr>
          <w:rFonts w:ascii="Calibri" w:eastAsia="Calibri" w:hAnsi="Calibri" w:cs="Calibri"/>
        </w:rPr>
        <w:t xml:space="preserve"> in an</w:t>
      </w:r>
      <w:r w:rsidRPr="00060D11">
        <w:rPr>
          <w:rFonts w:ascii="Calibri" w:eastAsia="Calibri" w:hAnsi="Calibri" w:cs="Calibri"/>
        </w:rPr>
        <w:t xml:space="preserve"> Activity Support Plan for PIE work with </w:t>
      </w:r>
      <w:r w:rsidR="004F62A5" w:rsidRPr="00060D11">
        <w:rPr>
          <w:rFonts w:ascii="Calibri" w:eastAsia="Calibri" w:hAnsi="Calibri" w:cs="Calibri"/>
        </w:rPr>
        <w:t>NDoE</w:t>
      </w:r>
      <w:r w:rsidRPr="00060D11">
        <w:rPr>
          <w:rFonts w:ascii="Calibri" w:eastAsia="Calibri" w:hAnsi="Calibri" w:cs="Calibri"/>
        </w:rPr>
        <w:t xml:space="preserve"> and sub-national agencies and</w:t>
      </w:r>
      <w:r w:rsidRPr="00060D11">
        <w:t xml:space="preserve"> </w:t>
      </w:r>
      <w:r w:rsidR="000C3CD1" w:rsidRPr="00060D11">
        <w:t xml:space="preserve">will be guiding </w:t>
      </w:r>
      <w:r w:rsidRPr="00060D11">
        <w:t xml:space="preserve">the framework </w:t>
      </w:r>
      <w:r w:rsidRPr="00060D11">
        <w:rPr>
          <w:rFonts w:ascii="Calibri" w:eastAsia="Calibri" w:hAnsi="Calibri" w:cs="Calibri"/>
        </w:rPr>
        <w:t>for the provision of any inputs from the PIE investment (i.e., long-term and short-term technical assistance, coaching, training).</w:t>
      </w:r>
    </w:p>
    <w:p w14:paraId="4DE21E22" w14:textId="77777777" w:rsidR="001F26A6" w:rsidRPr="00060D11" w:rsidRDefault="001F26A6" w:rsidP="00396EA3">
      <w:pPr>
        <w:spacing w:line="276" w:lineRule="auto"/>
        <w:rPr>
          <w:rFonts w:ascii="Calibri" w:eastAsia="Calibri" w:hAnsi="Calibri" w:cs="Calibri"/>
        </w:rPr>
      </w:pPr>
      <w:r w:rsidRPr="00060D11">
        <w:rPr>
          <w:rFonts w:ascii="Calibri" w:eastAsia="Calibri" w:hAnsi="Calibri" w:cs="Calibri"/>
        </w:rPr>
        <w:br w:type="page"/>
      </w:r>
    </w:p>
    <w:p w14:paraId="76AAEF7E" w14:textId="77777777" w:rsidR="001F26A6" w:rsidRPr="00060D11" w:rsidRDefault="001F26A6" w:rsidP="00C04736">
      <w:pPr>
        <w:pStyle w:val="Heading2Numbered"/>
        <w:numPr>
          <w:ilvl w:val="0"/>
          <w:numId w:val="0"/>
        </w:numPr>
        <w:ind w:left="851" w:hanging="851"/>
      </w:pPr>
      <w:bookmarkStart w:id="55" w:name="_Hlk72761757"/>
      <w:r w:rsidRPr="00060D11">
        <w:t>D.2</w:t>
      </w:r>
      <w:r w:rsidRPr="00060D11">
        <w:tab/>
        <w:t>DELIVERY APPROACH</w:t>
      </w:r>
    </w:p>
    <w:p w14:paraId="052B743E" w14:textId="3D0FDF74" w:rsidR="000B0336" w:rsidRPr="00060D11" w:rsidRDefault="000B0336" w:rsidP="004E780D">
      <w:pPr>
        <w:spacing w:after="120" w:line="276" w:lineRule="auto"/>
        <w:rPr>
          <w:rFonts w:cstheme="minorHAnsi"/>
          <w:b/>
          <w:bCs/>
        </w:rPr>
      </w:pPr>
      <w:r w:rsidRPr="00060D11">
        <w:rPr>
          <w:rFonts w:ascii="Calibri" w:eastAsia="Calibri" w:hAnsi="Calibri" w:cs="Calibri"/>
          <w:b/>
          <w:bCs/>
        </w:rPr>
        <w:t>Consideration of modalities for PIE</w:t>
      </w:r>
      <w:r w:rsidR="002137DE" w:rsidRPr="00060D11">
        <w:rPr>
          <w:rFonts w:ascii="Calibri" w:eastAsia="Calibri" w:hAnsi="Calibri" w:cs="Calibri"/>
          <w:b/>
          <w:bCs/>
        </w:rPr>
        <w:t xml:space="preserve"> and potential linkages</w:t>
      </w:r>
    </w:p>
    <w:p w14:paraId="12F9D749" w14:textId="588DAC0C" w:rsidR="000B0336" w:rsidRPr="00060D11" w:rsidRDefault="002137DE" w:rsidP="004E780D">
      <w:pPr>
        <w:spacing w:after="120" w:line="276" w:lineRule="auto"/>
        <w:rPr>
          <w:rFonts w:cstheme="minorHAnsi"/>
        </w:rPr>
      </w:pPr>
      <w:r w:rsidRPr="00060D11">
        <w:rPr>
          <w:rFonts w:cstheme="minorHAnsi"/>
        </w:rPr>
        <w:t xml:space="preserve">An analysis of </w:t>
      </w:r>
      <w:r w:rsidR="000B0336" w:rsidRPr="00060D11">
        <w:rPr>
          <w:rFonts w:cstheme="minorHAnsi"/>
        </w:rPr>
        <w:t xml:space="preserve">Australia’s past investments in sector and their performance </w:t>
      </w:r>
      <w:r w:rsidRPr="00060D11">
        <w:rPr>
          <w:rFonts w:cstheme="minorHAnsi"/>
        </w:rPr>
        <w:t xml:space="preserve">has </w:t>
      </w:r>
      <w:r w:rsidR="000B0336" w:rsidRPr="00060D11">
        <w:rPr>
          <w:rFonts w:cstheme="minorHAnsi"/>
        </w:rPr>
        <w:t>informed the decision to use a managing contractor to implement PIE.</w:t>
      </w:r>
    </w:p>
    <w:p w14:paraId="50220F5B" w14:textId="131B6AC0" w:rsidR="002137DE" w:rsidRPr="00060D11" w:rsidRDefault="000B0336" w:rsidP="004E780D">
      <w:pPr>
        <w:spacing w:after="120" w:line="276" w:lineRule="auto"/>
        <w:rPr>
          <w:rFonts w:cstheme="minorHAnsi"/>
        </w:rPr>
      </w:pPr>
      <w:r w:rsidRPr="00060D11">
        <w:rPr>
          <w:rFonts w:cstheme="minorHAnsi"/>
        </w:rPr>
        <w:t>Working through a</w:t>
      </w:r>
      <w:r w:rsidR="002137DE" w:rsidRPr="00060D11">
        <w:rPr>
          <w:rFonts w:cstheme="minorHAnsi"/>
        </w:rPr>
        <w:t>n</w:t>
      </w:r>
      <w:r w:rsidRPr="00060D11">
        <w:rPr>
          <w:rFonts w:cstheme="minorHAnsi"/>
        </w:rPr>
        <w:t xml:space="preserve"> NGO consortia in PFF highlighted some effective approaches to improving learning, however, they were unable to be sustained by GoPNG.  GoA was also unable to pursue a policy dialogue agenda with NDoE without access to timely performance information and analysis of the enabling environment. The Direct Financing Support (DFS) was Australia’s main aid modality for supporting improvements in education services in PNG from 2011 to 2016. Significant </w:t>
      </w:r>
      <w:proofErr w:type="gramStart"/>
      <w:r w:rsidRPr="00060D11">
        <w:rPr>
          <w:rFonts w:cstheme="minorHAnsi"/>
        </w:rPr>
        <w:t xml:space="preserve">support  </w:t>
      </w:r>
      <w:r w:rsidR="00A40FD0">
        <w:rPr>
          <w:rFonts w:cstheme="minorHAnsi"/>
        </w:rPr>
        <w:t>was</w:t>
      </w:r>
      <w:proofErr w:type="gramEnd"/>
      <w:r w:rsidRPr="00060D11">
        <w:rPr>
          <w:rFonts w:cstheme="minorHAnsi"/>
        </w:rPr>
        <w:t xml:space="preserve"> provided for school infrastructure</w:t>
      </w:r>
      <w:r w:rsidR="00A40FD0">
        <w:rPr>
          <w:rFonts w:cstheme="minorHAnsi"/>
        </w:rPr>
        <w:t xml:space="preserve"> up until 2016</w:t>
      </w:r>
      <w:r w:rsidR="002137DE" w:rsidRPr="00060D11">
        <w:rPr>
          <w:rFonts w:cstheme="minorHAnsi"/>
        </w:rPr>
        <w:t>,</w:t>
      </w:r>
      <w:r w:rsidRPr="00060D11">
        <w:rPr>
          <w:rStyle w:val="FootnoteReference"/>
          <w:rFonts w:cstheme="minorHAnsi"/>
        </w:rPr>
        <w:footnoteReference w:id="74"/>
      </w:r>
      <w:r w:rsidR="002137DE" w:rsidRPr="00060D11">
        <w:rPr>
          <w:rFonts w:cstheme="minorHAnsi"/>
        </w:rPr>
        <w:t xml:space="preserve"> </w:t>
      </w:r>
      <w:r w:rsidR="00FF548C" w:rsidRPr="00060D11">
        <w:rPr>
          <w:rFonts w:cstheme="minorHAnsi"/>
        </w:rPr>
        <w:t xml:space="preserve">and while this contributed to improved enrolments, </w:t>
      </w:r>
      <w:r w:rsidR="00A40FD0">
        <w:rPr>
          <w:rFonts w:cstheme="minorHAnsi"/>
        </w:rPr>
        <w:t>DFAT discontinued this approach as it</w:t>
      </w:r>
      <w:r w:rsidR="00FF548C" w:rsidRPr="00060D11">
        <w:rPr>
          <w:rFonts w:cstheme="minorHAnsi"/>
        </w:rPr>
        <w:t xml:space="preserve"> </w:t>
      </w:r>
      <w:r w:rsidR="00A40FD0">
        <w:rPr>
          <w:rFonts w:cstheme="minorHAnsi"/>
        </w:rPr>
        <w:t xml:space="preserve">was assessed by DFAT as </w:t>
      </w:r>
      <w:r w:rsidR="00FF548C" w:rsidRPr="00060D11">
        <w:rPr>
          <w:rFonts w:cstheme="minorHAnsi"/>
        </w:rPr>
        <w:t>no</w:t>
      </w:r>
      <w:r w:rsidR="00A40FD0">
        <w:rPr>
          <w:rFonts w:cstheme="minorHAnsi"/>
        </w:rPr>
        <w:t xml:space="preserve"> longer</w:t>
      </w:r>
      <w:r w:rsidR="00FF548C" w:rsidRPr="00060D11">
        <w:rPr>
          <w:rFonts w:cstheme="minorHAnsi"/>
        </w:rPr>
        <w:t xml:space="preserve"> generat</w:t>
      </w:r>
      <w:r w:rsidR="00A40FD0">
        <w:rPr>
          <w:rFonts w:cstheme="minorHAnsi"/>
        </w:rPr>
        <w:t>ing</w:t>
      </w:r>
      <w:r w:rsidR="00FF548C" w:rsidRPr="00060D11">
        <w:rPr>
          <w:rFonts w:cstheme="minorHAnsi"/>
        </w:rPr>
        <w:t xml:space="preserve"> the return on investment commensurate with spend</w:t>
      </w:r>
      <w:r w:rsidR="00A40FD0">
        <w:rPr>
          <w:rFonts w:cstheme="minorHAnsi"/>
        </w:rPr>
        <w:t xml:space="preserve"> given the escalating costs of construction</w:t>
      </w:r>
      <w:r w:rsidR="00143BAA">
        <w:rPr>
          <w:rFonts w:cstheme="minorHAnsi"/>
        </w:rPr>
        <w:t xml:space="preserve"> and the greater success of the Tuition Fee Free policy in improving enrolments</w:t>
      </w:r>
      <w:r w:rsidRPr="00060D11">
        <w:rPr>
          <w:rFonts w:cstheme="minorHAnsi"/>
        </w:rPr>
        <w:t xml:space="preserve">. </w:t>
      </w:r>
      <w:r w:rsidR="002137DE" w:rsidRPr="00060D11">
        <w:rPr>
          <w:rFonts w:cstheme="minorHAnsi"/>
        </w:rPr>
        <w:t xml:space="preserve">School infrastructure </w:t>
      </w:r>
      <w:r w:rsidR="004D7D77" w:rsidRPr="00060D11">
        <w:rPr>
          <w:rFonts w:cstheme="minorHAnsi"/>
        </w:rPr>
        <w:t>is meant to account for 20 per cent of SIP funds</w:t>
      </w:r>
      <w:r w:rsidR="002137DE" w:rsidRPr="00060D11">
        <w:rPr>
          <w:rFonts w:cstheme="minorHAnsi"/>
        </w:rPr>
        <w:t xml:space="preserve">, a contribution to the sector that Australia does not want to displace.  </w:t>
      </w:r>
    </w:p>
    <w:p w14:paraId="15B62E74" w14:textId="6C991918" w:rsidR="000B0336" w:rsidRPr="00060D11" w:rsidRDefault="002137DE" w:rsidP="004E780D">
      <w:pPr>
        <w:spacing w:after="120" w:line="276" w:lineRule="auto"/>
        <w:rPr>
          <w:rFonts w:cstheme="minorHAnsi"/>
        </w:rPr>
      </w:pPr>
      <w:r w:rsidRPr="00060D11">
        <w:rPr>
          <w:rFonts w:cstheme="minorHAnsi"/>
        </w:rPr>
        <w:t xml:space="preserve">As mentioned under Investment </w:t>
      </w:r>
      <w:r w:rsidR="00E83E53" w:rsidRPr="00060D11">
        <w:rPr>
          <w:rFonts w:cstheme="minorHAnsi"/>
        </w:rPr>
        <w:t>Rationale, other</w:t>
      </w:r>
      <w:r w:rsidRPr="00060D11">
        <w:rPr>
          <w:rFonts w:cstheme="minorHAnsi"/>
        </w:rPr>
        <w:t xml:space="preserve"> DFAT and donor programs will be leveraged to create efficiencies and amplify the impact of PIE activities.  </w:t>
      </w:r>
      <w:r w:rsidR="000B0336" w:rsidRPr="00060D11">
        <w:rPr>
          <w:rFonts w:cstheme="minorHAnsi"/>
        </w:rPr>
        <w:t xml:space="preserve">The PNG Incentive Fund might be an option for providing </w:t>
      </w:r>
      <w:r w:rsidRPr="00060D11">
        <w:rPr>
          <w:rFonts w:cstheme="minorHAnsi"/>
        </w:rPr>
        <w:t>pr</w:t>
      </w:r>
      <w:r w:rsidR="00571E78" w:rsidRPr="00060D11">
        <w:rPr>
          <w:rFonts w:cstheme="minorHAnsi"/>
        </w:rPr>
        <w:t>i</w:t>
      </w:r>
      <w:r w:rsidRPr="00060D11">
        <w:rPr>
          <w:rFonts w:cstheme="minorHAnsi"/>
        </w:rPr>
        <w:t>or</w:t>
      </w:r>
      <w:r w:rsidR="00571E78" w:rsidRPr="00060D11">
        <w:rPr>
          <w:rFonts w:cstheme="minorHAnsi"/>
        </w:rPr>
        <w:t>i</w:t>
      </w:r>
      <w:r w:rsidRPr="00060D11">
        <w:rPr>
          <w:rFonts w:cstheme="minorHAnsi"/>
        </w:rPr>
        <w:t>ty</w:t>
      </w:r>
      <w:r w:rsidR="000B0336" w:rsidRPr="00060D11">
        <w:rPr>
          <w:rFonts w:cstheme="minorHAnsi"/>
        </w:rPr>
        <w:t xml:space="preserve"> infrastructure support to PIE in the future</w:t>
      </w:r>
      <w:r w:rsidRPr="00060D11">
        <w:rPr>
          <w:rFonts w:cstheme="minorHAnsi"/>
        </w:rPr>
        <w:t xml:space="preserve"> that cannot be met by SIP funds. The Economic Governance and Inclusive Growth (EGIG) Partnership offers PIE further options for public financial management support to the sector. Drawing on lessons learned from DFS, the trialling of </w:t>
      </w:r>
      <w:r w:rsidR="00E83E53" w:rsidRPr="00060D11">
        <w:rPr>
          <w:rFonts w:cstheme="minorHAnsi"/>
        </w:rPr>
        <w:t>targeted</w:t>
      </w:r>
      <w:r w:rsidRPr="00060D11">
        <w:rPr>
          <w:rFonts w:cstheme="minorHAnsi"/>
        </w:rPr>
        <w:t xml:space="preserve"> budget support for GTFS in 2021 as part of the COVID-19 recovery package will inform whether this modality can be used in the future to complement PIE’s approach in the sector.</w:t>
      </w:r>
    </w:p>
    <w:p w14:paraId="32B40735" w14:textId="3045CC4C" w:rsidR="000B0336" w:rsidRPr="00060D11" w:rsidRDefault="001F26A6" w:rsidP="004E780D">
      <w:pPr>
        <w:spacing w:after="120" w:line="276" w:lineRule="auto"/>
        <w:rPr>
          <w:rFonts w:cstheme="minorHAnsi"/>
        </w:rPr>
      </w:pPr>
      <w:r w:rsidRPr="00060D11">
        <w:rPr>
          <w:rFonts w:cstheme="minorHAnsi"/>
        </w:rPr>
        <w:t>While DFAT has supported direct education service delivery in PNG in the past, it is clear that without working with and through existing, mandated service delivery mechanisms, the short-term gains often offered by direct service delivery cannot be sustained and system owners learn little that can be applied within their organisational context and constraints.</w:t>
      </w:r>
      <w:r w:rsidR="000B0336" w:rsidRPr="00060D11">
        <w:rPr>
          <w:rFonts w:cstheme="minorHAnsi"/>
        </w:rPr>
        <w:t xml:space="preserve"> </w:t>
      </w:r>
    </w:p>
    <w:p w14:paraId="00BB5435" w14:textId="3741F5E6" w:rsidR="000B0336" w:rsidRPr="00060D11" w:rsidRDefault="000B0336" w:rsidP="004E780D">
      <w:pPr>
        <w:spacing w:after="120" w:line="276" w:lineRule="auto"/>
        <w:rPr>
          <w:rFonts w:cstheme="minorHAnsi"/>
          <w:b/>
          <w:bCs/>
        </w:rPr>
      </w:pPr>
      <w:r w:rsidRPr="00060D11">
        <w:rPr>
          <w:rFonts w:cstheme="minorHAnsi"/>
          <w:b/>
          <w:bCs/>
        </w:rPr>
        <w:t xml:space="preserve">PIE’s </w:t>
      </w:r>
      <w:r w:rsidR="00E31D0C" w:rsidRPr="00060D11">
        <w:rPr>
          <w:rFonts w:cstheme="minorHAnsi"/>
          <w:b/>
          <w:bCs/>
        </w:rPr>
        <w:t>focus and approach</w:t>
      </w:r>
    </w:p>
    <w:p w14:paraId="011A6084" w14:textId="59401B36" w:rsidR="002137DE" w:rsidRPr="00060D11" w:rsidRDefault="002137DE" w:rsidP="004E780D">
      <w:pPr>
        <w:spacing w:after="120" w:line="276" w:lineRule="auto"/>
        <w:rPr>
          <w:rFonts w:cstheme="minorHAnsi"/>
        </w:rPr>
      </w:pPr>
      <w:r w:rsidRPr="00060D11">
        <w:rPr>
          <w:rFonts w:cstheme="minorHAnsi"/>
        </w:rPr>
        <w:t xml:space="preserve">Given the fluidity and complexity of the PNG context, further exacerbated by the impact of COVID-19, PIE will remain highly flexible, iterative, adaptive and evidence based. PIE outcomes will be pursed through adaptive </w:t>
      </w:r>
      <w:r w:rsidR="00E83E53" w:rsidRPr="00060D11">
        <w:rPr>
          <w:rFonts w:cstheme="minorHAnsi"/>
        </w:rPr>
        <w:t>programming</w:t>
      </w:r>
      <w:r w:rsidRPr="00060D11">
        <w:rPr>
          <w:rFonts w:cstheme="minorHAnsi"/>
        </w:rPr>
        <w:t xml:space="preserve"> and management approaches so Australian support can leverage entry points and maximise momentum for positive change in priority areas as they arise. With a politically informed outlook, PIE will exploit opportunities to nudge the system in the right direction through piloting, demonstrating the efficacy of, as well as supporting scaling of more effective ways of working in the education sector.</w:t>
      </w:r>
    </w:p>
    <w:p w14:paraId="1E850B7E" w14:textId="39F189A8" w:rsidR="001F26A6" w:rsidRPr="00060D11" w:rsidRDefault="001F26A6" w:rsidP="004E780D">
      <w:pPr>
        <w:spacing w:after="120" w:line="276" w:lineRule="auto"/>
        <w:rPr>
          <w:rFonts w:cstheme="minorHAnsi"/>
        </w:rPr>
      </w:pPr>
      <w:r w:rsidRPr="00060D11">
        <w:rPr>
          <w:rFonts w:cstheme="minorHAnsi"/>
        </w:rPr>
        <w:t>The PIE</w:t>
      </w:r>
      <w:r w:rsidR="002137DE" w:rsidRPr="00060D11">
        <w:rPr>
          <w:rFonts w:cstheme="minorHAnsi"/>
        </w:rPr>
        <w:t xml:space="preserve"> will provide</w:t>
      </w:r>
      <w:r w:rsidRPr="00060D11">
        <w:rPr>
          <w:rFonts w:cstheme="minorHAnsi"/>
        </w:rPr>
        <w:t xml:space="preserve"> fit for purpose support to education stakeholders, both on the demand and supply sides, to improve education service delivery. </w:t>
      </w:r>
      <w:r w:rsidR="000B0336" w:rsidRPr="00060D11">
        <w:rPr>
          <w:rFonts w:cstheme="minorHAnsi"/>
        </w:rPr>
        <w:t xml:space="preserve">With limited funds available, Australia is focusing </w:t>
      </w:r>
      <w:r w:rsidR="00E83E53" w:rsidRPr="00060D11">
        <w:rPr>
          <w:rFonts w:cstheme="minorHAnsi"/>
        </w:rPr>
        <w:t>initially</w:t>
      </w:r>
      <w:r w:rsidR="000B0336" w:rsidRPr="00060D11">
        <w:rPr>
          <w:rFonts w:cstheme="minorHAnsi"/>
        </w:rPr>
        <w:t xml:space="preserve"> on the early grades with a focus on girls and children with a disability, recognising that is where there is the potential for </w:t>
      </w:r>
      <w:r w:rsidR="00C2289F" w:rsidRPr="00060D11">
        <w:rPr>
          <w:rFonts w:cstheme="minorHAnsi"/>
        </w:rPr>
        <w:t xml:space="preserve">the </w:t>
      </w:r>
      <w:r w:rsidR="000B0336" w:rsidRPr="00060D11">
        <w:rPr>
          <w:rFonts w:cstheme="minorHAnsi"/>
        </w:rPr>
        <w:t>best return on our investment</w:t>
      </w:r>
      <w:r w:rsidR="000B0336" w:rsidRPr="00060D11">
        <w:rPr>
          <w:rStyle w:val="FootnoteReference"/>
          <w:rFonts w:cstheme="minorHAnsi"/>
        </w:rPr>
        <w:footnoteReference w:id="75"/>
      </w:r>
      <w:r w:rsidR="000B0336" w:rsidRPr="00060D11">
        <w:rPr>
          <w:rFonts w:cstheme="minorHAnsi"/>
        </w:rPr>
        <w:t xml:space="preserve">. </w:t>
      </w:r>
      <w:r w:rsidRPr="00060D11">
        <w:rPr>
          <w:rFonts w:cstheme="minorHAnsi"/>
        </w:rPr>
        <w:t xml:space="preserve">Following meta-data analysis and extensive stakeholder consultations, the design process has identified immediate challenges which, if left unaddressed, will be ‘tipping points’ leading to declining levels and quality of service delivery. The design process has also identified a range of ‘system’ blockages which have the potential to undermine all/any reform efforts in the medium and long term. </w:t>
      </w:r>
    </w:p>
    <w:p w14:paraId="71169359" w14:textId="77777777" w:rsidR="001F26A6" w:rsidRPr="00060D11" w:rsidRDefault="001F26A6" w:rsidP="004E780D">
      <w:pPr>
        <w:spacing w:after="120" w:line="276" w:lineRule="auto"/>
        <w:rPr>
          <w:rFonts w:cstheme="minorHAnsi"/>
        </w:rPr>
      </w:pPr>
      <w:r w:rsidRPr="00060D11">
        <w:rPr>
          <w:rFonts w:cstheme="minorHAnsi"/>
        </w:rPr>
        <w:t xml:space="preserve">The demand-side challenge requiring immediate attention relates to static enrolments and declining retention in the early grades. The supply-side challenge requiring immediate attention is the looming teacher shortage in the early grades. The ‘system’ blockages with the potential to inhibit the achievement of medium to long term NEP outcomes are outlined in Section D.1 above. </w:t>
      </w:r>
    </w:p>
    <w:p w14:paraId="0A1FAE7A" w14:textId="689D0E20" w:rsidR="001F26A6" w:rsidRPr="00060D11" w:rsidRDefault="000B0336" w:rsidP="004E780D">
      <w:pPr>
        <w:spacing w:after="120" w:line="276" w:lineRule="auto"/>
        <w:rPr>
          <w:rFonts w:cstheme="majorHAnsi"/>
          <w:b/>
          <w:bCs/>
        </w:rPr>
      </w:pPr>
      <w:r w:rsidRPr="00060D11">
        <w:rPr>
          <w:rFonts w:cstheme="majorHAnsi"/>
          <w:b/>
          <w:bCs/>
        </w:rPr>
        <w:t>Working in and through government systems</w:t>
      </w:r>
    </w:p>
    <w:p w14:paraId="7C753C95" w14:textId="78CE09CF" w:rsidR="001F26A6" w:rsidRPr="00060D11" w:rsidRDefault="001F26A6" w:rsidP="004E780D">
      <w:pPr>
        <w:spacing w:after="120" w:line="276" w:lineRule="auto"/>
      </w:pPr>
      <w:r w:rsidRPr="00060D11">
        <w:rPr>
          <w:rFonts w:cstheme="minorHAnsi"/>
        </w:rPr>
        <w:t xml:space="preserve">While the PIE will use a </w:t>
      </w:r>
      <w:r w:rsidR="005662DB" w:rsidRPr="00060D11">
        <w:rPr>
          <w:rFonts w:cstheme="minorHAnsi"/>
        </w:rPr>
        <w:t>managing contractor</w:t>
      </w:r>
      <w:r w:rsidRPr="00060D11">
        <w:rPr>
          <w:rFonts w:cstheme="minorHAnsi"/>
        </w:rPr>
        <w:t xml:space="preserve"> model, every attempt will be made to integrate the work of the contracted entity with </w:t>
      </w:r>
      <w:r w:rsidR="004F62A5" w:rsidRPr="00060D11">
        <w:rPr>
          <w:rFonts w:cstheme="minorHAnsi"/>
        </w:rPr>
        <w:t>NDoE</w:t>
      </w:r>
      <w:r w:rsidR="008315A7" w:rsidRPr="00060D11">
        <w:rPr>
          <w:rFonts w:cstheme="minorHAnsi"/>
        </w:rPr>
        <w:t>, DHERST</w:t>
      </w:r>
      <w:r w:rsidRPr="00060D11">
        <w:rPr>
          <w:rFonts w:cstheme="minorHAnsi"/>
        </w:rPr>
        <w:t xml:space="preserve"> and </w:t>
      </w:r>
      <w:r w:rsidR="004F62A5" w:rsidRPr="00060D11">
        <w:rPr>
          <w:rFonts w:cstheme="minorHAnsi"/>
        </w:rPr>
        <w:t>PDoE</w:t>
      </w:r>
      <w:r w:rsidRPr="00060D11">
        <w:rPr>
          <w:rFonts w:cstheme="minorHAnsi"/>
        </w:rPr>
        <w:t xml:space="preserve"> people, systems and networks. This will be achieved in a number of ways.</w:t>
      </w:r>
    </w:p>
    <w:p w14:paraId="38A21E29" w14:textId="329CD894" w:rsidR="001F26A6" w:rsidRPr="00060D11" w:rsidRDefault="001F26A6" w:rsidP="004E780D">
      <w:pPr>
        <w:spacing w:after="120" w:line="276" w:lineRule="auto"/>
      </w:pPr>
      <w:bookmarkStart w:id="56" w:name="_Hlk72996115"/>
      <w:r w:rsidRPr="00060D11">
        <w:t xml:space="preserve">First, </w:t>
      </w:r>
      <w:r w:rsidRPr="00060D11">
        <w:rPr>
          <w:b/>
          <w:bCs/>
          <w:i/>
          <w:iCs/>
        </w:rPr>
        <w:t xml:space="preserve">placement of the Team Leader and MERL adviser position within </w:t>
      </w:r>
      <w:r w:rsidR="004F62A5" w:rsidRPr="00060D11">
        <w:rPr>
          <w:b/>
          <w:bCs/>
          <w:i/>
          <w:iCs/>
        </w:rPr>
        <w:t>NDoE</w:t>
      </w:r>
      <w:r w:rsidRPr="00060D11">
        <w:rPr>
          <w:b/>
          <w:bCs/>
          <w:i/>
          <w:iCs/>
        </w:rPr>
        <w:t xml:space="preserve">. </w:t>
      </w:r>
      <w:r w:rsidRPr="00060D11">
        <w:t xml:space="preserve">While a separate </w:t>
      </w:r>
      <w:r w:rsidR="005662DB" w:rsidRPr="00060D11">
        <w:t>managing contractor</w:t>
      </w:r>
      <w:r w:rsidRPr="00060D11">
        <w:t xml:space="preserve"> office will provide useful benefits for mobilising and supporting long and short</w:t>
      </w:r>
      <w:r w:rsidR="00186B2A" w:rsidRPr="00060D11">
        <w:t>-</w:t>
      </w:r>
      <w:r w:rsidRPr="00060D11">
        <w:t>term advisers</w:t>
      </w:r>
      <w:r w:rsidR="00186B2A" w:rsidRPr="00060D11">
        <w:t xml:space="preserve"> (LTAs and STAs)</w:t>
      </w:r>
      <w:r w:rsidRPr="00060D11">
        <w:t xml:space="preserve">, </w:t>
      </w:r>
      <w:r w:rsidR="004F62A5" w:rsidRPr="00060D11">
        <w:t>NDoE</w:t>
      </w:r>
      <w:r w:rsidRPr="00060D11">
        <w:t xml:space="preserve"> has strongly expressed their view that placement of the Team Leader and MERL positions within </w:t>
      </w:r>
      <w:r w:rsidR="004F62A5" w:rsidRPr="00060D11">
        <w:t>NDoE</w:t>
      </w:r>
      <w:r w:rsidRPr="00060D11">
        <w:t xml:space="preserve"> will improve relations with </w:t>
      </w:r>
      <w:r w:rsidR="004F62A5" w:rsidRPr="00060D11">
        <w:t>NDoE</w:t>
      </w:r>
      <w:r w:rsidRPr="00060D11">
        <w:t xml:space="preserve"> staff and improve the effectiveness of these positions. </w:t>
      </w:r>
      <w:r w:rsidR="004F62A5" w:rsidRPr="00060D11">
        <w:t>NDoE</w:t>
      </w:r>
      <w:r w:rsidRPr="00060D11">
        <w:t xml:space="preserve"> has also indicated that space can be made available for these positions. Embedding these positions in </w:t>
      </w:r>
      <w:r w:rsidR="004F62A5" w:rsidRPr="00060D11">
        <w:t>NDoE</w:t>
      </w:r>
      <w:r w:rsidRPr="00060D11">
        <w:t xml:space="preserve"> will provide</w:t>
      </w:r>
      <w:r w:rsidR="009779F4" w:rsidRPr="00060D11">
        <w:t xml:space="preserve"> Australian High Commission</w:t>
      </w:r>
      <w:r w:rsidRPr="00060D11">
        <w:t xml:space="preserve"> </w:t>
      </w:r>
      <w:r w:rsidR="009779F4" w:rsidRPr="00060D11">
        <w:t>(</w:t>
      </w:r>
      <w:r w:rsidRPr="00060D11">
        <w:t>AHC</w:t>
      </w:r>
      <w:r w:rsidR="009252DA" w:rsidRPr="00060D11">
        <w:t>)</w:t>
      </w:r>
      <w:r w:rsidRPr="00060D11">
        <w:t xml:space="preserve"> with direct insight into efforts to roll-out the NEP and a mechanism for determining where and when to engage to influence policy choices. </w:t>
      </w:r>
    </w:p>
    <w:p w14:paraId="3E6BD274" w14:textId="1F8BFBEF" w:rsidR="001F26A6" w:rsidRPr="00060D11" w:rsidRDefault="001F26A6" w:rsidP="004E780D">
      <w:pPr>
        <w:spacing w:after="120" w:line="276" w:lineRule="auto"/>
        <w:rPr>
          <w:rFonts w:cstheme="minorHAnsi"/>
        </w:rPr>
      </w:pPr>
      <w:r w:rsidRPr="00060D11">
        <w:t xml:space="preserve">Second, </w:t>
      </w:r>
      <w:r w:rsidRPr="00060D11">
        <w:rPr>
          <w:b/>
          <w:bCs/>
          <w:i/>
          <w:iCs/>
        </w:rPr>
        <w:t xml:space="preserve">placement of Provincial Managers/Activity </w:t>
      </w:r>
      <w:r w:rsidR="00582E96" w:rsidRPr="00060D11">
        <w:rPr>
          <w:b/>
          <w:bCs/>
          <w:i/>
          <w:iCs/>
        </w:rPr>
        <w:t xml:space="preserve">Support </w:t>
      </w:r>
      <w:r w:rsidRPr="00060D11">
        <w:rPr>
          <w:b/>
          <w:bCs/>
          <w:i/>
          <w:iCs/>
        </w:rPr>
        <w:t xml:space="preserve">Coordinators in the </w:t>
      </w:r>
      <w:r w:rsidR="004F62A5" w:rsidRPr="00060D11">
        <w:rPr>
          <w:b/>
          <w:bCs/>
          <w:i/>
          <w:iCs/>
        </w:rPr>
        <w:t>PDoE</w:t>
      </w:r>
      <w:r w:rsidRPr="00060D11">
        <w:rPr>
          <w:b/>
          <w:bCs/>
          <w:i/>
          <w:iCs/>
        </w:rPr>
        <w:t xml:space="preserve"> offices in targeted provinces.</w:t>
      </w:r>
      <w:r w:rsidRPr="00060D11">
        <w:t xml:space="preserve"> Again, this role will be supported by the </w:t>
      </w:r>
      <w:r w:rsidR="005662DB" w:rsidRPr="00060D11">
        <w:t>managing contractor</w:t>
      </w:r>
      <w:r w:rsidRPr="00060D11">
        <w:t>, but based in the provincial offices in targeted provinces to improve both the development of relationships and the effectiveness of their support. The two initial targeted provinces have indicated that space is available to accommodate these positions. However, additional support (e.g.</w:t>
      </w:r>
      <w:r w:rsidR="00800056" w:rsidRPr="00060D11">
        <w:t>,</w:t>
      </w:r>
      <w:r w:rsidRPr="00060D11">
        <w:t xml:space="preserve"> computers, etc.) will be required from PIE. Further discussions will be required with the additional two provinces.</w:t>
      </w:r>
    </w:p>
    <w:p w14:paraId="49757186" w14:textId="4B9C4C73" w:rsidR="001F26A6" w:rsidRPr="00060D11" w:rsidRDefault="001F26A6" w:rsidP="004E780D">
      <w:pPr>
        <w:spacing w:after="120" w:line="276" w:lineRule="auto"/>
      </w:pPr>
      <w:r w:rsidRPr="00060D11">
        <w:t xml:space="preserve">Third, </w:t>
      </w:r>
      <w:r w:rsidRPr="00060D11">
        <w:rPr>
          <w:b/>
          <w:bCs/>
          <w:i/>
          <w:iCs/>
        </w:rPr>
        <w:t xml:space="preserve">establishment of separate </w:t>
      </w:r>
      <w:r w:rsidR="005662DB" w:rsidRPr="00060D11">
        <w:rPr>
          <w:b/>
          <w:bCs/>
          <w:i/>
          <w:iCs/>
        </w:rPr>
        <w:t>managing contractor</w:t>
      </w:r>
      <w:r w:rsidRPr="00060D11">
        <w:rPr>
          <w:b/>
          <w:bCs/>
          <w:i/>
          <w:iCs/>
        </w:rPr>
        <w:t xml:space="preserve"> office to provide support to </w:t>
      </w:r>
      <w:r w:rsidR="00E83E53" w:rsidRPr="00060D11">
        <w:rPr>
          <w:b/>
          <w:bCs/>
          <w:i/>
          <w:iCs/>
        </w:rPr>
        <w:t>long- and short-term</w:t>
      </w:r>
      <w:r w:rsidRPr="00060D11">
        <w:rPr>
          <w:b/>
          <w:bCs/>
          <w:i/>
          <w:iCs/>
        </w:rPr>
        <w:t xml:space="preserve"> technical advisers and facilitate a range of inputs to NDoE and the PDoEs.</w:t>
      </w:r>
      <w:r w:rsidRPr="00060D11">
        <w:t xml:space="preserve"> This office will recruit, supply and (jointly) monitor and report upon the work of long and short-term personnel. </w:t>
      </w:r>
      <w:r w:rsidR="00186B2A" w:rsidRPr="00060D11">
        <w:t>LTA</w:t>
      </w:r>
      <w:r w:rsidRPr="00060D11">
        <w:t xml:space="preserve"> and </w:t>
      </w:r>
      <w:r w:rsidR="00186B2A" w:rsidRPr="00060D11">
        <w:t>STA</w:t>
      </w:r>
      <w:r w:rsidRPr="00060D11">
        <w:t xml:space="preserve"> inputs would be coordinated and supervised by the T</w:t>
      </w:r>
      <w:r w:rsidR="00567DFA" w:rsidRPr="00060D11">
        <w:t xml:space="preserve">eam </w:t>
      </w:r>
      <w:r w:rsidRPr="00060D11">
        <w:t>L</w:t>
      </w:r>
      <w:r w:rsidR="00567DFA" w:rsidRPr="00060D11">
        <w:t>eader</w:t>
      </w:r>
      <w:r w:rsidRPr="00060D11">
        <w:t xml:space="preserve"> and be supplied within the context of agreed PIE Activity Support Plans, consolidated into PDoE/NDoE approved </w:t>
      </w:r>
      <w:r w:rsidR="00A96E2A" w:rsidRPr="00060D11">
        <w:t>AAP</w:t>
      </w:r>
      <w:r w:rsidRPr="00060D11">
        <w:t xml:space="preserve">. </w:t>
      </w:r>
    </w:p>
    <w:p w14:paraId="46EDC4A8" w14:textId="19DD1A1C" w:rsidR="006C3F92" w:rsidRPr="00060D11" w:rsidRDefault="001F26A6" w:rsidP="004E780D">
      <w:pPr>
        <w:spacing w:after="120" w:line="276" w:lineRule="auto"/>
        <w:rPr>
          <w:rFonts w:cstheme="minorHAnsi"/>
        </w:rPr>
      </w:pPr>
      <w:r w:rsidRPr="00060D11">
        <w:rPr>
          <w:rFonts w:cstheme="minorHAnsi"/>
        </w:rPr>
        <w:t xml:space="preserve">Fourth, </w:t>
      </w:r>
      <w:r w:rsidRPr="00060D11">
        <w:rPr>
          <w:rFonts w:cstheme="minorHAnsi"/>
          <w:b/>
          <w:bCs/>
          <w:i/>
          <w:iCs/>
        </w:rPr>
        <w:t xml:space="preserve">the </w:t>
      </w:r>
      <w:r w:rsidR="005662DB" w:rsidRPr="00060D11">
        <w:rPr>
          <w:rFonts w:cstheme="minorHAnsi"/>
          <w:b/>
          <w:bCs/>
          <w:i/>
          <w:iCs/>
        </w:rPr>
        <w:t>managing contractor</w:t>
      </w:r>
      <w:r w:rsidRPr="00060D11">
        <w:rPr>
          <w:rFonts w:cstheme="minorHAnsi"/>
          <w:b/>
          <w:bCs/>
          <w:i/>
          <w:iCs/>
        </w:rPr>
        <w:t xml:space="preserve"> sub-contracting implementing partners such as NGO and/or church agencies</w:t>
      </w:r>
      <w:r w:rsidRPr="00060D11">
        <w:rPr>
          <w:rFonts w:cstheme="minorHAnsi"/>
        </w:rPr>
        <w:t xml:space="preserve"> </w:t>
      </w:r>
      <w:r w:rsidRPr="00060D11">
        <w:rPr>
          <w:rFonts w:cstheme="minorHAnsi"/>
          <w:b/>
          <w:bCs/>
          <w:i/>
          <w:iCs/>
        </w:rPr>
        <w:t>to trial demand-side approache</w:t>
      </w:r>
      <w:r w:rsidRPr="00060D11">
        <w:rPr>
          <w:rFonts w:cstheme="minorHAnsi"/>
          <w:b/>
          <w:bCs/>
        </w:rPr>
        <w:t>s</w:t>
      </w:r>
      <w:r w:rsidRPr="00060D11">
        <w:rPr>
          <w:rFonts w:cstheme="minorHAnsi"/>
        </w:rPr>
        <w:t xml:space="preserve"> to increasing gender balanced, disability and socially inclusive enrolment/retention of children in the early grades.</w:t>
      </w:r>
    </w:p>
    <w:p w14:paraId="65EF4BFF" w14:textId="77777777" w:rsidR="006C3F92" w:rsidRPr="00060D11" w:rsidRDefault="000B0336" w:rsidP="006C3F92">
      <w:pPr>
        <w:spacing w:after="120" w:line="276" w:lineRule="auto"/>
        <w:rPr>
          <w:rFonts w:cstheme="minorHAnsi"/>
          <w:b/>
          <w:bCs/>
        </w:rPr>
      </w:pPr>
      <w:r w:rsidRPr="00060D11">
        <w:rPr>
          <w:rFonts w:cstheme="minorHAnsi"/>
          <w:b/>
          <w:bCs/>
        </w:rPr>
        <w:t>A focus on whole system strengthening</w:t>
      </w:r>
      <w:r w:rsidR="006C3F92" w:rsidRPr="00060D11">
        <w:rPr>
          <w:rFonts w:cstheme="minorHAnsi"/>
          <w:b/>
          <w:bCs/>
        </w:rPr>
        <w:t xml:space="preserve"> </w:t>
      </w:r>
    </w:p>
    <w:p w14:paraId="73EA8157" w14:textId="77777777" w:rsidR="00FC49D7" w:rsidRDefault="001F26A6" w:rsidP="006C3F92">
      <w:pPr>
        <w:spacing w:after="120" w:line="276" w:lineRule="auto"/>
        <w:rPr>
          <w:rFonts w:cstheme="minorHAnsi"/>
          <w:sz w:val="20"/>
          <w:szCs w:val="20"/>
        </w:rPr>
      </w:pPr>
      <w:r w:rsidRPr="00060D11">
        <w:rPr>
          <w:rFonts w:cstheme="minorHAnsi"/>
        </w:rPr>
        <w:t xml:space="preserve">At start-up and throughout implementation the consistent delivery approach, across all outcome areas, will be upon ‘whole system’ strengthening. Figure </w:t>
      </w:r>
      <w:r w:rsidR="00FC4782" w:rsidRPr="00060D11">
        <w:rPr>
          <w:rFonts w:cstheme="minorHAnsi"/>
        </w:rPr>
        <w:t>4</w:t>
      </w:r>
      <w:r w:rsidRPr="00060D11">
        <w:rPr>
          <w:rFonts w:cstheme="minorHAnsi"/>
        </w:rPr>
        <w:t>, below demonstrates, in graphic form, how work across all outcome areas forms part of a coherent strategy for ‘whole system’ strengthening.</w:t>
      </w:r>
      <w:r w:rsidRPr="00060D11">
        <w:br w:type="page"/>
      </w:r>
      <w:bookmarkEnd w:id="55"/>
      <w:bookmarkEnd w:id="56"/>
      <w:r w:rsidRPr="00060D11">
        <w:rPr>
          <w:rFonts w:cstheme="minorHAnsi"/>
          <w:b/>
          <w:sz w:val="20"/>
          <w:szCs w:val="20"/>
        </w:rPr>
        <w:t xml:space="preserve">Figure </w:t>
      </w:r>
      <w:r w:rsidR="00FC4782" w:rsidRPr="00DA2C7D">
        <w:rPr>
          <w:rFonts w:cstheme="minorHAnsi"/>
          <w:b/>
          <w:sz w:val="20"/>
          <w:szCs w:val="20"/>
        </w:rPr>
        <w:t>4</w:t>
      </w:r>
      <w:r w:rsidRPr="00DA2C7D">
        <w:rPr>
          <w:rFonts w:cstheme="minorHAnsi"/>
          <w:b/>
          <w:sz w:val="20"/>
          <w:szCs w:val="20"/>
        </w:rPr>
        <w:t xml:space="preserve">: </w:t>
      </w:r>
      <w:r w:rsidR="00DA2C7D" w:rsidRPr="00DA2C7D">
        <w:rPr>
          <w:rFonts w:cstheme="minorHAnsi"/>
          <w:b/>
          <w:sz w:val="20"/>
          <w:szCs w:val="20"/>
        </w:rPr>
        <w:t xml:space="preserve"> </w:t>
      </w:r>
      <w:r w:rsidRPr="00DA2C7D">
        <w:rPr>
          <w:rFonts w:cstheme="minorHAnsi"/>
          <w:b/>
          <w:bCs/>
          <w:sz w:val="20"/>
          <w:szCs w:val="20"/>
        </w:rPr>
        <w:t>Program</w:t>
      </w:r>
      <w:r w:rsidRPr="00060D11">
        <w:rPr>
          <w:rFonts w:cstheme="minorHAnsi"/>
          <w:b/>
          <w:bCs/>
          <w:sz w:val="20"/>
          <w:szCs w:val="20"/>
        </w:rPr>
        <w:t xml:space="preserve"> S</w:t>
      </w:r>
      <w:r w:rsidRPr="00DA2C7D">
        <w:rPr>
          <w:rFonts w:cstheme="minorHAnsi"/>
          <w:b/>
          <w:bCs/>
          <w:sz w:val="20"/>
          <w:szCs w:val="20"/>
        </w:rPr>
        <w:t>trategy</w:t>
      </w:r>
      <w:r w:rsidRPr="00DA2C7D">
        <w:rPr>
          <w:rFonts w:cstheme="minorHAnsi"/>
          <w:b/>
          <w:sz w:val="20"/>
          <w:szCs w:val="20"/>
        </w:rPr>
        <w:t xml:space="preserve"> - Improving</w:t>
      </w:r>
      <w:r w:rsidRPr="00060D11">
        <w:rPr>
          <w:rFonts w:cstheme="minorHAnsi"/>
          <w:b/>
          <w:sz w:val="20"/>
          <w:szCs w:val="20"/>
        </w:rPr>
        <w:t xml:space="preserve"> Early School Education (PIE)</w:t>
      </w:r>
      <w:r w:rsidRPr="00060D11">
        <w:rPr>
          <w:rFonts w:cstheme="minorHAnsi"/>
          <w:sz w:val="20"/>
          <w:szCs w:val="20"/>
        </w:rPr>
        <w:t xml:space="preserve"> </w:t>
      </w:r>
    </w:p>
    <w:p w14:paraId="4419F8EB" w14:textId="3C76A819" w:rsidR="001F26A6" w:rsidRPr="00060D11" w:rsidRDefault="00FC49D7" w:rsidP="006C3F92">
      <w:pPr>
        <w:spacing w:after="120" w:line="276" w:lineRule="auto"/>
        <w:rPr>
          <w:rFonts w:cstheme="minorHAnsi"/>
          <w:b/>
          <w:bCs/>
        </w:rPr>
      </w:pPr>
      <w:r>
        <w:rPr>
          <w:noProof/>
        </w:rPr>
        <mc:AlternateContent>
          <mc:Choice Requires="wps">
            <w:drawing>
              <wp:anchor distT="0" distB="0" distL="114300" distR="114300" simplePos="0" relativeHeight="251772928" behindDoc="0" locked="0" layoutInCell="1" allowOverlap="1" wp14:anchorId="62CD5B5F" wp14:editId="7252D665">
                <wp:simplePos x="0" y="0"/>
                <wp:positionH relativeFrom="column">
                  <wp:posOffset>4510405</wp:posOffset>
                </wp:positionH>
                <wp:positionV relativeFrom="paragraph">
                  <wp:posOffset>6191885</wp:posOffset>
                </wp:positionV>
                <wp:extent cx="45719" cy="281940"/>
                <wp:effectExtent l="57150" t="19050" r="31115" b="41910"/>
                <wp:wrapNone/>
                <wp:docPr id="498" name="Straight Arrow Connector 4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281940"/>
                        </a:xfrm>
                        <a:prstGeom prst="straightConnector1">
                          <a:avLst/>
                        </a:prstGeom>
                        <a:ln w="76200">
                          <a:solidFill>
                            <a:srgbClr val="007C8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AA00B5" id="_x0000_t32" coordsize="21600,21600" o:spt="32" o:oned="t" path="m,l21600,21600e" filled="f">
                <v:path arrowok="t" fillok="f" o:connecttype="none"/>
                <o:lock v:ext="edit" shapetype="t"/>
              </v:shapetype>
              <v:shape id="Straight Arrow Connector 498" o:spid="_x0000_s1026" type="#_x0000_t32" alt="&quot;&quot;" style="position:absolute;margin-left:355.15pt;margin-top:487.55pt;width:3.6pt;height:22.2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" strokecolor="#007c89" strokeweight="6pt">
                <v:stroke endarrow="block" joinstyle="miter"/>
                <o:lock v:ext="edit" shapetype="f"/>
              </v:shape>
            </w:pict>
          </mc:Fallback>
        </mc:AlternateContent>
      </w:r>
      <w:r>
        <w:rPr>
          <w:rFonts w:cstheme="minorHAnsi"/>
          <w:noProof/>
        </w:rPr>
        <mc:AlternateContent>
          <mc:Choice Requires="wpg">
            <w:drawing>
              <wp:inline distT="0" distB="0" distL="0" distR="0" wp14:anchorId="4050EC82" wp14:editId="0E633A5A">
                <wp:extent cx="5731510" cy="8503920"/>
                <wp:effectExtent l="0" t="0" r="21590" b="11430"/>
                <wp:docPr id="5" name="Group 5" descr="Figure 4, Program Strategy, shows how work across all outcome areas forms part of a coherent strategy for whole system strengthening. It includes six components:&#10;A. Creating the foundations for change&#10;B. Design, innovation and adaptive management&#10;C. Preparation&#10;D. Enabling Partners&#10;E. Piloting Approaches&#10;F. System Improvement&#10;to achieve the outcome of school aged children in selected provinces have equal access to education, and the support of well-trained teachers and schools to enable quality learning to take place"/>
                <wp:cNvGraphicFramePr/>
                <a:graphic xmlns:a="http://schemas.openxmlformats.org/drawingml/2006/main">
                  <a:graphicData uri="http://schemas.microsoft.com/office/word/2010/wordprocessingGroup">
                    <wpg:wgp>
                      <wpg:cNvGrpSpPr/>
                      <wpg:grpSpPr>
                        <a:xfrm>
                          <a:off x="0" y="0"/>
                          <a:ext cx="5731510" cy="8503920"/>
                          <a:chOff x="15240" y="0"/>
                          <a:chExt cx="6682740" cy="9634992"/>
                        </a:xfrm>
                      </wpg:grpSpPr>
                      <wps:wsp>
                        <wps:cNvPr id="19" name="Text Box 19"/>
                        <wps:cNvSpPr txBox="1">
                          <a:spLocks/>
                        </wps:cNvSpPr>
                        <wps:spPr>
                          <a:xfrm>
                            <a:off x="15240" y="9025392"/>
                            <a:ext cx="6682740" cy="609600"/>
                          </a:xfrm>
                          <a:prstGeom prst="roundRect">
                            <a:avLst>
                              <a:gd name="adj" fmla="val 0"/>
                            </a:avLst>
                          </a:prstGeom>
                          <a:gradFill flip="none" rotWithShape="1">
                            <a:gsLst>
                              <a:gs pos="0">
                                <a:srgbClr val="007C89">
                                  <a:tint val="66000"/>
                                  <a:satMod val="160000"/>
                                </a:srgbClr>
                              </a:gs>
                              <a:gs pos="50000">
                                <a:srgbClr val="007C89">
                                  <a:tint val="44500"/>
                                  <a:satMod val="160000"/>
                                </a:srgbClr>
                              </a:gs>
                              <a:gs pos="100000">
                                <a:srgbClr val="007C89">
                                  <a:tint val="23500"/>
                                  <a:satMod val="160000"/>
                                </a:srgbClr>
                              </a:gs>
                            </a:gsLst>
                            <a:lin ang="2700000" scaled="1"/>
                            <a:tileRect/>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70CC49" w14:textId="77777777" w:rsidR="00F96637" w:rsidRPr="004A60AE" w:rsidRDefault="00F96637" w:rsidP="00FC49D7">
                              <w:pPr>
                                <w:rPr>
                                  <w:rFonts w:ascii="Arial Narrow" w:hAnsi="Arial Narrow"/>
                                  <w:sz w:val="18"/>
                                  <w:szCs w:val="18"/>
                                </w:rPr>
                              </w:pPr>
                              <w:r w:rsidRPr="0078740D">
                                <w:rPr>
                                  <w:rFonts w:ascii="Arial Narrow" w:hAnsi="Arial Narrow"/>
                                  <w:b/>
                                  <w:bCs/>
                                  <w:sz w:val="18"/>
                                  <w:szCs w:val="18"/>
                                </w:rPr>
                                <w:t>Whole system strengthening results in improved equity in the attainment of quality basic education.  This refers to immediate benefits (aggregate results) as well as increased functional capacity and sustainability of the whole system to deliver these services in the medium and long term, even in the face of conflict, reducing risk and</w:t>
                              </w:r>
                              <w:r w:rsidRPr="004A60AE">
                                <w:rPr>
                                  <w:rFonts w:ascii="Arial Narrow" w:hAnsi="Arial Narrow"/>
                                  <w:sz w:val="18"/>
                                  <w:szCs w:val="18"/>
                                </w:rPr>
                                <w:t xml:space="preserve"> </w:t>
                              </w:r>
                              <w:r w:rsidRPr="00391C72">
                                <w:rPr>
                                  <w:rFonts w:ascii="Arial Narrow" w:hAnsi="Arial Narrow"/>
                                  <w:b/>
                                  <w:bCs/>
                                  <w:sz w:val="18"/>
                                  <w:szCs w:val="18"/>
                                </w:rPr>
                                <w:t>building resilience</w:t>
                              </w:r>
                              <w:r w:rsidRPr="004A60AE">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3" name="Text Box 453"/>
                        <wps:cNvSpPr txBox="1">
                          <a:spLocks/>
                        </wps:cNvSpPr>
                        <wps:spPr>
                          <a:xfrm>
                            <a:off x="15240" y="0"/>
                            <a:ext cx="6106092" cy="10092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F60AFB" w14:textId="77777777" w:rsidR="00F96637" w:rsidRPr="00C70F5C" w:rsidRDefault="00F96637" w:rsidP="00FC49D7">
                              <w:pPr>
                                <w:pStyle w:val="ListParagraph"/>
                                <w:numPr>
                                  <w:ilvl w:val="0"/>
                                  <w:numId w:val="69"/>
                                </w:numPr>
                                <w:tabs>
                                  <w:tab w:val="left" w:pos="3119"/>
                                  <w:tab w:val="left" w:pos="5103"/>
                                </w:tabs>
                                <w:ind w:left="567" w:hanging="283"/>
                                <w:rPr>
                                  <w:sz w:val="24"/>
                                  <w:szCs w:val="32"/>
                                </w:rPr>
                              </w:pPr>
                              <w:r w:rsidRPr="00C70F5C">
                                <w:rPr>
                                  <w:sz w:val="24"/>
                                  <w:szCs w:val="32"/>
                                </w:rPr>
                                <w:t>Creating the foundations for change</w:t>
                              </w:r>
                            </w:p>
                            <w:p w14:paraId="7A0FF7C0" w14:textId="77777777" w:rsidR="00F96637" w:rsidRPr="004A60AE" w:rsidRDefault="00F96637" w:rsidP="00FC49D7">
                              <w:pPr>
                                <w:pStyle w:val="ListParagraph"/>
                                <w:numPr>
                                  <w:ilvl w:val="0"/>
                                  <w:numId w:val="21"/>
                                </w:numPr>
                                <w:tabs>
                                  <w:tab w:val="left" w:pos="3119"/>
                                  <w:tab w:val="left" w:pos="5103"/>
                                </w:tabs>
                                <w:spacing w:line="240" w:lineRule="auto"/>
                                <w:rPr>
                                  <w:sz w:val="18"/>
                                  <w:szCs w:val="18"/>
                                </w:rPr>
                              </w:pPr>
                              <w:r w:rsidRPr="004A60AE">
                                <w:rPr>
                                  <w:b/>
                                  <w:i/>
                                  <w:sz w:val="18"/>
                                  <w:szCs w:val="18"/>
                                </w:rPr>
                                <w:t>Understanding the problem</w:t>
                              </w:r>
                              <w:r w:rsidRPr="004A60AE">
                                <w:rPr>
                                  <w:sz w:val="18"/>
                                  <w:szCs w:val="18"/>
                                </w:rPr>
                                <w:t>: Baseline research</w:t>
                              </w:r>
                            </w:p>
                            <w:p w14:paraId="51A08646" w14:textId="77777777" w:rsidR="00F96637" w:rsidRPr="004A60AE" w:rsidRDefault="00F96637" w:rsidP="00FC49D7">
                              <w:pPr>
                                <w:pStyle w:val="ListParagraph"/>
                                <w:numPr>
                                  <w:ilvl w:val="0"/>
                                  <w:numId w:val="21"/>
                                </w:numPr>
                                <w:tabs>
                                  <w:tab w:val="left" w:pos="5103"/>
                                </w:tabs>
                                <w:spacing w:line="240" w:lineRule="auto"/>
                                <w:rPr>
                                  <w:sz w:val="18"/>
                                  <w:szCs w:val="18"/>
                                </w:rPr>
                              </w:pPr>
                              <w:r w:rsidRPr="004A60AE">
                                <w:rPr>
                                  <w:b/>
                                  <w:i/>
                                  <w:sz w:val="18"/>
                                  <w:szCs w:val="18"/>
                                </w:rPr>
                                <w:t>Understanding current responses</w:t>
                              </w:r>
                              <w:r w:rsidRPr="004A60AE">
                                <w:rPr>
                                  <w:sz w:val="18"/>
                                  <w:szCs w:val="18"/>
                                </w:rPr>
                                <w:t>:  Mapping current government, church and international donor responses.</w:t>
                              </w:r>
                            </w:p>
                            <w:p w14:paraId="164C04AC" w14:textId="77777777" w:rsidR="00F96637" w:rsidRPr="004A60AE" w:rsidRDefault="00F96637" w:rsidP="00FC49D7">
                              <w:pPr>
                                <w:pStyle w:val="ListParagraph"/>
                                <w:numPr>
                                  <w:ilvl w:val="0"/>
                                  <w:numId w:val="21"/>
                                </w:numPr>
                                <w:tabs>
                                  <w:tab w:val="left" w:pos="5103"/>
                                </w:tabs>
                                <w:spacing w:line="240" w:lineRule="auto"/>
                                <w:rPr>
                                  <w:sz w:val="18"/>
                                  <w:szCs w:val="18"/>
                                </w:rPr>
                              </w:pPr>
                              <w:r w:rsidRPr="004A60AE">
                                <w:rPr>
                                  <w:b/>
                                  <w:i/>
                                  <w:sz w:val="18"/>
                                  <w:szCs w:val="18"/>
                                </w:rPr>
                                <w:t>Building government / church / community commitment</w:t>
                              </w:r>
                              <w:r w:rsidRPr="004A60AE">
                                <w:rPr>
                                  <w:i/>
                                  <w:sz w:val="18"/>
                                  <w:szCs w:val="18"/>
                                </w:rPr>
                                <w:t xml:space="preserve"> </w:t>
                              </w:r>
                              <w:r w:rsidRPr="004A60AE">
                                <w:rPr>
                                  <w:sz w:val="18"/>
                                  <w:szCs w:val="18"/>
                                </w:rPr>
                                <w:t>to working together to develop a strong and integrated system of response to improve access (NEP2), equity (NEP 3), teacher</w:t>
                              </w:r>
                              <w:r w:rsidRPr="00C70F5C">
                                <w:rPr>
                                  <w:rFonts w:ascii="Arial Narrow" w:hAnsi="Arial Narrow"/>
                                  <w:sz w:val="18"/>
                                  <w:szCs w:val="18"/>
                                </w:rPr>
                                <w:t>s and teaching (NEP4) and partnership and management (NEP 7 &amp;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0" name="Straight Connector 480"/>
                        <wps:cNvCnPr>
                          <a:cxnSpLocks/>
                        </wps:cNvCnPr>
                        <wps:spPr>
                          <a:xfrm>
                            <a:off x="205740" y="1005840"/>
                            <a:ext cx="0" cy="1036484"/>
                          </a:xfrm>
                          <a:prstGeom prst="line">
                            <a:avLst/>
                          </a:prstGeom>
                          <a:ln w="76200">
                            <a:solidFill>
                              <a:srgbClr val="007C89"/>
                            </a:solidFill>
                          </a:ln>
                        </wps:spPr>
                        <wps:style>
                          <a:lnRef idx="1">
                            <a:schemeClr val="accent1"/>
                          </a:lnRef>
                          <a:fillRef idx="0">
                            <a:schemeClr val="accent1"/>
                          </a:fillRef>
                          <a:effectRef idx="0">
                            <a:schemeClr val="accent1"/>
                          </a:effectRef>
                          <a:fontRef idx="minor">
                            <a:schemeClr val="tx1"/>
                          </a:fontRef>
                        </wps:style>
                        <wps:bodyPr/>
                      </wps:wsp>
                      <wps:wsp>
                        <wps:cNvPr id="481" name="Text Box 481"/>
                        <wps:cNvSpPr txBox="1">
                          <a:spLocks/>
                        </wps:cNvSpPr>
                        <wps:spPr>
                          <a:xfrm>
                            <a:off x="746760" y="1356360"/>
                            <a:ext cx="1457325" cy="243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051ED" w14:textId="77777777" w:rsidR="00F96637" w:rsidRPr="00C70F5C" w:rsidRDefault="00F96637" w:rsidP="00FC49D7">
                              <w:pPr>
                                <w:spacing w:line="259" w:lineRule="auto"/>
                                <w:ind w:left="284" w:hanging="284"/>
                                <w:rPr>
                                  <w:sz w:val="24"/>
                                  <w:szCs w:val="24"/>
                                </w:rPr>
                              </w:pPr>
                              <w:r w:rsidRPr="00C70F5C">
                                <w:rPr>
                                  <w:sz w:val="24"/>
                                  <w:szCs w:val="24"/>
                                </w:rPr>
                                <w:t>C. Preparation</w:t>
                              </w:r>
                            </w:p>
                            <w:p w14:paraId="2343BC67" w14:textId="77777777" w:rsidR="00F96637" w:rsidRPr="00C70F5C" w:rsidRDefault="00F96637" w:rsidP="00FC49D7">
                              <w:pPr>
                                <w:pStyle w:val="ListParagraph"/>
                                <w:numPr>
                                  <w:ilvl w:val="0"/>
                                  <w:numId w:val="18"/>
                                </w:numPr>
                                <w:spacing w:after="160" w:line="259" w:lineRule="auto"/>
                                <w:ind w:left="284" w:hanging="284"/>
                                <w:rPr>
                                  <w:rFonts w:cstheme="minorHAnsi"/>
                                  <w:sz w:val="18"/>
                                  <w:szCs w:val="18"/>
                                </w:rPr>
                              </w:pPr>
                              <w:r w:rsidRPr="00C70F5C">
                                <w:rPr>
                                  <w:rFonts w:cstheme="minorHAnsi"/>
                                  <w:b/>
                                  <w:i/>
                                  <w:sz w:val="18"/>
                                  <w:szCs w:val="18"/>
                                </w:rPr>
                                <w:t>Building partnerships</w:t>
                              </w:r>
                              <w:r w:rsidRPr="00C70F5C">
                                <w:rPr>
                                  <w:rFonts w:cstheme="minorHAnsi"/>
                                  <w:sz w:val="18"/>
                                  <w:szCs w:val="18"/>
                                </w:rPr>
                                <w:t xml:space="preserve"> </w:t>
                              </w:r>
                            </w:p>
                            <w:p w14:paraId="789F83F2" w14:textId="77777777" w:rsidR="00F96637" w:rsidRPr="00C70F5C" w:rsidRDefault="00F96637" w:rsidP="00FC49D7">
                              <w:pPr>
                                <w:pStyle w:val="ListParagraph"/>
                                <w:ind w:left="284"/>
                                <w:rPr>
                                  <w:rFonts w:cstheme="minorHAnsi"/>
                                  <w:sz w:val="18"/>
                                  <w:szCs w:val="18"/>
                                </w:rPr>
                              </w:pPr>
                              <w:r w:rsidRPr="00C70F5C">
                                <w:rPr>
                                  <w:rFonts w:cstheme="minorHAnsi"/>
                                  <w:sz w:val="18"/>
                                  <w:szCs w:val="18"/>
                                </w:rPr>
                                <w:t>(Provincial and local level government and church education stakeholders)</w:t>
                              </w:r>
                            </w:p>
                            <w:p w14:paraId="1A95D486" w14:textId="77777777" w:rsidR="00F96637" w:rsidRPr="00C70F5C" w:rsidRDefault="00F96637" w:rsidP="00FC49D7">
                              <w:pPr>
                                <w:pStyle w:val="ListParagraph"/>
                                <w:ind w:left="284"/>
                                <w:rPr>
                                  <w:rFonts w:cstheme="minorHAnsi"/>
                                  <w:sz w:val="18"/>
                                  <w:szCs w:val="18"/>
                                </w:rPr>
                              </w:pPr>
                            </w:p>
                            <w:p w14:paraId="0106EB08" w14:textId="77777777" w:rsidR="00F96637" w:rsidRPr="00C70F5C" w:rsidRDefault="00F96637" w:rsidP="00FC49D7">
                              <w:pPr>
                                <w:pStyle w:val="ListParagraph"/>
                                <w:numPr>
                                  <w:ilvl w:val="0"/>
                                  <w:numId w:val="18"/>
                                </w:numPr>
                                <w:spacing w:line="240" w:lineRule="auto"/>
                                <w:ind w:left="284" w:hanging="284"/>
                                <w:rPr>
                                  <w:rFonts w:cstheme="minorHAnsi"/>
                                  <w:sz w:val="18"/>
                                  <w:szCs w:val="18"/>
                                </w:rPr>
                              </w:pPr>
                              <w:r w:rsidRPr="00C70F5C">
                                <w:rPr>
                                  <w:rFonts w:cstheme="minorHAnsi"/>
                                  <w:b/>
                                  <w:i/>
                                  <w:sz w:val="18"/>
                                  <w:szCs w:val="18"/>
                                </w:rPr>
                                <w:t xml:space="preserve">Conducting / reviewing organisational / system capacity </w:t>
                              </w:r>
                            </w:p>
                            <w:p w14:paraId="017336ED" w14:textId="77777777" w:rsidR="00F96637" w:rsidRPr="00C70F5C" w:rsidRDefault="00F96637" w:rsidP="00FC49D7">
                              <w:pPr>
                                <w:rPr>
                                  <w:rFonts w:cstheme="minorHAnsi"/>
                                  <w:sz w:val="18"/>
                                  <w:szCs w:val="18"/>
                                </w:rPr>
                              </w:pPr>
                            </w:p>
                            <w:p w14:paraId="3C0ECB3C" w14:textId="77777777" w:rsidR="00F96637" w:rsidRPr="00C70F5C" w:rsidRDefault="00F96637" w:rsidP="00FC49D7">
                              <w:pPr>
                                <w:pStyle w:val="ListParagraph"/>
                                <w:numPr>
                                  <w:ilvl w:val="0"/>
                                  <w:numId w:val="18"/>
                                </w:numPr>
                                <w:spacing w:after="160" w:line="259" w:lineRule="auto"/>
                                <w:ind w:left="284" w:hanging="284"/>
                                <w:rPr>
                                  <w:rFonts w:cstheme="minorHAnsi"/>
                                  <w:sz w:val="18"/>
                                  <w:szCs w:val="18"/>
                                </w:rPr>
                              </w:pPr>
                              <w:r w:rsidRPr="00C70F5C">
                                <w:rPr>
                                  <w:rFonts w:cstheme="minorHAnsi"/>
                                  <w:b/>
                                  <w:i/>
                                  <w:sz w:val="18"/>
                                  <w:szCs w:val="18"/>
                                </w:rPr>
                                <w:t xml:space="preserve">Building understanding </w:t>
                              </w:r>
                              <w:r w:rsidRPr="00C70F5C">
                                <w:rPr>
                                  <w:rFonts w:cstheme="minorHAnsi"/>
                                  <w:i/>
                                  <w:sz w:val="18"/>
                                  <w:szCs w:val="18"/>
                                </w:rPr>
                                <w:t>of proven models and key approaches and methodologies to build capacity.</w:t>
                              </w:r>
                            </w:p>
                            <w:p w14:paraId="1E97976C" w14:textId="77777777" w:rsidR="00F96637" w:rsidRDefault="00F96637" w:rsidP="00FC49D7">
                              <w:pPr>
                                <w:rPr>
                                  <w:rFonts w:ascii="Arial Narrow" w:hAnsi="Arial Narrow"/>
                                </w:rPr>
                              </w:pPr>
                            </w:p>
                            <w:p w14:paraId="3898D490" w14:textId="77777777" w:rsidR="00F96637" w:rsidRDefault="00F96637" w:rsidP="00FC49D7">
                              <w:pPr>
                                <w:rPr>
                                  <w:rFonts w:ascii="Arial Narrow" w:hAnsi="Arial Narrow"/>
                                </w:rPr>
                              </w:pPr>
                            </w:p>
                            <w:p w14:paraId="5A1F7958" w14:textId="77777777" w:rsidR="00F96637" w:rsidRDefault="00F96637" w:rsidP="00FC49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Straight Arrow Connector 483"/>
                        <wps:cNvCnPr>
                          <a:cxnSpLocks/>
                        </wps:cNvCnPr>
                        <wps:spPr>
                          <a:xfrm flipV="1">
                            <a:off x="190500" y="2004060"/>
                            <a:ext cx="585079" cy="12584"/>
                          </a:xfrm>
                          <a:prstGeom prst="straightConnector1">
                            <a:avLst/>
                          </a:prstGeom>
                          <a:ln w="76200">
                            <a:solidFill>
                              <a:srgbClr val="007C8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4" name="Straight Connector 484"/>
                        <wps:cNvCnPr>
                          <a:cxnSpLocks/>
                        </wps:cNvCnPr>
                        <wps:spPr>
                          <a:xfrm>
                            <a:off x="190500" y="2884170"/>
                            <a:ext cx="15017" cy="1020655"/>
                          </a:xfrm>
                          <a:prstGeom prst="line">
                            <a:avLst/>
                          </a:prstGeom>
                          <a:ln w="76200">
                            <a:solidFill>
                              <a:srgbClr val="007C89"/>
                            </a:solidFill>
                          </a:ln>
                        </wps:spPr>
                        <wps:style>
                          <a:lnRef idx="1">
                            <a:schemeClr val="accent1"/>
                          </a:lnRef>
                          <a:fillRef idx="0">
                            <a:schemeClr val="accent1"/>
                          </a:fillRef>
                          <a:effectRef idx="0">
                            <a:schemeClr val="accent1"/>
                          </a:effectRef>
                          <a:fontRef idx="minor">
                            <a:schemeClr val="tx1"/>
                          </a:fontRef>
                        </wps:style>
                        <wps:bodyPr/>
                      </wps:wsp>
                      <wps:wsp>
                        <wps:cNvPr id="485" name="Straight Arrow Connector 485"/>
                        <wps:cNvCnPr>
                          <a:cxnSpLocks/>
                        </wps:cNvCnPr>
                        <wps:spPr>
                          <a:xfrm flipV="1">
                            <a:off x="190500" y="2910840"/>
                            <a:ext cx="584453" cy="12584"/>
                          </a:xfrm>
                          <a:prstGeom prst="straightConnector1">
                            <a:avLst/>
                          </a:prstGeom>
                          <a:ln w="76200">
                            <a:solidFill>
                              <a:srgbClr val="007C8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6" name="Text Box 486"/>
                        <wps:cNvSpPr txBox="1">
                          <a:spLocks/>
                        </wps:cNvSpPr>
                        <wps:spPr>
                          <a:xfrm>
                            <a:off x="4343400" y="1356360"/>
                            <a:ext cx="1861985" cy="20970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4CAE00" w14:textId="77777777" w:rsidR="00F96637" w:rsidRPr="00C70F5C" w:rsidRDefault="00F96637" w:rsidP="00FC49D7">
                              <w:pPr>
                                <w:spacing w:line="259" w:lineRule="auto"/>
                                <w:ind w:left="284" w:hanging="284"/>
                                <w:rPr>
                                  <w:sz w:val="24"/>
                                  <w:szCs w:val="24"/>
                                </w:rPr>
                              </w:pPr>
                              <w:r w:rsidRPr="00C70F5C">
                                <w:rPr>
                                  <w:sz w:val="24"/>
                                  <w:szCs w:val="24"/>
                                </w:rPr>
                                <w:t>E. Piloting approaches</w:t>
                              </w:r>
                            </w:p>
                            <w:p w14:paraId="50BC01D4" w14:textId="77777777" w:rsidR="00F96637" w:rsidRPr="00C70F5C" w:rsidRDefault="00F96637" w:rsidP="00FC49D7">
                              <w:pPr>
                                <w:pStyle w:val="ListParagraph"/>
                                <w:numPr>
                                  <w:ilvl w:val="0"/>
                                  <w:numId w:val="17"/>
                                </w:numPr>
                                <w:spacing w:line="259" w:lineRule="auto"/>
                                <w:ind w:left="142" w:hanging="142"/>
                                <w:rPr>
                                  <w:rFonts w:cstheme="minorHAnsi"/>
                                  <w:sz w:val="18"/>
                                </w:rPr>
                              </w:pPr>
                              <w:r w:rsidRPr="00C70F5C">
                                <w:rPr>
                                  <w:rFonts w:cstheme="minorHAnsi"/>
                                  <w:sz w:val="18"/>
                                </w:rPr>
                                <w:t>Support to selected provinces to develop effective approaches to improving access, equity, teachers and teaching and local management and partnership.</w:t>
                              </w:r>
                            </w:p>
                            <w:p w14:paraId="579EF4F6" w14:textId="77777777" w:rsidR="00F96637" w:rsidRPr="00C70F5C" w:rsidRDefault="00F96637" w:rsidP="00FC49D7">
                              <w:pPr>
                                <w:pStyle w:val="ListParagraph"/>
                                <w:numPr>
                                  <w:ilvl w:val="0"/>
                                  <w:numId w:val="17"/>
                                </w:numPr>
                                <w:spacing w:line="259" w:lineRule="auto"/>
                                <w:ind w:left="142" w:hanging="142"/>
                                <w:rPr>
                                  <w:rFonts w:cstheme="minorHAnsi"/>
                                  <w:sz w:val="18"/>
                                </w:rPr>
                              </w:pPr>
                              <w:r w:rsidRPr="00C70F5C">
                                <w:rPr>
                                  <w:rFonts w:cstheme="minorHAnsi"/>
                                  <w:sz w:val="18"/>
                                </w:rPr>
                                <w:t>Supporting demand-side activities to remove barriers to enrolment and retention.</w:t>
                              </w:r>
                            </w:p>
                            <w:p w14:paraId="08285E22" w14:textId="77777777" w:rsidR="00F96637" w:rsidRPr="00C70F5C" w:rsidRDefault="00F96637" w:rsidP="00FC49D7">
                              <w:pPr>
                                <w:pStyle w:val="ListParagraph"/>
                                <w:numPr>
                                  <w:ilvl w:val="0"/>
                                  <w:numId w:val="17"/>
                                </w:numPr>
                                <w:spacing w:line="259" w:lineRule="auto"/>
                                <w:ind w:left="142" w:hanging="142"/>
                                <w:rPr>
                                  <w:rFonts w:cstheme="minorHAnsi"/>
                                  <w:sz w:val="18"/>
                                </w:rPr>
                              </w:pPr>
                              <w:r w:rsidRPr="00C70F5C">
                                <w:rPr>
                                  <w:rFonts w:cstheme="minorHAnsi"/>
                                  <w:sz w:val="18"/>
                                </w:rPr>
                                <w:t>Supporting supply-side activities to upgrade teacher knowledge and skills.</w:t>
                              </w:r>
                            </w:p>
                            <w:p w14:paraId="0FAFECE3" w14:textId="77777777" w:rsidR="00F96637" w:rsidRPr="004A60AE" w:rsidRDefault="00F96637" w:rsidP="00FC49D7">
                              <w:pPr>
                                <w:pStyle w:val="ListParagraph"/>
                                <w:numPr>
                                  <w:ilvl w:val="0"/>
                                  <w:numId w:val="17"/>
                                </w:numPr>
                                <w:spacing w:line="259" w:lineRule="auto"/>
                                <w:ind w:left="142" w:hanging="142"/>
                                <w:rPr>
                                  <w:rFonts w:ascii="Arial Narrow" w:hAnsi="Arial Narrow"/>
                                  <w:sz w:val="18"/>
                                </w:rPr>
                              </w:pPr>
                              <w:r w:rsidRPr="004A60AE">
                                <w:rPr>
                                  <w:rFonts w:ascii="Arial Narrow" w:hAnsi="Arial Narrow"/>
                                  <w:sz w:val="18"/>
                                </w:rPr>
                                <w:t>Testing implementation monitoring tools (</w:t>
                              </w:r>
                              <w:r>
                                <w:rPr>
                                  <w:rFonts w:ascii="Arial Narrow" w:hAnsi="Arial Narrow"/>
                                  <w:i/>
                                  <w:iCs/>
                                  <w:sz w:val="18"/>
                                </w:rPr>
                                <w:t>what works and what does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7" name="Text Box 487"/>
                        <wps:cNvSpPr txBox="1">
                          <a:spLocks/>
                        </wps:cNvSpPr>
                        <wps:spPr>
                          <a:xfrm>
                            <a:off x="2522220" y="1356038"/>
                            <a:ext cx="1498474" cy="6195662"/>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F87A38B" w14:textId="77777777" w:rsidR="00F96637" w:rsidRPr="00C70F5C" w:rsidRDefault="00F96637" w:rsidP="00FC49D7">
                              <w:pPr>
                                <w:spacing w:line="259" w:lineRule="auto"/>
                                <w:ind w:left="284" w:hanging="284"/>
                                <w:rPr>
                                  <w:sz w:val="24"/>
                                  <w:szCs w:val="24"/>
                                </w:rPr>
                              </w:pPr>
                              <w:r w:rsidRPr="00C70F5C">
                                <w:rPr>
                                  <w:sz w:val="24"/>
                                  <w:szCs w:val="24"/>
                                </w:rPr>
                                <w:t xml:space="preserve">D. Enabling Partners </w:t>
                              </w:r>
                            </w:p>
                            <w:p w14:paraId="0199E770" w14:textId="77777777" w:rsidR="00F96637" w:rsidRPr="00C70F5C" w:rsidRDefault="00F96637" w:rsidP="00FC49D7">
                              <w:pPr>
                                <w:rPr>
                                  <w:rFonts w:cstheme="minorHAnsi"/>
                                  <w:i/>
                                  <w:sz w:val="18"/>
                                  <w:szCs w:val="18"/>
                                </w:rPr>
                              </w:pPr>
                              <w:r w:rsidRPr="00C70F5C">
                                <w:rPr>
                                  <w:rFonts w:cstheme="minorHAnsi"/>
                                  <w:b/>
                                  <w:i/>
                                  <w:sz w:val="18"/>
                                  <w:szCs w:val="18"/>
                                </w:rPr>
                                <w:t>Capacity development</w:t>
                              </w:r>
                              <w:r w:rsidRPr="00C70F5C">
                                <w:rPr>
                                  <w:rFonts w:cstheme="minorHAnsi"/>
                                  <w:i/>
                                  <w:sz w:val="18"/>
                                  <w:szCs w:val="18"/>
                                </w:rPr>
                                <w:t>:</w:t>
                              </w:r>
                            </w:p>
                            <w:p w14:paraId="0850624C" w14:textId="77777777" w:rsidR="00F96637" w:rsidRPr="00C70F5C" w:rsidRDefault="00F96637" w:rsidP="00FC49D7">
                              <w:pPr>
                                <w:pStyle w:val="ListParagraph"/>
                                <w:numPr>
                                  <w:ilvl w:val="0"/>
                                  <w:numId w:val="19"/>
                                </w:numPr>
                                <w:spacing w:after="160" w:line="259" w:lineRule="auto"/>
                                <w:ind w:left="284" w:hanging="284"/>
                                <w:rPr>
                                  <w:rFonts w:cstheme="minorHAnsi"/>
                                  <w:sz w:val="18"/>
                                  <w:szCs w:val="18"/>
                                </w:rPr>
                              </w:pPr>
                              <w:r w:rsidRPr="00C70F5C">
                                <w:rPr>
                                  <w:rFonts w:cstheme="minorHAnsi"/>
                                  <w:sz w:val="18"/>
                                  <w:szCs w:val="18"/>
                                </w:rPr>
                                <w:t>Leadership</w:t>
                              </w:r>
                            </w:p>
                            <w:p w14:paraId="0ED7B057" w14:textId="77777777" w:rsidR="00F96637" w:rsidRPr="00C70F5C" w:rsidRDefault="00F96637" w:rsidP="00FC49D7">
                              <w:pPr>
                                <w:pStyle w:val="ListParagraph"/>
                                <w:numPr>
                                  <w:ilvl w:val="0"/>
                                  <w:numId w:val="19"/>
                                </w:numPr>
                                <w:spacing w:after="160" w:line="259" w:lineRule="auto"/>
                                <w:ind w:left="284" w:hanging="284"/>
                                <w:rPr>
                                  <w:rFonts w:cstheme="minorHAnsi"/>
                                  <w:sz w:val="18"/>
                                  <w:szCs w:val="18"/>
                                </w:rPr>
                              </w:pPr>
                              <w:r w:rsidRPr="00C70F5C">
                                <w:rPr>
                                  <w:rFonts w:cstheme="minorHAnsi"/>
                                  <w:sz w:val="18"/>
                                  <w:szCs w:val="18"/>
                                </w:rPr>
                                <w:t>Staff</w:t>
                              </w:r>
                            </w:p>
                            <w:p w14:paraId="0394B776" w14:textId="77777777" w:rsidR="00F96637" w:rsidRPr="00C70F5C" w:rsidRDefault="00F96637" w:rsidP="00FC49D7">
                              <w:pPr>
                                <w:pStyle w:val="ListParagraph"/>
                                <w:numPr>
                                  <w:ilvl w:val="0"/>
                                  <w:numId w:val="19"/>
                                </w:numPr>
                                <w:spacing w:after="160" w:line="259" w:lineRule="auto"/>
                                <w:ind w:left="284" w:hanging="284"/>
                                <w:rPr>
                                  <w:rFonts w:cstheme="minorHAnsi"/>
                                  <w:sz w:val="18"/>
                                  <w:szCs w:val="18"/>
                                </w:rPr>
                              </w:pPr>
                              <w:r w:rsidRPr="00C70F5C">
                                <w:rPr>
                                  <w:rFonts w:cstheme="minorHAnsi"/>
                                  <w:sz w:val="18"/>
                                  <w:szCs w:val="18"/>
                                </w:rPr>
                                <w:t>Systems</w:t>
                              </w:r>
                            </w:p>
                            <w:p w14:paraId="7B4EEE63" w14:textId="77777777" w:rsidR="00F96637" w:rsidRPr="00C70F5C" w:rsidRDefault="00F96637" w:rsidP="00FC49D7">
                              <w:pPr>
                                <w:pStyle w:val="ListParagraph"/>
                                <w:numPr>
                                  <w:ilvl w:val="0"/>
                                  <w:numId w:val="19"/>
                                </w:numPr>
                                <w:spacing w:after="160" w:line="259" w:lineRule="auto"/>
                                <w:ind w:left="284" w:hanging="284"/>
                                <w:rPr>
                                  <w:rFonts w:cstheme="minorHAnsi"/>
                                  <w:sz w:val="18"/>
                                  <w:szCs w:val="18"/>
                                </w:rPr>
                              </w:pPr>
                              <w:r w:rsidRPr="00C70F5C">
                                <w:rPr>
                                  <w:rFonts w:cstheme="minorHAnsi"/>
                                  <w:sz w:val="18"/>
                                  <w:szCs w:val="18"/>
                                </w:rPr>
                                <w:t>Procedures</w:t>
                              </w:r>
                            </w:p>
                            <w:p w14:paraId="1E1C3D39" w14:textId="77777777" w:rsidR="00F96637" w:rsidRPr="00C70F5C" w:rsidRDefault="00F96637" w:rsidP="00FC49D7">
                              <w:pPr>
                                <w:pStyle w:val="ListParagraph"/>
                                <w:numPr>
                                  <w:ilvl w:val="0"/>
                                  <w:numId w:val="19"/>
                                </w:numPr>
                                <w:spacing w:after="160" w:line="259" w:lineRule="auto"/>
                                <w:ind w:left="284" w:hanging="284"/>
                                <w:rPr>
                                  <w:rFonts w:cstheme="minorHAnsi"/>
                                  <w:sz w:val="18"/>
                                  <w:szCs w:val="18"/>
                                </w:rPr>
                              </w:pPr>
                              <w:r w:rsidRPr="00C70F5C">
                                <w:rPr>
                                  <w:rFonts w:cstheme="minorHAnsi"/>
                                  <w:sz w:val="18"/>
                                  <w:szCs w:val="18"/>
                                </w:rPr>
                                <w:t>Data Management</w:t>
                              </w:r>
                            </w:p>
                            <w:p w14:paraId="3C656922" w14:textId="77777777" w:rsidR="00F96637" w:rsidRPr="00C70F5C" w:rsidRDefault="00F96637" w:rsidP="00FC49D7">
                              <w:pPr>
                                <w:rPr>
                                  <w:rFonts w:cstheme="minorHAnsi"/>
                                  <w:i/>
                                  <w:sz w:val="18"/>
                                  <w:szCs w:val="18"/>
                                </w:rPr>
                              </w:pPr>
                              <w:r w:rsidRPr="00C70F5C">
                                <w:rPr>
                                  <w:rFonts w:cstheme="minorHAnsi"/>
                                  <w:b/>
                                  <w:i/>
                                  <w:sz w:val="18"/>
                                  <w:szCs w:val="18"/>
                                </w:rPr>
                                <w:t>Whole system development</w:t>
                              </w:r>
                              <w:r w:rsidRPr="00C70F5C">
                                <w:rPr>
                                  <w:rFonts w:cstheme="minorHAnsi"/>
                                  <w:i/>
                                  <w:sz w:val="18"/>
                                  <w:szCs w:val="18"/>
                                </w:rPr>
                                <w:t>:</w:t>
                              </w:r>
                            </w:p>
                            <w:p w14:paraId="197F0463" w14:textId="77777777" w:rsidR="00F96637" w:rsidRPr="00C70F5C" w:rsidRDefault="00F96637" w:rsidP="00FC49D7">
                              <w:pPr>
                                <w:rPr>
                                  <w:rFonts w:cstheme="minorHAnsi"/>
                                  <w:sz w:val="18"/>
                                  <w:szCs w:val="18"/>
                                </w:rPr>
                              </w:pPr>
                              <w:r w:rsidRPr="00C70F5C">
                                <w:rPr>
                                  <w:rFonts w:cstheme="minorHAnsi"/>
                                  <w:sz w:val="18"/>
                                  <w:szCs w:val="18"/>
                                </w:rPr>
                                <w:t>Assisting government and church education service providers to improve the effectiveness of their systems, as well as their networks and inter-agency engagement, collaboration, learning and growth.</w:t>
                              </w:r>
                            </w:p>
                            <w:p w14:paraId="38D804EF" w14:textId="77777777" w:rsidR="00F96637" w:rsidRPr="00C70F5C" w:rsidRDefault="00F96637" w:rsidP="00FC49D7">
                              <w:pPr>
                                <w:rPr>
                                  <w:rFonts w:cstheme="minorHAnsi"/>
                                  <w:sz w:val="18"/>
                                  <w:szCs w:val="18"/>
                                </w:rPr>
                              </w:pPr>
                            </w:p>
                            <w:p w14:paraId="52421CCA" w14:textId="77777777" w:rsidR="00F96637" w:rsidRPr="00C70F5C" w:rsidRDefault="00F96637" w:rsidP="00FC49D7">
                              <w:pPr>
                                <w:rPr>
                                  <w:rFonts w:cstheme="minorHAnsi"/>
                                  <w:b/>
                                  <w:i/>
                                  <w:sz w:val="18"/>
                                  <w:szCs w:val="18"/>
                                </w:rPr>
                              </w:pPr>
                              <w:r w:rsidRPr="00C70F5C">
                                <w:rPr>
                                  <w:rFonts w:cstheme="minorHAnsi"/>
                                  <w:b/>
                                  <w:i/>
                                  <w:sz w:val="18"/>
                                  <w:szCs w:val="18"/>
                                </w:rPr>
                                <w:t>AQEFA Fund:</w:t>
                              </w:r>
                            </w:p>
                            <w:p w14:paraId="4D5754AA" w14:textId="77777777" w:rsidR="00F96637" w:rsidRPr="00C70F5C" w:rsidRDefault="00F96637" w:rsidP="00FC49D7">
                              <w:pPr>
                                <w:spacing w:after="160" w:line="259" w:lineRule="auto"/>
                                <w:rPr>
                                  <w:rFonts w:cstheme="minorHAnsi"/>
                                  <w:i/>
                                  <w:sz w:val="18"/>
                                  <w:szCs w:val="18"/>
                                </w:rPr>
                              </w:pPr>
                              <w:r w:rsidRPr="00C70F5C">
                                <w:rPr>
                                  <w:rFonts w:cstheme="minorHAnsi"/>
                                  <w:sz w:val="18"/>
                                  <w:szCs w:val="18"/>
                                </w:rPr>
                                <w:t>Creating space for local creativity and innovation to improve gender balanced and socially inclusive enrolment and retention.</w:t>
                              </w:r>
                            </w:p>
                            <w:p w14:paraId="2A57CB16" w14:textId="77777777" w:rsidR="00F96637" w:rsidRPr="00C70F5C" w:rsidRDefault="00F96637" w:rsidP="00FC49D7">
                              <w:pPr>
                                <w:rPr>
                                  <w:rFonts w:cstheme="minorHAnsi"/>
                                </w:rPr>
                              </w:pPr>
                              <w:r w:rsidRPr="00C70F5C">
                                <w:rPr>
                                  <w:rFonts w:cstheme="minorHAnsi"/>
                                  <w:b/>
                                  <w:i/>
                                  <w:sz w:val="18"/>
                                  <w:szCs w:val="18"/>
                                </w:rPr>
                                <w:t xml:space="preserve">TU Fund: </w:t>
                              </w:r>
                              <w:r w:rsidRPr="00C70F5C">
                                <w:rPr>
                                  <w:rFonts w:cstheme="minorHAnsi"/>
                                  <w:sz w:val="18"/>
                                  <w:szCs w:val="18"/>
                                </w:rPr>
                                <w:t xml:space="preserve">working with </w:t>
                              </w:r>
                              <w:proofErr w:type="gramStart"/>
                              <w:r w:rsidRPr="00C70F5C">
                                <w:rPr>
                                  <w:rFonts w:cstheme="minorHAnsi"/>
                                  <w:sz w:val="18"/>
                                  <w:szCs w:val="18"/>
                                </w:rPr>
                                <w:t>teachers</w:t>
                              </w:r>
                              <w:proofErr w:type="gramEnd"/>
                              <w:r w:rsidRPr="00C70F5C">
                                <w:rPr>
                                  <w:rFonts w:cstheme="minorHAnsi"/>
                                  <w:sz w:val="18"/>
                                  <w:szCs w:val="18"/>
                                </w:rPr>
                                <w:t xml:space="preserve"> colleges where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8" name="Straight Arrow Connector 488"/>
                        <wps:cNvCnPr>
                          <a:cxnSpLocks/>
                        </wps:cNvCnPr>
                        <wps:spPr>
                          <a:xfrm>
                            <a:off x="4046220" y="2385060"/>
                            <a:ext cx="335168" cy="0"/>
                          </a:xfrm>
                          <a:prstGeom prst="straightConnector1">
                            <a:avLst/>
                          </a:prstGeom>
                          <a:ln w="76200">
                            <a:solidFill>
                              <a:srgbClr val="007C8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9" name="Straight Arrow Connector 489"/>
                        <wps:cNvCnPr>
                          <a:cxnSpLocks/>
                        </wps:cNvCnPr>
                        <wps:spPr>
                          <a:xfrm>
                            <a:off x="5273040" y="3341370"/>
                            <a:ext cx="8134" cy="289745"/>
                          </a:xfrm>
                          <a:prstGeom prst="straightConnector1">
                            <a:avLst/>
                          </a:prstGeom>
                          <a:ln w="76200">
                            <a:solidFill>
                              <a:srgbClr val="007C8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0" name="Straight Arrow Connector 490"/>
                        <wps:cNvCnPr>
                          <a:cxnSpLocks/>
                        </wps:cNvCnPr>
                        <wps:spPr>
                          <a:xfrm flipV="1">
                            <a:off x="2217420" y="2468880"/>
                            <a:ext cx="300990" cy="12448"/>
                          </a:xfrm>
                          <a:prstGeom prst="straightConnector1">
                            <a:avLst/>
                          </a:prstGeom>
                          <a:ln w="76200">
                            <a:solidFill>
                              <a:srgbClr val="007C8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1" name="Text Box 491"/>
                        <wps:cNvSpPr txBox="1">
                          <a:spLocks/>
                        </wps:cNvSpPr>
                        <wps:spPr>
                          <a:xfrm>
                            <a:off x="4373879" y="3588050"/>
                            <a:ext cx="1827576" cy="3493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30B543" w14:textId="77777777" w:rsidR="00F96637" w:rsidRPr="00C70F5C" w:rsidRDefault="00F96637" w:rsidP="00FC49D7">
                              <w:pPr>
                                <w:spacing w:line="259" w:lineRule="auto"/>
                                <w:ind w:left="284" w:hanging="284"/>
                                <w:rPr>
                                  <w:sz w:val="24"/>
                                  <w:szCs w:val="24"/>
                                </w:rPr>
                              </w:pPr>
                              <w:r>
                                <w:rPr>
                                  <w:sz w:val="24"/>
                                  <w:szCs w:val="24"/>
                                </w:rPr>
                                <w:t>F. System Improvement</w:t>
                              </w:r>
                            </w:p>
                            <w:p w14:paraId="02A6A7BB" w14:textId="77777777" w:rsidR="00F96637" w:rsidRPr="00C70F5C" w:rsidRDefault="00F96637" w:rsidP="00FC49D7">
                              <w:pPr>
                                <w:rPr>
                                  <w:rFonts w:cstheme="minorHAnsi"/>
                                  <w:sz w:val="18"/>
                                  <w:szCs w:val="18"/>
                                </w:rPr>
                              </w:pPr>
                              <w:r w:rsidRPr="00C70F5C">
                                <w:rPr>
                                  <w:rFonts w:cstheme="minorHAnsi"/>
                                  <w:sz w:val="18"/>
                                  <w:szCs w:val="18"/>
                                </w:rPr>
                                <w:t>Government, churches and communities demonstrating capacity to address priority issues:</w:t>
                              </w:r>
                            </w:p>
                            <w:p w14:paraId="4E7D62FC" w14:textId="77777777" w:rsidR="00F96637" w:rsidRPr="00C70F5C" w:rsidRDefault="00F96637" w:rsidP="00FC49D7">
                              <w:pPr>
                                <w:pStyle w:val="ListParagraph"/>
                                <w:numPr>
                                  <w:ilvl w:val="0"/>
                                  <w:numId w:val="20"/>
                                </w:numPr>
                                <w:spacing w:after="160" w:line="259" w:lineRule="auto"/>
                                <w:ind w:left="284" w:hanging="284"/>
                                <w:rPr>
                                  <w:rFonts w:cstheme="minorHAnsi"/>
                                  <w:sz w:val="18"/>
                                  <w:szCs w:val="18"/>
                                </w:rPr>
                              </w:pPr>
                              <w:r w:rsidRPr="00C70F5C">
                                <w:rPr>
                                  <w:rFonts w:cstheme="minorHAnsi"/>
                                  <w:sz w:val="18"/>
                                  <w:szCs w:val="18"/>
                                </w:rPr>
                                <w:t>Capability to commit and engage</w:t>
                              </w:r>
                            </w:p>
                            <w:p w14:paraId="3B4B4447" w14:textId="77777777" w:rsidR="00F96637" w:rsidRPr="00C70F5C" w:rsidRDefault="00F96637" w:rsidP="00FC49D7">
                              <w:pPr>
                                <w:pStyle w:val="ListParagraph"/>
                                <w:numPr>
                                  <w:ilvl w:val="0"/>
                                  <w:numId w:val="20"/>
                                </w:numPr>
                                <w:spacing w:after="160" w:line="259" w:lineRule="auto"/>
                                <w:ind w:left="284" w:hanging="284"/>
                                <w:rPr>
                                  <w:rFonts w:cstheme="minorHAnsi"/>
                                  <w:sz w:val="18"/>
                                  <w:szCs w:val="18"/>
                                </w:rPr>
                              </w:pPr>
                              <w:r w:rsidRPr="00C70F5C">
                                <w:rPr>
                                  <w:rFonts w:cstheme="minorHAnsi"/>
                                  <w:sz w:val="18"/>
                                  <w:szCs w:val="18"/>
                                </w:rPr>
                                <w:t>Capability to carry out management and supervisory functions</w:t>
                              </w:r>
                            </w:p>
                            <w:p w14:paraId="51872365" w14:textId="77777777" w:rsidR="00F96637" w:rsidRPr="00C70F5C" w:rsidRDefault="00F96637" w:rsidP="00FC49D7">
                              <w:pPr>
                                <w:pStyle w:val="ListParagraph"/>
                                <w:numPr>
                                  <w:ilvl w:val="0"/>
                                  <w:numId w:val="20"/>
                                </w:numPr>
                                <w:spacing w:after="160" w:line="259" w:lineRule="auto"/>
                                <w:ind w:left="284" w:hanging="284"/>
                                <w:rPr>
                                  <w:rFonts w:cstheme="minorHAnsi"/>
                                  <w:sz w:val="18"/>
                                  <w:szCs w:val="18"/>
                                </w:rPr>
                              </w:pPr>
                              <w:r w:rsidRPr="00C70F5C">
                                <w:rPr>
                                  <w:rFonts w:cstheme="minorHAnsi"/>
                                  <w:sz w:val="18"/>
                                  <w:szCs w:val="18"/>
                                </w:rPr>
                                <w:t>Capability to carry out technical, service delivery and logistical tasks.</w:t>
                              </w:r>
                            </w:p>
                            <w:p w14:paraId="4865BE18" w14:textId="77777777" w:rsidR="00F96637" w:rsidRPr="00C70F5C" w:rsidRDefault="00F96637" w:rsidP="00FC49D7">
                              <w:pPr>
                                <w:pStyle w:val="ListParagraph"/>
                                <w:numPr>
                                  <w:ilvl w:val="0"/>
                                  <w:numId w:val="20"/>
                                </w:numPr>
                                <w:spacing w:after="160" w:line="259" w:lineRule="auto"/>
                                <w:ind w:left="284" w:hanging="284"/>
                                <w:rPr>
                                  <w:rFonts w:cstheme="minorHAnsi"/>
                                  <w:sz w:val="18"/>
                                  <w:szCs w:val="18"/>
                                </w:rPr>
                              </w:pPr>
                              <w:r w:rsidRPr="00C70F5C">
                                <w:rPr>
                                  <w:rFonts w:cstheme="minorHAnsi"/>
                                  <w:sz w:val="18"/>
                                  <w:szCs w:val="18"/>
                                </w:rPr>
                                <w:t xml:space="preserve">Capability to relate as part of a collaborative, systematic approach to deliver equitable educational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2" name="Text Box 492"/>
                        <wps:cNvSpPr txBox="1">
                          <a:spLocks/>
                        </wps:cNvSpPr>
                        <wps:spPr>
                          <a:xfrm>
                            <a:off x="167640" y="3968945"/>
                            <a:ext cx="2232660" cy="3583011"/>
                          </a:xfrm>
                          <a:prstGeom prst="rect">
                            <a:avLst/>
                          </a:prstGeom>
                          <a:ln w="3175"/>
                          <a:effectLst/>
                        </wps:spPr>
                        <wps:style>
                          <a:lnRef idx="2">
                            <a:schemeClr val="dk1"/>
                          </a:lnRef>
                          <a:fillRef idx="1">
                            <a:schemeClr val="lt1"/>
                          </a:fillRef>
                          <a:effectRef idx="0">
                            <a:schemeClr val="dk1"/>
                          </a:effectRef>
                          <a:fontRef idx="minor">
                            <a:schemeClr val="dk1"/>
                          </a:fontRef>
                        </wps:style>
                        <wps:txbx>
                          <w:txbxContent>
                            <w:p w14:paraId="1A7A3D3E" w14:textId="77777777" w:rsidR="00F96637" w:rsidRPr="00C70F5C" w:rsidRDefault="00F96637" w:rsidP="00FC49D7">
                              <w:pPr>
                                <w:pStyle w:val="ListParagraph"/>
                                <w:numPr>
                                  <w:ilvl w:val="0"/>
                                  <w:numId w:val="69"/>
                                </w:numPr>
                                <w:tabs>
                                  <w:tab w:val="left" w:pos="3119"/>
                                  <w:tab w:val="left" w:pos="5103"/>
                                </w:tabs>
                                <w:ind w:left="567" w:hanging="283"/>
                                <w:rPr>
                                  <w:sz w:val="24"/>
                                  <w:szCs w:val="32"/>
                                </w:rPr>
                              </w:pPr>
                              <w:r w:rsidRPr="00C70F5C">
                                <w:rPr>
                                  <w:sz w:val="24"/>
                                  <w:szCs w:val="32"/>
                                </w:rPr>
                                <w:t>Design, innovation and adaptive management</w:t>
                              </w:r>
                            </w:p>
                            <w:p w14:paraId="5E8C29D9" w14:textId="77777777" w:rsidR="00F96637" w:rsidRDefault="00F96637" w:rsidP="00FC49D7">
                              <w:pPr>
                                <w:pStyle w:val="ListParagraph"/>
                                <w:tabs>
                                  <w:tab w:val="left" w:pos="426"/>
                                  <w:tab w:val="left" w:pos="3402"/>
                                </w:tabs>
                                <w:spacing w:after="160" w:line="259" w:lineRule="auto"/>
                                <w:ind w:left="360"/>
                                <w:rPr>
                                  <w:rFonts w:ascii="Arial Narrow" w:hAnsi="Arial Narrow"/>
                                  <w:sz w:val="18"/>
                                  <w:szCs w:val="18"/>
                                </w:rPr>
                              </w:pPr>
                            </w:p>
                            <w:p w14:paraId="422E4EC3" w14:textId="77777777" w:rsidR="00F96637" w:rsidRPr="00C70F5C" w:rsidRDefault="00F96637" w:rsidP="00FC49D7">
                              <w:pPr>
                                <w:pStyle w:val="ListParagraph"/>
                                <w:numPr>
                                  <w:ilvl w:val="0"/>
                                  <w:numId w:val="18"/>
                                </w:numPr>
                                <w:spacing w:after="160" w:line="259" w:lineRule="auto"/>
                                <w:ind w:left="284" w:hanging="284"/>
                                <w:rPr>
                                  <w:rFonts w:cstheme="minorHAnsi"/>
                                  <w:sz w:val="18"/>
                                  <w:szCs w:val="18"/>
                                </w:rPr>
                              </w:pPr>
                              <w:r w:rsidRPr="00C70F5C">
                                <w:rPr>
                                  <w:rFonts w:cstheme="minorHAnsi"/>
                                  <w:sz w:val="18"/>
                                  <w:szCs w:val="18"/>
                                </w:rPr>
                                <w:t>Continued use of baseline study results.</w:t>
                              </w:r>
                            </w:p>
                            <w:p w14:paraId="05905C05" w14:textId="77777777" w:rsidR="00F96637" w:rsidRPr="00C70F5C" w:rsidRDefault="00F96637" w:rsidP="00FC49D7">
                              <w:pPr>
                                <w:pStyle w:val="ListParagraph"/>
                                <w:numPr>
                                  <w:ilvl w:val="0"/>
                                  <w:numId w:val="22"/>
                                </w:numPr>
                                <w:tabs>
                                  <w:tab w:val="left" w:pos="426"/>
                                  <w:tab w:val="left" w:pos="3402"/>
                                </w:tabs>
                                <w:spacing w:after="160" w:line="259" w:lineRule="auto"/>
                                <w:rPr>
                                  <w:rFonts w:cstheme="minorHAnsi"/>
                                  <w:sz w:val="18"/>
                                  <w:szCs w:val="18"/>
                                </w:rPr>
                              </w:pPr>
                              <w:r w:rsidRPr="00C70F5C">
                                <w:rPr>
                                  <w:rFonts w:cstheme="minorHAnsi"/>
                                  <w:sz w:val="18"/>
                                  <w:szCs w:val="18"/>
                                </w:rPr>
                                <w:t xml:space="preserve">Application of agreed principles of organisation development and </w:t>
                              </w:r>
                              <w:proofErr w:type="gramStart"/>
                              <w:r w:rsidRPr="00C70F5C">
                                <w:rPr>
                                  <w:rFonts w:cstheme="minorHAnsi"/>
                                  <w:sz w:val="18"/>
                                  <w:szCs w:val="18"/>
                                </w:rPr>
                                <w:t>management, and</w:t>
                              </w:r>
                              <w:proofErr w:type="gramEnd"/>
                              <w:r w:rsidRPr="00C70F5C">
                                <w:rPr>
                                  <w:rFonts w:cstheme="minorHAnsi"/>
                                  <w:sz w:val="18"/>
                                  <w:szCs w:val="18"/>
                                </w:rPr>
                                <w:t xml:space="preserve"> agreed approaches to building organisational and individual capacity. </w:t>
                              </w:r>
                            </w:p>
                            <w:p w14:paraId="0E26E2BE" w14:textId="77777777" w:rsidR="00F96637" w:rsidRPr="00C70F5C" w:rsidRDefault="00F96637" w:rsidP="00FC49D7">
                              <w:pPr>
                                <w:pStyle w:val="ListParagraph"/>
                                <w:numPr>
                                  <w:ilvl w:val="0"/>
                                  <w:numId w:val="22"/>
                                </w:numPr>
                                <w:tabs>
                                  <w:tab w:val="left" w:pos="3402"/>
                                </w:tabs>
                                <w:spacing w:after="160" w:line="259" w:lineRule="auto"/>
                                <w:rPr>
                                  <w:rFonts w:cstheme="minorHAnsi"/>
                                  <w:sz w:val="18"/>
                                  <w:szCs w:val="18"/>
                                </w:rPr>
                              </w:pPr>
                              <w:r w:rsidRPr="00C70F5C">
                                <w:rPr>
                                  <w:rFonts w:cstheme="minorHAnsi"/>
                                  <w:sz w:val="18"/>
                                  <w:szCs w:val="18"/>
                                </w:rPr>
                                <w:t>Monitoring and evaluation including (</w:t>
                              </w:r>
                              <w:proofErr w:type="spellStart"/>
                              <w:r w:rsidRPr="00C70F5C">
                                <w:rPr>
                                  <w:rFonts w:cstheme="minorHAnsi"/>
                                  <w:sz w:val="18"/>
                                  <w:szCs w:val="18"/>
                                </w:rPr>
                                <w:t>i</w:t>
                              </w:r>
                              <w:proofErr w:type="spellEnd"/>
                              <w:r w:rsidRPr="00C70F5C">
                                <w:rPr>
                                  <w:rFonts w:cstheme="minorHAnsi"/>
                                  <w:sz w:val="18"/>
                                  <w:szCs w:val="18"/>
                                </w:rPr>
                                <w:t>) progress monitoring with tight feedback loops; (ii) periodic outcome monitoring and (iii) independent strategic monitoring.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4" name="Text Box 2"/>
                        <wps:cNvSpPr txBox="1">
                          <a:spLocks noChangeArrowheads="1"/>
                        </wps:cNvSpPr>
                        <wps:spPr bwMode="auto">
                          <a:xfrm>
                            <a:off x="4182144" y="7302998"/>
                            <a:ext cx="2496588" cy="1665689"/>
                          </a:xfrm>
                          <a:prstGeom prst="rect">
                            <a:avLst/>
                          </a:prstGeom>
                          <a:solidFill>
                            <a:srgbClr val="FFFFFF"/>
                          </a:solidFill>
                          <a:ln w="9525">
                            <a:solidFill>
                              <a:srgbClr val="000000"/>
                            </a:solidFill>
                            <a:miter lim="800000"/>
                            <a:headEnd/>
                            <a:tailEnd/>
                          </a:ln>
                        </wps:spPr>
                        <wps:txbx>
                          <w:txbxContent>
                            <w:p w14:paraId="05D044BC" w14:textId="77777777" w:rsidR="00F96637" w:rsidRPr="00C70F5C" w:rsidRDefault="00F96637" w:rsidP="00FC49D7">
                              <w:pPr>
                                <w:spacing w:after="160" w:line="259" w:lineRule="auto"/>
                                <w:ind w:left="284" w:hanging="284"/>
                                <w:rPr>
                                  <w:sz w:val="24"/>
                                  <w:szCs w:val="24"/>
                                </w:rPr>
                              </w:pPr>
                              <w:r w:rsidRPr="00C70F5C">
                                <w:rPr>
                                  <w:sz w:val="24"/>
                                  <w:szCs w:val="24"/>
                                </w:rPr>
                                <w:t>G. School aged children in selected provinces have equal access to education, and the support of well-trained teachers and schools to enable quality learning to take place.</w:t>
                              </w:r>
                            </w:p>
                          </w:txbxContent>
                        </wps:txbx>
                        <wps:bodyPr rot="0" vert="horz" wrap="square" lIns="91440" tIns="45720" rIns="91440" bIns="45720" anchor="t" anchorCtr="0">
                          <a:noAutofit/>
                        </wps:bodyPr>
                      </wps:wsp>
                      <wps:wsp>
                        <wps:cNvPr id="496" name="Text Box 496"/>
                        <wps:cNvSpPr txBox="1">
                          <a:spLocks noChangeArrowheads="1"/>
                        </wps:cNvSpPr>
                        <wps:spPr bwMode="auto">
                          <a:xfrm>
                            <a:off x="205516" y="7683984"/>
                            <a:ext cx="3886200" cy="1181100"/>
                          </a:xfrm>
                          <a:prstGeom prst="rect">
                            <a:avLst/>
                          </a:prstGeom>
                          <a:solidFill>
                            <a:srgbClr val="FFFFFF"/>
                          </a:solidFill>
                          <a:ln w="9525">
                            <a:solidFill>
                              <a:srgbClr val="000000"/>
                            </a:solidFill>
                            <a:miter lim="800000"/>
                            <a:headEnd/>
                            <a:tailEnd/>
                          </a:ln>
                        </wps:spPr>
                        <wps:txbx>
                          <w:txbxContent>
                            <w:p w14:paraId="19AE7AE8" w14:textId="77777777" w:rsidR="00F96637" w:rsidRPr="00060D11" w:rsidRDefault="00F96637" w:rsidP="00FC49D7">
                              <w:pPr>
                                <w:pStyle w:val="Heading3"/>
                                <w:spacing w:before="0"/>
                                <w:jc w:val="both"/>
                                <w:rPr>
                                  <w:color w:val="44546A" w:themeColor="text2"/>
                                </w:rPr>
                              </w:pPr>
                              <w:r w:rsidRPr="00060D11">
                                <w:rPr>
                                  <w:i/>
                                  <w:color w:val="44546A" w:themeColor="text2"/>
                                  <w:sz w:val="20"/>
                                  <w:szCs w:val="20"/>
                                </w:rPr>
                                <w:t xml:space="preserve">Each element of the strategic approach – A.B.C.D.E.F.G – </w:t>
                              </w:r>
                            </w:p>
                            <w:p w14:paraId="55ADC722" w14:textId="77777777" w:rsidR="00F96637" w:rsidRPr="00060D11" w:rsidRDefault="00F96637" w:rsidP="00FC49D7">
                              <w:pPr>
                                <w:rPr>
                                  <w:rFonts w:asciiTheme="majorHAnsi" w:hAnsiTheme="majorHAnsi"/>
                                  <w:i/>
                                  <w:sz w:val="20"/>
                                  <w:szCs w:val="20"/>
                                </w:rPr>
                              </w:pPr>
                              <w:r w:rsidRPr="00060D11">
                                <w:rPr>
                                  <w:rFonts w:asciiTheme="majorHAnsi" w:hAnsiTheme="majorHAnsi"/>
                                  <w:i/>
                                  <w:sz w:val="20"/>
                                  <w:szCs w:val="20"/>
                                </w:rPr>
                                <w:t xml:space="preserve">will have an underpinning, agreed approach and methodology </w:t>
                              </w:r>
                            </w:p>
                            <w:p w14:paraId="06BD4DAE" w14:textId="77777777" w:rsidR="00F96637" w:rsidRPr="00060D11" w:rsidRDefault="00F96637" w:rsidP="00FC49D7">
                              <w:pPr>
                                <w:rPr>
                                  <w:rFonts w:asciiTheme="majorHAnsi" w:hAnsiTheme="majorHAnsi"/>
                                  <w:i/>
                                  <w:sz w:val="20"/>
                                  <w:szCs w:val="20"/>
                                </w:rPr>
                              </w:pPr>
                              <w:r w:rsidRPr="00060D11">
                                <w:rPr>
                                  <w:rFonts w:asciiTheme="majorHAnsi" w:hAnsiTheme="majorHAnsi"/>
                                  <w:i/>
                                  <w:sz w:val="20"/>
                                  <w:szCs w:val="20"/>
                                </w:rPr>
                                <w:t xml:space="preserve">which reflects both pre-existing knowledge and experience, </w:t>
                              </w:r>
                            </w:p>
                            <w:p w14:paraId="2759B606" w14:textId="77777777" w:rsidR="00F96637" w:rsidRPr="00060D11" w:rsidRDefault="00F96637" w:rsidP="00FC49D7">
                              <w:pPr>
                                <w:rPr>
                                  <w:rFonts w:asciiTheme="majorHAnsi" w:hAnsiTheme="majorHAnsi"/>
                                  <w:i/>
                                  <w:sz w:val="20"/>
                                  <w:szCs w:val="20"/>
                                </w:rPr>
                              </w:pPr>
                              <w:r w:rsidRPr="00060D11">
                                <w:rPr>
                                  <w:rFonts w:asciiTheme="majorHAnsi" w:hAnsiTheme="majorHAnsi"/>
                                  <w:i/>
                                  <w:sz w:val="20"/>
                                  <w:szCs w:val="20"/>
                                </w:rPr>
                                <w:t xml:space="preserve">as well as the demands of the development context.  </w:t>
                              </w:r>
                            </w:p>
                            <w:p w14:paraId="37A8C54B" w14:textId="77777777" w:rsidR="00F96637" w:rsidRPr="00060D11" w:rsidRDefault="00F96637" w:rsidP="00FC49D7">
                              <w:pPr>
                                <w:rPr>
                                  <w:rFonts w:asciiTheme="majorHAnsi" w:hAnsiTheme="majorHAnsi"/>
                                  <w:i/>
                                  <w:sz w:val="20"/>
                                  <w:szCs w:val="20"/>
                                </w:rPr>
                              </w:pPr>
                              <w:r w:rsidRPr="00060D11">
                                <w:rPr>
                                  <w:rFonts w:asciiTheme="majorHAnsi" w:hAnsiTheme="majorHAnsi"/>
                                  <w:i/>
                                  <w:sz w:val="20"/>
                                  <w:szCs w:val="20"/>
                                </w:rPr>
                                <w:t>All stakeholders will need to understand what is being attempted and why.</w:t>
                              </w:r>
                            </w:p>
                            <w:p w14:paraId="60A5A22A" w14:textId="77777777" w:rsidR="00F96637" w:rsidRPr="00060D11" w:rsidRDefault="00F96637" w:rsidP="00FC49D7">
                              <w:pPr>
                                <w:rPr>
                                  <w:rFonts w:asciiTheme="majorHAnsi" w:hAnsiTheme="majorHAnsi"/>
                                  <w:i/>
                                  <w:sz w:val="20"/>
                                  <w:szCs w:val="20"/>
                                </w:rPr>
                              </w:pPr>
                              <w:r w:rsidRPr="00060D11">
                                <w:rPr>
                                  <w:rFonts w:asciiTheme="majorHAnsi" w:hAnsiTheme="majorHAnsi"/>
                                  <w:i/>
                                  <w:sz w:val="20"/>
                                  <w:szCs w:val="20"/>
                                </w:rPr>
                                <w:t>And they will need to be committed to the approach/es.</w:t>
                              </w:r>
                            </w:p>
                            <w:p w14:paraId="4D4B0FE1" w14:textId="77777777" w:rsidR="00F96637" w:rsidRDefault="00F96637" w:rsidP="00FC49D7"/>
                          </w:txbxContent>
                        </wps:txbx>
                        <wps:bodyPr rot="0" vert="horz" wrap="square" lIns="91440" tIns="45720" rIns="91440" bIns="45720" anchor="t" anchorCtr="0">
                          <a:noAutofit/>
                        </wps:bodyPr>
                      </wps:wsp>
                    </wpg:wgp>
                  </a:graphicData>
                </a:graphic>
              </wp:inline>
            </w:drawing>
          </mc:Choice>
          <mc:Fallback>
            <w:pict>
              <v:group w14:anchorId="4050EC82" id="Group 5" o:spid="_x0000_s1071" alt="Figure 4, Program Strategy, shows how work across all outcome areas forms part of a coherent strategy for whole system strengthening. It includes six components:&#10;A. Creating the foundations for change&#10;B. Design, innovation and adaptive management&#10;C. Preparation&#10;D. Enabling Partners&#10;E. Piloting Approaches&#10;F. System Improvement&#10;to achieve the outcome of school aged children in selected provinces have equal access to education, and the support of well-trained teachers and schools to enable quality learning to take place" style="width:451.3pt;height:669.6pt;mso-position-horizontal-relative:char;mso-position-vertical-relative:line" coordorigin="152" coordsize="66827,96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">
                <v:roundrect id="Text Box 19" o:spid="_x0000_s1072" style="position:absolute;left:152;top:90253;width:66827;height:6096;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" fillcolor="#94bdc6" strokeweight=".5pt">
                  <v:fill color2="#e0eaec" rotate="t" angle="45" colors="0 #94bdc6;.5 #bfd5da;1 #e0eaec" focus="100%" type="gradient"/>
                  <v:path arrowok="t"/>
                  <v:textbox>
                    <w:txbxContent>
                      <w:p w14:paraId="0670CC49" w14:textId="77777777" w:rsidR="00F96637" w:rsidRPr="004A60AE" w:rsidRDefault="00F96637" w:rsidP="00FC49D7">
                        <w:pPr>
                          <w:rPr>
                            <w:rFonts w:ascii="Arial Narrow" w:hAnsi="Arial Narrow"/>
                            <w:sz w:val="18"/>
                            <w:szCs w:val="18"/>
                          </w:rPr>
                        </w:pPr>
                        <w:r w:rsidRPr="0078740D">
                          <w:rPr>
                            <w:rFonts w:ascii="Arial Narrow" w:hAnsi="Arial Narrow"/>
                            <w:b/>
                            <w:bCs/>
                            <w:sz w:val="18"/>
                            <w:szCs w:val="18"/>
                          </w:rPr>
                          <w:t>Whole system strengthening results in improved equity in the attainment of quality basic education.  This refers to immediate benefits (aggregate results) as well as increased functional capacity and sustainability of the whole system to deliver these services in the medium and long term, even in the face of conflict, reducing risk and</w:t>
                        </w:r>
                        <w:r w:rsidRPr="004A60AE">
                          <w:rPr>
                            <w:rFonts w:ascii="Arial Narrow" w:hAnsi="Arial Narrow"/>
                            <w:sz w:val="18"/>
                            <w:szCs w:val="18"/>
                          </w:rPr>
                          <w:t xml:space="preserve"> </w:t>
                        </w:r>
                        <w:r w:rsidRPr="00391C72">
                          <w:rPr>
                            <w:rFonts w:ascii="Arial Narrow" w:hAnsi="Arial Narrow"/>
                            <w:b/>
                            <w:bCs/>
                            <w:sz w:val="18"/>
                            <w:szCs w:val="18"/>
                          </w:rPr>
                          <w:t>building resilience</w:t>
                        </w:r>
                        <w:r w:rsidRPr="004A60AE">
                          <w:rPr>
                            <w:rFonts w:ascii="Arial Narrow" w:hAnsi="Arial Narrow"/>
                            <w:sz w:val="18"/>
                            <w:szCs w:val="18"/>
                          </w:rPr>
                          <w:t>.</w:t>
                        </w:r>
                      </w:p>
                    </w:txbxContent>
                  </v:textbox>
                </v:roundrect>
                <v:shape id="Text Box 453" o:spid="_x0000_s1073" type="#_x0000_t202" style="position:absolute;left:152;width:61061;height:10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" fillcolor="white [3201]" strokeweight=".5pt">
                  <v:path arrowok="t"/>
                  <v:textbox>
                    <w:txbxContent>
                      <w:p w14:paraId="00F60AFB" w14:textId="77777777" w:rsidR="00F96637" w:rsidRPr="00C70F5C" w:rsidRDefault="00F96637" w:rsidP="00FC49D7">
                        <w:pPr>
                          <w:pStyle w:val="ListParagraph"/>
                          <w:numPr>
                            <w:ilvl w:val="0"/>
                            <w:numId w:val="69"/>
                          </w:numPr>
                          <w:tabs>
                            <w:tab w:val="left" w:pos="3119"/>
                            <w:tab w:val="left" w:pos="5103"/>
                          </w:tabs>
                          <w:ind w:left="567" w:hanging="283"/>
                          <w:rPr>
                            <w:sz w:val="24"/>
                            <w:szCs w:val="32"/>
                          </w:rPr>
                        </w:pPr>
                        <w:r w:rsidRPr="00C70F5C">
                          <w:rPr>
                            <w:sz w:val="24"/>
                            <w:szCs w:val="32"/>
                          </w:rPr>
                          <w:t>Creating the foundations for change</w:t>
                        </w:r>
                      </w:p>
                      <w:p w14:paraId="7A0FF7C0" w14:textId="77777777" w:rsidR="00F96637" w:rsidRPr="004A60AE" w:rsidRDefault="00F96637" w:rsidP="00FC49D7">
                        <w:pPr>
                          <w:pStyle w:val="ListParagraph"/>
                          <w:numPr>
                            <w:ilvl w:val="0"/>
                            <w:numId w:val="21"/>
                          </w:numPr>
                          <w:tabs>
                            <w:tab w:val="left" w:pos="3119"/>
                            <w:tab w:val="left" w:pos="5103"/>
                          </w:tabs>
                          <w:spacing w:line="240" w:lineRule="auto"/>
                          <w:rPr>
                            <w:sz w:val="18"/>
                            <w:szCs w:val="18"/>
                          </w:rPr>
                        </w:pPr>
                        <w:r w:rsidRPr="004A60AE">
                          <w:rPr>
                            <w:b/>
                            <w:i/>
                            <w:sz w:val="18"/>
                            <w:szCs w:val="18"/>
                          </w:rPr>
                          <w:t>Understanding the problem</w:t>
                        </w:r>
                        <w:r w:rsidRPr="004A60AE">
                          <w:rPr>
                            <w:sz w:val="18"/>
                            <w:szCs w:val="18"/>
                          </w:rPr>
                          <w:t>: Baseline research</w:t>
                        </w:r>
                      </w:p>
                      <w:p w14:paraId="51A08646" w14:textId="77777777" w:rsidR="00F96637" w:rsidRPr="004A60AE" w:rsidRDefault="00F96637" w:rsidP="00FC49D7">
                        <w:pPr>
                          <w:pStyle w:val="ListParagraph"/>
                          <w:numPr>
                            <w:ilvl w:val="0"/>
                            <w:numId w:val="21"/>
                          </w:numPr>
                          <w:tabs>
                            <w:tab w:val="left" w:pos="5103"/>
                          </w:tabs>
                          <w:spacing w:line="240" w:lineRule="auto"/>
                          <w:rPr>
                            <w:sz w:val="18"/>
                            <w:szCs w:val="18"/>
                          </w:rPr>
                        </w:pPr>
                        <w:r w:rsidRPr="004A60AE">
                          <w:rPr>
                            <w:b/>
                            <w:i/>
                            <w:sz w:val="18"/>
                            <w:szCs w:val="18"/>
                          </w:rPr>
                          <w:t>Understanding current responses</w:t>
                        </w:r>
                        <w:r w:rsidRPr="004A60AE">
                          <w:rPr>
                            <w:sz w:val="18"/>
                            <w:szCs w:val="18"/>
                          </w:rPr>
                          <w:t>:  Mapping current government, church and international donor responses.</w:t>
                        </w:r>
                      </w:p>
                      <w:p w14:paraId="164C04AC" w14:textId="77777777" w:rsidR="00F96637" w:rsidRPr="004A60AE" w:rsidRDefault="00F96637" w:rsidP="00FC49D7">
                        <w:pPr>
                          <w:pStyle w:val="ListParagraph"/>
                          <w:numPr>
                            <w:ilvl w:val="0"/>
                            <w:numId w:val="21"/>
                          </w:numPr>
                          <w:tabs>
                            <w:tab w:val="left" w:pos="5103"/>
                          </w:tabs>
                          <w:spacing w:line="240" w:lineRule="auto"/>
                          <w:rPr>
                            <w:sz w:val="18"/>
                            <w:szCs w:val="18"/>
                          </w:rPr>
                        </w:pPr>
                        <w:r w:rsidRPr="004A60AE">
                          <w:rPr>
                            <w:b/>
                            <w:i/>
                            <w:sz w:val="18"/>
                            <w:szCs w:val="18"/>
                          </w:rPr>
                          <w:t>Building government / church / community commitment</w:t>
                        </w:r>
                        <w:r w:rsidRPr="004A60AE">
                          <w:rPr>
                            <w:i/>
                            <w:sz w:val="18"/>
                            <w:szCs w:val="18"/>
                          </w:rPr>
                          <w:t xml:space="preserve"> </w:t>
                        </w:r>
                        <w:r w:rsidRPr="004A60AE">
                          <w:rPr>
                            <w:sz w:val="18"/>
                            <w:szCs w:val="18"/>
                          </w:rPr>
                          <w:t>to working together to develop a strong and integrated system of response to improve access (NEP2), equity (NEP 3), teacher</w:t>
                        </w:r>
                        <w:r w:rsidRPr="00C70F5C">
                          <w:rPr>
                            <w:rFonts w:ascii="Arial Narrow" w:hAnsi="Arial Narrow"/>
                            <w:sz w:val="18"/>
                            <w:szCs w:val="18"/>
                          </w:rPr>
                          <w:t>s and teaching (NEP4) and partnership and management (NEP 7 &amp; 8)</w:t>
                        </w:r>
                      </w:p>
                    </w:txbxContent>
                  </v:textbox>
                </v:shape>
                <v:line id="Straight Connector 480" o:spid="_x0000_s1074" style="position:absolute;visibility:visible;mso-wrap-style:square" from="2057,10058" to="2057,20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" strokecolor="#007c89" strokeweight="6pt">
                  <v:stroke joinstyle="miter"/>
                  <o:lock v:ext="edit" shapetype="f"/>
                </v:line>
                <v:shape id="Text Box 481" o:spid="_x0000_s1075" type="#_x0000_t202" style="position:absolute;left:7467;top:13563;width:14573;height:24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" fillcolor="white [3201]" strokeweight=".5pt">
                  <v:path arrowok="t"/>
                  <v:textbox>
                    <w:txbxContent>
                      <w:p w14:paraId="4CB051ED" w14:textId="77777777" w:rsidR="00F96637" w:rsidRPr="00C70F5C" w:rsidRDefault="00F96637" w:rsidP="00FC49D7">
                        <w:pPr>
                          <w:spacing w:line="259" w:lineRule="auto"/>
                          <w:ind w:left="284" w:hanging="284"/>
                          <w:rPr>
                            <w:sz w:val="24"/>
                            <w:szCs w:val="24"/>
                          </w:rPr>
                        </w:pPr>
                        <w:r w:rsidRPr="00C70F5C">
                          <w:rPr>
                            <w:sz w:val="24"/>
                            <w:szCs w:val="24"/>
                          </w:rPr>
                          <w:t>C. Preparation</w:t>
                        </w:r>
                      </w:p>
                      <w:p w14:paraId="2343BC67" w14:textId="77777777" w:rsidR="00F96637" w:rsidRPr="00C70F5C" w:rsidRDefault="00F96637" w:rsidP="00FC49D7">
                        <w:pPr>
                          <w:pStyle w:val="ListParagraph"/>
                          <w:numPr>
                            <w:ilvl w:val="0"/>
                            <w:numId w:val="18"/>
                          </w:numPr>
                          <w:spacing w:after="160" w:line="259" w:lineRule="auto"/>
                          <w:ind w:left="284" w:hanging="284"/>
                          <w:rPr>
                            <w:rFonts w:cstheme="minorHAnsi"/>
                            <w:sz w:val="18"/>
                            <w:szCs w:val="18"/>
                          </w:rPr>
                        </w:pPr>
                        <w:r w:rsidRPr="00C70F5C">
                          <w:rPr>
                            <w:rFonts w:cstheme="minorHAnsi"/>
                            <w:b/>
                            <w:i/>
                            <w:sz w:val="18"/>
                            <w:szCs w:val="18"/>
                          </w:rPr>
                          <w:t>Building partnerships</w:t>
                        </w:r>
                        <w:r w:rsidRPr="00C70F5C">
                          <w:rPr>
                            <w:rFonts w:cstheme="minorHAnsi"/>
                            <w:sz w:val="18"/>
                            <w:szCs w:val="18"/>
                          </w:rPr>
                          <w:t xml:space="preserve"> </w:t>
                        </w:r>
                      </w:p>
                      <w:p w14:paraId="789F83F2" w14:textId="77777777" w:rsidR="00F96637" w:rsidRPr="00C70F5C" w:rsidRDefault="00F96637" w:rsidP="00FC49D7">
                        <w:pPr>
                          <w:pStyle w:val="ListParagraph"/>
                          <w:ind w:left="284"/>
                          <w:rPr>
                            <w:rFonts w:cstheme="minorHAnsi"/>
                            <w:sz w:val="18"/>
                            <w:szCs w:val="18"/>
                          </w:rPr>
                        </w:pPr>
                        <w:r w:rsidRPr="00C70F5C">
                          <w:rPr>
                            <w:rFonts w:cstheme="minorHAnsi"/>
                            <w:sz w:val="18"/>
                            <w:szCs w:val="18"/>
                          </w:rPr>
                          <w:t>(Provincial and local level government and church education stakeholders)</w:t>
                        </w:r>
                      </w:p>
                      <w:p w14:paraId="1A95D486" w14:textId="77777777" w:rsidR="00F96637" w:rsidRPr="00C70F5C" w:rsidRDefault="00F96637" w:rsidP="00FC49D7">
                        <w:pPr>
                          <w:pStyle w:val="ListParagraph"/>
                          <w:ind w:left="284"/>
                          <w:rPr>
                            <w:rFonts w:cstheme="minorHAnsi"/>
                            <w:sz w:val="18"/>
                            <w:szCs w:val="18"/>
                          </w:rPr>
                        </w:pPr>
                      </w:p>
                      <w:p w14:paraId="0106EB08" w14:textId="77777777" w:rsidR="00F96637" w:rsidRPr="00C70F5C" w:rsidRDefault="00F96637" w:rsidP="00FC49D7">
                        <w:pPr>
                          <w:pStyle w:val="ListParagraph"/>
                          <w:numPr>
                            <w:ilvl w:val="0"/>
                            <w:numId w:val="18"/>
                          </w:numPr>
                          <w:spacing w:line="240" w:lineRule="auto"/>
                          <w:ind w:left="284" w:hanging="284"/>
                          <w:rPr>
                            <w:rFonts w:cstheme="minorHAnsi"/>
                            <w:sz w:val="18"/>
                            <w:szCs w:val="18"/>
                          </w:rPr>
                        </w:pPr>
                        <w:r w:rsidRPr="00C70F5C">
                          <w:rPr>
                            <w:rFonts w:cstheme="minorHAnsi"/>
                            <w:b/>
                            <w:i/>
                            <w:sz w:val="18"/>
                            <w:szCs w:val="18"/>
                          </w:rPr>
                          <w:t xml:space="preserve">Conducting / reviewing organisational / system capacity </w:t>
                        </w:r>
                      </w:p>
                      <w:p w14:paraId="017336ED" w14:textId="77777777" w:rsidR="00F96637" w:rsidRPr="00C70F5C" w:rsidRDefault="00F96637" w:rsidP="00FC49D7">
                        <w:pPr>
                          <w:rPr>
                            <w:rFonts w:cstheme="minorHAnsi"/>
                            <w:sz w:val="18"/>
                            <w:szCs w:val="18"/>
                          </w:rPr>
                        </w:pPr>
                      </w:p>
                      <w:p w14:paraId="3C0ECB3C" w14:textId="77777777" w:rsidR="00F96637" w:rsidRPr="00C70F5C" w:rsidRDefault="00F96637" w:rsidP="00FC49D7">
                        <w:pPr>
                          <w:pStyle w:val="ListParagraph"/>
                          <w:numPr>
                            <w:ilvl w:val="0"/>
                            <w:numId w:val="18"/>
                          </w:numPr>
                          <w:spacing w:after="160" w:line="259" w:lineRule="auto"/>
                          <w:ind w:left="284" w:hanging="284"/>
                          <w:rPr>
                            <w:rFonts w:cstheme="minorHAnsi"/>
                            <w:sz w:val="18"/>
                            <w:szCs w:val="18"/>
                          </w:rPr>
                        </w:pPr>
                        <w:r w:rsidRPr="00C70F5C">
                          <w:rPr>
                            <w:rFonts w:cstheme="minorHAnsi"/>
                            <w:b/>
                            <w:i/>
                            <w:sz w:val="18"/>
                            <w:szCs w:val="18"/>
                          </w:rPr>
                          <w:t xml:space="preserve">Building understanding </w:t>
                        </w:r>
                        <w:r w:rsidRPr="00C70F5C">
                          <w:rPr>
                            <w:rFonts w:cstheme="minorHAnsi"/>
                            <w:i/>
                            <w:sz w:val="18"/>
                            <w:szCs w:val="18"/>
                          </w:rPr>
                          <w:t>of proven models and key approaches and methodologies to build capacity.</w:t>
                        </w:r>
                      </w:p>
                      <w:p w14:paraId="1E97976C" w14:textId="77777777" w:rsidR="00F96637" w:rsidRDefault="00F96637" w:rsidP="00FC49D7">
                        <w:pPr>
                          <w:rPr>
                            <w:rFonts w:ascii="Arial Narrow" w:hAnsi="Arial Narrow"/>
                          </w:rPr>
                        </w:pPr>
                      </w:p>
                      <w:p w14:paraId="3898D490" w14:textId="77777777" w:rsidR="00F96637" w:rsidRDefault="00F96637" w:rsidP="00FC49D7">
                        <w:pPr>
                          <w:rPr>
                            <w:rFonts w:ascii="Arial Narrow" w:hAnsi="Arial Narrow"/>
                          </w:rPr>
                        </w:pPr>
                      </w:p>
                      <w:p w14:paraId="5A1F7958" w14:textId="77777777" w:rsidR="00F96637" w:rsidRDefault="00F96637" w:rsidP="00FC49D7"/>
                    </w:txbxContent>
                  </v:textbox>
                </v:shape>
                <v:shapetype id="_x0000_t32" coordsize="21600,21600" o:spt="32" o:oned="t" path="m,l21600,21600e" filled="f">
                  <v:path arrowok="t" fillok="f" o:connecttype="none"/>
                  <o:lock v:ext="edit" shapetype="t"/>
                </v:shapetype>
                <v:shape id="Straight Arrow Connector 483" o:spid="_x0000_s1076" type="#_x0000_t32" style="position:absolute;left:1905;top:20040;width:5850;height:1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" strokecolor="#007c89" strokeweight="6pt">
                  <v:stroke endarrow="block" joinstyle="miter"/>
                  <o:lock v:ext="edit" shapetype="f"/>
                </v:shape>
                <v:line id="Straight Connector 484" o:spid="_x0000_s1077" style="position:absolute;visibility:visible;mso-wrap-style:square" from="1905,28841" to="2055,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" strokecolor="#007c89" strokeweight="6pt">
                  <v:stroke joinstyle="miter"/>
                  <o:lock v:ext="edit" shapetype="f"/>
                </v:line>
                <v:shape id="Straight Arrow Connector 485" o:spid="_x0000_s1078" type="#_x0000_t32" style="position:absolute;left:1905;top:29108;width:5844;height:1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" strokecolor="#007c89" strokeweight="6pt">
                  <v:stroke endarrow="block" joinstyle="miter"/>
                  <o:lock v:ext="edit" shapetype="f"/>
                </v:shape>
                <v:shape id="Text Box 486" o:spid="_x0000_s1079" type="#_x0000_t202" style="position:absolute;left:43434;top:13563;width:18619;height:20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" fillcolor="white [3201]" strokeweight=".5pt">
                  <v:path arrowok="t"/>
                  <v:textbox>
                    <w:txbxContent>
                      <w:p w14:paraId="184CAE00" w14:textId="77777777" w:rsidR="00F96637" w:rsidRPr="00C70F5C" w:rsidRDefault="00F96637" w:rsidP="00FC49D7">
                        <w:pPr>
                          <w:spacing w:line="259" w:lineRule="auto"/>
                          <w:ind w:left="284" w:hanging="284"/>
                          <w:rPr>
                            <w:sz w:val="24"/>
                            <w:szCs w:val="24"/>
                          </w:rPr>
                        </w:pPr>
                        <w:r w:rsidRPr="00C70F5C">
                          <w:rPr>
                            <w:sz w:val="24"/>
                            <w:szCs w:val="24"/>
                          </w:rPr>
                          <w:t>E. Piloting approaches</w:t>
                        </w:r>
                      </w:p>
                      <w:p w14:paraId="50BC01D4" w14:textId="77777777" w:rsidR="00F96637" w:rsidRPr="00C70F5C" w:rsidRDefault="00F96637" w:rsidP="00FC49D7">
                        <w:pPr>
                          <w:pStyle w:val="ListParagraph"/>
                          <w:numPr>
                            <w:ilvl w:val="0"/>
                            <w:numId w:val="17"/>
                          </w:numPr>
                          <w:spacing w:line="259" w:lineRule="auto"/>
                          <w:ind w:left="142" w:hanging="142"/>
                          <w:rPr>
                            <w:rFonts w:cstheme="minorHAnsi"/>
                            <w:sz w:val="18"/>
                          </w:rPr>
                        </w:pPr>
                        <w:r w:rsidRPr="00C70F5C">
                          <w:rPr>
                            <w:rFonts w:cstheme="minorHAnsi"/>
                            <w:sz w:val="18"/>
                          </w:rPr>
                          <w:t>Support to selected provinces to develop effective approaches to improving access, equity, teachers and teaching and local management and partnership.</w:t>
                        </w:r>
                      </w:p>
                      <w:p w14:paraId="579EF4F6" w14:textId="77777777" w:rsidR="00F96637" w:rsidRPr="00C70F5C" w:rsidRDefault="00F96637" w:rsidP="00FC49D7">
                        <w:pPr>
                          <w:pStyle w:val="ListParagraph"/>
                          <w:numPr>
                            <w:ilvl w:val="0"/>
                            <w:numId w:val="17"/>
                          </w:numPr>
                          <w:spacing w:line="259" w:lineRule="auto"/>
                          <w:ind w:left="142" w:hanging="142"/>
                          <w:rPr>
                            <w:rFonts w:cstheme="minorHAnsi"/>
                            <w:sz w:val="18"/>
                          </w:rPr>
                        </w:pPr>
                        <w:r w:rsidRPr="00C70F5C">
                          <w:rPr>
                            <w:rFonts w:cstheme="minorHAnsi"/>
                            <w:sz w:val="18"/>
                          </w:rPr>
                          <w:t>Supporting demand-side activities to remove barriers to enrolment and retention.</w:t>
                        </w:r>
                      </w:p>
                      <w:p w14:paraId="08285E22" w14:textId="77777777" w:rsidR="00F96637" w:rsidRPr="00C70F5C" w:rsidRDefault="00F96637" w:rsidP="00FC49D7">
                        <w:pPr>
                          <w:pStyle w:val="ListParagraph"/>
                          <w:numPr>
                            <w:ilvl w:val="0"/>
                            <w:numId w:val="17"/>
                          </w:numPr>
                          <w:spacing w:line="259" w:lineRule="auto"/>
                          <w:ind w:left="142" w:hanging="142"/>
                          <w:rPr>
                            <w:rFonts w:cstheme="minorHAnsi"/>
                            <w:sz w:val="18"/>
                          </w:rPr>
                        </w:pPr>
                        <w:r w:rsidRPr="00C70F5C">
                          <w:rPr>
                            <w:rFonts w:cstheme="minorHAnsi"/>
                            <w:sz w:val="18"/>
                          </w:rPr>
                          <w:t>Supporting supply-side activities to upgrade teacher knowledge and skills.</w:t>
                        </w:r>
                      </w:p>
                      <w:p w14:paraId="0FAFECE3" w14:textId="77777777" w:rsidR="00F96637" w:rsidRPr="004A60AE" w:rsidRDefault="00F96637" w:rsidP="00FC49D7">
                        <w:pPr>
                          <w:pStyle w:val="ListParagraph"/>
                          <w:numPr>
                            <w:ilvl w:val="0"/>
                            <w:numId w:val="17"/>
                          </w:numPr>
                          <w:spacing w:line="259" w:lineRule="auto"/>
                          <w:ind w:left="142" w:hanging="142"/>
                          <w:rPr>
                            <w:rFonts w:ascii="Arial Narrow" w:hAnsi="Arial Narrow"/>
                            <w:sz w:val="18"/>
                          </w:rPr>
                        </w:pPr>
                        <w:r w:rsidRPr="004A60AE">
                          <w:rPr>
                            <w:rFonts w:ascii="Arial Narrow" w:hAnsi="Arial Narrow"/>
                            <w:sz w:val="18"/>
                          </w:rPr>
                          <w:t>Testing implementation monitoring tools (</w:t>
                        </w:r>
                        <w:r>
                          <w:rPr>
                            <w:rFonts w:ascii="Arial Narrow" w:hAnsi="Arial Narrow"/>
                            <w:i/>
                            <w:iCs/>
                            <w:sz w:val="18"/>
                          </w:rPr>
                          <w:t>what works and what does not?)</w:t>
                        </w:r>
                      </w:p>
                    </w:txbxContent>
                  </v:textbox>
                </v:shape>
                <v:shape id="Text Box 487" o:spid="_x0000_s1080" type="#_x0000_t202" style="position:absolute;left:25222;top:13560;width:14984;height:6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" fillcolor="white [3201]" strokecolor="black [3213]" strokeweight=".5pt">
                  <v:path arrowok="t"/>
                  <v:textbox>
                    <w:txbxContent>
                      <w:p w14:paraId="2F87A38B" w14:textId="77777777" w:rsidR="00F96637" w:rsidRPr="00C70F5C" w:rsidRDefault="00F96637" w:rsidP="00FC49D7">
                        <w:pPr>
                          <w:spacing w:line="259" w:lineRule="auto"/>
                          <w:ind w:left="284" w:hanging="284"/>
                          <w:rPr>
                            <w:sz w:val="24"/>
                            <w:szCs w:val="24"/>
                          </w:rPr>
                        </w:pPr>
                        <w:r w:rsidRPr="00C70F5C">
                          <w:rPr>
                            <w:sz w:val="24"/>
                            <w:szCs w:val="24"/>
                          </w:rPr>
                          <w:t xml:space="preserve">D. Enabling Partners </w:t>
                        </w:r>
                      </w:p>
                      <w:p w14:paraId="0199E770" w14:textId="77777777" w:rsidR="00F96637" w:rsidRPr="00C70F5C" w:rsidRDefault="00F96637" w:rsidP="00FC49D7">
                        <w:pPr>
                          <w:rPr>
                            <w:rFonts w:cstheme="minorHAnsi"/>
                            <w:i/>
                            <w:sz w:val="18"/>
                            <w:szCs w:val="18"/>
                          </w:rPr>
                        </w:pPr>
                        <w:r w:rsidRPr="00C70F5C">
                          <w:rPr>
                            <w:rFonts w:cstheme="minorHAnsi"/>
                            <w:b/>
                            <w:i/>
                            <w:sz w:val="18"/>
                            <w:szCs w:val="18"/>
                          </w:rPr>
                          <w:t>Capacity development</w:t>
                        </w:r>
                        <w:r w:rsidRPr="00C70F5C">
                          <w:rPr>
                            <w:rFonts w:cstheme="minorHAnsi"/>
                            <w:i/>
                            <w:sz w:val="18"/>
                            <w:szCs w:val="18"/>
                          </w:rPr>
                          <w:t>:</w:t>
                        </w:r>
                      </w:p>
                      <w:p w14:paraId="0850624C" w14:textId="77777777" w:rsidR="00F96637" w:rsidRPr="00C70F5C" w:rsidRDefault="00F96637" w:rsidP="00FC49D7">
                        <w:pPr>
                          <w:pStyle w:val="ListParagraph"/>
                          <w:numPr>
                            <w:ilvl w:val="0"/>
                            <w:numId w:val="19"/>
                          </w:numPr>
                          <w:spacing w:after="160" w:line="259" w:lineRule="auto"/>
                          <w:ind w:left="284" w:hanging="284"/>
                          <w:rPr>
                            <w:rFonts w:cstheme="minorHAnsi"/>
                            <w:sz w:val="18"/>
                            <w:szCs w:val="18"/>
                          </w:rPr>
                        </w:pPr>
                        <w:r w:rsidRPr="00C70F5C">
                          <w:rPr>
                            <w:rFonts w:cstheme="minorHAnsi"/>
                            <w:sz w:val="18"/>
                            <w:szCs w:val="18"/>
                          </w:rPr>
                          <w:t>Leadership</w:t>
                        </w:r>
                      </w:p>
                      <w:p w14:paraId="0ED7B057" w14:textId="77777777" w:rsidR="00F96637" w:rsidRPr="00C70F5C" w:rsidRDefault="00F96637" w:rsidP="00FC49D7">
                        <w:pPr>
                          <w:pStyle w:val="ListParagraph"/>
                          <w:numPr>
                            <w:ilvl w:val="0"/>
                            <w:numId w:val="19"/>
                          </w:numPr>
                          <w:spacing w:after="160" w:line="259" w:lineRule="auto"/>
                          <w:ind w:left="284" w:hanging="284"/>
                          <w:rPr>
                            <w:rFonts w:cstheme="minorHAnsi"/>
                            <w:sz w:val="18"/>
                            <w:szCs w:val="18"/>
                          </w:rPr>
                        </w:pPr>
                        <w:r w:rsidRPr="00C70F5C">
                          <w:rPr>
                            <w:rFonts w:cstheme="minorHAnsi"/>
                            <w:sz w:val="18"/>
                            <w:szCs w:val="18"/>
                          </w:rPr>
                          <w:t>Staff</w:t>
                        </w:r>
                      </w:p>
                      <w:p w14:paraId="0394B776" w14:textId="77777777" w:rsidR="00F96637" w:rsidRPr="00C70F5C" w:rsidRDefault="00F96637" w:rsidP="00FC49D7">
                        <w:pPr>
                          <w:pStyle w:val="ListParagraph"/>
                          <w:numPr>
                            <w:ilvl w:val="0"/>
                            <w:numId w:val="19"/>
                          </w:numPr>
                          <w:spacing w:after="160" w:line="259" w:lineRule="auto"/>
                          <w:ind w:left="284" w:hanging="284"/>
                          <w:rPr>
                            <w:rFonts w:cstheme="minorHAnsi"/>
                            <w:sz w:val="18"/>
                            <w:szCs w:val="18"/>
                          </w:rPr>
                        </w:pPr>
                        <w:r w:rsidRPr="00C70F5C">
                          <w:rPr>
                            <w:rFonts w:cstheme="minorHAnsi"/>
                            <w:sz w:val="18"/>
                            <w:szCs w:val="18"/>
                          </w:rPr>
                          <w:t>Systems</w:t>
                        </w:r>
                      </w:p>
                      <w:p w14:paraId="7B4EEE63" w14:textId="77777777" w:rsidR="00F96637" w:rsidRPr="00C70F5C" w:rsidRDefault="00F96637" w:rsidP="00FC49D7">
                        <w:pPr>
                          <w:pStyle w:val="ListParagraph"/>
                          <w:numPr>
                            <w:ilvl w:val="0"/>
                            <w:numId w:val="19"/>
                          </w:numPr>
                          <w:spacing w:after="160" w:line="259" w:lineRule="auto"/>
                          <w:ind w:left="284" w:hanging="284"/>
                          <w:rPr>
                            <w:rFonts w:cstheme="minorHAnsi"/>
                            <w:sz w:val="18"/>
                            <w:szCs w:val="18"/>
                          </w:rPr>
                        </w:pPr>
                        <w:r w:rsidRPr="00C70F5C">
                          <w:rPr>
                            <w:rFonts w:cstheme="minorHAnsi"/>
                            <w:sz w:val="18"/>
                            <w:szCs w:val="18"/>
                          </w:rPr>
                          <w:t>Procedures</w:t>
                        </w:r>
                      </w:p>
                      <w:p w14:paraId="1E1C3D39" w14:textId="77777777" w:rsidR="00F96637" w:rsidRPr="00C70F5C" w:rsidRDefault="00F96637" w:rsidP="00FC49D7">
                        <w:pPr>
                          <w:pStyle w:val="ListParagraph"/>
                          <w:numPr>
                            <w:ilvl w:val="0"/>
                            <w:numId w:val="19"/>
                          </w:numPr>
                          <w:spacing w:after="160" w:line="259" w:lineRule="auto"/>
                          <w:ind w:left="284" w:hanging="284"/>
                          <w:rPr>
                            <w:rFonts w:cstheme="minorHAnsi"/>
                            <w:sz w:val="18"/>
                            <w:szCs w:val="18"/>
                          </w:rPr>
                        </w:pPr>
                        <w:r w:rsidRPr="00C70F5C">
                          <w:rPr>
                            <w:rFonts w:cstheme="minorHAnsi"/>
                            <w:sz w:val="18"/>
                            <w:szCs w:val="18"/>
                          </w:rPr>
                          <w:t>Data Management</w:t>
                        </w:r>
                      </w:p>
                      <w:p w14:paraId="3C656922" w14:textId="77777777" w:rsidR="00F96637" w:rsidRPr="00C70F5C" w:rsidRDefault="00F96637" w:rsidP="00FC49D7">
                        <w:pPr>
                          <w:rPr>
                            <w:rFonts w:cstheme="minorHAnsi"/>
                            <w:i/>
                            <w:sz w:val="18"/>
                            <w:szCs w:val="18"/>
                          </w:rPr>
                        </w:pPr>
                        <w:r w:rsidRPr="00C70F5C">
                          <w:rPr>
                            <w:rFonts w:cstheme="minorHAnsi"/>
                            <w:b/>
                            <w:i/>
                            <w:sz w:val="18"/>
                            <w:szCs w:val="18"/>
                          </w:rPr>
                          <w:t>Whole system development</w:t>
                        </w:r>
                        <w:r w:rsidRPr="00C70F5C">
                          <w:rPr>
                            <w:rFonts w:cstheme="minorHAnsi"/>
                            <w:i/>
                            <w:sz w:val="18"/>
                            <w:szCs w:val="18"/>
                          </w:rPr>
                          <w:t>:</w:t>
                        </w:r>
                      </w:p>
                      <w:p w14:paraId="197F0463" w14:textId="77777777" w:rsidR="00F96637" w:rsidRPr="00C70F5C" w:rsidRDefault="00F96637" w:rsidP="00FC49D7">
                        <w:pPr>
                          <w:rPr>
                            <w:rFonts w:cstheme="minorHAnsi"/>
                            <w:sz w:val="18"/>
                            <w:szCs w:val="18"/>
                          </w:rPr>
                        </w:pPr>
                        <w:r w:rsidRPr="00C70F5C">
                          <w:rPr>
                            <w:rFonts w:cstheme="minorHAnsi"/>
                            <w:sz w:val="18"/>
                            <w:szCs w:val="18"/>
                          </w:rPr>
                          <w:t>Assisting government and church education service providers to improve the effectiveness of their systems, as well as their networks and inter-agency engagement, collaboration, learning and growth.</w:t>
                        </w:r>
                      </w:p>
                      <w:p w14:paraId="38D804EF" w14:textId="77777777" w:rsidR="00F96637" w:rsidRPr="00C70F5C" w:rsidRDefault="00F96637" w:rsidP="00FC49D7">
                        <w:pPr>
                          <w:rPr>
                            <w:rFonts w:cstheme="minorHAnsi"/>
                            <w:sz w:val="18"/>
                            <w:szCs w:val="18"/>
                          </w:rPr>
                        </w:pPr>
                      </w:p>
                      <w:p w14:paraId="52421CCA" w14:textId="77777777" w:rsidR="00F96637" w:rsidRPr="00C70F5C" w:rsidRDefault="00F96637" w:rsidP="00FC49D7">
                        <w:pPr>
                          <w:rPr>
                            <w:rFonts w:cstheme="minorHAnsi"/>
                            <w:b/>
                            <w:i/>
                            <w:sz w:val="18"/>
                            <w:szCs w:val="18"/>
                          </w:rPr>
                        </w:pPr>
                        <w:r w:rsidRPr="00C70F5C">
                          <w:rPr>
                            <w:rFonts w:cstheme="minorHAnsi"/>
                            <w:b/>
                            <w:i/>
                            <w:sz w:val="18"/>
                            <w:szCs w:val="18"/>
                          </w:rPr>
                          <w:t>AQEFA Fund:</w:t>
                        </w:r>
                      </w:p>
                      <w:p w14:paraId="4D5754AA" w14:textId="77777777" w:rsidR="00F96637" w:rsidRPr="00C70F5C" w:rsidRDefault="00F96637" w:rsidP="00FC49D7">
                        <w:pPr>
                          <w:spacing w:after="160" w:line="259" w:lineRule="auto"/>
                          <w:rPr>
                            <w:rFonts w:cstheme="minorHAnsi"/>
                            <w:i/>
                            <w:sz w:val="18"/>
                            <w:szCs w:val="18"/>
                          </w:rPr>
                        </w:pPr>
                        <w:r w:rsidRPr="00C70F5C">
                          <w:rPr>
                            <w:rFonts w:cstheme="minorHAnsi"/>
                            <w:sz w:val="18"/>
                            <w:szCs w:val="18"/>
                          </w:rPr>
                          <w:t>Creating space for local creativity and innovation to improve gender balanced and socially inclusive enrolment and retention.</w:t>
                        </w:r>
                      </w:p>
                      <w:p w14:paraId="2A57CB16" w14:textId="77777777" w:rsidR="00F96637" w:rsidRPr="00C70F5C" w:rsidRDefault="00F96637" w:rsidP="00FC49D7">
                        <w:pPr>
                          <w:rPr>
                            <w:rFonts w:cstheme="minorHAnsi"/>
                          </w:rPr>
                        </w:pPr>
                        <w:r w:rsidRPr="00C70F5C">
                          <w:rPr>
                            <w:rFonts w:cstheme="minorHAnsi"/>
                            <w:b/>
                            <w:i/>
                            <w:sz w:val="18"/>
                            <w:szCs w:val="18"/>
                          </w:rPr>
                          <w:t xml:space="preserve">TU Fund: </w:t>
                        </w:r>
                        <w:r w:rsidRPr="00C70F5C">
                          <w:rPr>
                            <w:rFonts w:cstheme="minorHAnsi"/>
                            <w:sz w:val="18"/>
                            <w:szCs w:val="18"/>
                          </w:rPr>
                          <w:t xml:space="preserve">working with </w:t>
                        </w:r>
                        <w:proofErr w:type="gramStart"/>
                        <w:r w:rsidRPr="00C70F5C">
                          <w:rPr>
                            <w:rFonts w:cstheme="minorHAnsi"/>
                            <w:sz w:val="18"/>
                            <w:szCs w:val="18"/>
                          </w:rPr>
                          <w:t>teachers</w:t>
                        </w:r>
                        <w:proofErr w:type="gramEnd"/>
                        <w:r w:rsidRPr="00C70F5C">
                          <w:rPr>
                            <w:rFonts w:cstheme="minorHAnsi"/>
                            <w:sz w:val="18"/>
                            <w:szCs w:val="18"/>
                          </w:rPr>
                          <w:t xml:space="preserve"> colleges where appropriate</w:t>
                        </w:r>
                      </w:p>
                    </w:txbxContent>
                  </v:textbox>
                </v:shape>
                <v:shape id="Straight Arrow Connector 488" o:spid="_x0000_s1081" type="#_x0000_t32" style="position:absolute;left:40462;top:23850;width:3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" strokecolor="#007c89" strokeweight="6pt">
                  <v:stroke endarrow="block" joinstyle="miter"/>
                  <o:lock v:ext="edit" shapetype="f"/>
                </v:shape>
                <v:shape id="Straight Arrow Connector 489" o:spid="_x0000_s1082" type="#_x0000_t32" style="position:absolute;left:52730;top:33413;width:81;height:28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" strokecolor="#007c89" strokeweight="6pt">
                  <v:stroke endarrow="block" joinstyle="miter"/>
                  <o:lock v:ext="edit" shapetype="f"/>
                </v:shape>
                <v:shape id="Straight Arrow Connector 490" o:spid="_x0000_s1083" type="#_x0000_t32" style="position:absolute;left:22174;top:24688;width:3010;height: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" strokecolor="#007c89" strokeweight="6pt">
                  <v:stroke endarrow="block" joinstyle="miter"/>
                  <o:lock v:ext="edit" shapetype="f"/>
                </v:shape>
                <v:shape id="Text Box 491" o:spid="_x0000_s1084" type="#_x0000_t202" style="position:absolute;left:43738;top:35880;width:18276;height:3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" fillcolor="white [3201]" strokeweight=".5pt">
                  <v:path arrowok="t"/>
                  <v:textbox>
                    <w:txbxContent>
                      <w:p w14:paraId="5730B543" w14:textId="77777777" w:rsidR="00F96637" w:rsidRPr="00C70F5C" w:rsidRDefault="00F96637" w:rsidP="00FC49D7">
                        <w:pPr>
                          <w:spacing w:line="259" w:lineRule="auto"/>
                          <w:ind w:left="284" w:hanging="284"/>
                          <w:rPr>
                            <w:sz w:val="24"/>
                            <w:szCs w:val="24"/>
                          </w:rPr>
                        </w:pPr>
                        <w:r>
                          <w:rPr>
                            <w:sz w:val="24"/>
                            <w:szCs w:val="24"/>
                          </w:rPr>
                          <w:t>F. System Improvement</w:t>
                        </w:r>
                      </w:p>
                      <w:p w14:paraId="02A6A7BB" w14:textId="77777777" w:rsidR="00F96637" w:rsidRPr="00C70F5C" w:rsidRDefault="00F96637" w:rsidP="00FC49D7">
                        <w:pPr>
                          <w:rPr>
                            <w:rFonts w:cstheme="minorHAnsi"/>
                            <w:sz w:val="18"/>
                            <w:szCs w:val="18"/>
                          </w:rPr>
                        </w:pPr>
                        <w:r w:rsidRPr="00C70F5C">
                          <w:rPr>
                            <w:rFonts w:cstheme="minorHAnsi"/>
                            <w:sz w:val="18"/>
                            <w:szCs w:val="18"/>
                          </w:rPr>
                          <w:t>Government, churches and communities demonstrating capacity to address priority issues:</w:t>
                        </w:r>
                      </w:p>
                      <w:p w14:paraId="4E7D62FC" w14:textId="77777777" w:rsidR="00F96637" w:rsidRPr="00C70F5C" w:rsidRDefault="00F96637" w:rsidP="00FC49D7">
                        <w:pPr>
                          <w:pStyle w:val="ListParagraph"/>
                          <w:numPr>
                            <w:ilvl w:val="0"/>
                            <w:numId w:val="20"/>
                          </w:numPr>
                          <w:spacing w:after="160" w:line="259" w:lineRule="auto"/>
                          <w:ind w:left="284" w:hanging="284"/>
                          <w:rPr>
                            <w:rFonts w:cstheme="minorHAnsi"/>
                            <w:sz w:val="18"/>
                            <w:szCs w:val="18"/>
                          </w:rPr>
                        </w:pPr>
                        <w:r w:rsidRPr="00C70F5C">
                          <w:rPr>
                            <w:rFonts w:cstheme="minorHAnsi"/>
                            <w:sz w:val="18"/>
                            <w:szCs w:val="18"/>
                          </w:rPr>
                          <w:t>Capability to commit and engage</w:t>
                        </w:r>
                      </w:p>
                      <w:p w14:paraId="3B4B4447" w14:textId="77777777" w:rsidR="00F96637" w:rsidRPr="00C70F5C" w:rsidRDefault="00F96637" w:rsidP="00FC49D7">
                        <w:pPr>
                          <w:pStyle w:val="ListParagraph"/>
                          <w:numPr>
                            <w:ilvl w:val="0"/>
                            <w:numId w:val="20"/>
                          </w:numPr>
                          <w:spacing w:after="160" w:line="259" w:lineRule="auto"/>
                          <w:ind w:left="284" w:hanging="284"/>
                          <w:rPr>
                            <w:rFonts w:cstheme="minorHAnsi"/>
                            <w:sz w:val="18"/>
                            <w:szCs w:val="18"/>
                          </w:rPr>
                        </w:pPr>
                        <w:r w:rsidRPr="00C70F5C">
                          <w:rPr>
                            <w:rFonts w:cstheme="minorHAnsi"/>
                            <w:sz w:val="18"/>
                            <w:szCs w:val="18"/>
                          </w:rPr>
                          <w:t>Capability to carry out management and supervisory functions</w:t>
                        </w:r>
                      </w:p>
                      <w:p w14:paraId="51872365" w14:textId="77777777" w:rsidR="00F96637" w:rsidRPr="00C70F5C" w:rsidRDefault="00F96637" w:rsidP="00FC49D7">
                        <w:pPr>
                          <w:pStyle w:val="ListParagraph"/>
                          <w:numPr>
                            <w:ilvl w:val="0"/>
                            <w:numId w:val="20"/>
                          </w:numPr>
                          <w:spacing w:after="160" w:line="259" w:lineRule="auto"/>
                          <w:ind w:left="284" w:hanging="284"/>
                          <w:rPr>
                            <w:rFonts w:cstheme="minorHAnsi"/>
                            <w:sz w:val="18"/>
                            <w:szCs w:val="18"/>
                          </w:rPr>
                        </w:pPr>
                        <w:r w:rsidRPr="00C70F5C">
                          <w:rPr>
                            <w:rFonts w:cstheme="minorHAnsi"/>
                            <w:sz w:val="18"/>
                            <w:szCs w:val="18"/>
                          </w:rPr>
                          <w:t>Capability to carry out technical, service delivery and logistical tasks.</w:t>
                        </w:r>
                      </w:p>
                      <w:p w14:paraId="4865BE18" w14:textId="77777777" w:rsidR="00F96637" w:rsidRPr="00C70F5C" w:rsidRDefault="00F96637" w:rsidP="00FC49D7">
                        <w:pPr>
                          <w:pStyle w:val="ListParagraph"/>
                          <w:numPr>
                            <w:ilvl w:val="0"/>
                            <w:numId w:val="20"/>
                          </w:numPr>
                          <w:spacing w:after="160" w:line="259" w:lineRule="auto"/>
                          <w:ind w:left="284" w:hanging="284"/>
                          <w:rPr>
                            <w:rFonts w:cstheme="minorHAnsi"/>
                            <w:sz w:val="18"/>
                            <w:szCs w:val="18"/>
                          </w:rPr>
                        </w:pPr>
                        <w:r w:rsidRPr="00C70F5C">
                          <w:rPr>
                            <w:rFonts w:cstheme="minorHAnsi"/>
                            <w:sz w:val="18"/>
                            <w:szCs w:val="18"/>
                          </w:rPr>
                          <w:t xml:space="preserve">Capability to relate as part of a collaborative, systematic approach to deliver equitable educational services. </w:t>
                        </w:r>
                      </w:p>
                    </w:txbxContent>
                  </v:textbox>
                </v:shape>
                <v:shape id="Text Box 492" o:spid="_x0000_s1085" type="#_x0000_t202" style="position:absolute;left:1676;top:39689;width:22327;height:35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" fillcolor="white [3201]" strokecolor="black [3200]" strokeweight=".25pt">
                  <v:path arrowok="t"/>
                  <v:textbox>
                    <w:txbxContent>
                      <w:p w14:paraId="1A7A3D3E" w14:textId="77777777" w:rsidR="00F96637" w:rsidRPr="00C70F5C" w:rsidRDefault="00F96637" w:rsidP="00FC49D7">
                        <w:pPr>
                          <w:pStyle w:val="ListParagraph"/>
                          <w:numPr>
                            <w:ilvl w:val="0"/>
                            <w:numId w:val="69"/>
                          </w:numPr>
                          <w:tabs>
                            <w:tab w:val="left" w:pos="3119"/>
                            <w:tab w:val="left" w:pos="5103"/>
                          </w:tabs>
                          <w:ind w:left="567" w:hanging="283"/>
                          <w:rPr>
                            <w:sz w:val="24"/>
                            <w:szCs w:val="32"/>
                          </w:rPr>
                        </w:pPr>
                        <w:r w:rsidRPr="00C70F5C">
                          <w:rPr>
                            <w:sz w:val="24"/>
                            <w:szCs w:val="32"/>
                          </w:rPr>
                          <w:t>Design, innovation and adaptive management</w:t>
                        </w:r>
                      </w:p>
                      <w:p w14:paraId="5E8C29D9" w14:textId="77777777" w:rsidR="00F96637" w:rsidRDefault="00F96637" w:rsidP="00FC49D7">
                        <w:pPr>
                          <w:pStyle w:val="ListParagraph"/>
                          <w:tabs>
                            <w:tab w:val="left" w:pos="426"/>
                            <w:tab w:val="left" w:pos="3402"/>
                          </w:tabs>
                          <w:spacing w:after="160" w:line="259" w:lineRule="auto"/>
                          <w:ind w:left="360"/>
                          <w:rPr>
                            <w:rFonts w:ascii="Arial Narrow" w:hAnsi="Arial Narrow"/>
                            <w:sz w:val="18"/>
                            <w:szCs w:val="18"/>
                          </w:rPr>
                        </w:pPr>
                      </w:p>
                      <w:p w14:paraId="422E4EC3" w14:textId="77777777" w:rsidR="00F96637" w:rsidRPr="00C70F5C" w:rsidRDefault="00F96637" w:rsidP="00FC49D7">
                        <w:pPr>
                          <w:pStyle w:val="ListParagraph"/>
                          <w:numPr>
                            <w:ilvl w:val="0"/>
                            <w:numId w:val="18"/>
                          </w:numPr>
                          <w:spacing w:after="160" w:line="259" w:lineRule="auto"/>
                          <w:ind w:left="284" w:hanging="284"/>
                          <w:rPr>
                            <w:rFonts w:cstheme="minorHAnsi"/>
                            <w:sz w:val="18"/>
                            <w:szCs w:val="18"/>
                          </w:rPr>
                        </w:pPr>
                        <w:r w:rsidRPr="00C70F5C">
                          <w:rPr>
                            <w:rFonts w:cstheme="minorHAnsi"/>
                            <w:sz w:val="18"/>
                            <w:szCs w:val="18"/>
                          </w:rPr>
                          <w:t>Continued use of baseline study results.</w:t>
                        </w:r>
                      </w:p>
                      <w:p w14:paraId="05905C05" w14:textId="77777777" w:rsidR="00F96637" w:rsidRPr="00C70F5C" w:rsidRDefault="00F96637" w:rsidP="00FC49D7">
                        <w:pPr>
                          <w:pStyle w:val="ListParagraph"/>
                          <w:numPr>
                            <w:ilvl w:val="0"/>
                            <w:numId w:val="22"/>
                          </w:numPr>
                          <w:tabs>
                            <w:tab w:val="left" w:pos="426"/>
                            <w:tab w:val="left" w:pos="3402"/>
                          </w:tabs>
                          <w:spacing w:after="160" w:line="259" w:lineRule="auto"/>
                          <w:rPr>
                            <w:rFonts w:cstheme="minorHAnsi"/>
                            <w:sz w:val="18"/>
                            <w:szCs w:val="18"/>
                          </w:rPr>
                        </w:pPr>
                        <w:r w:rsidRPr="00C70F5C">
                          <w:rPr>
                            <w:rFonts w:cstheme="minorHAnsi"/>
                            <w:sz w:val="18"/>
                            <w:szCs w:val="18"/>
                          </w:rPr>
                          <w:t xml:space="preserve">Application of agreed principles of organisation development and </w:t>
                        </w:r>
                        <w:proofErr w:type="gramStart"/>
                        <w:r w:rsidRPr="00C70F5C">
                          <w:rPr>
                            <w:rFonts w:cstheme="minorHAnsi"/>
                            <w:sz w:val="18"/>
                            <w:szCs w:val="18"/>
                          </w:rPr>
                          <w:t>management, and</w:t>
                        </w:r>
                        <w:proofErr w:type="gramEnd"/>
                        <w:r w:rsidRPr="00C70F5C">
                          <w:rPr>
                            <w:rFonts w:cstheme="minorHAnsi"/>
                            <w:sz w:val="18"/>
                            <w:szCs w:val="18"/>
                          </w:rPr>
                          <w:t xml:space="preserve"> agreed approaches to building organisational and individual capacity. </w:t>
                        </w:r>
                      </w:p>
                      <w:p w14:paraId="0E26E2BE" w14:textId="77777777" w:rsidR="00F96637" w:rsidRPr="00C70F5C" w:rsidRDefault="00F96637" w:rsidP="00FC49D7">
                        <w:pPr>
                          <w:pStyle w:val="ListParagraph"/>
                          <w:numPr>
                            <w:ilvl w:val="0"/>
                            <w:numId w:val="22"/>
                          </w:numPr>
                          <w:tabs>
                            <w:tab w:val="left" w:pos="3402"/>
                          </w:tabs>
                          <w:spacing w:after="160" w:line="259" w:lineRule="auto"/>
                          <w:rPr>
                            <w:rFonts w:cstheme="minorHAnsi"/>
                            <w:sz w:val="18"/>
                            <w:szCs w:val="18"/>
                          </w:rPr>
                        </w:pPr>
                        <w:r w:rsidRPr="00C70F5C">
                          <w:rPr>
                            <w:rFonts w:cstheme="minorHAnsi"/>
                            <w:sz w:val="18"/>
                            <w:szCs w:val="18"/>
                          </w:rPr>
                          <w:t>Monitoring and evaluation including (</w:t>
                        </w:r>
                        <w:proofErr w:type="spellStart"/>
                        <w:r w:rsidRPr="00C70F5C">
                          <w:rPr>
                            <w:rFonts w:cstheme="minorHAnsi"/>
                            <w:sz w:val="18"/>
                            <w:szCs w:val="18"/>
                          </w:rPr>
                          <w:t>i</w:t>
                        </w:r>
                        <w:proofErr w:type="spellEnd"/>
                        <w:r w:rsidRPr="00C70F5C">
                          <w:rPr>
                            <w:rFonts w:cstheme="minorHAnsi"/>
                            <w:sz w:val="18"/>
                            <w:szCs w:val="18"/>
                          </w:rPr>
                          <w:t>) progress monitoring with tight feedback loops; (ii) periodic outcome monitoring and (iii) independent strategic monitoring.</w:t>
                        </w:r>
                      </w:p>
                    </w:txbxContent>
                  </v:textbox>
                </v:shape>
                <v:shape id="Text Box 2" o:spid="_x0000_s1086" type="#_x0000_t202" style="position:absolute;left:41821;top:73029;width:24966;height:16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">
                  <v:textbox>
                    <w:txbxContent>
                      <w:p w14:paraId="05D044BC" w14:textId="77777777" w:rsidR="00F96637" w:rsidRPr="00C70F5C" w:rsidRDefault="00F96637" w:rsidP="00FC49D7">
                        <w:pPr>
                          <w:spacing w:after="160" w:line="259" w:lineRule="auto"/>
                          <w:ind w:left="284" w:hanging="284"/>
                          <w:rPr>
                            <w:sz w:val="24"/>
                            <w:szCs w:val="24"/>
                          </w:rPr>
                        </w:pPr>
                        <w:r w:rsidRPr="00C70F5C">
                          <w:rPr>
                            <w:sz w:val="24"/>
                            <w:szCs w:val="24"/>
                          </w:rPr>
                          <w:t>G. School aged children in selected provinces have equal access to education, and the support of well-trained teachers and schools to enable quality learning to take place.</w:t>
                        </w:r>
                      </w:p>
                    </w:txbxContent>
                  </v:textbox>
                </v:shape>
                <v:shape id="Text Box 496" o:spid="_x0000_s1087" type="#_x0000_t202" style="position:absolute;left:2055;top:76839;width:38862;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">
                  <v:textbox>
                    <w:txbxContent>
                      <w:p w14:paraId="19AE7AE8" w14:textId="77777777" w:rsidR="00F96637" w:rsidRPr="00060D11" w:rsidRDefault="00F96637" w:rsidP="00FC49D7">
                        <w:pPr>
                          <w:pStyle w:val="Heading3"/>
                          <w:spacing w:before="0"/>
                          <w:jc w:val="both"/>
                          <w:rPr>
                            <w:color w:val="44546A" w:themeColor="text2"/>
                          </w:rPr>
                        </w:pPr>
                        <w:r w:rsidRPr="00060D11">
                          <w:rPr>
                            <w:i/>
                            <w:color w:val="44546A" w:themeColor="text2"/>
                            <w:sz w:val="20"/>
                            <w:szCs w:val="20"/>
                          </w:rPr>
                          <w:t xml:space="preserve">Each element of the strategic approach – A.B.C.D.E.F.G – </w:t>
                        </w:r>
                      </w:p>
                      <w:p w14:paraId="55ADC722" w14:textId="77777777" w:rsidR="00F96637" w:rsidRPr="00060D11" w:rsidRDefault="00F96637" w:rsidP="00FC49D7">
                        <w:pPr>
                          <w:rPr>
                            <w:rFonts w:asciiTheme="majorHAnsi" w:hAnsiTheme="majorHAnsi"/>
                            <w:i/>
                            <w:sz w:val="20"/>
                            <w:szCs w:val="20"/>
                          </w:rPr>
                        </w:pPr>
                        <w:r w:rsidRPr="00060D11">
                          <w:rPr>
                            <w:rFonts w:asciiTheme="majorHAnsi" w:hAnsiTheme="majorHAnsi"/>
                            <w:i/>
                            <w:sz w:val="20"/>
                            <w:szCs w:val="20"/>
                          </w:rPr>
                          <w:t xml:space="preserve">will have an underpinning, agreed approach and methodology </w:t>
                        </w:r>
                      </w:p>
                      <w:p w14:paraId="06BD4DAE" w14:textId="77777777" w:rsidR="00F96637" w:rsidRPr="00060D11" w:rsidRDefault="00F96637" w:rsidP="00FC49D7">
                        <w:pPr>
                          <w:rPr>
                            <w:rFonts w:asciiTheme="majorHAnsi" w:hAnsiTheme="majorHAnsi"/>
                            <w:i/>
                            <w:sz w:val="20"/>
                            <w:szCs w:val="20"/>
                          </w:rPr>
                        </w:pPr>
                        <w:r w:rsidRPr="00060D11">
                          <w:rPr>
                            <w:rFonts w:asciiTheme="majorHAnsi" w:hAnsiTheme="majorHAnsi"/>
                            <w:i/>
                            <w:sz w:val="20"/>
                            <w:szCs w:val="20"/>
                          </w:rPr>
                          <w:t xml:space="preserve">which reflects both pre-existing knowledge and experience, </w:t>
                        </w:r>
                      </w:p>
                      <w:p w14:paraId="2759B606" w14:textId="77777777" w:rsidR="00F96637" w:rsidRPr="00060D11" w:rsidRDefault="00F96637" w:rsidP="00FC49D7">
                        <w:pPr>
                          <w:rPr>
                            <w:rFonts w:asciiTheme="majorHAnsi" w:hAnsiTheme="majorHAnsi"/>
                            <w:i/>
                            <w:sz w:val="20"/>
                            <w:szCs w:val="20"/>
                          </w:rPr>
                        </w:pPr>
                        <w:r w:rsidRPr="00060D11">
                          <w:rPr>
                            <w:rFonts w:asciiTheme="majorHAnsi" w:hAnsiTheme="majorHAnsi"/>
                            <w:i/>
                            <w:sz w:val="20"/>
                            <w:szCs w:val="20"/>
                          </w:rPr>
                          <w:t xml:space="preserve">as well as the demands of the development context.  </w:t>
                        </w:r>
                      </w:p>
                      <w:p w14:paraId="37A8C54B" w14:textId="77777777" w:rsidR="00F96637" w:rsidRPr="00060D11" w:rsidRDefault="00F96637" w:rsidP="00FC49D7">
                        <w:pPr>
                          <w:rPr>
                            <w:rFonts w:asciiTheme="majorHAnsi" w:hAnsiTheme="majorHAnsi"/>
                            <w:i/>
                            <w:sz w:val="20"/>
                            <w:szCs w:val="20"/>
                          </w:rPr>
                        </w:pPr>
                        <w:r w:rsidRPr="00060D11">
                          <w:rPr>
                            <w:rFonts w:asciiTheme="majorHAnsi" w:hAnsiTheme="majorHAnsi"/>
                            <w:i/>
                            <w:sz w:val="20"/>
                            <w:szCs w:val="20"/>
                          </w:rPr>
                          <w:t>All stakeholders will need to understand what is being attempted and why.</w:t>
                        </w:r>
                      </w:p>
                      <w:p w14:paraId="60A5A22A" w14:textId="77777777" w:rsidR="00F96637" w:rsidRPr="00060D11" w:rsidRDefault="00F96637" w:rsidP="00FC49D7">
                        <w:pPr>
                          <w:rPr>
                            <w:rFonts w:asciiTheme="majorHAnsi" w:hAnsiTheme="majorHAnsi"/>
                            <w:i/>
                            <w:sz w:val="20"/>
                            <w:szCs w:val="20"/>
                          </w:rPr>
                        </w:pPr>
                        <w:r w:rsidRPr="00060D11">
                          <w:rPr>
                            <w:rFonts w:asciiTheme="majorHAnsi" w:hAnsiTheme="majorHAnsi"/>
                            <w:i/>
                            <w:sz w:val="20"/>
                            <w:szCs w:val="20"/>
                          </w:rPr>
                          <w:t>And they will need to be committed to the approach/es.</w:t>
                        </w:r>
                      </w:p>
                      <w:p w14:paraId="4D4B0FE1" w14:textId="77777777" w:rsidR="00F96637" w:rsidRDefault="00F96637" w:rsidP="00FC49D7"/>
                    </w:txbxContent>
                  </v:textbox>
                </v:shape>
                <w10:anchorlock/>
              </v:group>
            </w:pict>
          </mc:Fallback>
        </mc:AlternateContent>
      </w:r>
      <w:r w:rsidR="001F26A6" w:rsidRPr="00060D11">
        <w:rPr>
          <w:rFonts w:cstheme="minorHAnsi"/>
          <w:sz w:val="20"/>
          <w:szCs w:val="20"/>
        </w:rPr>
        <w:t xml:space="preserve"> </w:t>
      </w:r>
    </w:p>
    <w:p w14:paraId="48EEDC77" w14:textId="5E34E1C5" w:rsidR="001F26A6" w:rsidRPr="00060D11" w:rsidRDefault="00FC49D7" w:rsidP="009C4CEB">
      <w:pPr>
        <w:pStyle w:val="Heading1Numbered"/>
        <w:numPr>
          <w:ilvl w:val="0"/>
          <w:numId w:val="0"/>
        </w:numPr>
        <w:spacing w:after="1440"/>
      </w:pPr>
      <w:bookmarkStart w:id="57" w:name="_Toc82182420"/>
      <w:r>
        <w:br w:type="page"/>
      </w:r>
      <w:r w:rsidR="001F26A6" w:rsidRPr="00060D11">
        <w:t>E.</w:t>
      </w:r>
      <w:r w:rsidR="001F26A6" w:rsidRPr="00060D11">
        <w:tab/>
      </w:r>
      <w:r w:rsidR="001F26A6" w:rsidRPr="009C4CEB">
        <w:rPr>
          <w:caps w:val="0"/>
        </w:rPr>
        <w:t>IMPLEMENTATION</w:t>
      </w:r>
      <w:r w:rsidR="001F26A6" w:rsidRPr="00060D11">
        <w:t xml:space="preserve"> ARRANGEMENTS</w:t>
      </w:r>
      <w:bookmarkEnd w:id="57"/>
    </w:p>
    <w:p w14:paraId="0E8C9E4B" w14:textId="77777777" w:rsidR="001F26A6" w:rsidRPr="00060D11" w:rsidRDefault="001F26A6" w:rsidP="001F26A6">
      <w:pPr>
        <w:rPr>
          <w:lang w:eastAsia="en-AU"/>
        </w:rPr>
      </w:pPr>
    </w:p>
    <w:p w14:paraId="43A16DA6" w14:textId="3D145970" w:rsidR="001F26A6" w:rsidRPr="00060D11" w:rsidRDefault="00A0220A" w:rsidP="001F26A6">
      <w:pPr>
        <w:rPr>
          <w:lang w:eastAsia="en-AU"/>
        </w:rPr>
      </w:pPr>
      <w:r w:rsidRPr="00060D11">
        <w:rPr>
          <w:noProof/>
          <w:sz w:val="38"/>
          <w:szCs w:val="38"/>
        </w:rPr>
        <w:drawing>
          <wp:anchor distT="0" distB="0" distL="114300" distR="114300" simplePos="0" relativeHeight="251760640" behindDoc="1" locked="1" layoutInCell="1" allowOverlap="1" wp14:anchorId="50B7E0C0" wp14:editId="292D5102">
            <wp:simplePos x="0" y="0"/>
            <wp:positionH relativeFrom="page">
              <wp:posOffset>36195</wp:posOffset>
            </wp:positionH>
            <wp:positionV relativeFrom="page">
              <wp:posOffset>34925</wp:posOffset>
            </wp:positionV>
            <wp:extent cx="7559675" cy="2519680"/>
            <wp:effectExtent l="0" t="0" r="0" b="0"/>
            <wp:wrapNone/>
            <wp:docPr id="125" name="Picture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42">
                      <a:extLst>
                        <a:ext uri="{C183D7F6-B498-43B3-948B-1728B52AA6E4}">
                          <adec:decorative xmlns:adec="http://schemas.microsoft.com/office/drawing/2017/decorative" val="1"/>
                        </a:ext>
                      </a:extLst>
                    </pic:cNvPr>
                    <pic:cNvPicPr/>
                  </pic:nvPicPr>
                  <pic:blipFill>
                    <a:blip r:embed="rId10" cstate="print">
                      <a:duotone>
                        <a:prstClr val="black"/>
                        <a:srgbClr val="0098A8">
                          <a:tint val="45000"/>
                          <a:satMod val="400000"/>
                        </a:srgbClr>
                      </a:duotone>
                      <a:extLst>
                        <a:ext uri="{BEBA8EAE-BF5A-486C-A8C5-ECC9F3942E4B}">
                          <a14:imgProps xmlns:a14="http://schemas.microsoft.com/office/drawing/2010/main">
                            <a14:imgLayer r:embed="rId11">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7559675" cy="2519680"/>
                    </a:xfrm>
                    <a:prstGeom prst="rect">
                      <a:avLst/>
                    </a:prstGeom>
                  </pic:spPr>
                </pic:pic>
              </a:graphicData>
            </a:graphic>
            <wp14:sizeRelH relativeFrom="margin">
              <wp14:pctWidth>0</wp14:pctWidth>
            </wp14:sizeRelH>
            <wp14:sizeRelV relativeFrom="margin">
              <wp14:pctHeight>0</wp14:pctHeight>
            </wp14:sizeRelV>
          </wp:anchor>
        </w:drawing>
      </w:r>
    </w:p>
    <w:p w14:paraId="4BC75342" w14:textId="342B3A5B" w:rsidR="001F26A6" w:rsidRPr="00060D11" w:rsidRDefault="001F26A6" w:rsidP="00C04736">
      <w:pPr>
        <w:pStyle w:val="Heading2"/>
      </w:pPr>
      <w:r w:rsidRPr="00060D11">
        <w:t>E.1</w:t>
      </w:r>
      <w:r w:rsidRPr="00060D11">
        <w:tab/>
        <w:t>GOVERNANCE AND MANAGEMENT ARRANGEMENTS</w:t>
      </w:r>
    </w:p>
    <w:p w14:paraId="38D1F9A5" w14:textId="77777777" w:rsidR="001F26A6" w:rsidRPr="00060D11" w:rsidRDefault="001F26A6" w:rsidP="004E780D">
      <w:pPr>
        <w:spacing w:after="120" w:line="276" w:lineRule="auto"/>
        <w:rPr>
          <w:rFonts w:cstheme="minorHAnsi"/>
        </w:rPr>
      </w:pPr>
      <w:r w:rsidRPr="00060D11">
        <w:rPr>
          <w:rFonts w:cstheme="minorHAnsi"/>
        </w:rPr>
        <w:t>The approach to governance and management of the PIE is based upon two key lessons:</w:t>
      </w:r>
    </w:p>
    <w:p w14:paraId="6A6313A5" w14:textId="1F0D9C58" w:rsidR="001F26A6" w:rsidRPr="00060D11" w:rsidRDefault="00031C7E" w:rsidP="004E780D">
      <w:pPr>
        <w:pStyle w:val="ListParagraph"/>
        <w:numPr>
          <w:ilvl w:val="0"/>
          <w:numId w:val="30"/>
        </w:numPr>
        <w:spacing w:after="120" w:line="276" w:lineRule="auto"/>
        <w:rPr>
          <w:rFonts w:cstheme="minorHAnsi"/>
          <w:sz w:val="22"/>
        </w:rPr>
      </w:pPr>
      <w:r w:rsidRPr="00060D11">
        <w:rPr>
          <w:rFonts w:cstheme="minorHAnsi"/>
          <w:sz w:val="22"/>
        </w:rPr>
        <w:t>b</w:t>
      </w:r>
      <w:r w:rsidR="001F26A6" w:rsidRPr="00060D11">
        <w:rPr>
          <w:rFonts w:cstheme="minorHAnsi"/>
          <w:sz w:val="22"/>
        </w:rPr>
        <w:t>oth the quality of decision-making and the probability of effective implementation are increased if donor support programs work with and through existing, local governance mechanisms</w:t>
      </w:r>
      <w:r w:rsidRPr="00060D11">
        <w:rPr>
          <w:rFonts w:cstheme="minorHAnsi"/>
          <w:sz w:val="22"/>
        </w:rPr>
        <w:t>;</w:t>
      </w:r>
      <w:r w:rsidR="001F26A6" w:rsidRPr="00060D11">
        <w:rPr>
          <w:rFonts w:cstheme="minorHAnsi"/>
          <w:sz w:val="22"/>
        </w:rPr>
        <w:t xml:space="preserve"> </w:t>
      </w:r>
      <w:r w:rsidR="00443561" w:rsidRPr="00060D11">
        <w:rPr>
          <w:rFonts w:cstheme="minorHAnsi"/>
          <w:sz w:val="22"/>
        </w:rPr>
        <w:t>and</w:t>
      </w:r>
    </w:p>
    <w:p w14:paraId="75F57F93" w14:textId="68339A88" w:rsidR="001F26A6" w:rsidRPr="00060D11" w:rsidRDefault="00031C7E" w:rsidP="004E780D">
      <w:pPr>
        <w:pStyle w:val="ListParagraph"/>
        <w:numPr>
          <w:ilvl w:val="0"/>
          <w:numId w:val="30"/>
        </w:numPr>
        <w:spacing w:after="120" w:line="276" w:lineRule="auto"/>
        <w:rPr>
          <w:rFonts w:cstheme="minorHAnsi"/>
          <w:sz w:val="22"/>
        </w:rPr>
      </w:pPr>
      <w:r w:rsidRPr="00060D11">
        <w:rPr>
          <w:rFonts w:cstheme="minorHAnsi"/>
          <w:sz w:val="22"/>
        </w:rPr>
        <w:t>t</w:t>
      </w:r>
      <w:r w:rsidR="001F26A6" w:rsidRPr="00060D11">
        <w:rPr>
          <w:rFonts w:cstheme="minorHAnsi"/>
          <w:sz w:val="22"/>
        </w:rPr>
        <w:t>he GoA has a comparative advantage in terms of its long-term engagement in the education sector and commitment to regular, on-going policy dialogue with NDoE on key issues effecting education service delivery.</w:t>
      </w:r>
    </w:p>
    <w:p w14:paraId="662C140D" w14:textId="77777777" w:rsidR="001F26A6" w:rsidRPr="00060D11" w:rsidRDefault="001F26A6" w:rsidP="004E780D">
      <w:pPr>
        <w:spacing w:after="120" w:line="276" w:lineRule="auto"/>
        <w:rPr>
          <w:lang w:eastAsia="en-AU"/>
        </w:rPr>
      </w:pPr>
      <w:r w:rsidRPr="00060D11">
        <w:rPr>
          <w:lang w:eastAsia="en-AU"/>
        </w:rPr>
        <w:t xml:space="preserve">The governance and management arrangements attempt to incorporate both of these lessons. </w:t>
      </w:r>
      <w:bookmarkStart w:id="58" w:name="_Hlk68543711"/>
      <w:r w:rsidRPr="00060D11">
        <w:rPr>
          <w:lang w:eastAsia="en-AU"/>
        </w:rPr>
        <w:t>The governance and management arrangements for the PIE investment seek to maintain a clear delineation between the responsibilities of GoPNG to improve early education outcomes and Australia’s role in supporting these efforts.</w:t>
      </w:r>
      <w:bookmarkEnd w:id="58"/>
      <w:r w:rsidRPr="00060D11">
        <w:rPr>
          <w:lang w:eastAsia="en-AU"/>
        </w:rPr>
        <w:t xml:space="preserve"> This approach not only maintains clarity around responsibilities and accountabilities within the context of this investment, but also facilitates monitoring of </w:t>
      </w:r>
      <w:r w:rsidRPr="00060D11">
        <w:rPr>
          <w:i/>
          <w:iCs/>
          <w:lang w:eastAsia="en-AU"/>
        </w:rPr>
        <w:t>both</w:t>
      </w:r>
      <w:r w:rsidRPr="00060D11">
        <w:rPr>
          <w:lang w:eastAsia="en-AU"/>
        </w:rPr>
        <w:t xml:space="preserve"> results achieved by GoPNG agencies </w:t>
      </w:r>
      <w:r w:rsidRPr="00060D11">
        <w:rPr>
          <w:i/>
          <w:iCs/>
          <w:lang w:eastAsia="en-AU"/>
        </w:rPr>
        <w:t>and</w:t>
      </w:r>
      <w:r w:rsidRPr="00060D11">
        <w:rPr>
          <w:lang w:eastAsia="en-AU"/>
        </w:rPr>
        <w:t xml:space="preserve"> Australia’s contribution to the achievement of those results.</w:t>
      </w:r>
    </w:p>
    <w:p w14:paraId="440A150F" w14:textId="37FA8F33" w:rsidR="001F26A6" w:rsidRPr="00060D11" w:rsidRDefault="001F26A6" w:rsidP="004E780D">
      <w:pPr>
        <w:spacing w:after="120" w:line="276" w:lineRule="auto"/>
        <w:rPr>
          <w:lang w:eastAsia="en-AU"/>
        </w:rPr>
      </w:pPr>
      <w:r w:rsidRPr="00060D11">
        <w:rPr>
          <w:lang w:eastAsia="en-AU"/>
        </w:rPr>
        <w:t xml:space="preserve">Figure </w:t>
      </w:r>
      <w:r w:rsidR="00FC4782" w:rsidRPr="00060D11">
        <w:rPr>
          <w:lang w:eastAsia="en-AU"/>
        </w:rPr>
        <w:t>5</w:t>
      </w:r>
      <w:r w:rsidRPr="00060D11">
        <w:rPr>
          <w:lang w:eastAsia="en-AU"/>
        </w:rPr>
        <w:t xml:space="preserve"> (national level) and Figure </w:t>
      </w:r>
      <w:r w:rsidR="00FC4782" w:rsidRPr="00060D11">
        <w:rPr>
          <w:lang w:eastAsia="en-AU"/>
        </w:rPr>
        <w:t>6</w:t>
      </w:r>
      <w:r w:rsidRPr="00060D11">
        <w:rPr>
          <w:lang w:eastAsia="en-AU"/>
        </w:rPr>
        <w:t xml:space="preserve"> (provincial level) present a graphic representation of the way in which the PIE will work with and through the government systems. The approach will involve:</w:t>
      </w:r>
    </w:p>
    <w:p w14:paraId="51D6AE39" w14:textId="7F0A27B2" w:rsidR="001F26A6" w:rsidRPr="00060D11" w:rsidRDefault="00C0095C" w:rsidP="004E780D">
      <w:pPr>
        <w:pStyle w:val="ListParagraph"/>
        <w:numPr>
          <w:ilvl w:val="0"/>
          <w:numId w:val="29"/>
        </w:numPr>
        <w:spacing w:after="120" w:line="276" w:lineRule="auto"/>
        <w:rPr>
          <w:lang w:eastAsia="en-AU"/>
        </w:rPr>
      </w:pPr>
      <w:r w:rsidRPr="00060D11">
        <w:rPr>
          <w:rFonts w:cstheme="minorHAnsi"/>
          <w:b/>
          <w:bCs/>
          <w:i/>
          <w:iCs/>
          <w:sz w:val="22"/>
        </w:rPr>
        <w:t>p</w:t>
      </w:r>
      <w:r w:rsidR="001F26A6" w:rsidRPr="00060D11">
        <w:rPr>
          <w:rFonts w:cstheme="minorHAnsi"/>
          <w:b/>
          <w:bCs/>
          <w:i/>
          <w:iCs/>
          <w:sz w:val="22"/>
        </w:rPr>
        <w:t>lacement of the Team Leader and MERL Positions within NDoE</w:t>
      </w:r>
      <w:r w:rsidR="001F26A6" w:rsidRPr="00060D11">
        <w:rPr>
          <w:rFonts w:cstheme="minorHAnsi"/>
          <w:sz w:val="22"/>
        </w:rPr>
        <w:t xml:space="preserve"> (most likely working with the DepSec Policy and Corporate Services</w:t>
      </w:r>
      <w:r w:rsidR="00031C7E" w:rsidRPr="00060D11">
        <w:rPr>
          <w:rFonts w:cstheme="minorHAnsi"/>
          <w:sz w:val="22"/>
        </w:rPr>
        <w:t>)</w:t>
      </w:r>
      <w:r w:rsidRPr="00060D11">
        <w:rPr>
          <w:rFonts w:cstheme="minorHAnsi"/>
          <w:sz w:val="22"/>
        </w:rPr>
        <w:t>;</w:t>
      </w:r>
      <w:r w:rsidR="001F26A6" w:rsidRPr="00060D11">
        <w:rPr>
          <w:rFonts w:cstheme="minorHAnsi"/>
          <w:sz w:val="22"/>
        </w:rPr>
        <w:t xml:space="preserve"> </w:t>
      </w:r>
    </w:p>
    <w:p w14:paraId="33E6AF61" w14:textId="43A1C13D" w:rsidR="001F26A6" w:rsidRPr="00060D11" w:rsidRDefault="00C0095C" w:rsidP="004E780D">
      <w:pPr>
        <w:pStyle w:val="ListParagraph"/>
        <w:numPr>
          <w:ilvl w:val="0"/>
          <w:numId w:val="29"/>
        </w:numPr>
        <w:spacing w:after="120" w:line="276" w:lineRule="auto"/>
        <w:rPr>
          <w:lang w:eastAsia="en-AU"/>
        </w:rPr>
      </w:pPr>
      <w:r w:rsidRPr="00060D11">
        <w:rPr>
          <w:rFonts w:cstheme="minorHAnsi"/>
          <w:b/>
          <w:bCs/>
          <w:i/>
          <w:iCs/>
          <w:sz w:val="22"/>
        </w:rPr>
        <w:t>p</w:t>
      </w:r>
      <w:r w:rsidR="001F26A6" w:rsidRPr="00060D11">
        <w:rPr>
          <w:rFonts w:cstheme="minorHAnsi"/>
          <w:b/>
          <w:bCs/>
          <w:i/>
          <w:iCs/>
          <w:sz w:val="22"/>
        </w:rPr>
        <w:t>lacement of Provincial Manager/Activity Coordinator Positions in PDoE offices</w:t>
      </w:r>
    </w:p>
    <w:p w14:paraId="33E2DA94" w14:textId="05CED44C" w:rsidR="001F26A6" w:rsidRPr="00060D11" w:rsidRDefault="00C0095C" w:rsidP="004E780D">
      <w:pPr>
        <w:pStyle w:val="ListParagraph"/>
        <w:numPr>
          <w:ilvl w:val="0"/>
          <w:numId w:val="29"/>
        </w:numPr>
        <w:spacing w:after="120" w:line="276" w:lineRule="auto"/>
        <w:rPr>
          <w:rFonts w:cstheme="minorHAnsi"/>
          <w:sz w:val="22"/>
        </w:rPr>
      </w:pPr>
      <w:r w:rsidRPr="00060D11">
        <w:rPr>
          <w:rFonts w:cstheme="minorHAnsi"/>
          <w:b/>
          <w:bCs/>
          <w:i/>
          <w:iCs/>
          <w:sz w:val="22"/>
        </w:rPr>
        <w:t>e</w:t>
      </w:r>
      <w:r w:rsidR="001F26A6" w:rsidRPr="00060D11">
        <w:rPr>
          <w:rFonts w:cstheme="minorHAnsi"/>
          <w:b/>
          <w:bCs/>
          <w:i/>
          <w:iCs/>
          <w:sz w:val="22"/>
        </w:rPr>
        <w:t xml:space="preserve">stablishment of separate </w:t>
      </w:r>
      <w:r w:rsidR="005662DB" w:rsidRPr="00060D11">
        <w:rPr>
          <w:rFonts w:cstheme="minorHAnsi"/>
          <w:b/>
          <w:bCs/>
          <w:i/>
          <w:iCs/>
          <w:sz w:val="22"/>
        </w:rPr>
        <w:t>managing contractor</w:t>
      </w:r>
      <w:r w:rsidR="001F26A6" w:rsidRPr="00060D11">
        <w:rPr>
          <w:rFonts w:cstheme="minorHAnsi"/>
          <w:b/>
          <w:bCs/>
          <w:i/>
          <w:iCs/>
          <w:sz w:val="22"/>
        </w:rPr>
        <w:t xml:space="preserve"> office </w:t>
      </w:r>
      <w:r w:rsidR="001F26A6" w:rsidRPr="00060D11">
        <w:rPr>
          <w:rFonts w:cstheme="minorHAnsi"/>
          <w:sz w:val="22"/>
        </w:rPr>
        <w:t>tasked with</w:t>
      </w:r>
      <w:r w:rsidR="001F26A6" w:rsidRPr="00060D11">
        <w:rPr>
          <w:rFonts w:cstheme="minorHAnsi"/>
          <w:i/>
          <w:iCs/>
          <w:sz w:val="22"/>
        </w:rPr>
        <w:t xml:space="preserve"> </w:t>
      </w:r>
      <w:r w:rsidR="001F26A6" w:rsidRPr="00060D11">
        <w:rPr>
          <w:rFonts w:cstheme="minorHAnsi"/>
          <w:sz w:val="22"/>
        </w:rPr>
        <w:t>recruiting, supplying and (jointly) monitoring and reporting upon the work of long and short-term personnel, and supervising the work of sub-contractors and grant management</w:t>
      </w:r>
      <w:r w:rsidRPr="00060D11">
        <w:rPr>
          <w:rFonts w:cstheme="minorHAnsi"/>
          <w:sz w:val="22"/>
        </w:rPr>
        <w:t>;</w:t>
      </w:r>
      <w:r w:rsidR="001F26A6" w:rsidRPr="00060D11">
        <w:rPr>
          <w:rFonts w:cstheme="minorHAnsi"/>
          <w:sz w:val="22"/>
        </w:rPr>
        <w:t xml:space="preserve"> </w:t>
      </w:r>
      <w:r w:rsidR="00443561" w:rsidRPr="00060D11">
        <w:rPr>
          <w:rFonts w:cstheme="minorHAnsi"/>
          <w:sz w:val="22"/>
        </w:rPr>
        <w:t>and</w:t>
      </w:r>
    </w:p>
    <w:p w14:paraId="20E83E67" w14:textId="256514DF" w:rsidR="001F26A6" w:rsidRPr="00060D11" w:rsidRDefault="001F26A6" w:rsidP="004E780D">
      <w:pPr>
        <w:pStyle w:val="ListParagraph"/>
        <w:numPr>
          <w:ilvl w:val="0"/>
          <w:numId w:val="29"/>
        </w:numPr>
        <w:spacing w:after="120" w:line="276" w:lineRule="auto"/>
        <w:rPr>
          <w:lang w:eastAsia="en-AU"/>
        </w:rPr>
      </w:pPr>
      <w:bookmarkStart w:id="59" w:name="_Hlk68544081"/>
      <w:r w:rsidRPr="00060D11">
        <w:rPr>
          <w:rFonts w:cstheme="minorHAnsi"/>
          <w:b/>
          <w:bCs/>
          <w:sz w:val="22"/>
        </w:rPr>
        <w:t>LTA and STA inputs</w:t>
      </w:r>
      <w:r w:rsidR="00E240BB">
        <w:rPr>
          <w:rFonts w:cstheme="minorHAnsi"/>
          <w:b/>
          <w:bCs/>
          <w:sz w:val="22"/>
        </w:rPr>
        <w:t>,</w:t>
      </w:r>
      <w:r w:rsidRPr="00060D11">
        <w:rPr>
          <w:rFonts w:cstheme="minorHAnsi"/>
          <w:sz w:val="22"/>
        </w:rPr>
        <w:t xml:space="preserve"> </w:t>
      </w:r>
      <w:r w:rsidR="00E240BB" w:rsidRPr="00E240BB">
        <w:rPr>
          <w:rFonts w:cstheme="minorHAnsi"/>
          <w:b/>
          <w:bCs/>
          <w:sz w:val="22"/>
        </w:rPr>
        <w:t>including the GEDSI role</w:t>
      </w:r>
      <w:r w:rsidR="00E240BB">
        <w:rPr>
          <w:rFonts w:cstheme="minorHAnsi"/>
          <w:sz w:val="22"/>
        </w:rPr>
        <w:t xml:space="preserve">, </w:t>
      </w:r>
      <w:r w:rsidRPr="00060D11">
        <w:rPr>
          <w:rFonts w:cstheme="minorHAnsi"/>
          <w:sz w:val="22"/>
        </w:rPr>
        <w:t xml:space="preserve">supplied via the </w:t>
      </w:r>
      <w:r w:rsidR="005662DB" w:rsidRPr="00060D11">
        <w:rPr>
          <w:rFonts w:cstheme="minorHAnsi"/>
          <w:sz w:val="22"/>
        </w:rPr>
        <w:t>managing contractor</w:t>
      </w:r>
      <w:r w:rsidRPr="00060D11">
        <w:rPr>
          <w:rFonts w:cstheme="minorHAnsi"/>
          <w:sz w:val="22"/>
        </w:rPr>
        <w:t xml:space="preserve"> would be coordinated and supervised by the T</w:t>
      </w:r>
      <w:r w:rsidR="00C0095C" w:rsidRPr="00060D11">
        <w:rPr>
          <w:rFonts w:cstheme="minorHAnsi"/>
          <w:sz w:val="22"/>
        </w:rPr>
        <w:t xml:space="preserve">eam </w:t>
      </w:r>
      <w:r w:rsidRPr="00060D11">
        <w:rPr>
          <w:rFonts w:cstheme="minorHAnsi"/>
          <w:sz w:val="22"/>
        </w:rPr>
        <w:t>L</w:t>
      </w:r>
      <w:r w:rsidR="00C0095C" w:rsidRPr="00060D11">
        <w:rPr>
          <w:rFonts w:cstheme="minorHAnsi"/>
          <w:sz w:val="22"/>
        </w:rPr>
        <w:t>eader</w:t>
      </w:r>
      <w:r w:rsidRPr="00060D11">
        <w:rPr>
          <w:rFonts w:cstheme="minorHAnsi"/>
          <w:sz w:val="22"/>
        </w:rPr>
        <w:t xml:space="preserve"> and be supplied within the context of agreed strategies and plans co-designed with education stakeholders. </w:t>
      </w:r>
      <w:bookmarkStart w:id="60" w:name="_Hlk68544101"/>
      <w:bookmarkEnd w:id="59"/>
      <w:r w:rsidRPr="00060D11">
        <w:rPr>
          <w:rFonts w:cstheme="minorHAnsi"/>
          <w:sz w:val="22"/>
        </w:rPr>
        <w:t>These would be reflected in A</w:t>
      </w:r>
      <w:r w:rsidR="00A96E2A" w:rsidRPr="00060D11">
        <w:rPr>
          <w:rFonts w:cstheme="minorHAnsi"/>
          <w:sz w:val="22"/>
        </w:rPr>
        <w:t>AP</w:t>
      </w:r>
      <w:r w:rsidRPr="00060D11">
        <w:rPr>
          <w:rFonts w:cstheme="minorHAnsi"/>
          <w:sz w:val="22"/>
        </w:rPr>
        <w:t xml:space="preserve">s (within NDoE sections and targeted provinces) and, ultimately, consolidated into a PIE Annual Plan guiding the inputs to be provided by the </w:t>
      </w:r>
      <w:r w:rsidR="005662DB" w:rsidRPr="00060D11">
        <w:rPr>
          <w:rFonts w:cstheme="minorHAnsi"/>
          <w:sz w:val="22"/>
        </w:rPr>
        <w:t>managing contractor</w:t>
      </w:r>
      <w:r w:rsidRPr="00060D11">
        <w:rPr>
          <w:rFonts w:cstheme="minorHAnsi"/>
          <w:sz w:val="22"/>
        </w:rPr>
        <w:t xml:space="preserve">. </w:t>
      </w:r>
      <w:bookmarkStart w:id="61" w:name="_Hlk68544160"/>
      <w:bookmarkEnd w:id="60"/>
      <w:r w:rsidRPr="00060D11">
        <w:rPr>
          <w:rFonts w:cstheme="minorHAnsi"/>
          <w:sz w:val="22"/>
        </w:rPr>
        <w:t xml:space="preserve">This would be approved by DFAT. Implementation would be monitored in accordance with DFAT’s normal accountability standards ensuring adherence to polices on Environment Safeguards, Child Protection and PSEAH. </w:t>
      </w:r>
      <w:bookmarkEnd w:id="61"/>
      <w:r w:rsidRPr="00060D11">
        <w:rPr>
          <w:rFonts w:cstheme="minorHAnsi"/>
          <w:sz w:val="22"/>
        </w:rPr>
        <w:t>Quality assessments (e.g., of the performance of individual TA) would be jointly carried out with education stakeholder partners and reported to DFAT in due course.</w:t>
      </w:r>
    </w:p>
    <w:p w14:paraId="31F0AF94" w14:textId="06BF4BE1" w:rsidR="001F26A6" w:rsidRPr="00060D11" w:rsidRDefault="001F26A6" w:rsidP="004E780D">
      <w:pPr>
        <w:spacing w:after="120" w:line="276" w:lineRule="auto"/>
        <w:rPr>
          <w:rFonts w:asciiTheme="majorHAnsi" w:hAnsiTheme="majorHAnsi" w:cstheme="majorHAnsi"/>
          <w:b/>
          <w:bCs/>
          <w:lang w:eastAsia="en-AU"/>
        </w:rPr>
      </w:pPr>
    </w:p>
    <w:p w14:paraId="6172743E" w14:textId="77777777" w:rsidR="008F18F7" w:rsidRDefault="008F18F7" w:rsidP="004E780D">
      <w:pPr>
        <w:spacing w:after="120" w:line="276" w:lineRule="auto"/>
        <w:rPr>
          <w:rFonts w:asciiTheme="majorHAnsi" w:hAnsiTheme="majorHAnsi" w:cstheme="majorHAnsi"/>
          <w:b/>
          <w:bCs/>
          <w:lang w:eastAsia="en-AU"/>
        </w:rPr>
      </w:pPr>
    </w:p>
    <w:p w14:paraId="798C809A" w14:textId="77BB2474" w:rsidR="001F26A6" w:rsidRPr="00060D11" w:rsidRDefault="001F26A6" w:rsidP="004E780D">
      <w:pPr>
        <w:spacing w:after="120" w:line="276" w:lineRule="auto"/>
        <w:rPr>
          <w:b/>
          <w:bCs/>
          <w:lang w:eastAsia="en-AU"/>
        </w:rPr>
      </w:pPr>
      <w:r w:rsidRPr="00060D11">
        <w:rPr>
          <w:rFonts w:asciiTheme="majorHAnsi" w:hAnsiTheme="majorHAnsi" w:cstheme="majorHAnsi"/>
          <w:b/>
          <w:bCs/>
          <w:lang w:eastAsia="en-AU"/>
        </w:rPr>
        <w:t>NATIONAL LEVEL</w:t>
      </w:r>
      <w:r w:rsidRPr="00060D11">
        <w:rPr>
          <w:b/>
          <w:bCs/>
          <w:lang w:eastAsia="en-AU"/>
        </w:rPr>
        <w:t xml:space="preserve"> </w:t>
      </w:r>
      <w:r w:rsidRPr="00060D11">
        <w:rPr>
          <w:lang w:eastAsia="en-AU"/>
        </w:rPr>
        <w:t xml:space="preserve">(Figure </w:t>
      </w:r>
      <w:r w:rsidR="00FC4782" w:rsidRPr="00060D11">
        <w:rPr>
          <w:lang w:eastAsia="en-AU"/>
        </w:rPr>
        <w:t>5</w:t>
      </w:r>
      <w:r w:rsidRPr="00060D11">
        <w:rPr>
          <w:lang w:eastAsia="en-AU"/>
        </w:rPr>
        <w:t>)</w:t>
      </w:r>
    </w:p>
    <w:p w14:paraId="1E2E8ADC" w14:textId="02BF9E01" w:rsidR="001F26A6" w:rsidRPr="00060D11" w:rsidRDefault="001F26A6" w:rsidP="004E780D">
      <w:pPr>
        <w:spacing w:after="120" w:line="276" w:lineRule="auto"/>
        <w:rPr>
          <w:lang w:eastAsia="en-AU"/>
        </w:rPr>
      </w:pPr>
      <w:r w:rsidRPr="00060D11">
        <w:rPr>
          <w:lang w:eastAsia="en-AU"/>
        </w:rPr>
        <w:t xml:space="preserve">At the national level, support is provided by Australia through a </w:t>
      </w:r>
      <w:r w:rsidR="005662DB" w:rsidRPr="00060D11">
        <w:rPr>
          <w:lang w:eastAsia="en-AU"/>
        </w:rPr>
        <w:t>managing contractor</w:t>
      </w:r>
      <w:r w:rsidRPr="00060D11">
        <w:rPr>
          <w:lang w:eastAsia="en-AU"/>
        </w:rPr>
        <w:t xml:space="preserve">. The intent of the design is for the external inputs to </w:t>
      </w:r>
      <w:r w:rsidRPr="00060D11">
        <w:rPr>
          <w:i/>
          <w:iCs/>
          <w:lang w:eastAsia="en-AU"/>
        </w:rPr>
        <w:t>respond to</w:t>
      </w:r>
      <w:r w:rsidRPr="00060D11">
        <w:rPr>
          <w:lang w:eastAsia="en-AU"/>
        </w:rPr>
        <w:t xml:space="preserve"> identified problems and support co-designed solutions </w:t>
      </w:r>
      <w:r w:rsidRPr="00060D11">
        <w:t xml:space="preserve">where it is both technically and politically possible for results to be achieved. </w:t>
      </w:r>
      <w:r w:rsidRPr="00060D11">
        <w:rPr>
          <w:lang w:eastAsia="en-AU"/>
        </w:rPr>
        <w:t>The agreed priorities and PIE inputs will be outlined in Activity Support Plans showing alignment with the priorities and functional needs reflected in the NEP 2020-2029 and other plans as approved by the National Executive Council.</w:t>
      </w:r>
    </w:p>
    <w:p w14:paraId="7A91D796" w14:textId="76DEB6ED" w:rsidR="001F26A6" w:rsidRPr="00060D11" w:rsidRDefault="001F26A6" w:rsidP="004E780D">
      <w:pPr>
        <w:pStyle w:val="ListParagraph"/>
        <w:spacing w:after="120" w:line="276" w:lineRule="auto"/>
        <w:ind w:left="0"/>
        <w:rPr>
          <w:rFonts w:cstheme="minorHAnsi"/>
          <w:sz w:val="22"/>
        </w:rPr>
      </w:pPr>
      <w:r w:rsidRPr="00060D11">
        <w:rPr>
          <w:rFonts w:cstheme="minorHAnsi"/>
          <w:sz w:val="22"/>
          <w:lang w:eastAsia="en-AU"/>
        </w:rPr>
        <w:t>The support required at the national level will be operationalised via an A</w:t>
      </w:r>
      <w:r w:rsidR="00A96E2A" w:rsidRPr="00060D11">
        <w:rPr>
          <w:rFonts w:cstheme="minorHAnsi"/>
          <w:sz w:val="22"/>
          <w:lang w:eastAsia="en-AU"/>
        </w:rPr>
        <w:t>A</w:t>
      </w:r>
      <w:r w:rsidRPr="00060D11">
        <w:rPr>
          <w:rFonts w:cstheme="minorHAnsi"/>
          <w:sz w:val="22"/>
          <w:lang w:eastAsia="en-AU"/>
        </w:rPr>
        <w:t xml:space="preserve">P which will guide the provision of all inputs. </w:t>
      </w:r>
      <w:r w:rsidRPr="00060D11">
        <w:rPr>
          <w:rFonts w:cstheme="minorHAnsi"/>
          <w:sz w:val="22"/>
        </w:rPr>
        <w:t>The approach for formulating the AAP</w:t>
      </w:r>
      <w:r w:rsidR="00CB40AB" w:rsidRPr="00060D11">
        <w:rPr>
          <w:rFonts w:cstheme="minorHAnsi"/>
          <w:sz w:val="22"/>
        </w:rPr>
        <w:t xml:space="preserve">, </w:t>
      </w:r>
      <w:r w:rsidRPr="00060D11">
        <w:rPr>
          <w:rFonts w:cstheme="minorHAnsi"/>
          <w:sz w:val="22"/>
        </w:rPr>
        <w:t xml:space="preserve">depicted in Figure </w:t>
      </w:r>
      <w:r w:rsidR="00FC4782" w:rsidRPr="00060D11">
        <w:rPr>
          <w:rFonts w:cstheme="minorHAnsi"/>
          <w:sz w:val="22"/>
        </w:rPr>
        <w:t>5</w:t>
      </w:r>
      <w:r w:rsidR="00CB40AB" w:rsidRPr="00060D11">
        <w:rPr>
          <w:rFonts w:cstheme="minorHAnsi"/>
          <w:sz w:val="22"/>
        </w:rPr>
        <w:t>,</w:t>
      </w:r>
      <w:r w:rsidRPr="00060D11">
        <w:rPr>
          <w:rFonts w:cstheme="minorHAnsi"/>
          <w:sz w:val="22"/>
        </w:rPr>
        <w:t xml:space="preserve"> meets the requirement to work within government systems but also to ensure that DFAT’s accountability standards are met.</w:t>
      </w:r>
    </w:p>
    <w:p w14:paraId="48088223" w14:textId="591CA49F" w:rsidR="001F26A6" w:rsidRPr="00060D11" w:rsidRDefault="001F26A6" w:rsidP="004E780D">
      <w:pPr>
        <w:spacing w:after="120" w:line="276" w:lineRule="auto"/>
        <w:rPr>
          <w:lang w:eastAsia="en-AU"/>
        </w:rPr>
      </w:pPr>
      <w:r w:rsidRPr="00060D11">
        <w:rPr>
          <w:lang w:eastAsia="en-AU"/>
        </w:rPr>
        <w:t>All technical advisers will receive oversight and guidance from the T</w:t>
      </w:r>
      <w:r w:rsidR="00C0095C" w:rsidRPr="00060D11">
        <w:rPr>
          <w:lang w:eastAsia="en-AU"/>
        </w:rPr>
        <w:t xml:space="preserve">eam </w:t>
      </w:r>
      <w:r w:rsidRPr="00060D11">
        <w:rPr>
          <w:lang w:eastAsia="en-AU"/>
        </w:rPr>
        <w:t>L</w:t>
      </w:r>
      <w:r w:rsidR="00C0095C" w:rsidRPr="00060D11">
        <w:rPr>
          <w:lang w:eastAsia="en-AU"/>
        </w:rPr>
        <w:t>eader</w:t>
      </w:r>
      <w:r w:rsidRPr="00060D11">
        <w:rPr>
          <w:lang w:eastAsia="en-AU"/>
        </w:rPr>
        <w:t>, a position which is embedded in NDoE and aligned with appropriate Deputy Secretaries in the NDoE and DHERST.</w:t>
      </w:r>
    </w:p>
    <w:p w14:paraId="0975613E" w14:textId="12ECE01F" w:rsidR="001F26A6" w:rsidRDefault="001F26A6" w:rsidP="004E780D">
      <w:pPr>
        <w:spacing w:after="120" w:line="276" w:lineRule="auto"/>
        <w:rPr>
          <w:lang w:eastAsia="en-AU"/>
        </w:rPr>
      </w:pPr>
      <w:r w:rsidRPr="00060D11">
        <w:rPr>
          <w:lang w:eastAsia="en-AU"/>
        </w:rPr>
        <w:t xml:space="preserve">Figure </w:t>
      </w:r>
      <w:r w:rsidR="00FC4782" w:rsidRPr="00060D11">
        <w:rPr>
          <w:lang w:eastAsia="en-AU"/>
        </w:rPr>
        <w:t>5</w:t>
      </w:r>
      <w:r w:rsidRPr="00060D11">
        <w:rPr>
          <w:lang w:eastAsia="en-AU"/>
        </w:rPr>
        <w:t xml:space="preserve"> also shows the key functional areas within the NDoE which will engage with, and provide direction to, the investment.</w:t>
      </w:r>
    </w:p>
    <w:p w14:paraId="4BEE50F9" w14:textId="2157E7A0" w:rsidR="00262B4A" w:rsidRPr="00060D11" w:rsidRDefault="00C050E4" w:rsidP="004E780D">
      <w:pPr>
        <w:spacing w:after="120" w:line="276" w:lineRule="auto"/>
        <w:rPr>
          <w:lang w:eastAsia="en-AU"/>
        </w:rPr>
      </w:pPr>
      <w:r>
        <w:rPr>
          <w:lang w:eastAsia="en-AU"/>
        </w:rPr>
        <w:t xml:space="preserve">A Joint Steering Committee will be established to govern PIE </w:t>
      </w:r>
      <w:proofErr w:type="gramStart"/>
      <w:r>
        <w:rPr>
          <w:lang w:eastAsia="en-AU"/>
        </w:rPr>
        <w:t>similar to</w:t>
      </w:r>
      <w:proofErr w:type="gramEnd"/>
      <w:r>
        <w:rPr>
          <w:lang w:eastAsia="en-AU"/>
        </w:rPr>
        <w:t xml:space="preserve"> other PNG-Australia Partnership investments. The Terms of Reference, including the membership, will be developed between AHC and </w:t>
      </w:r>
      <w:proofErr w:type="spellStart"/>
      <w:r>
        <w:rPr>
          <w:lang w:eastAsia="en-AU"/>
        </w:rPr>
        <w:t>GoPNG</w:t>
      </w:r>
      <w:proofErr w:type="spellEnd"/>
      <w:r>
        <w:rPr>
          <w:lang w:eastAsia="en-AU"/>
        </w:rPr>
        <w:t xml:space="preserve">. </w:t>
      </w:r>
    </w:p>
    <w:p w14:paraId="2CC046F0" w14:textId="0984E0D4" w:rsidR="001F26A6" w:rsidRPr="00060D11" w:rsidRDefault="001F26A6" w:rsidP="004E780D">
      <w:pPr>
        <w:spacing w:after="120" w:line="276" w:lineRule="auto"/>
        <w:rPr>
          <w:lang w:eastAsia="en-AU"/>
        </w:rPr>
      </w:pPr>
      <w:r w:rsidRPr="00060D11">
        <w:rPr>
          <w:lang w:eastAsia="en-AU"/>
        </w:rPr>
        <w:t xml:space="preserve">There is an expectation that the AHC and the Secretaries of NDoE and DHERST will engage in regular dialogue concerning education in general and, on occasion, on issues emerging out of the performance monitoring of the PIE investment. Evidence of effective approaches supported by the PIE will be channelled to AHC, via the </w:t>
      </w:r>
      <w:r w:rsidR="005662DB" w:rsidRPr="00060D11">
        <w:rPr>
          <w:lang w:eastAsia="en-AU"/>
        </w:rPr>
        <w:t>managing contractor</w:t>
      </w:r>
      <w:r w:rsidRPr="00060D11">
        <w:rPr>
          <w:lang w:eastAsia="en-AU"/>
        </w:rPr>
        <w:t xml:space="preserve">, and strengthen Australia’s ability to engage in policy dialogue with GoPNG on key issues effecting the sector. </w:t>
      </w:r>
    </w:p>
    <w:p w14:paraId="1C4C9A98" w14:textId="56701C2F" w:rsidR="000A38A7" w:rsidRPr="00060D11" w:rsidRDefault="001F26A6" w:rsidP="000A38A7">
      <w:pPr>
        <w:spacing w:after="120" w:line="276" w:lineRule="auto"/>
        <w:rPr>
          <w:lang w:eastAsia="en-AU"/>
        </w:rPr>
      </w:pPr>
      <w:r w:rsidRPr="00060D11">
        <w:rPr>
          <w:lang w:eastAsia="en-AU"/>
        </w:rPr>
        <w:t xml:space="preserve">AHC will also continue to engage with NDoE through the multi-stakeholder </w:t>
      </w:r>
      <w:r w:rsidR="00256573" w:rsidRPr="00060D11">
        <w:rPr>
          <w:lang w:eastAsia="en-AU"/>
        </w:rPr>
        <w:t>L</w:t>
      </w:r>
      <w:r w:rsidR="009252DA" w:rsidRPr="00060D11">
        <w:rPr>
          <w:lang w:eastAsia="en-AU"/>
        </w:rPr>
        <w:t xml:space="preserve">ocal </w:t>
      </w:r>
      <w:r w:rsidR="00256573" w:rsidRPr="00060D11">
        <w:rPr>
          <w:lang w:eastAsia="en-AU"/>
        </w:rPr>
        <w:t>E</w:t>
      </w:r>
      <w:r w:rsidR="009252DA" w:rsidRPr="00060D11">
        <w:rPr>
          <w:lang w:eastAsia="en-AU"/>
        </w:rPr>
        <w:t xml:space="preserve">ducation </w:t>
      </w:r>
      <w:r w:rsidR="00256573" w:rsidRPr="00060D11">
        <w:rPr>
          <w:lang w:eastAsia="en-AU"/>
        </w:rPr>
        <w:t>G</w:t>
      </w:r>
      <w:r w:rsidR="009252DA" w:rsidRPr="00060D11">
        <w:rPr>
          <w:lang w:eastAsia="en-AU"/>
        </w:rPr>
        <w:t>roup (LEG)</w:t>
      </w:r>
      <w:r w:rsidRPr="00060D11">
        <w:rPr>
          <w:lang w:eastAsia="en-AU"/>
        </w:rPr>
        <w:t xml:space="preserve"> on education policy issues</w:t>
      </w:r>
      <w:r w:rsidR="002137DE" w:rsidRPr="00060D11">
        <w:rPr>
          <w:lang w:eastAsia="en-AU"/>
        </w:rPr>
        <w:t xml:space="preserve"> and </w:t>
      </w:r>
      <w:r w:rsidR="009252DA" w:rsidRPr="00060D11">
        <w:rPr>
          <w:lang w:eastAsia="en-AU"/>
        </w:rPr>
        <w:t>continue to co-chair</w:t>
      </w:r>
      <w:r w:rsidR="002137DE" w:rsidRPr="00060D11">
        <w:rPr>
          <w:lang w:eastAsia="en-AU"/>
        </w:rPr>
        <w:t xml:space="preserve"> the </w:t>
      </w:r>
      <w:r w:rsidR="009252DA" w:rsidRPr="00060D11">
        <w:rPr>
          <w:lang w:eastAsia="en-AU"/>
        </w:rPr>
        <w:t>Education D</w:t>
      </w:r>
      <w:r w:rsidR="002137DE" w:rsidRPr="00060D11">
        <w:rPr>
          <w:lang w:eastAsia="en-AU"/>
        </w:rPr>
        <w:t>onor</w:t>
      </w:r>
      <w:r w:rsidR="009252DA" w:rsidRPr="00060D11">
        <w:rPr>
          <w:lang w:eastAsia="en-AU"/>
        </w:rPr>
        <w:t xml:space="preserve"> Partners</w:t>
      </w:r>
      <w:r w:rsidR="002137DE" w:rsidRPr="00060D11">
        <w:rPr>
          <w:lang w:eastAsia="en-AU"/>
        </w:rPr>
        <w:t xml:space="preserve"> </w:t>
      </w:r>
      <w:r w:rsidR="009252DA" w:rsidRPr="00060D11">
        <w:rPr>
          <w:lang w:eastAsia="en-AU"/>
        </w:rPr>
        <w:t>C</w:t>
      </w:r>
      <w:r w:rsidR="002137DE" w:rsidRPr="00060D11">
        <w:rPr>
          <w:lang w:eastAsia="en-AU"/>
        </w:rPr>
        <w:t xml:space="preserve">oordination </w:t>
      </w:r>
      <w:r w:rsidR="00E83E53" w:rsidRPr="00060D11">
        <w:rPr>
          <w:lang w:eastAsia="en-AU"/>
        </w:rPr>
        <w:t>Committee</w:t>
      </w:r>
      <w:r w:rsidR="002137DE" w:rsidRPr="00060D11">
        <w:rPr>
          <w:lang w:eastAsia="en-AU"/>
        </w:rPr>
        <w:t xml:space="preserve"> (</w:t>
      </w:r>
      <w:r w:rsidR="002137DE" w:rsidRPr="00060D11">
        <w:t>ED</w:t>
      </w:r>
      <w:r w:rsidR="009252DA" w:rsidRPr="00060D11">
        <w:t>Pa</w:t>
      </w:r>
      <w:r w:rsidR="002137DE" w:rsidRPr="00060D11">
        <w:t>CC)</w:t>
      </w:r>
      <w:r w:rsidRPr="00060D11">
        <w:rPr>
          <w:lang w:eastAsia="en-AU"/>
        </w:rPr>
        <w:t xml:space="preserve">. </w:t>
      </w:r>
      <w:r w:rsidR="000A38A7" w:rsidRPr="00060D11">
        <w:rPr>
          <w:lang w:eastAsia="en-AU"/>
        </w:rPr>
        <w:t xml:space="preserve"> </w:t>
      </w:r>
    </w:p>
    <w:p w14:paraId="66656130" w14:textId="77777777" w:rsidR="000A38A7" w:rsidRPr="00060D11" w:rsidRDefault="000A38A7" w:rsidP="000A38A7">
      <w:pPr>
        <w:spacing w:after="120" w:line="276" w:lineRule="auto"/>
        <w:rPr>
          <w:lang w:eastAsia="en-AU"/>
        </w:rPr>
      </w:pPr>
    </w:p>
    <w:p w14:paraId="0C22D055" w14:textId="77777777" w:rsidR="000A38A7" w:rsidRPr="00060D11" w:rsidRDefault="000A38A7" w:rsidP="000A38A7">
      <w:pPr>
        <w:spacing w:after="120" w:line="276" w:lineRule="auto"/>
        <w:rPr>
          <w:lang w:eastAsia="en-AU"/>
        </w:rPr>
      </w:pPr>
    </w:p>
    <w:p w14:paraId="093B9AD3" w14:textId="5A4E626D" w:rsidR="000A38A7" w:rsidRPr="00060D11" w:rsidRDefault="000A38A7" w:rsidP="000A38A7">
      <w:pPr>
        <w:spacing w:after="120" w:line="276" w:lineRule="auto"/>
        <w:rPr>
          <w:lang w:eastAsia="en-AU"/>
        </w:rPr>
        <w:sectPr w:rsidR="000A38A7" w:rsidRPr="00060D11">
          <w:pgSz w:w="11906" w:h="16838"/>
          <w:pgMar w:top="1440" w:right="1440" w:bottom="1440" w:left="1440" w:header="720" w:footer="720" w:gutter="0"/>
          <w:cols w:space="720"/>
          <w:docGrid w:linePitch="360"/>
        </w:sectPr>
      </w:pPr>
    </w:p>
    <w:p w14:paraId="3F40E29B" w14:textId="4E09BAE6" w:rsidR="001F26A6" w:rsidRPr="00060D11" w:rsidRDefault="00832B17" w:rsidP="001F26A6">
      <w:pPr>
        <w:rPr>
          <w:lang w:eastAsia="en-AU"/>
        </w:rPr>
      </w:pPr>
      <w:r>
        <w:rPr>
          <w:noProof/>
          <w:lang w:eastAsia="en-AU"/>
        </w:rPr>
        <mc:AlternateContent>
          <mc:Choice Requires="wpg">
            <w:drawing>
              <wp:inline distT="0" distB="0" distL="0" distR="0" wp14:anchorId="2616D68F" wp14:editId="2B5A0826">
                <wp:extent cx="9151620" cy="5715000"/>
                <wp:effectExtent l="0" t="0" r="11430" b="19050"/>
                <wp:docPr id="2" name="Group 2" descr="Figure 5: Governance and management arrangements. A diagram of the national level arrangements explained on the previous page. "/>
                <wp:cNvGraphicFramePr/>
                <a:graphic xmlns:a="http://schemas.openxmlformats.org/drawingml/2006/main">
                  <a:graphicData uri="http://schemas.microsoft.com/office/word/2010/wordprocessingGroup">
                    <wpg:wgp>
                      <wpg:cNvGrpSpPr/>
                      <wpg:grpSpPr>
                        <a:xfrm>
                          <a:off x="0" y="0"/>
                          <a:ext cx="9151620" cy="5715000"/>
                          <a:chOff x="0" y="0"/>
                          <a:chExt cx="10391874" cy="6534248"/>
                        </a:xfrm>
                      </wpg:grpSpPr>
                      <wps:wsp>
                        <wps:cNvPr id="63" name="Oval 63"/>
                        <wps:cNvSpPr/>
                        <wps:spPr>
                          <a:xfrm>
                            <a:off x="4215477" y="1604010"/>
                            <a:ext cx="5951854" cy="4556603"/>
                          </a:xfrm>
                          <a:prstGeom prst="ellipse">
                            <a:avLst/>
                          </a:prstGeom>
                          <a:noFill/>
                          <a:ln w="28575">
                            <a:solidFill>
                              <a:srgbClr val="007C89"/>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9" name="Straight Arrow Connector 459"/>
                        <wps:cNvCnPr/>
                        <wps:spPr>
                          <a:xfrm flipV="1">
                            <a:off x="1933287" y="1229360"/>
                            <a:ext cx="45719" cy="990355"/>
                          </a:xfrm>
                          <a:prstGeom prst="straightConnector1">
                            <a:avLst/>
                          </a:prstGeom>
                          <a:ln w="28575">
                            <a:solidFill>
                              <a:srgbClr val="007C8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1" name="TextBox 3"/>
                        <wps:cNvSpPr txBox="1"/>
                        <wps:spPr>
                          <a:xfrm>
                            <a:off x="6070947" y="419100"/>
                            <a:ext cx="1966750" cy="516427"/>
                          </a:xfrm>
                          <a:prstGeom prst="rect">
                            <a:avLst/>
                          </a:prstGeom>
                          <a:noFill/>
                        </wps:spPr>
                        <wps:txbx>
                          <w:txbxContent>
                            <w:p w14:paraId="35300883" w14:textId="77777777" w:rsidR="00F96637" w:rsidRPr="001A6A97" w:rsidRDefault="00F96637" w:rsidP="001F26A6">
                              <w:pPr>
                                <w:rPr>
                                  <w:rFonts w:hAnsi="Calibri"/>
                                  <w:b/>
                                  <w:bCs/>
                                  <w:color w:val="000000" w:themeColor="text1"/>
                                  <w:kern w:val="24"/>
                                  <w:sz w:val="24"/>
                                  <w:szCs w:val="24"/>
                                  <w:lang w:val="en-AU"/>
                                </w:rPr>
                              </w:pPr>
                              <w:r w:rsidRPr="001A6A97">
                                <w:rPr>
                                  <w:rFonts w:hAnsi="Calibri"/>
                                  <w:b/>
                                  <w:bCs/>
                                  <w:color w:val="000000" w:themeColor="text1"/>
                                  <w:kern w:val="24"/>
                                  <w:sz w:val="24"/>
                                  <w:szCs w:val="24"/>
                                  <w:lang w:val="en-AU"/>
                                </w:rPr>
                                <w:t>Government of PNG</w:t>
                              </w:r>
                            </w:p>
                          </w:txbxContent>
                        </wps:txbx>
                        <wps:bodyPr wrap="square" rtlCol="0">
                          <a:noAutofit/>
                        </wps:bodyPr>
                      </wps:wsp>
                      <wps:wsp>
                        <wps:cNvPr id="132" name="TextBox 4"/>
                        <wps:cNvSpPr txBox="1"/>
                        <wps:spPr>
                          <a:xfrm>
                            <a:off x="1140807" y="541020"/>
                            <a:ext cx="1781219" cy="516427"/>
                          </a:xfrm>
                          <a:prstGeom prst="rect">
                            <a:avLst/>
                          </a:prstGeom>
                          <a:noFill/>
                        </wps:spPr>
                        <wps:txbx>
                          <w:txbxContent>
                            <w:p w14:paraId="789C46B3" w14:textId="77777777" w:rsidR="00F96637" w:rsidRPr="001A6A97" w:rsidRDefault="00F96637" w:rsidP="001F26A6">
                              <w:pPr>
                                <w:rPr>
                                  <w:rFonts w:hAnsi="Calibri"/>
                                  <w:b/>
                                  <w:bCs/>
                                  <w:color w:val="000000" w:themeColor="text1"/>
                                  <w:kern w:val="24"/>
                                  <w:sz w:val="24"/>
                                  <w:szCs w:val="24"/>
                                  <w:lang w:val="en-AU"/>
                                </w:rPr>
                              </w:pPr>
                              <w:r w:rsidRPr="001A6A97">
                                <w:rPr>
                                  <w:rFonts w:hAnsi="Calibri"/>
                                  <w:b/>
                                  <w:bCs/>
                                  <w:color w:val="000000" w:themeColor="text1"/>
                                  <w:kern w:val="24"/>
                                  <w:sz w:val="24"/>
                                  <w:szCs w:val="24"/>
                                  <w:lang w:val="en-AU"/>
                                </w:rPr>
                                <w:t>Australia Support</w:t>
                              </w:r>
                            </w:p>
                          </w:txbxContent>
                        </wps:txbx>
                        <wps:bodyPr wrap="square" rtlCol="0">
                          <a:noAutofit/>
                        </wps:bodyPr>
                      </wps:wsp>
                      <wps:wsp>
                        <wps:cNvPr id="134" name="TextBox 5"/>
                        <wps:cNvSpPr txBox="1"/>
                        <wps:spPr>
                          <a:xfrm>
                            <a:off x="6619587" y="784860"/>
                            <a:ext cx="1022173" cy="651410"/>
                          </a:xfrm>
                          <a:prstGeom prst="rect">
                            <a:avLst/>
                          </a:prstGeom>
                          <a:noFill/>
                        </wps:spPr>
                        <wps:txbx>
                          <w:txbxContent>
                            <w:p w14:paraId="6FEA053A" w14:textId="77777777" w:rsidR="00F96637" w:rsidRPr="001A6A97" w:rsidRDefault="00F96637" w:rsidP="001F26A6">
                              <w:pPr>
                                <w:rPr>
                                  <w:rFonts w:hAnsi="Calibri"/>
                                  <w:b/>
                                  <w:bCs/>
                                  <w:color w:val="000000" w:themeColor="text1"/>
                                  <w:kern w:val="24"/>
                                  <w:sz w:val="24"/>
                                  <w:szCs w:val="24"/>
                                  <w:lang w:val="en-AU"/>
                                </w:rPr>
                              </w:pPr>
                              <w:r w:rsidRPr="001A6A97">
                                <w:rPr>
                                  <w:rFonts w:hAnsi="Calibri"/>
                                  <w:b/>
                                  <w:bCs/>
                                  <w:color w:val="000000" w:themeColor="text1"/>
                                  <w:kern w:val="24"/>
                                  <w:sz w:val="24"/>
                                  <w:szCs w:val="24"/>
                                  <w:lang w:val="en-AU"/>
                                </w:rPr>
                                <w:t xml:space="preserve">    NDoE Secretary</w:t>
                              </w:r>
                            </w:p>
                          </w:txbxContent>
                        </wps:txbx>
                        <wps:bodyPr wrap="square" rtlCol="0">
                          <a:noAutofit/>
                        </wps:bodyPr>
                      </wps:wsp>
                      <wps:wsp>
                        <wps:cNvPr id="135" name="TextBox 7"/>
                        <wps:cNvSpPr txBox="1"/>
                        <wps:spPr>
                          <a:xfrm>
                            <a:off x="1064607" y="807720"/>
                            <a:ext cx="1519665" cy="580650"/>
                          </a:xfrm>
                          <a:prstGeom prst="rect">
                            <a:avLst/>
                          </a:prstGeom>
                          <a:noFill/>
                        </wps:spPr>
                        <wps:txbx>
                          <w:txbxContent>
                            <w:p w14:paraId="6647E78C" w14:textId="77777777" w:rsidR="00F96637" w:rsidRPr="00945CED" w:rsidRDefault="00F96637" w:rsidP="00D86DAF">
                              <w:pPr>
                                <w:jc w:val="center"/>
                                <w:rPr>
                                  <w:rFonts w:hAnsi="Calibri"/>
                                  <w:b/>
                                  <w:color w:val="000000" w:themeColor="text1"/>
                                  <w:kern w:val="24"/>
                                  <w:sz w:val="24"/>
                                  <w:szCs w:val="24"/>
                                  <w:lang w:val="en-AU"/>
                                </w:rPr>
                              </w:pPr>
                              <w:r w:rsidRPr="00945CED">
                                <w:rPr>
                                  <w:rFonts w:hAnsi="Calibri"/>
                                  <w:b/>
                                  <w:color w:val="000000" w:themeColor="text1"/>
                                  <w:kern w:val="24"/>
                                  <w:sz w:val="24"/>
                                  <w:szCs w:val="24"/>
                                  <w:lang w:val="en-AU"/>
                                </w:rPr>
                                <w:t>A</w:t>
                              </w:r>
                              <w:r>
                                <w:rPr>
                                  <w:rFonts w:hAnsi="Calibri"/>
                                  <w:b/>
                                  <w:color w:val="000000" w:themeColor="text1"/>
                                  <w:kern w:val="24"/>
                                  <w:sz w:val="24"/>
                                  <w:szCs w:val="24"/>
                                  <w:lang w:val="en-AU"/>
                                </w:rPr>
                                <w:t>ustralian High Commission (DFAT)</w:t>
                              </w:r>
                            </w:p>
                            <w:p w14:paraId="064C502F" w14:textId="2E03E3D3" w:rsidR="00F96637" w:rsidRPr="001A6A97" w:rsidRDefault="00F96637" w:rsidP="001F26A6">
                              <w:pPr>
                                <w:rPr>
                                  <w:rFonts w:hAnsi="Calibri"/>
                                  <w:b/>
                                  <w:bCs/>
                                  <w:color w:val="000000" w:themeColor="text1"/>
                                  <w:kern w:val="24"/>
                                  <w:sz w:val="24"/>
                                  <w:szCs w:val="24"/>
                                  <w:lang w:val="en-AU"/>
                                </w:rPr>
                              </w:pPr>
                            </w:p>
                          </w:txbxContent>
                        </wps:txbx>
                        <wps:bodyPr wrap="square" rtlCol="0">
                          <a:noAutofit/>
                        </wps:bodyPr>
                      </wps:wsp>
                      <wps:wsp>
                        <wps:cNvPr id="133" name="Straight Connector 133">
                          <a:extLst>
                            <a:ext uri="{C183D7F6-B498-43B3-948B-1728B52AA6E4}">
                              <adec:decorative xmlns:adec="http://schemas.microsoft.com/office/drawing/2017/decorative" val="1"/>
                            </a:ext>
                          </a:extLst>
                        </wps:cNvPr>
                        <wps:cNvCnPr>
                          <a:cxnSpLocks/>
                        </wps:cNvCnPr>
                        <wps:spPr>
                          <a:xfrm flipV="1">
                            <a:off x="3971637" y="480060"/>
                            <a:ext cx="0" cy="6054188"/>
                          </a:xfrm>
                          <a:prstGeom prst="line">
                            <a:avLst/>
                          </a:prstGeom>
                          <a:ln w="57150">
                            <a:solidFill>
                              <a:srgbClr val="007C89"/>
                            </a:solidFill>
                            <a:prstDash val="dashDot"/>
                          </a:ln>
                        </wps:spPr>
                        <wps:style>
                          <a:lnRef idx="1">
                            <a:schemeClr val="accent1"/>
                          </a:lnRef>
                          <a:fillRef idx="0">
                            <a:schemeClr val="accent1"/>
                          </a:fillRef>
                          <a:effectRef idx="0">
                            <a:schemeClr val="accent1"/>
                          </a:effectRef>
                          <a:fontRef idx="minor">
                            <a:schemeClr val="tx1"/>
                          </a:fontRef>
                        </wps:style>
                        <wps:bodyPr/>
                      </wps:wsp>
                      <wps:wsp>
                        <wps:cNvPr id="136" name="TextBox 16"/>
                        <wps:cNvSpPr txBox="1"/>
                        <wps:spPr>
                          <a:xfrm rot="16200000">
                            <a:off x="-604173" y="822960"/>
                            <a:ext cx="1626441" cy="417154"/>
                          </a:xfrm>
                          <a:prstGeom prst="rect">
                            <a:avLst/>
                          </a:prstGeom>
                          <a:noFill/>
                        </wps:spPr>
                        <wps:txbx>
                          <w:txbxContent>
                            <w:p w14:paraId="56B0DD96" w14:textId="77777777" w:rsidR="00F96637" w:rsidRPr="001A6A97" w:rsidRDefault="00F96637" w:rsidP="001F26A6">
                              <w:pP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  GOVERNANCE</w:t>
                              </w:r>
                            </w:p>
                          </w:txbxContent>
                        </wps:txbx>
                        <wps:bodyPr wrap="square" rtlCol="0">
                          <a:noAutofit/>
                        </wps:bodyPr>
                      </wps:wsp>
                      <wps:wsp>
                        <wps:cNvPr id="138" name="Straight Connector 138"/>
                        <wps:cNvCnPr>
                          <a:cxnSpLocks/>
                        </wps:cNvCnPr>
                        <wps:spPr>
                          <a:xfrm>
                            <a:off x="401667" y="1428750"/>
                            <a:ext cx="9761163" cy="0"/>
                          </a:xfrm>
                          <a:prstGeom prst="line">
                            <a:avLst/>
                          </a:prstGeom>
                          <a:ln w="28575">
                            <a:solidFill>
                              <a:srgbClr val="007C89"/>
                            </a:solidFill>
                            <a:prstDash val="dash"/>
                          </a:ln>
                        </wps:spPr>
                        <wps:style>
                          <a:lnRef idx="1">
                            <a:schemeClr val="accent1"/>
                          </a:lnRef>
                          <a:fillRef idx="0">
                            <a:schemeClr val="accent1"/>
                          </a:fillRef>
                          <a:effectRef idx="0">
                            <a:schemeClr val="accent1"/>
                          </a:effectRef>
                          <a:fontRef idx="minor">
                            <a:schemeClr val="tx1"/>
                          </a:fontRef>
                        </wps:style>
                        <wps:bodyPr/>
                      </wps:wsp>
                      <wps:wsp>
                        <wps:cNvPr id="25" name="TextBox 27"/>
                        <wps:cNvSpPr txBox="1"/>
                        <wps:spPr>
                          <a:xfrm>
                            <a:off x="439767" y="0"/>
                            <a:ext cx="7675634" cy="516427"/>
                          </a:xfrm>
                          <a:prstGeom prst="rect">
                            <a:avLst/>
                          </a:prstGeom>
                          <a:noFill/>
                        </wps:spPr>
                        <wps:txbx>
                          <w:txbxContent>
                            <w:p w14:paraId="2C911995" w14:textId="145F0C7A" w:rsidR="00F96637" w:rsidRPr="00792CA6" w:rsidRDefault="00F96637" w:rsidP="001F26A6">
                              <w:pPr>
                                <w:rPr>
                                  <w:rFonts w:hAnsi="Calibri"/>
                                  <w:b/>
                                  <w:bCs/>
                                  <w:color w:val="000000" w:themeColor="text1"/>
                                  <w:kern w:val="24"/>
                                  <w:lang w:val="en-AU"/>
                                </w:rPr>
                              </w:pPr>
                              <w:r w:rsidRPr="00792CA6">
                                <w:rPr>
                                  <w:rFonts w:hAnsi="Calibri"/>
                                  <w:b/>
                                  <w:bCs/>
                                  <w:color w:val="000000" w:themeColor="text1"/>
                                  <w:kern w:val="24"/>
                                  <w:lang w:val="en-AU"/>
                                </w:rPr>
                                <w:t xml:space="preserve">Figure </w:t>
                              </w:r>
                              <w:r>
                                <w:rPr>
                                  <w:rFonts w:hAnsi="Calibri"/>
                                  <w:b/>
                                  <w:bCs/>
                                  <w:color w:val="000000" w:themeColor="text1"/>
                                  <w:kern w:val="24"/>
                                  <w:lang w:val="en-AU"/>
                                </w:rPr>
                                <w:t>5</w:t>
                              </w:r>
                              <w:r w:rsidRPr="00792CA6">
                                <w:rPr>
                                  <w:rFonts w:hAnsi="Calibri"/>
                                  <w:b/>
                                  <w:bCs/>
                                  <w:color w:val="000000" w:themeColor="text1"/>
                                  <w:kern w:val="24"/>
                                  <w:lang w:val="en-AU"/>
                                </w:rPr>
                                <w:t>:  Governance and Management Arrangements - National Level</w:t>
                              </w:r>
                            </w:p>
                          </w:txbxContent>
                        </wps:txbx>
                        <wps:bodyPr wrap="square" rtlCol="0">
                          <a:noAutofit/>
                        </wps:bodyPr>
                      </wps:wsp>
                      <wps:wsp>
                        <wps:cNvPr id="36" name="Straight Connector 36">
                          <a:extLst>
                            <a:ext uri="{C183D7F6-B498-43B3-948B-1728B52AA6E4}">
                              <adec:decorative xmlns:adec="http://schemas.microsoft.com/office/drawing/2017/decorative" val="1"/>
                            </a:ext>
                          </a:extLst>
                        </wps:cNvPr>
                        <wps:cNvCnPr>
                          <a:cxnSpLocks/>
                        </wps:cNvCnPr>
                        <wps:spPr>
                          <a:xfrm flipV="1">
                            <a:off x="2413347" y="1036320"/>
                            <a:ext cx="4205055" cy="14270"/>
                          </a:xfrm>
                          <a:prstGeom prst="line">
                            <a:avLst/>
                          </a:prstGeom>
                          <a:ln w="28575">
                            <a:solidFill>
                              <a:srgbClr val="007C89"/>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1" name="TextBox 31"/>
                        <wps:cNvSpPr txBox="1"/>
                        <wps:spPr>
                          <a:xfrm>
                            <a:off x="5206077" y="2152650"/>
                            <a:ext cx="1917700" cy="774700"/>
                          </a:xfrm>
                          <a:prstGeom prst="rect">
                            <a:avLst/>
                          </a:prstGeom>
                          <a:noFill/>
                          <a:ln w="28575">
                            <a:solidFill>
                              <a:schemeClr val="tx1"/>
                            </a:solidFill>
                          </a:ln>
                        </wps:spPr>
                        <wps:txbx>
                          <w:txbxContent>
                            <w:p w14:paraId="26795D93"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Deputy Secretary, </w:t>
                              </w:r>
                            </w:p>
                            <w:p w14:paraId="190784DB"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Policy and Corporate Services</w:t>
                              </w:r>
                            </w:p>
                          </w:txbxContent>
                        </wps:txbx>
                        <wps:bodyPr wrap="square" rtlCol="0">
                          <a:noAutofit/>
                        </wps:bodyPr>
                      </wps:wsp>
                      <wps:wsp>
                        <wps:cNvPr id="140" name="TextBox 17"/>
                        <wps:cNvSpPr txBox="1"/>
                        <wps:spPr>
                          <a:xfrm rot="16200000">
                            <a:off x="-668943" y="2891790"/>
                            <a:ext cx="1755040" cy="417154"/>
                          </a:xfrm>
                          <a:prstGeom prst="rect">
                            <a:avLst/>
                          </a:prstGeom>
                          <a:noFill/>
                        </wps:spPr>
                        <wps:txbx>
                          <w:txbxContent>
                            <w:p w14:paraId="7F4C8DF5" w14:textId="77777777" w:rsidR="00F96637" w:rsidRPr="001A6A97" w:rsidRDefault="00F96637" w:rsidP="001F26A6">
                              <w:pP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  MANAGEMENT</w:t>
                              </w:r>
                            </w:p>
                          </w:txbxContent>
                        </wps:txbx>
                        <wps:bodyPr wrap="square" rtlCol="0">
                          <a:noAutofit/>
                        </wps:bodyPr>
                      </wps:wsp>
                      <wps:wsp>
                        <wps:cNvPr id="54" name="TextBox 33"/>
                        <wps:cNvSpPr txBox="1"/>
                        <wps:spPr>
                          <a:xfrm>
                            <a:off x="5202267" y="3025140"/>
                            <a:ext cx="1784136" cy="547408"/>
                          </a:xfrm>
                          <a:prstGeom prst="rect">
                            <a:avLst/>
                          </a:prstGeom>
                          <a:noFill/>
                          <a:ln w="12700">
                            <a:solidFill>
                              <a:schemeClr val="tx1"/>
                            </a:solidFill>
                          </a:ln>
                        </wps:spPr>
                        <wps:txbx>
                          <w:txbxContent>
                            <w:p w14:paraId="05D88625"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First Assistant Secretary, Policy and Research</w:t>
                              </w:r>
                            </w:p>
                          </w:txbxContent>
                        </wps:txbx>
                        <wps:bodyPr wrap="square" rtlCol="0">
                          <a:noAutofit/>
                        </wps:bodyPr>
                      </wps:wsp>
                      <wps:wsp>
                        <wps:cNvPr id="59" name="TextBox 38"/>
                        <wps:cNvSpPr txBox="1"/>
                        <wps:spPr>
                          <a:xfrm>
                            <a:off x="7141557" y="2145030"/>
                            <a:ext cx="2100939" cy="774834"/>
                          </a:xfrm>
                          <a:prstGeom prst="rect">
                            <a:avLst/>
                          </a:prstGeom>
                          <a:noFill/>
                          <a:ln w="28575">
                            <a:solidFill>
                              <a:schemeClr val="tx1"/>
                            </a:solidFill>
                          </a:ln>
                        </wps:spPr>
                        <wps:txbx>
                          <w:txbxContent>
                            <w:p w14:paraId="6C8A961C"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Deputy Secretary, </w:t>
                              </w:r>
                            </w:p>
                            <w:p w14:paraId="1BADA9A2"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Schools and Education Standards</w:t>
                              </w:r>
                            </w:p>
                          </w:txbxContent>
                        </wps:txbx>
                        <wps:bodyPr wrap="square" rtlCol="0">
                          <a:noAutofit/>
                        </wps:bodyPr>
                      </wps:wsp>
                      <wps:wsp>
                        <wps:cNvPr id="58" name="TextBox 37"/>
                        <wps:cNvSpPr txBox="1"/>
                        <wps:spPr>
                          <a:xfrm>
                            <a:off x="7320627" y="3017520"/>
                            <a:ext cx="1917742" cy="553231"/>
                          </a:xfrm>
                          <a:prstGeom prst="rect">
                            <a:avLst/>
                          </a:prstGeom>
                          <a:noFill/>
                          <a:ln w="12700">
                            <a:solidFill>
                              <a:schemeClr val="tx1"/>
                            </a:solidFill>
                          </a:ln>
                        </wps:spPr>
                        <wps:txbx>
                          <w:txbxContent>
                            <w:p w14:paraId="12586085"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First Assistant Secretary, Provincial</w:t>
                              </w:r>
                              <w:r>
                                <w:rPr>
                                  <w:rFonts w:hAnsi="Calibri"/>
                                  <w:color w:val="000000" w:themeColor="text1"/>
                                  <w:kern w:val="24"/>
                                  <w:sz w:val="24"/>
                                  <w:szCs w:val="24"/>
                                  <w:lang w:val="en-AU"/>
                                </w:rPr>
                                <w:t xml:space="preserve"> </w:t>
                              </w:r>
                              <w:r w:rsidRPr="001A6A97">
                                <w:rPr>
                                  <w:rFonts w:hAnsi="Calibri"/>
                                  <w:color w:val="000000" w:themeColor="text1"/>
                                  <w:kern w:val="24"/>
                                  <w:sz w:val="24"/>
                                  <w:szCs w:val="24"/>
                                  <w:lang w:val="en-AU"/>
                                </w:rPr>
                                <w:t>Services</w:t>
                              </w:r>
                            </w:p>
                          </w:txbxContent>
                        </wps:txbx>
                        <wps:bodyPr wrap="square" rtlCol="0">
                          <a:noAutofit/>
                        </wps:bodyPr>
                      </wps:wsp>
                      <wps:wsp>
                        <wps:cNvPr id="64" name="Straight Arrow Connector 64"/>
                        <wps:cNvCnPr>
                          <a:cxnSpLocks/>
                        </wps:cNvCnPr>
                        <wps:spPr>
                          <a:xfrm flipH="1" flipV="1">
                            <a:off x="7117427" y="1183640"/>
                            <a:ext cx="45719" cy="898698"/>
                          </a:xfrm>
                          <a:prstGeom prst="straightConnector1">
                            <a:avLst/>
                          </a:prstGeom>
                          <a:ln w="28575">
                            <a:solidFill>
                              <a:srgbClr val="007C89"/>
                            </a:solidFill>
                            <a:prstDash val="solid"/>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6" name="TextBox 29"/>
                        <wps:cNvSpPr txBox="1"/>
                        <wps:spPr>
                          <a:xfrm>
                            <a:off x="8067387" y="777240"/>
                            <a:ext cx="1022757" cy="604404"/>
                          </a:xfrm>
                          <a:prstGeom prst="rect">
                            <a:avLst/>
                          </a:prstGeom>
                          <a:noFill/>
                        </wps:spPr>
                        <wps:txbx>
                          <w:txbxContent>
                            <w:p w14:paraId="3D704BE9" w14:textId="77777777" w:rsidR="00F96637" w:rsidRPr="001A6A97" w:rsidRDefault="00F96637" w:rsidP="001F26A6">
                              <w:pPr>
                                <w:jc w:val="center"/>
                                <w:rPr>
                                  <w:rFonts w:hAnsi="Calibri"/>
                                  <w:b/>
                                  <w:bCs/>
                                  <w:color w:val="000000" w:themeColor="text1"/>
                                  <w:kern w:val="24"/>
                                  <w:sz w:val="24"/>
                                  <w:szCs w:val="24"/>
                                  <w:lang w:val="en-AU"/>
                                </w:rPr>
                              </w:pPr>
                              <w:r w:rsidRPr="001A6A97">
                                <w:rPr>
                                  <w:rFonts w:hAnsi="Calibri"/>
                                  <w:b/>
                                  <w:bCs/>
                                  <w:color w:val="000000" w:themeColor="text1"/>
                                  <w:kern w:val="24"/>
                                  <w:sz w:val="24"/>
                                  <w:szCs w:val="24"/>
                                  <w:lang w:val="en-AU"/>
                                </w:rPr>
                                <w:t xml:space="preserve">   DHERST Secretary</w:t>
                              </w:r>
                            </w:p>
                          </w:txbxContent>
                        </wps:txbx>
                        <wps:bodyPr wrap="square" rtlCol="0">
                          <a:noAutofit/>
                        </wps:bodyPr>
                      </wps:wsp>
                      <wps:wsp>
                        <wps:cNvPr id="67" name="Straight Connector 67"/>
                        <wps:cNvCnPr>
                          <a:cxnSpLocks/>
                        </wps:cNvCnPr>
                        <wps:spPr>
                          <a:xfrm flipV="1">
                            <a:off x="7640667" y="990600"/>
                            <a:ext cx="453761" cy="6157"/>
                          </a:xfrm>
                          <a:prstGeom prst="line">
                            <a:avLst/>
                          </a:prstGeom>
                          <a:ln w="28575">
                            <a:solidFill>
                              <a:srgbClr val="007C89"/>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TextBox 56"/>
                        <wps:cNvSpPr txBox="1"/>
                        <wps:spPr>
                          <a:xfrm>
                            <a:off x="6101427" y="1722120"/>
                            <a:ext cx="2026260" cy="360795"/>
                          </a:xfrm>
                          <a:prstGeom prst="rect">
                            <a:avLst/>
                          </a:prstGeom>
                          <a:noFill/>
                          <a:ln w="19050">
                            <a:noFill/>
                          </a:ln>
                        </wps:spPr>
                        <wps:txbx>
                          <w:txbxContent>
                            <w:p w14:paraId="7C89A0CA"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Key NDoE Positions</w:t>
                              </w:r>
                            </w:p>
                          </w:txbxContent>
                        </wps:txbx>
                        <wps:bodyPr wrap="square" rtlCol="0">
                          <a:noAutofit/>
                        </wps:bodyPr>
                      </wps:wsp>
                      <wps:wsp>
                        <wps:cNvPr id="70" name="Oval 70"/>
                        <wps:cNvSpPr/>
                        <wps:spPr>
                          <a:xfrm>
                            <a:off x="3971637" y="2274570"/>
                            <a:ext cx="1051024" cy="3434508"/>
                          </a:xfrm>
                          <a:prstGeom prst="ellipse">
                            <a:avLst/>
                          </a:prstGeom>
                          <a:solidFill>
                            <a:schemeClr val="bg1"/>
                          </a:solidFill>
                          <a:ln w="28575">
                            <a:solidFill>
                              <a:srgbClr val="007C89"/>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TextBox 49"/>
                        <wps:cNvSpPr txBox="1"/>
                        <wps:spPr>
                          <a:xfrm>
                            <a:off x="9111327" y="998220"/>
                            <a:ext cx="1280547" cy="793604"/>
                          </a:xfrm>
                          <a:prstGeom prst="rect">
                            <a:avLst/>
                          </a:prstGeom>
                          <a:noFill/>
                          <a:ln w="3175">
                            <a:solidFill>
                              <a:schemeClr val="tx1"/>
                            </a:solidFill>
                          </a:ln>
                        </wps:spPr>
                        <wps:txbx>
                          <w:txbxContent>
                            <w:p w14:paraId="2DF2E883"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   Teaching Service Commission</w:t>
                              </w:r>
                            </w:p>
                          </w:txbxContent>
                        </wps:txbx>
                        <wps:bodyPr wrap="square" rtlCol="0">
                          <a:noAutofit/>
                        </wps:bodyPr>
                      </wps:wsp>
                      <wps:wsp>
                        <wps:cNvPr id="75" name="TextBox 48"/>
                        <wps:cNvSpPr txBox="1"/>
                        <wps:spPr>
                          <a:xfrm>
                            <a:off x="5206077" y="1360170"/>
                            <a:ext cx="1917741" cy="363577"/>
                          </a:xfrm>
                          <a:prstGeom prst="rect">
                            <a:avLst/>
                          </a:prstGeom>
                          <a:noFill/>
                          <a:ln w="28575">
                            <a:solidFill>
                              <a:schemeClr val="tx1"/>
                            </a:solidFill>
                          </a:ln>
                        </wps:spPr>
                        <wps:txbx>
                          <w:txbxContent>
                            <w:p w14:paraId="458E8E47" w14:textId="77777777" w:rsidR="00F96637" w:rsidRPr="001A6A97" w:rsidRDefault="00F96637" w:rsidP="001F26A6">
                              <w:pPr>
                                <w:jc w:val="center"/>
                                <w:rPr>
                                  <w:rFonts w:hAnsi="Calibri"/>
                                  <w:b/>
                                  <w:color w:val="000000" w:themeColor="text1"/>
                                  <w:kern w:val="24"/>
                                  <w:sz w:val="24"/>
                                  <w:szCs w:val="24"/>
                                  <w:lang w:val="en-AU"/>
                                </w:rPr>
                              </w:pPr>
                              <w:r w:rsidRPr="001A6A97">
                                <w:rPr>
                                  <w:rFonts w:hAnsi="Calibri"/>
                                  <w:b/>
                                  <w:color w:val="000000" w:themeColor="text1"/>
                                  <w:kern w:val="24"/>
                                  <w:sz w:val="24"/>
                                  <w:szCs w:val="24"/>
                                  <w:lang w:val="en-AU"/>
                                </w:rPr>
                                <w:t>Top Management Team</w:t>
                              </w:r>
                            </w:p>
                          </w:txbxContent>
                        </wps:txbx>
                        <wps:bodyPr wrap="square" rtlCol="0">
                          <a:noAutofit/>
                        </wps:bodyPr>
                      </wps:wsp>
                      <wps:wsp>
                        <wps:cNvPr id="71" name="Straight Connector 71"/>
                        <wps:cNvCnPr>
                          <a:cxnSpLocks/>
                        </wps:cNvCnPr>
                        <wps:spPr>
                          <a:xfrm>
                            <a:off x="3563967" y="2846070"/>
                            <a:ext cx="451287" cy="0"/>
                          </a:xfrm>
                          <a:prstGeom prst="line">
                            <a:avLst/>
                          </a:prstGeom>
                          <a:ln w="28575">
                            <a:solidFill>
                              <a:srgbClr val="007C89"/>
                            </a:solidFill>
                            <a:prstDash val="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6" name="TextBox 36"/>
                        <wps:cNvSpPr txBox="1"/>
                        <wps:spPr>
                          <a:xfrm>
                            <a:off x="7320627" y="3688080"/>
                            <a:ext cx="1917742" cy="685482"/>
                          </a:xfrm>
                          <a:prstGeom prst="rect">
                            <a:avLst/>
                          </a:prstGeom>
                          <a:noFill/>
                          <a:ln w="12700">
                            <a:solidFill>
                              <a:schemeClr val="tx1"/>
                            </a:solidFill>
                          </a:ln>
                        </wps:spPr>
                        <wps:txbx>
                          <w:txbxContent>
                            <w:p w14:paraId="157F6B4A"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First Assistant Secretary, Teacher Education and Standards</w:t>
                              </w:r>
                            </w:p>
                          </w:txbxContent>
                        </wps:txbx>
                        <wps:bodyPr wrap="square" rtlCol="0">
                          <a:noAutofit/>
                        </wps:bodyPr>
                      </wps:wsp>
                      <wps:wsp>
                        <wps:cNvPr id="60" name="TextBox 39"/>
                        <wps:cNvSpPr txBox="1"/>
                        <wps:spPr>
                          <a:xfrm>
                            <a:off x="5209887" y="3695700"/>
                            <a:ext cx="1784350" cy="504190"/>
                          </a:xfrm>
                          <a:prstGeom prst="rect">
                            <a:avLst/>
                          </a:prstGeom>
                          <a:noFill/>
                          <a:ln w="12700">
                            <a:solidFill>
                              <a:schemeClr val="tx1"/>
                            </a:solidFill>
                          </a:ln>
                        </wps:spPr>
                        <wps:txbx>
                          <w:txbxContent>
                            <w:p w14:paraId="452F044A"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    Assistant Secretary, </w:t>
                              </w:r>
                            </w:p>
                            <w:p w14:paraId="37C4609A"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Policy and Planning</w:t>
                              </w:r>
                            </w:p>
                          </w:txbxContent>
                        </wps:txbx>
                        <wps:bodyPr wrap="square" rtlCol="0">
                          <a:noAutofit/>
                        </wps:bodyPr>
                      </wps:wsp>
                      <wps:wsp>
                        <wps:cNvPr id="69" name="TextBox 40"/>
                        <wps:cNvSpPr txBox="1"/>
                        <wps:spPr>
                          <a:xfrm rot="16200000">
                            <a:off x="3529677" y="3280410"/>
                            <a:ext cx="1889054" cy="890860"/>
                          </a:xfrm>
                          <a:prstGeom prst="rect">
                            <a:avLst/>
                          </a:prstGeom>
                          <a:noFill/>
                        </wps:spPr>
                        <wps:txbx>
                          <w:txbxContent>
                            <w:p w14:paraId="2F4A7725" w14:textId="77777777" w:rsidR="00F96637" w:rsidRPr="001A6A97" w:rsidRDefault="00F96637" w:rsidP="005D14B5">
                              <w:pPr>
                                <w:pStyle w:val="ListParagraph"/>
                                <w:numPr>
                                  <w:ilvl w:val="0"/>
                                  <w:numId w:val="26"/>
                                </w:numPr>
                                <w:spacing w:line="240" w:lineRule="auto"/>
                                <w:rPr>
                                  <w:rFonts w:hAnsi="Calibri"/>
                                  <w:b/>
                                  <w:bCs/>
                                  <w:color w:val="000000" w:themeColor="text1"/>
                                  <w:kern w:val="24"/>
                                  <w:lang w:val="en-AU"/>
                                </w:rPr>
                              </w:pPr>
                              <w:r w:rsidRPr="001A6A97">
                                <w:rPr>
                                  <w:rFonts w:hAnsi="Calibri"/>
                                  <w:b/>
                                  <w:bCs/>
                                  <w:color w:val="000000" w:themeColor="text1"/>
                                  <w:kern w:val="24"/>
                                  <w:lang w:val="en-AU"/>
                                </w:rPr>
                                <w:t>ANNUAL PLANS</w:t>
                              </w:r>
                            </w:p>
                            <w:p w14:paraId="56C9800F" w14:textId="77777777" w:rsidR="00F96637" w:rsidRPr="001A6A97" w:rsidRDefault="00F96637" w:rsidP="005D14B5">
                              <w:pPr>
                                <w:pStyle w:val="ListParagraph"/>
                                <w:numPr>
                                  <w:ilvl w:val="0"/>
                                  <w:numId w:val="26"/>
                                </w:numPr>
                                <w:spacing w:line="240" w:lineRule="auto"/>
                                <w:rPr>
                                  <w:rFonts w:hAnsi="Calibri"/>
                                  <w:b/>
                                  <w:bCs/>
                                  <w:color w:val="000000" w:themeColor="text1"/>
                                  <w:kern w:val="24"/>
                                </w:rPr>
                              </w:pPr>
                              <w:r w:rsidRPr="001A6A97">
                                <w:rPr>
                                  <w:rFonts w:hAnsi="Calibri"/>
                                  <w:b/>
                                  <w:bCs/>
                                  <w:color w:val="000000" w:themeColor="text1"/>
                                  <w:kern w:val="24"/>
                                </w:rPr>
                                <w:t>PROGRESS MONITORING</w:t>
                              </w:r>
                            </w:p>
                            <w:p w14:paraId="0B42B371" w14:textId="77777777" w:rsidR="00F96637" w:rsidRPr="001A6A97" w:rsidRDefault="00F96637" w:rsidP="005D14B5">
                              <w:pPr>
                                <w:pStyle w:val="ListParagraph"/>
                                <w:numPr>
                                  <w:ilvl w:val="0"/>
                                  <w:numId w:val="26"/>
                                </w:numPr>
                                <w:spacing w:line="240" w:lineRule="auto"/>
                                <w:rPr>
                                  <w:rFonts w:hAnsi="Calibri"/>
                                  <w:b/>
                                  <w:bCs/>
                                  <w:color w:val="000000" w:themeColor="text1"/>
                                  <w:kern w:val="24"/>
                                </w:rPr>
                              </w:pPr>
                              <w:r w:rsidRPr="001A6A97">
                                <w:rPr>
                                  <w:rFonts w:hAnsi="Calibri"/>
                                  <w:b/>
                                  <w:bCs/>
                                  <w:color w:val="000000" w:themeColor="text1"/>
                                  <w:kern w:val="24"/>
                                </w:rPr>
                                <w:t>EVALUATION</w:t>
                              </w:r>
                            </w:p>
                          </w:txbxContent>
                        </wps:txbx>
                        <wps:bodyPr wrap="square" rtlCol="0">
                          <a:noAutofit/>
                        </wps:bodyPr>
                      </wps:wsp>
                      <wps:wsp>
                        <wps:cNvPr id="72" name="Straight Connector 72"/>
                        <wps:cNvCnPr>
                          <a:cxnSpLocks/>
                        </wps:cNvCnPr>
                        <wps:spPr>
                          <a:xfrm>
                            <a:off x="3563967" y="3249930"/>
                            <a:ext cx="451287" cy="0"/>
                          </a:xfrm>
                          <a:prstGeom prst="line">
                            <a:avLst/>
                          </a:prstGeom>
                          <a:ln w="28575">
                            <a:solidFill>
                              <a:srgbClr val="007C89"/>
                            </a:solidFill>
                            <a:prstDash val="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3" name="TextBox 32"/>
                        <wps:cNvSpPr txBox="1"/>
                        <wps:spPr>
                          <a:xfrm>
                            <a:off x="5202267" y="4312920"/>
                            <a:ext cx="1790554" cy="535947"/>
                          </a:xfrm>
                          <a:prstGeom prst="rect">
                            <a:avLst/>
                          </a:prstGeom>
                          <a:noFill/>
                          <a:ln w="12700">
                            <a:solidFill>
                              <a:schemeClr val="tx1"/>
                            </a:solidFill>
                          </a:ln>
                        </wps:spPr>
                        <wps:txbx>
                          <w:txbxContent>
                            <w:p w14:paraId="7E7EE5D0"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    Assistant Secretary, Research and Evaluation</w:t>
                              </w:r>
                            </w:p>
                          </w:txbxContent>
                        </wps:txbx>
                        <wps:bodyPr wrap="square" rtlCol="0">
                          <a:noAutofit/>
                        </wps:bodyPr>
                      </wps:wsp>
                      <wps:wsp>
                        <wps:cNvPr id="73" name="Straight Connector 73"/>
                        <wps:cNvCnPr>
                          <a:cxnSpLocks/>
                        </wps:cNvCnPr>
                        <wps:spPr>
                          <a:xfrm>
                            <a:off x="3563967" y="3813810"/>
                            <a:ext cx="451287" cy="0"/>
                          </a:xfrm>
                          <a:prstGeom prst="line">
                            <a:avLst/>
                          </a:prstGeom>
                          <a:ln w="28575">
                            <a:solidFill>
                              <a:srgbClr val="007C89"/>
                            </a:solidFill>
                            <a:prstDash val="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g:cNvPr id="37" name="Group 37"/>
                        <wpg:cNvGrpSpPr/>
                        <wpg:grpSpPr>
                          <a:xfrm>
                            <a:off x="559147" y="1767840"/>
                            <a:ext cx="3001602" cy="3550657"/>
                            <a:chOff x="-5080" y="0"/>
                            <a:chExt cx="3001602" cy="3550657"/>
                          </a:xfrm>
                        </wpg:grpSpPr>
                        <wps:wsp>
                          <wps:cNvPr id="24" name="TextBox 26"/>
                          <wps:cNvSpPr txBox="1"/>
                          <wps:spPr>
                            <a:xfrm>
                              <a:off x="-5080" y="1668052"/>
                              <a:ext cx="2996508" cy="992237"/>
                            </a:xfrm>
                            <a:prstGeom prst="rect">
                              <a:avLst/>
                            </a:prstGeom>
                            <a:noFill/>
                            <a:ln w="19050">
                              <a:solidFill>
                                <a:schemeClr val="tx1"/>
                              </a:solidFill>
                            </a:ln>
                          </wps:spPr>
                          <wps:txbx>
                            <w:txbxContent>
                              <w:p w14:paraId="3A921B75" w14:textId="77777777" w:rsidR="00F96637" w:rsidRPr="002B28E6" w:rsidRDefault="00F96637" w:rsidP="001F26A6">
                                <w:pPr>
                                  <w:jc w:val="center"/>
                                  <w:rPr>
                                    <w:rFonts w:hAnsi="Calibri"/>
                                    <w:color w:val="000000" w:themeColor="text1"/>
                                    <w:kern w:val="24"/>
                                    <w:lang w:val="en-AU"/>
                                  </w:rPr>
                                </w:pPr>
                                <w:r w:rsidRPr="001A6A97">
                                  <w:rPr>
                                    <w:rFonts w:hAnsi="Calibri"/>
                                    <w:color w:val="000000" w:themeColor="text1"/>
                                    <w:kern w:val="24"/>
                                    <w:sz w:val="24"/>
                                    <w:szCs w:val="24"/>
                                    <w:lang w:val="en-AU"/>
                                  </w:rPr>
                                  <w:t xml:space="preserve">   </w:t>
                                </w:r>
                                <w:r w:rsidRPr="002B28E6">
                                  <w:rPr>
                                    <w:rFonts w:hAnsi="Calibri"/>
                                    <w:color w:val="000000" w:themeColor="text1"/>
                                    <w:kern w:val="24"/>
                                    <w:lang w:val="en-AU"/>
                                  </w:rPr>
                                  <w:t>LONG-TERM ADVISERS FOR:</w:t>
                                </w:r>
                              </w:p>
                              <w:p w14:paraId="123438B0" w14:textId="77777777" w:rsidR="00F96637" w:rsidRPr="002B28E6" w:rsidRDefault="00F96637" w:rsidP="005D14B5">
                                <w:pPr>
                                  <w:pStyle w:val="ListParagraph"/>
                                  <w:numPr>
                                    <w:ilvl w:val="0"/>
                                    <w:numId w:val="24"/>
                                  </w:numPr>
                                  <w:spacing w:line="240" w:lineRule="auto"/>
                                  <w:rPr>
                                    <w:rFonts w:hAnsi="Calibri"/>
                                    <w:color w:val="000000" w:themeColor="text1"/>
                                    <w:kern w:val="24"/>
                                    <w:sz w:val="22"/>
                                    <w:lang w:val="en-AU"/>
                                  </w:rPr>
                                </w:pPr>
                                <w:r w:rsidRPr="002B28E6">
                                  <w:rPr>
                                    <w:rFonts w:hAnsi="Calibri"/>
                                    <w:color w:val="000000" w:themeColor="text1"/>
                                    <w:kern w:val="24"/>
                                    <w:sz w:val="22"/>
                                    <w:lang w:val="en-AU"/>
                                  </w:rPr>
                                  <w:t>MONITORING AND EVALUATION</w:t>
                                </w:r>
                              </w:p>
                              <w:p w14:paraId="786F81F7" w14:textId="77777777" w:rsidR="00F96637" w:rsidRPr="002B28E6" w:rsidRDefault="00F96637" w:rsidP="005D14B5">
                                <w:pPr>
                                  <w:pStyle w:val="ListParagraph"/>
                                  <w:numPr>
                                    <w:ilvl w:val="0"/>
                                    <w:numId w:val="24"/>
                                  </w:numPr>
                                  <w:spacing w:line="240" w:lineRule="auto"/>
                                  <w:rPr>
                                    <w:rFonts w:hAnsi="Calibri"/>
                                    <w:color w:val="000000" w:themeColor="text1"/>
                                    <w:kern w:val="24"/>
                                    <w:sz w:val="22"/>
                                    <w:lang w:val="en-AU"/>
                                  </w:rPr>
                                </w:pPr>
                                <w:r w:rsidRPr="002B28E6">
                                  <w:rPr>
                                    <w:rFonts w:hAnsi="Calibri"/>
                                    <w:color w:val="000000" w:themeColor="text1"/>
                                    <w:kern w:val="24"/>
                                    <w:sz w:val="22"/>
                                    <w:lang w:val="en-AU"/>
                                  </w:rPr>
                                  <w:t>GE</w:t>
                                </w:r>
                                <w:r>
                                  <w:rPr>
                                    <w:rFonts w:hAnsi="Calibri"/>
                                    <w:color w:val="000000" w:themeColor="text1"/>
                                    <w:kern w:val="24"/>
                                    <w:sz w:val="22"/>
                                    <w:lang w:val="en-AU"/>
                                  </w:rPr>
                                  <w:t>D</w:t>
                                </w:r>
                                <w:r w:rsidRPr="002B28E6">
                                  <w:rPr>
                                    <w:rFonts w:hAnsi="Calibri"/>
                                    <w:color w:val="000000" w:themeColor="text1"/>
                                    <w:kern w:val="24"/>
                                    <w:sz w:val="22"/>
                                    <w:lang w:val="en-AU"/>
                                  </w:rPr>
                                  <w:t>SI</w:t>
                                </w:r>
                                <w:r>
                                  <w:rPr>
                                    <w:rFonts w:hAnsi="Calibri"/>
                                    <w:color w:val="000000" w:themeColor="text1"/>
                                    <w:kern w:val="24"/>
                                    <w:sz w:val="22"/>
                                    <w:lang w:val="en-AU"/>
                                  </w:rPr>
                                  <w:t xml:space="preserve"> / ACCESS / RETENTION</w:t>
                                </w:r>
                              </w:p>
                              <w:p w14:paraId="68D9CC40" w14:textId="77777777" w:rsidR="00F96637" w:rsidRPr="002B28E6" w:rsidRDefault="00F96637" w:rsidP="005D14B5">
                                <w:pPr>
                                  <w:pStyle w:val="ListParagraph"/>
                                  <w:numPr>
                                    <w:ilvl w:val="0"/>
                                    <w:numId w:val="24"/>
                                  </w:numPr>
                                  <w:spacing w:line="240" w:lineRule="auto"/>
                                  <w:rPr>
                                    <w:rFonts w:hAnsi="Calibri"/>
                                    <w:color w:val="000000" w:themeColor="text1"/>
                                    <w:kern w:val="24"/>
                                    <w:sz w:val="22"/>
                                    <w:lang w:val="en-AU"/>
                                  </w:rPr>
                                </w:pPr>
                                <w:r w:rsidRPr="002B28E6">
                                  <w:rPr>
                                    <w:rFonts w:hAnsi="Calibri"/>
                                    <w:color w:val="000000" w:themeColor="text1"/>
                                    <w:kern w:val="24"/>
                                    <w:sz w:val="22"/>
                                    <w:lang w:val="en-AU"/>
                                  </w:rPr>
                                  <w:t xml:space="preserve">PROVINCIAL </w:t>
                                </w:r>
                                <w:r>
                                  <w:rPr>
                                    <w:rFonts w:hAnsi="Calibri"/>
                                    <w:color w:val="000000" w:themeColor="text1"/>
                                    <w:kern w:val="24"/>
                                    <w:sz w:val="22"/>
                                    <w:lang w:val="en-AU"/>
                                  </w:rPr>
                                  <w:t>MANAGERS/ACTIVITY COORDINATORS</w:t>
                                </w:r>
                              </w:p>
                            </w:txbxContent>
                          </wps:txbx>
                          <wps:bodyPr wrap="square" rtlCol="0">
                            <a:noAutofit/>
                          </wps:bodyPr>
                        </wps:wsp>
                        <wps:wsp>
                          <wps:cNvPr id="61" name="TextBox 41"/>
                          <wps:cNvSpPr txBox="1"/>
                          <wps:spPr>
                            <a:xfrm>
                              <a:off x="6350" y="2660650"/>
                              <a:ext cx="2990172" cy="890007"/>
                            </a:xfrm>
                            <a:prstGeom prst="rect">
                              <a:avLst/>
                            </a:prstGeom>
                            <a:noFill/>
                            <a:ln w="19050">
                              <a:solidFill>
                                <a:schemeClr val="tx1"/>
                              </a:solidFill>
                            </a:ln>
                          </wps:spPr>
                          <wps:txbx>
                            <w:txbxContent>
                              <w:p w14:paraId="1D605194" w14:textId="77777777" w:rsidR="00F96637" w:rsidRPr="002B28E6" w:rsidRDefault="00F96637" w:rsidP="005D14B5">
                                <w:pPr>
                                  <w:pStyle w:val="ListParagraph"/>
                                  <w:numPr>
                                    <w:ilvl w:val="0"/>
                                    <w:numId w:val="25"/>
                                  </w:numPr>
                                  <w:spacing w:line="240" w:lineRule="auto"/>
                                  <w:rPr>
                                    <w:rFonts w:hAnsi="Calibri"/>
                                    <w:color w:val="000000" w:themeColor="text1"/>
                                    <w:kern w:val="24"/>
                                    <w:sz w:val="22"/>
                                    <w:lang w:val="en-AU"/>
                                  </w:rPr>
                                </w:pPr>
                                <w:r w:rsidRPr="002B28E6">
                                  <w:rPr>
                                    <w:rFonts w:hAnsi="Calibri"/>
                                    <w:color w:val="000000" w:themeColor="text1"/>
                                    <w:kern w:val="24"/>
                                    <w:sz w:val="22"/>
                                    <w:lang w:val="en-AU"/>
                                  </w:rPr>
                                  <w:t xml:space="preserve">SHORT-TERM </w:t>
                                </w:r>
                                <w:r>
                                  <w:rPr>
                                    <w:rFonts w:hAnsi="Calibri"/>
                                    <w:color w:val="000000" w:themeColor="text1"/>
                                    <w:kern w:val="24"/>
                                    <w:sz w:val="22"/>
                                    <w:lang w:val="en-AU"/>
                                  </w:rPr>
                                  <w:t>ADVISER</w:t>
                                </w:r>
                                <w:r w:rsidRPr="002B28E6">
                                  <w:rPr>
                                    <w:rFonts w:hAnsi="Calibri"/>
                                    <w:color w:val="000000" w:themeColor="text1"/>
                                    <w:kern w:val="24"/>
                                    <w:sz w:val="22"/>
                                    <w:lang w:val="en-AU"/>
                                  </w:rPr>
                                  <w:t>S</w:t>
                                </w:r>
                              </w:p>
                              <w:p w14:paraId="13264A33" w14:textId="77777777" w:rsidR="00F96637" w:rsidRPr="002B28E6" w:rsidRDefault="00F96637" w:rsidP="005D14B5">
                                <w:pPr>
                                  <w:pStyle w:val="ListParagraph"/>
                                  <w:numPr>
                                    <w:ilvl w:val="0"/>
                                    <w:numId w:val="25"/>
                                  </w:numPr>
                                  <w:spacing w:line="240" w:lineRule="auto"/>
                                  <w:rPr>
                                    <w:rFonts w:hAnsi="Calibri"/>
                                    <w:color w:val="000000" w:themeColor="text1"/>
                                    <w:kern w:val="24"/>
                                    <w:sz w:val="22"/>
                                    <w:lang w:val="en-AU"/>
                                  </w:rPr>
                                </w:pPr>
                                <w:r w:rsidRPr="002B28E6">
                                  <w:rPr>
                                    <w:rFonts w:hAnsi="Calibri"/>
                                    <w:color w:val="000000" w:themeColor="text1"/>
                                    <w:kern w:val="24"/>
                                    <w:sz w:val="22"/>
                                    <w:lang w:val="en-AU"/>
                                  </w:rPr>
                                  <w:t>FUND MANAGEMENT</w:t>
                                </w:r>
                              </w:p>
                              <w:p w14:paraId="3EF9392E" w14:textId="77777777" w:rsidR="00F96637" w:rsidRPr="002B28E6" w:rsidRDefault="00F96637" w:rsidP="005D14B5">
                                <w:pPr>
                                  <w:pStyle w:val="ListParagraph"/>
                                  <w:numPr>
                                    <w:ilvl w:val="0"/>
                                    <w:numId w:val="25"/>
                                  </w:numPr>
                                  <w:spacing w:line="240" w:lineRule="auto"/>
                                  <w:rPr>
                                    <w:rFonts w:hAnsi="Calibri"/>
                                    <w:color w:val="000000" w:themeColor="text1"/>
                                    <w:kern w:val="24"/>
                                    <w:sz w:val="22"/>
                                    <w:lang w:val="en-AU"/>
                                  </w:rPr>
                                </w:pPr>
                                <w:r w:rsidRPr="002B28E6">
                                  <w:rPr>
                                    <w:rFonts w:hAnsi="Calibri"/>
                                    <w:color w:val="000000" w:themeColor="text1"/>
                                    <w:kern w:val="24"/>
                                    <w:sz w:val="22"/>
                                    <w:lang w:val="en-AU"/>
                                  </w:rPr>
                                  <w:t xml:space="preserve">OPERATIONAL SUPPORT (training programs, workshops, meetings) </w:t>
                                </w:r>
                              </w:p>
                            </w:txbxContent>
                          </wps:txbx>
                          <wps:bodyPr wrap="square" rtlCol="0">
                            <a:noAutofit/>
                          </wps:bodyPr>
                        </wps:wsp>
                        <wpg:grpSp>
                          <wpg:cNvPr id="35" name="Group 35"/>
                          <wpg:cNvGrpSpPr/>
                          <wpg:grpSpPr>
                            <a:xfrm>
                              <a:off x="0" y="0"/>
                              <a:ext cx="2996508" cy="1029879"/>
                              <a:chOff x="0" y="0"/>
                              <a:chExt cx="2996508" cy="1029879"/>
                            </a:xfrm>
                          </wpg:grpSpPr>
                          <wps:wsp>
                            <wps:cNvPr id="139" name="TextBox 18"/>
                            <wps:cNvSpPr txBox="1"/>
                            <wps:spPr>
                              <a:xfrm>
                                <a:off x="0" y="558800"/>
                                <a:ext cx="2996508" cy="471079"/>
                              </a:xfrm>
                              <a:prstGeom prst="rect">
                                <a:avLst/>
                              </a:prstGeom>
                              <a:noFill/>
                              <a:ln w="19050">
                                <a:solidFill>
                                  <a:schemeClr val="tx1"/>
                                </a:solidFill>
                              </a:ln>
                            </wps:spPr>
                            <wps:txbx>
                              <w:txbxContent>
                                <w:p w14:paraId="560E47DC"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   </w:t>
                                  </w:r>
                                  <w:r>
                                    <w:rPr>
                                      <w:rFonts w:hAnsi="Calibri"/>
                                      <w:color w:val="000000" w:themeColor="text1"/>
                                      <w:kern w:val="24"/>
                                      <w:sz w:val="24"/>
                                      <w:szCs w:val="24"/>
                                      <w:lang w:val="en-AU"/>
                                    </w:rPr>
                                    <w:t>TEAM LEADER</w:t>
                                  </w:r>
                                </w:p>
                              </w:txbxContent>
                            </wps:txbx>
                            <wps:bodyPr wrap="square" rtlCol="0">
                              <a:noAutofit/>
                            </wps:bodyPr>
                          </wps:wsp>
                          <wps:wsp>
                            <wps:cNvPr id="18" name="Text Box 18"/>
                            <wps:cNvSpPr txBox="1"/>
                            <wps:spPr>
                              <a:xfrm>
                                <a:off x="209550" y="0"/>
                                <a:ext cx="2552700" cy="266700"/>
                              </a:xfrm>
                              <a:prstGeom prst="rect">
                                <a:avLst/>
                              </a:prstGeom>
                              <a:solidFill>
                                <a:schemeClr val="lt1"/>
                              </a:solidFill>
                              <a:ln w="6350">
                                <a:solidFill>
                                  <a:prstClr val="black"/>
                                </a:solidFill>
                              </a:ln>
                            </wps:spPr>
                            <wps:txbx>
                              <w:txbxContent>
                                <w:p w14:paraId="5FDF8F32" w14:textId="77777777" w:rsidR="00F96637" w:rsidRPr="00391C72" w:rsidRDefault="00F96637" w:rsidP="001F26A6">
                                  <w:pPr>
                                    <w:jc w:val="center"/>
                                    <w:rPr>
                                      <w:b/>
                                      <w:bCs/>
                                      <w:color w:val="auto"/>
                                      <w:lang w:val="en-US"/>
                                    </w:rPr>
                                  </w:pPr>
                                  <w:r w:rsidRPr="00391C72">
                                    <w:rPr>
                                      <w:b/>
                                      <w:bCs/>
                                      <w:color w:val="auto"/>
                                      <w:lang w:val="en-US"/>
                                    </w:rPr>
                                    <w:t>MANAGING CONTRACTOR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57" name="Straight Arrow Connector 457"/>
                        <wps:cNvCnPr/>
                        <wps:spPr>
                          <a:xfrm flipV="1">
                            <a:off x="1944717" y="2788920"/>
                            <a:ext cx="0" cy="640715"/>
                          </a:xfrm>
                          <a:prstGeom prst="straightConnector1">
                            <a:avLst/>
                          </a:prstGeom>
                          <a:ln w="28575">
                            <a:solidFill>
                              <a:srgbClr val="007C8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8" name="Straight Arrow Connector 458"/>
                        <wps:cNvCnPr/>
                        <wps:spPr>
                          <a:xfrm flipV="1">
                            <a:off x="1944717" y="2026920"/>
                            <a:ext cx="0" cy="292100"/>
                          </a:xfrm>
                          <a:prstGeom prst="straightConnector1">
                            <a:avLst/>
                          </a:prstGeom>
                          <a:ln w="28575">
                            <a:solidFill>
                              <a:srgbClr val="007C8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a:cxnSpLocks/>
                        </wps:cNvCnPr>
                        <wps:spPr>
                          <a:xfrm>
                            <a:off x="3556347" y="2316480"/>
                            <a:ext cx="1665551" cy="5486"/>
                          </a:xfrm>
                          <a:prstGeom prst="line">
                            <a:avLst/>
                          </a:prstGeom>
                          <a:ln w="28575">
                            <a:solidFill>
                              <a:srgbClr val="007C89"/>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616D68F" id="Group 2" o:spid="_x0000_s1088" alt="Figure 5: Governance and management arrangements. A diagram of the national level arrangements explained on the previous page. " style="width:720.6pt;height:450pt;mso-position-horizontal-relative:char;mso-position-vertical-relative:line" coordsize="103918,6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">
                <v:oval id="Oval 63" o:spid="_x0000_s1089" style="position:absolute;left:42154;top:16040;width:59519;height:45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" filled="f" strokecolor="#007c89" strokeweight="2.25pt">
                  <v:stroke dashstyle="3 1" joinstyle="miter"/>
                </v:oval>
                <v:shapetype id="_x0000_t32" coordsize="21600,21600" o:spt="32" o:oned="t" path="m,l21600,21600e" filled="f">
                  <v:path arrowok="t" fillok="f" o:connecttype="none"/>
                  <o:lock v:ext="edit" shapetype="t"/>
                </v:shapetype>
                <v:shape id="Straight Arrow Connector 459" o:spid="_x0000_s1090" type="#_x0000_t32" style="position:absolute;left:19332;top:12293;width:458;height:99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" strokecolor="#007c89" strokeweight="2.25pt">
                  <v:stroke endarrow="block" joinstyle="miter"/>
                </v:shape>
                <v:shape id="TextBox 3" o:spid="_x0000_s1091" type="#_x0000_t202" style="position:absolute;left:60709;top:4191;width:19667;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35300883" w14:textId="77777777" w:rsidR="00F96637" w:rsidRPr="001A6A97" w:rsidRDefault="00F96637" w:rsidP="001F26A6">
                        <w:pPr>
                          <w:rPr>
                            <w:rFonts w:hAnsi="Calibri"/>
                            <w:b/>
                            <w:bCs/>
                            <w:color w:val="000000" w:themeColor="text1"/>
                            <w:kern w:val="24"/>
                            <w:sz w:val="24"/>
                            <w:szCs w:val="24"/>
                            <w:lang w:val="en-AU"/>
                          </w:rPr>
                        </w:pPr>
                        <w:r w:rsidRPr="001A6A97">
                          <w:rPr>
                            <w:rFonts w:hAnsi="Calibri"/>
                            <w:b/>
                            <w:bCs/>
                            <w:color w:val="000000" w:themeColor="text1"/>
                            <w:kern w:val="24"/>
                            <w:sz w:val="24"/>
                            <w:szCs w:val="24"/>
                            <w:lang w:val="en-AU"/>
                          </w:rPr>
                          <w:t>Government of PNG</w:t>
                        </w:r>
                      </w:p>
                    </w:txbxContent>
                  </v:textbox>
                </v:shape>
                <v:shape id="TextBox 4" o:spid="_x0000_s1092" type="#_x0000_t202" style="position:absolute;left:11408;top:5410;width:17812;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789C46B3" w14:textId="77777777" w:rsidR="00F96637" w:rsidRPr="001A6A97" w:rsidRDefault="00F96637" w:rsidP="001F26A6">
                        <w:pPr>
                          <w:rPr>
                            <w:rFonts w:hAnsi="Calibri"/>
                            <w:b/>
                            <w:bCs/>
                            <w:color w:val="000000" w:themeColor="text1"/>
                            <w:kern w:val="24"/>
                            <w:sz w:val="24"/>
                            <w:szCs w:val="24"/>
                            <w:lang w:val="en-AU"/>
                          </w:rPr>
                        </w:pPr>
                        <w:r w:rsidRPr="001A6A97">
                          <w:rPr>
                            <w:rFonts w:hAnsi="Calibri"/>
                            <w:b/>
                            <w:bCs/>
                            <w:color w:val="000000" w:themeColor="text1"/>
                            <w:kern w:val="24"/>
                            <w:sz w:val="24"/>
                            <w:szCs w:val="24"/>
                            <w:lang w:val="en-AU"/>
                          </w:rPr>
                          <w:t>Australia Support</w:t>
                        </w:r>
                      </w:p>
                    </w:txbxContent>
                  </v:textbox>
                </v:shape>
                <v:shape id="TextBox 5" o:spid="_x0000_s1093" type="#_x0000_t202" style="position:absolute;left:66195;top:7848;width:10222;height:6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6FEA053A" w14:textId="77777777" w:rsidR="00F96637" w:rsidRPr="001A6A97" w:rsidRDefault="00F96637" w:rsidP="001F26A6">
                        <w:pPr>
                          <w:rPr>
                            <w:rFonts w:hAnsi="Calibri"/>
                            <w:b/>
                            <w:bCs/>
                            <w:color w:val="000000" w:themeColor="text1"/>
                            <w:kern w:val="24"/>
                            <w:sz w:val="24"/>
                            <w:szCs w:val="24"/>
                            <w:lang w:val="en-AU"/>
                          </w:rPr>
                        </w:pPr>
                        <w:r w:rsidRPr="001A6A97">
                          <w:rPr>
                            <w:rFonts w:hAnsi="Calibri"/>
                            <w:b/>
                            <w:bCs/>
                            <w:color w:val="000000" w:themeColor="text1"/>
                            <w:kern w:val="24"/>
                            <w:sz w:val="24"/>
                            <w:szCs w:val="24"/>
                            <w:lang w:val="en-AU"/>
                          </w:rPr>
                          <w:t xml:space="preserve">    NDoE Secretary</w:t>
                        </w:r>
                      </w:p>
                    </w:txbxContent>
                  </v:textbox>
                </v:shape>
                <v:shape id="TextBox 7" o:spid="_x0000_s1094" type="#_x0000_t202" style="position:absolute;left:10646;top:8077;width:15196;height:5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6647E78C" w14:textId="77777777" w:rsidR="00F96637" w:rsidRPr="00945CED" w:rsidRDefault="00F96637" w:rsidP="00D86DAF">
                        <w:pPr>
                          <w:jc w:val="center"/>
                          <w:rPr>
                            <w:rFonts w:hAnsi="Calibri"/>
                            <w:b/>
                            <w:color w:val="000000" w:themeColor="text1"/>
                            <w:kern w:val="24"/>
                            <w:sz w:val="24"/>
                            <w:szCs w:val="24"/>
                            <w:lang w:val="en-AU"/>
                          </w:rPr>
                        </w:pPr>
                        <w:r w:rsidRPr="00945CED">
                          <w:rPr>
                            <w:rFonts w:hAnsi="Calibri"/>
                            <w:b/>
                            <w:color w:val="000000" w:themeColor="text1"/>
                            <w:kern w:val="24"/>
                            <w:sz w:val="24"/>
                            <w:szCs w:val="24"/>
                            <w:lang w:val="en-AU"/>
                          </w:rPr>
                          <w:t>A</w:t>
                        </w:r>
                        <w:r>
                          <w:rPr>
                            <w:rFonts w:hAnsi="Calibri"/>
                            <w:b/>
                            <w:color w:val="000000" w:themeColor="text1"/>
                            <w:kern w:val="24"/>
                            <w:sz w:val="24"/>
                            <w:szCs w:val="24"/>
                            <w:lang w:val="en-AU"/>
                          </w:rPr>
                          <w:t>ustralian High Commission (DFAT)</w:t>
                        </w:r>
                      </w:p>
                      <w:p w14:paraId="064C502F" w14:textId="2E03E3D3" w:rsidR="00F96637" w:rsidRPr="001A6A97" w:rsidRDefault="00F96637" w:rsidP="001F26A6">
                        <w:pPr>
                          <w:rPr>
                            <w:rFonts w:hAnsi="Calibri"/>
                            <w:b/>
                            <w:bCs/>
                            <w:color w:val="000000" w:themeColor="text1"/>
                            <w:kern w:val="24"/>
                            <w:sz w:val="24"/>
                            <w:szCs w:val="24"/>
                            <w:lang w:val="en-AU"/>
                          </w:rPr>
                        </w:pPr>
                      </w:p>
                    </w:txbxContent>
                  </v:textbox>
                </v:shape>
                <v:line id="Straight Connector 133" o:spid="_x0000_s1095" alt="&quot;&quot;" style="position:absolute;flip:y;visibility:visible;mso-wrap-style:square" from="39716,4800" to="39716,6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" strokecolor="#007c89" strokeweight="4.5pt">
                  <v:stroke dashstyle="dashDot" joinstyle="miter"/>
                  <o:lock v:ext="edit" shapetype="f"/>
                </v:line>
                <v:shape id="TextBox 16" o:spid="_x0000_s1096" type="#_x0000_t202" style="position:absolute;left:-6042;top:8229;width:16264;height:41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" filled="f" stroked="f">
                  <v:textbox>
                    <w:txbxContent>
                      <w:p w14:paraId="56B0DD96" w14:textId="77777777" w:rsidR="00F96637" w:rsidRPr="001A6A97" w:rsidRDefault="00F96637" w:rsidP="001F26A6">
                        <w:pP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  GOVERNANCE</w:t>
                        </w:r>
                      </w:p>
                    </w:txbxContent>
                  </v:textbox>
                </v:shape>
                <v:line id="Straight Connector 138" o:spid="_x0000_s1097" style="position:absolute;visibility:visible;mso-wrap-style:square" from="4016,14287" to="101628,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" strokecolor="#007c89" strokeweight="2.25pt">
                  <v:stroke dashstyle="dash" joinstyle="miter"/>
                  <o:lock v:ext="edit" shapetype="f"/>
                </v:line>
                <v:shape id="TextBox 27" o:spid="_x0000_s1098" type="#_x0000_t202" style="position:absolute;left:4397;width:76757;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C911995" w14:textId="145F0C7A" w:rsidR="00F96637" w:rsidRPr="00792CA6" w:rsidRDefault="00F96637" w:rsidP="001F26A6">
                        <w:pPr>
                          <w:rPr>
                            <w:rFonts w:hAnsi="Calibri"/>
                            <w:b/>
                            <w:bCs/>
                            <w:color w:val="000000" w:themeColor="text1"/>
                            <w:kern w:val="24"/>
                            <w:lang w:val="en-AU"/>
                          </w:rPr>
                        </w:pPr>
                        <w:r w:rsidRPr="00792CA6">
                          <w:rPr>
                            <w:rFonts w:hAnsi="Calibri"/>
                            <w:b/>
                            <w:bCs/>
                            <w:color w:val="000000" w:themeColor="text1"/>
                            <w:kern w:val="24"/>
                            <w:lang w:val="en-AU"/>
                          </w:rPr>
                          <w:t xml:space="preserve">Figure </w:t>
                        </w:r>
                        <w:r>
                          <w:rPr>
                            <w:rFonts w:hAnsi="Calibri"/>
                            <w:b/>
                            <w:bCs/>
                            <w:color w:val="000000" w:themeColor="text1"/>
                            <w:kern w:val="24"/>
                            <w:lang w:val="en-AU"/>
                          </w:rPr>
                          <w:t>5</w:t>
                        </w:r>
                        <w:r w:rsidRPr="00792CA6">
                          <w:rPr>
                            <w:rFonts w:hAnsi="Calibri"/>
                            <w:b/>
                            <w:bCs/>
                            <w:color w:val="000000" w:themeColor="text1"/>
                            <w:kern w:val="24"/>
                            <w:lang w:val="en-AU"/>
                          </w:rPr>
                          <w:t>:  Governance and Management Arrangements - National Level</w:t>
                        </w:r>
                      </w:p>
                    </w:txbxContent>
                  </v:textbox>
                </v:shape>
                <v:line id="Straight Connector 36" o:spid="_x0000_s1099" alt="&quot;&quot;" style="position:absolute;flip:y;visibility:visible;mso-wrap-style:square" from="24133,10363" to="66184,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" strokecolor="#007c89" strokeweight="2.25pt">
                  <v:stroke dashstyle="dash" startarrow="block" endarrow="block" joinstyle="miter"/>
                  <o:lock v:ext="edit" shapetype="f"/>
                </v:line>
                <v:shape id="TextBox 31" o:spid="_x0000_s1100" type="#_x0000_t202" style="position:absolute;left:52060;top:21526;width:19177;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" filled="f" strokecolor="black [3213]" strokeweight="2.25pt">
                  <v:textbox>
                    <w:txbxContent>
                      <w:p w14:paraId="26795D93"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Deputy Secretary, </w:t>
                        </w:r>
                      </w:p>
                      <w:p w14:paraId="190784DB"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Policy and Corporate Services</w:t>
                        </w:r>
                      </w:p>
                    </w:txbxContent>
                  </v:textbox>
                </v:shape>
                <v:shape id="TextBox 17" o:spid="_x0000_s1101" type="#_x0000_t202" style="position:absolute;left:-6689;top:28917;width:17550;height:41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" filled="f" stroked="f">
                  <v:textbox>
                    <w:txbxContent>
                      <w:p w14:paraId="7F4C8DF5" w14:textId="77777777" w:rsidR="00F96637" w:rsidRPr="001A6A97" w:rsidRDefault="00F96637" w:rsidP="001F26A6">
                        <w:pP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  MANAGEMENT</w:t>
                        </w:r>
                      </w:p>
                    </w:txbxContent>
                  </v:textbox>
                </v:shape>
                <v:shape id="TextBox 33" o:spid="_x0000_s1102" type="#_x0000_t202" style="position:absolute;left:52022;top:30251;width:17842;height:5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" filled="f" strokecolor="black [3213]" strokeweight="1pt">
                  <v:textbox>
                    <w:txbxContent>
                      <w:p w14:paraId="05D88625"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First Assistant Secretary, Policy and Research</w:t>
                        </w:r>
                      </w:p>
                    </w:txbxContent>
                  </v:textbox>
                </v:shape>
                <v:shape id="TextBox 38" o:spid="_x0000_s1103" type="#_x0000_t202" style="position:absolute;left:71415;top:21450;width:21009;height:7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" filled="f" strokecolor="black [3213]" strokeweight="2.25pt">
                  <v:textbox>
                    <w:txbxContent>
                      <w:p w14:paraId="6C8A961C"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Deputy Secretary, </w:t>
                        </w:r>
                      </w:p>
                      <w:p w14:paraId="1BADA9A2"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Schools and Education Standards</w:t>
                        </w:r>
                      </w:p>
                    </w:txbxContent>
                  </v:textbox>
                </v:shape>
                <v:shape id="TextBox 37" o:spid="_x0000_s1104" type="#_x0000_t202" style="position:absolute;left:73206;top:30175;width:19177;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" filled="f" strokecolor="black [3213]" strokeweight="1pt">
                  <v:textbox>
                    <w:txbxContent>
                      <w:p w14:paraId="12586085"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First Assistant Secretary, Provincial</w:t>
                        </w:r>
                        <w:r>
                          <w:rPr>
                            <w:rFonts w:hAnsi="Calibri"/>
                            <w:color w:val="000000" w:themeColor="text1"/>
                            <w:kern w:val="24"/>
                            <w:sz w:val="24"/>
                            <w:szCs w:val="24"/>
                            <w:lang w:val="en-AU"/>
                          </w:rPr>
                          <w:t xml:space="preserve"> </w:t>
                        </w:r>
                        <w:r w:rsidRPr="001A6A97">
                          <w:rPr>
                            <w:rFonts w:hAnsi="Calibri"/>
                            <w:color w:val="000000" w:themeColor="text1"/>
                            <w:kern w:val="24"/>
                            <w:sz w:val="24"/>
                            <w:szCs w:val="24"/>
                            <w:lang w:val="en-AU"/>
                          </w:rPr>
                          <w:t>Services</w:t>
                        </w:r>
                      </w:p>
                    </w:txbxContent>
                  </v:textbox>
                </v:shape>
                <v:shape id="Straight Arrow Connector 64" o:spid="_x0000_s1105" type="#_x0000_t32" style="position:absolute;left:71174;top:11836;width:457;height:898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" strokecolor="#007c89" strokeweight="2.25pt">
                  <v:stroke startarrow="block" endarrow="block" joinstyle="miter"/>
                  <o:lock v:ext="edit" shapetype="f"/>
                </v:shape>
                <v:shape id="TextBox 29" o:spid="_x0000_s1106" type="#_x0000_t202" style="position:absolute;left:80673;top:7772;width:10228;height:6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3D704BE9" w14:textId="77777777" w:rsidR="00F96637" w:rsidRPr="001A6A97" w:rsidRDefault="00F96637" w:rsidP="001F26A6">
                        <w:pPr>
                          <w:jc w:val="center"/>
                          <w:rPr>
                            <w:rFonts w:hAnsi="Calibri"/>
                            <w:b/>
                            <w:bCs/>
                            <w:color w:val="000000" w:themeColor="text1"/>
                            <w:kern w:val="24"/>
                            <w:sz w:val="24"/>
                            <w:szCs w:val="24"/>
                            <w:lang w:val="en-AU"/>
                          </w:rPr>
                        </w:pPr>
                        <w:r w:rsidRPr="001A6A97">
                          <w:rPr>
                            <w:rFonts w:hAnsi="Calibri"/>
                            <w:b/>
                            <w:bCs/>
                            <w:color w:val="000000" w:themeColor="text1"/>
                            <w:kern w:val="24"/>
                            <w:sz w:val="24"/>
                            <w:szCs w:val="24"/>
                            <w:lang w:val="en-AU"/>
                          </w:rPr>
                          <w:t xml:space="preserve">   DHERST Secretary</w:t>
                        </w:r>
                      </w:p>
                    </w:txbxContent>
                  </v:textbox>
                </v:shape>
                <v:line id="Straight Connector 67" o:spid="_x0000_s1107" style="position:absolute;flip:y;visibility:visible;mso-wrap-style:square" from="76406,9906" to="80944,9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" strokecolor="#007c89" strokeweight="2.25pt">
                  <v:stroke dashstyle="dash" startarrow="block" endarrow="block" joinstyle="miter"/>
                  <o:lock v:ext="edit" shapetype="f"/>
                </v:line>
                <v:shape id="TextBox 56" o:spid="_x0000_s1108" type="#_x0000_t202" style="position:absolute;left:61014;top:17221;width:20262;height: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" filled="f" stroked="f" strokeweight="1.5pt">
                  <v:textbox>
                    <w:txbxContent>
                      <w:p w14:paraId="7C89A0CA"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Key NDoE Positions</w:t>
                        </w:r>
                      </w:p>
                    </w:txbxContent>
                  </v:textbox>
                </v:shape>
                <v:oval id="Oval 70" o:spid="_x0000_s1109" style="position:absolute;left:39716;top:22745;width:10510;height:34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" fillcolor="white [3212]" strokecolor="#007c89" strokeweight="2.25pt">
                  <v:stroke dashstyle="3 1" joinstyle="miter"/>
                </v:oval>
                <v:shape id="TextBox 49" o:spid="_x0000_s1110" type="#_x0000_t202" style="position:absolute;left:91113;top:9982;width:12805;height:7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" filled="f" strokecolor="black [3213]" strokeweight=".25pt">
                  <v:textbox>
                    <w:txbxContent>
                      <w:p w14:paraId="2DF2E883"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   Teaching Service Commission</w:t>
                        </w:r>
                      </w:p>
                    </w:txbxContent>
                  </v:textbox>
                </v:shape>
                <v:shape id="TextBox 48" o:spid="_x0000_s1111" type="#_x0000_t202" style="position:absolute;left:52060;top:13601;width:19178;height:3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" filled="f" strokecolor="black [3213]" strokeweight="2.25pt">
                  <v:textbox>
                    <w:txbxContent>
                      <w:p w14:paraId="458E8E47" w14:textId="77777777" w:rsidR="00F96637" w:rsidRPr="001A6A97" w:rsidRDefault="00F96637" w:rsidP="001F26A6">
                        <w:pPr>
                          <w:jc w:val="center"/>
                          <w:rPr>
                            <w:rFonts w:hAnsi="Calibri"/>
                            <w:b/>
                            <w:color w:val="000000" w:themeColor="text1"/>
                            <w:kern w:val="24"/>
                            <w:sz w:val="24"/>
                            <w:szCs w:val="24"/>
                            <w:lang w:val="en-AU"/>
                          </w:rPr>
                        </w:pPr>
                        <w:r w:rsidRPr="001A6A97">
                          <w:rPr>
                            <w:rFonts w:hAnsi="Calibri"/>
                            <w:b/>
                            <w:color w:val="000000" w:themeColor="text1"/>
                            <w:kern w:val="24"/>
                            <w:sz w:val="24"/>
                            <w:szCs w:val="24"/>
                            <w:lang w:val="en-AU"/>
                          </w:rPr>
                          <w:t>Top Management Team</w:t>
                        </w:r>
                      </w:p>
                    </w:txbxContent>
                  </v:textbox>
                </v:shape>
                <v:line id="Straight Connector 71" o:spid="_x0000_s1112" style="position:absolute;visibility:visible;mso-wrap-style:square" from="35639,28460" to="40152,2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" strokecolor="#007c89" strokeweight="2.25pt">
                  <v:stroke dashstyle="dash" endarrow="open" joinstyle="miter"/>
                  <o:lock v:ext="edit" shapetype="f"/>
                </v:line>
                <v:shape id="TextBox 36" o:spid="_x0000_s1113" type="#_x0000_t202" style="position:absolute;left:73206;top:36880;width:19177;height:6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" filled="f" strokecolor="black [3213]" strokeweight="1pt">
                  <v:textbox>
                    <w:txbxContent>
                      <w:p w14:paraId="157F6B4A"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First Assistant Secretary, Teacher Education and Standards</w:t>
                        </w:r>
                      </w:p>
                    </w:txbxContent>
                  </v:textbox>
                </v:shape>
                <v:shape id="TextBox 39" o:spid="_x0000_s1114" type="#_x0000_t202" style="position:absolute;left:52098;top:36957;width:17844;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" filled="f" strokecolor="black [3213]" strokeweight="1pt">
                  <v:textbox>
                    <w:txbxContent>
                      <w:p w14:paraId="452F044A"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    Assistant Secretary, </w:t>
                        </w:r>
                      </w:p>
                      <w:p w14:paraId="37C4609A"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Policy and Planning</w:t>
                        </w:r>
                      </w:p>
                    </w:txbxContent>
                  </v:textbox>
                </v:shape>
                <v:shape id="TextBox 40" o:spid="_x0000_s1115" type="#_x0000_t202" style="position:absolute;left:35297;top:32803;width:18890;height:89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" filled="f" stroked="f">
                  <v:textbox>
                    <w:txbxContent>
                      <w:p w14:paraId="2F4A7725" w14:textId="77777777" w:rsidR="00F96637" w:rsidRPr="001A6A97" w:rsidRDefault="00F96637" w:rsidP="005D14B5">
                        <w:pPr>
                          <w:pStyle w:val="ListParagraph"/>
                          <w:numPr>
                            <w:ilvl w:val="0"/>
                            <w:numId w:val="26"/>
                          </w:numPr>
                          <w:spacing w:line="240" w:lineRule="auto"/>
                          <w:rPr>
                            <w:rFonts w:hAnsi="Calibri"/>
                            <w:b/>
                            <w:bCs/>
                            <w:color w:val="000000" w:themeColor="text1"/>
                            <w:kern w:val="24"/>
                            <w:lang w:val="en-AU"/>
                          </w:rPr>
                        </w:pPr>
                        <w:r w:rsidRPr="001A6A97">
                          <w:rPr>
                            <w:rFonts w:hAnsi="Calibri"/>
                            <w:b/>
                            <w:bCs/>
                            <w:color w:val="000000" w:themeColor="text1"/>
                            <w:kern w:val="24"/>
                            <w:lang w:val="en-AU"/>
                          </w:rPr>
                          <w:t>ANNUAL PLANS</w:t>
                        </w:r>
                      </w:p>
                      <w:p w14:paraId="56C9800F" w14:textId="77777777" w:rsidR="00F96637" w:rsidRPr="001A6A97" w:rsidRDefault="00F96637" w:rsidP="005D14B5">
                        <w:pPr>
                          <w:pStyle w:val="ListParagraph"/>
                          <w:numPr>
                            <w:ilvl w:val="0"/>
                            <w:numId w:val="26"/>
                          </w:numPr>
                          <w:spacing w:line="240" w:lineRule="auto"/>
                          <w:rPr>
                            <w:rFonts w:hAnsi="Calibri"/>
                            <w:b/>
                            <w:bCs/>
                            <w:color w:val="000000" w:themeColor="text1"/>
                            <w:kern w:val="24"/>
                          </w:rPr>
                        </w:pPr>
                        <w:r w:rsidRPr="001A6A97">
                          <w:rPr>
                            <w:rFonts w:hAnsi="Calibri"/>
                            <w:b/>
                            <w:bCs/>
                            <w:color w:val="000000" w:themeColor="text1"/>
                            <w:kern w:val="24"/>
                          </w:rPr>
                          <w:t>PROGRESS MONITORING</w:t>
                        </w:r>
                      </w:p>
                      <w:p w14:paraId="0B42B371" w14:textId="77777777" w:rsidR="00F96637" w:rsidRPr="001A6A97" w:rsidRDefault="00F96637" w:rsidP="005D14B5">
                        <w:pPr>
                          <w:pStyle w:val="ListParagraph"/>
                          <w:numPr>
                            <w:ilvl w:val="0"/>
                            <w:numId w:val="26"/>
                          </w:numPr>
                          <w:spacing w:line="240" w:lineRule="auto"/>
                          <w:rPr>
                            <w:rFonts w:hAnsi="Calibri"/>
                            <w:b/>
                            <w:bCs/>
                            <w:color w:val="000000" w:themeColor="text1"/>
                            <w:kern w:val="24"/>
                          </w:rPr>
                        </w:pPr>
                        <w:r w:rsidRPr="001A6A97">
                          <w:rPr>
                            <w:rFonts w:hAnsi="Calibri"/>
                            <w:b/>
                            <w:bCs/>
                            <w:color w:val="000000" w:themeColor="text1"/>
                            <w:kern w:val="24"/>
                          </w:rPr>
                          <w:t>EVALUATION</w:t>
                        </w:r>
                      </w:p>
                    </w:txbxContent>
                  </v:textbox>
                </v:shape>
                <v:line id="Straight Connector 72" o:spid="_x0000_s1116" style="position:absolute;visibility:visible;mso-wrap-style:square" from="35639,32499" to="40152,32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" strokecolor="#007c89" strokeweight="2.25pt">
                  <v:stroke dashstyle="dash" endarrow="open" joinstyle="miter"/>
                  <o:lock v:ext="edit" shapetype="f"/>
                </v:line>
                <v:shape id="TextBox 32" o:spid="_x0000_s1117" type="#_x0000_t202" style="position:absolute;left:52022;top:43129;width:17906;height: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" filled="f" strokecolor="black [3213]" strokeweight="1pt">
                  <v:textbox>
                    <w:txbxContent>
                      <w:p w14:paraId="7E7EE5D0"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    Assistant Secretary, Research and Evaluation</w:t>
                        </w:r>
                      </w:p>
                    </w:txbxContent>
                  </v:textbox>
                </v:shape>
                <v:line id="Straight Connector 73" o:spid="_x0000_s1118" style="position:absolute;visibility:visible;mso-wrap-style:square" from="35639,38138" to="40152,3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" strokecolor="#007c89" strokeweight="2.25pt">
                  <v:stroke dashstyle="dash" endarrow="open" joinstyle="miter"/>
                  <o:lock v:ext="edit" shapetype="f"/>
                </v:line>
                <v:group id="Group 37" o:spid="_x0000_s1119" style="position:absolute;left:5591;top:17678;width:30016;height:35506" coordorigin="-50" coordsize="30016,3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Box 26" o:spid="_x0000_s1120" type="#_x0000_t202" style="position:absolute;left:-50;top:16680;width:29964;height:9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" filled="f" strokecolor="black [3213]" strokeweight="1.5pt">
                    <v:textbox>
                      <w:txbxContent>
                        <w:p w14:paraId="3A921B75" w14:textId="77777777" w:rsidR="00F96637" w:rsidRPr="002B28E6" w:rsidRDefault="00F96637" w:rsidP="001F26A6">
                          <w:pPr>
                            <w:jc w:val="center"/>
                            <w:rPr>
                              <w:rFonts w:hAnsi="Calibri"/>
                              <w:color w:val="000000" w:themeColor="text1"/>
                              <w:kern w:val="24"/>
                              <w:lang w:val="en-AU"/>
                            </w:rPr>
                          </w:pPr>
                          <w:r w:rsidRPr="001A6A97">
                            <w:rPr>
                              <w:rFonts w:hAnsi="Calibri"/>
                              <w:color w:val="000000" w:themeColor="text1"/>
                              <w:kern w:val="24"/>
                              <w:sz w:val="24"/>
                              <w:szCs w:val="24"/>
                              <w:lang w:val="en-AU"/>
                            </w:rPr>
                            <w:t xml:space="preserve">   </w:t>
                          </w:r>
                          <w:r w:rsidRPr="002B28E6">
                            <w:rPr>
                              <w:rFonts w:hAnsi="Calibri"/>
                              <w:color w:val="000000" w:themeColor="text1"/>
                              <w:kern w:val="24"/>
                              <w:lang w:val="en-AU"/>
                            </w:rPr>
                            <w:t>LONG-TERM ADVISERS FOR:</w:t>
                          </w:r>
                        </w:p>
                        <w:p w14:paraId="123438B0" w14:textId="77777777" w:rsidR="00F96637" w:rsidRPr="002B28E6" w:rsidRDefault="00F96637" w:rsidP="005D14B5">
                          <w:pPr>
                            <w:pStyle w:val="ListParagraph"/>
                            <w:numPr>
                              <w:ilvl w:val="0"/>
                              <w:numId w:val="24"/>
                            </w:numPr>
                            <w:spacing w:line="240" w:lineRule="auto"/>
                            <w:rPr>
                              <w:rFonts w:hAnsi="Calibri"/>
                              <w:color w:val="000000" w:themeColor="text1"/>
                              <w:kern w:val="24"/>
                              <w:sz w:val="22"/>
                              <w:lang w:val="en-AU"/>
                            </w:rPr>
                          </w:pPr>
                          <w:r w:rsidRPr="002B28E6">
                            <w:rPr>
                              <w:rFonts w:hAnsi="Calibri"/>
                              <w:color w:val="000000" w:themeColor="text1"/>
                              <w:kern w:val="24"/>
                              <w:sz w:val="22"/>
                              <w:lang w:val="en-AU"/>
                            </w:rPr>
                            <w:t>MONITORING AND EVALUATION</w:t>
                          </w:r>
                        </w:p>
                        <w:p w14:paraId="786F81F7" w14:textId="77777777" w:rsidR="00F96637" w:rsidRPr="002B28E6" w:rsidRDefault="00F96637" w:rsidP="005D14B5">
                          <w:pPr>
                            <w:pStyle w:val="ListParagraph"/>
                            <w:numPr>
                              <w:ilvl w:val="0"/>
                              <w:numId w:val="24"/>
                            </w:numPr>
                            <w:spacing w:line="240" w:lineRule="auto"/>
                            <w:rPr>
                              <w:rFonts w:hAnsi="Calibri"/>
                              <w:color w:val="000000" w:themeColor="text1"/>
                              <w:kern w:val="24"/>
                              <w:sz w:val="22"/>
                              <w:lang w:val="en-AU"/>
                            </w:rPr>
                          </w:pPr>
                          <w:r w:rsidRPr="002B28E6">
                            <w:rPr>
                              <w:rFonts w:hAnsi="Calibri"/>
                              <w:color w:val="000000" w:themeColor="text1"/>
                              <w:kern w:val="24"/>
                              <w:sz w:val="22"/>
                              <w:lang w:val="en-AU"/>
                            </w:rPr>
                            <w:t>GE</w:t>
                          </w:r>
                          <w:r>
                            <w:rPr>
                              <w:rFonts w:hAnsi="Calibri"/>
                              <w:color w:val="000000" w:themeColor="text1"/>
                              <w:kern w:val="24"/>
                              <w:sz w:val="22"/>
                              <w:lang w:val="en-AU"/>
                            </w:rPr>
                            <w:t>D</w:t>
                          </w:r>
                          <w:r w:rsidRPr="002B28E6">
                            <w:rPr>
                              <w:rFonts w:hAnsi="Calibri"/>
                              <w:color w:val="000000" w:themeColor="text1"/>
                              <w:kern w:val="24"/>
                              <w:sz w:val="22"/>
                              <w:lang w:val="en-AU"/>
                            </w:rPr>
                            <w:t>SI</w:t>
                          </w:r>
                          <w:r>
                            <w:rPr>
                              <w:rFonts w:hAnsi="Calibri"/>
                              <w:color w:val="000000" w:themeColor="text1"/>
                              <w:kern w:val="24"/>
                              <w:sz w:val="22"/>
                              <w:lang w:val="en-AU"/>
                            </w:rPr>
                            <w:t xml:space="preserve"> / ACCESS / RETENTION</w:t>
                          </w:r>
                        </w:p>
                        <w:p w14:paraId="68D9CC40" w14:textId="77777777" w:rsidR="00F96637" w:rsidRPr="002B28E6" w:rsidRDefault="00F96637" w:rsidP="005D14B5">
                          <w:pPr>
                            <w:pStyle w:val="ListParagraph"/>
                            <w:numPr>
                              <w:ilvl w:val="0"/>
                              <w:numId w:val="24"/>
                            </w:numPr>
                            <w:spacing w:line="240" w:lineRule="auto"/>
                            <w:rPr>
                              <w:rFonts w:hAnsi="Calibri"/>
                              <w:color w:val="000000" w:themeColor="text1"/>
                              <w:kern w:val="24"/>
                              <w:sz w:val="22"/>
                              <w:lang w:val="en-AU"/>
                            </w:rPr>
                          </w:pPr>
                          <w:r w:rsidRPr="002B28E6">
                            <w:rPr>
                              <w:rFonts w:hAnsi="Calibri"/>
                              <w:color w:val="000000" w:themeColor="text1"/>
                              <w:kern w:val="24"/>
                              <w:sz w:val="22"/>
                              <w:lang w:val="en-AU"/>
                            </w:rPr>
                            <w:t xml:space="preserve">PROVINCIAL </w:t>
                          </w:r>
                          <w:r>
                            <w:rPr>
                              <w:rFonts w:hAnsi="Calibri"/>
                              <w:color w:val="000000" w:themeColor="text1"/>
                              <w:kern w:val="24"/>
                              <w:sz w:val="22"/>
                              <w:lang w:val="en-AU"/>
                            </w:rPr>
                            <w:t>MANAGERS/ACTIVITY COORDINATORS</w:t>
                          </w:r>
                        </w:p>
                      </w:txbxContent>
                    </v:textbox>
                  </v:shape>
                  <v:shape id="TextBox 41" o:spid="_x0000_s1121" type="#_x0000_t202" style="position:absolute;left:63;top:26606;width:29902;height:8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" filled="f" strokecolor="black [3213]" strokeweight="1.5pt">
                    <v:textbox>
                      <w:txbxContent>
                        <w:p w14:paraId="1D605194" w14:textId="77777777" w:rsidR="00F96637" w:rsidRPr="002B28E6" w:rsidRDefault="00F96637" w:rsidP="005D14B5">
                          <w:pPr>
                            <w:pStyle w:val="ListParagraph"/>
                            <w:numPr>
                              <w:ilvl w:val="0"/>
                              <w:numId w:val="25"/>
                            </w:numPr>
                            <w:spacing w:line="240" w:lineRule="auto"/>
                            <w:rPr>
                              <w:rFonts w:hAnsi="Calibri"/>
                              <w:color w:val="000000" w:themeColor="text1"/>
                              <w:kern w:val="24"/>
                              <w:sz w:val="22"/>
                              <w:lang w:val="en-AU"/>
                            </w:rPr>
                          </w:pPr>
                          <w:r w:rsidRPr="002B28E6">
                            <w:rPr>
                              <w:rFonts w:hAnsi="Calibri"/>
                              <w:color w:val="000000" w:themeColor="text1"/>
                              <w:kern w:val="24"/>
                              <w:sz w:val="22"/>
                              <w:lang w:val="en-AU"/>
                            </w:rPr>
                            <w:t xml:space="preserve">SHORT-TERM </w:t>
                          </w:r>
                          <w:r>
                            <w:rPr>
                              <w:rFonts w:hAnsi="Calibri"/>
                              <w:color w:val="000000" w:themeColor="text1"/>
                              <w:kern w:val="24"/>
                              <w:sz w:val="22"/>
                              <w:lang w:val="en-AU"/>
                            </w:rPr>
                            <w:t>ADVISER</w:t>
                          </w:r>
                          <w:r w:rsidRPr="002B28E6">
                            <w:rPr>
                              <w:rFonts w:hAnsi="Calibri"/>
                              <w:color w:val="000000" w:themeColor="text1"/>
                              <w:kern w:val="24"/>
                              <w:sz w:val="22"/>
                              <w:lang w:val="en-AU"/>
                            </w:rPr>
                            <w:t>S</w:t>
                          </w:r>
                        </w:p>
                        <w:p w14:paraId="13264A33" w14:textId="77777777" w:rsidR="00F96637" w:rsidRPr="002B28E6" w:rsidRDefault="00F96637" w:rsidP="005D14B5">
                          <w:pPr>
                            <w:pStyle w:val="ListParagraph"/>
                            <w:numPr>
                              <w:ilvl w:val="0"/>
                              <w:numId w:val="25"/>
                            </w:numPr>
                            <w:spacing w:line="240" w:lineRule="auto"/>
                            <w:rPr>
                              <w:rFonts w:hAnsi="Calibri"/>
                              <w:color w:val="000000" w:themeColor="text1"/>
                              <w:kern w:val="24"/>
                              <w:sz w:val="22"/>
                              <w:lang w:val="en-AU"/>
                            </w:rPr>
                          </w:pPr>
                          <w:r w:rsidRPr="002B28E6">
                            <w:rPr>
                              <w:rFonts w:hAnsi="Calibri"/>
                              <w:color w:val="000000" w:themeColor="text1"/>
                              <w:kern w:val="24"/>
                              <w:sz w:val="22"/>
                              <w:lang w:val="en-AU"/>
                            </w:rPr>
                            <w:t>FUND MANAGEMENT</w:t>
                          </w:r>
                        </w:p>
                        <w:p w14:paraId="3EF9392E" w14:textId="77777777" w:rsidR="00F96637" w:rsidRPr="002B28E6" w:rsidRDefault="00F96637" w:rsidP="005D14B5">
                          <w:pPr>
                            <w:pStyle w:val="ListParagraph"/>
                            <w:numPr>
                              <w:ilvl w:val="0"/>
                              <w:numId w:val="25"/>
                            </w:numPr>
                            <w:spacing w:line="240" w:lineRule="auto"/>
                            <w:rPr>
                              <w:rFonts w:hAnsi="Calibri"/>
                              <w:color w:val="000000" w:themeColor="text1"/>
                              <w:kern w:val="24"/>
                              <w:sz w:val="22"/>
                              <w:lang w:val="en-AU"/>
                            </w:rPr>
                          </w:pPr>
                          <w:r w:rsidRPr="002B28E6">
                            <w:rPr>
                              <w:rFonts w:hAnsi="Calibri"/>
                              <w:color w:val="000000" w:themeColor="text1"/>
                              <w:kern w:val="24"/>
                              <w:sz w:val="22"/>
                              <w:lang w:val="en-AU"/>
                            </w:rPr>
                            <w:t xml:space="preserve">OPERATIONAL SUPPORT (training programs, workshops, meetings) </w:t>
                          </w:r>
                        </w:p>
                      </w:txbxContent>
                    </v:textbox>
                  </v:shape>
                  <v:group id="Group 35" o:spid="_x0000_s1122" style="position:absolute;width:29965;height:10298" coordsize="29965,1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Box 18" o:spid="_x0000_s1123" type="#_x0000_t202" style="position:absolute;top:5588;width:29965;height:4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" filled="f" strokecolor="black [3213]" strokeweight="1.5pt">
                      <v:textbox>
                        <w:txbxContent>
                          <w:p w14:paraId="560E47DC" w14:textId="77777777" w:rsidR="00F96637" w:rsidRPr="001A6A9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   </w:t>
                            </w:r>
                            <w:r>
                              <w:rPr>
                                <w:rFonts w:hAnsi="Calibri"/>
                                <w:color w:val="000000" w:themeColor="text1"/>
                                <w:kern w:val="24"/>
                                <w:sz w:val="24"/>
                                <w:szCs w:val="24"/>
                                <w:lang w:val="en-AU"/>
                              </w:rPr>
                              <w:t>TEAM LEADER</w:t>
                            </w:r>
                          </w:p>
                        </w:txbxContent>
                      </v:textbox>
                    </v:shape>
                    <v:shape id="Text Box 18" o:spid="_x0000_s1124" type="#_x0000_t202" style="position:absolute;left:2095;width:2552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5FDF8F32" w14:textId="77777777" w:rsidR="00F96637" w:rsidRPr="00391C72" w:rsidRDefault="00F96637" w:rsidP="001F26A6">
                            <w:pPr>
                              <w:jc w:val="center"/>
                              <w:rPr>
                                <w:b/>
                                <w:bCs/>
                                <w:color w:val="auto"/>
                                <w:lang w:val="en-US"/>
                              </w:rPr>
                            </w:pPr>
                            <w:r w:rsidRPr="00391C72">
                              <w:rPr>
                                <w:b/>
                                <w:bCs/>
                                <w:color w:val="auto"/>
                                <w:lang w:val="en-US"/>
                              </w:rPr>
                              <w:t>MANAGING CONTRACTOR</w:t>
                            </w:r>
                          </w:p>
                        </w:txbxContent>
                      </v:textbox>
                    </v:shape>
                  </v:group>
                </v:group>
                <v:shape id="Straight Arrow Connector 457" o:spid="_x0000_s1125" type="#_x0000_t32" style="position:absolute;left:19447;top:27889;width:0;height:64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" strokecolor="#007c89" strokeweight="2.25pt">
                  <v:stroke endarrow="block" joinstyle="miter"/>
                </v:shape>
                <v:shape id="Straight Arrow Connector 458" o:spid="_x0000_s1126" type="#_x0000_t32" style="position:absolute;left:19447;top:20269;width:0;height:29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" strokecolor="#007c89" strokeweight="2.25pt">
                  <v:stroke endarrow="block" joinstyle="miter"/>
                </v:shape>
                <v:line id="Straight Connector 62" o:spid="_x0000_s1127" style="position:absolute;visibility:visible;mso-wrap-style:square" from="35563,23164" to="52218,2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" strokecolor="#007c89" strokeweight="2.25pt">
                  <v:stroke dashstyle="dash" startarrow="block" endarrow="block" joinstyle="miter"/>
                  <o:lock v:ext="edit" shapetype="f"/>
                </v:line>
                <w10:anchorlock/>
              </v:group>
            </w:pict>
          </mc:Fallback>
        </mc:AlternateContent>
      </w:r>
    </w:p>
    <w:p w14:paraId="456F50CF" w14:textId="77777777" w:rsidR="008F18F7" w:rsidRDefault="008F18F7" w:rsidP="001F26A6">
      <w:pPr>
        <w:rPr>
          <w:lang w:eastAsia="en-AU"/>
        </w:rPr>
        <w:sectPr w:rsidR="008F18F7" w:rsidSect="008F18F7">
          <w:pgSz w:w="16838" w:h="11906" w:orient="landscape"/>
          <w:pgMar w:top="1440" w:right="1440" w:bottom="1440" w:left="1440" w:header="720" w:footer="720" w:gutter="0"/>
          <w:cols w:space="720"/>
          <w:docGrid w:linePitch="360"/>
        </w:sectPr>
      </w:pPr>
    </w:p>
    <w:p w14:paraId="37422681" w14:textId="1DC90FC9" w:rsidR="001F26A6" w:rsidRPr="00060D11" w:rsidRDefault="001F26A6" w:rsidP="001F26A6">
      <w:pPr>
        <w:rPr>
          <w:lang w:eastAsia="en-AU"/>
        </w:rPr>
      </w:pPr>
    </w:p>
    <w:p w14:paraId="3478B4E5" w14:textId="2F720887" w:rsidR="001F26A6" w:rsidRPr="00060D11" w:rsidRDefault="001F26A6" w:rsidP="004E780D">
      <w:pPr>
        <w:spacing w:after="120" w:line="276" w:lineRule="auto"/>
        <w:rPr>
          <w:b/>
          <w:bCs/>
          <w:lang w:eastAsia="en-AU"/>
        </w:rPr>
      </w:pPr>
      <w:r w:rsidRPr="00060D11">
        <w:rPr>
          <w:rFonts w:asciiTheme="majorHAnsi" w:hAnsiTheme="majorHAnsi" w:cstheme="majorHAnsi"/>
          <w:b/>
          <w:bCs/>
          <w:lang w:eastAsia="en-AU"/>
        </w:rPr>
        <w:t>PROVINCIAL LEVEL</w:t>
      </w:r>
      <w:r w:rsidRPr="00060D11">
        <w:rPr>
          <w:b/>
          <w:bCs/>
          <w:lang w:eastAsia="en-AU"/>
        </w:rPr>
        <w:t xml:space="preserve"> </w:t>
      </w:r>
      <w:r w:rsidRPr="00060D11">
        <w:rPr>
          <w:lang w:eastAsia="en-AU"/>
        </w:rPr>
        <w:t xml:space="preserve">(Figure </w:t>
      </w:r>
      <w:r w:rsidR="00FC4782" w:rsidRPr="00060D11">
        <w:rPr>
          <w:lang w:eastAsia="en-AU"/>
        </w:rPr>
        <w:t>6</w:t>
      </w:r>
      <w:r w:rsidRPr="00060D11">
        <w:rPr>
          <w:lang w:eastAsia="en-AU"/>
        </w:rPr>
        <w:t>)</w:t>
      </w:r>
    </w:p>
    <w:p w14:paraId="15C080B9" w14:textId="466C4FB7" w:rsidR="001F26A6" w:rsidRPr="00060D11" w:rsidRDefault="001F26A6" w:rsidP="004E780D">
      <w:pPr>
        <w:spacing w:after="120" w:line="276" w:lineRule="auto"/>
        <w:rPr>
          <w:lang w:eastAsia="en-AU"/>
        </w:rPr>
      </w:pPr>
      <w:r w:rsidRPr="00060D11">
        <w:rPr>
          <w:lang w:eastAsia="en-AU"/>
        </w:rPr>
        <w:t xml:space="preserve">At the provincial level, support is provided by Australia through the </w:t>
      </w:r>
      <w:r w:rsidR="005662DB" w:rsidRPr="00060D11">
        <w:rPr>
          <w:lang w:eastAsia="en-AU"/>
        </w:rPr>
        <w:t>managing contractor</w:t>
      </w:r>
      <w:r w:rsidRPr="00060D11">
        <w:rPr>
          <w:lang w:eastAsia="en-AU"/>
        </w:rPr>
        <w:t>. Support will involve:</w:t>
      </w:r>
    </w:p>
    <w:p w14:paraId="1516F048" w14:textId="07EEB1A7" w:rsidR="001F26A6" w:rsidRPr="00060D11" w:rsidRDefault="00E95B44" w:rsidP="004E780D">
      <w:pPr>
        <w:pStyle w:val="ListParagraph"/>
        <w:numPr>
          <w:ilvl w:val="0"/>
          <w:numId w:val="28"/>
        </w:numPr>
        <w:spacing w:after="120" w:line="276" w:lineRule="auto"/>
        <w:rPr>
          <w:rFonts w:cstheme="minorHAnsi"/>
          <w:sz w:val="22"/>
          <w:lang w:eastAsia="en-AU"/>
        </w:rPr>
      </w:pPr>
      <w:r w:rsidRPr="00060D11">
        <w:rPr>
          <w:i/>
          <w:iCs/>
          <w:sz w:val="22"/>
        </w:rPr>
        <w:t>p</w:t>
      </w:r>
      <w:r w:rsidR="001F26A6" w:rsidRPr="00060D11">
        <w:rPr>
          <w:i/>
          <w:iCs/>
          <w:sz w:val="22"/>
        </w:rPr>
        <w:t>lacement of Provincial Managers or Activity Coordinators in the PDoE offices in targeted provinces</w:t>
      </w:r>
      <w:r w:rsidRPr="00060D11">
        <w:rPr>
          <w:i/>
          <w:iCs/>
          <w:sz w:val="22"/>
        </w:rPr>
        <w:t>;</w:t>
      </w:r>
    </w:p>
    <w:p w14:paraId="2C0CC10A" w14:textId="718A2307" w:rsidR="001F26A6" w:rsidRPr="00060D11" w:rsidRDefault="00E95B44" w:rsidP="004E780D">
      <w:pPr>
        <w:pStyle w:val="ListParagraph"/>
        <w:numPr>
          <w:ilvl w:val="0"/>
          <w:numId w:val="28"/>
        </w:numPr>
        <w:spacing w:after="120" w:line="276" w:lineRule="auto"/>
        <w:rPr>
          <w:rFonts w:cstheme="minorHAnsi"/>
          <w:sz w:val="22"/>
          <w:lang w:eastAsia="en-AU"/>
        </w:rPr>
      </w:pPr>
      <w:r w:rsidRPr="00060D11">
        <w:rPr>
          <w:rFonts w:cstheme="minorHAnsi"/>
          <w:i/>
          <w:iCs/>
          <w:sz w:val="22"/>
          <w:lang w:eastAsia="en-AU"/>
        </w:rPr>
        <w:t>c</w:t>
      </w:r>
      <w:r w:rsidR="001F26A6" w:rsidRPr="00060D11">
        <w:rPr>
          <w:rFonts w:cstheme="minorHAnsi"/>
          <w:i/>
          <w:iCs/>
          <w:sz w:val="22"/>
          <w:lang w:eastAsia="en-AU"/>
        </w:rPr>
        <w:t>apacity development support</w:t>
      </w:r>
      <w:r w:rsidR="001F26A6" w:rsidRPr="00060D11">
        <w:rPr>
          <w:rFonts w:cstheme="minorHAnsi"/>
          <w:sz w:val="22"/>
          <w:lang w:eastAsia="en-AU"/>
        </w:rPr>
        <w:t xml:space="preserve"> to government/church education service providers following a participatory problem analysis process and the development of Activity Support Plans (incorporating support required by functional units/individuals within the Provinces) for agreed priority areas. The support to be provided must align with the </w:t>
      </w:r>
      <w:r w:rsidR="008439E5" w:rsidRPr="00060D11">
        <w:rPr>
          <w:rFonts w:cstheme="minorHAnsi"/>
          <w:sz w:val="22"/>
          <w:lang w:eastAsia="en-AU"/>
        </w:rPr>
        <w:t>PEPs</w:t>
      </w:r>
      <w:r w:rsidR="001F26A6" w:rsidRPr="00060D11">
        <w:rPr>
          <w:rFonts w:cstheme="minorHAnsi"/>
          <w:sz w:val="22"/>
          <w:lang w:eastAsia="en-AU"/>
        </w:rPr>
        <w:t xml:space="preserve"> approved by the Provincial Education Boards in each targeted province and will be reviewed at the national level against the priorities of the NEP 2020-2029</w:t>
      </w:r>
      <w:r w:rsidRPr="00060D11">
        <w:rPr>
          <w:rFonts w:cstheme="minorHAnsi"/>
          <w:sz w:val="22"/>
          <w:lang w:eastAsia="en-AU"/>
        </w:rPr>
        <w:t>;</w:t>
      </w:r>
    </w:p>
    <w:p w14:paraId="00567008" w14:textId="7E13D957" w:rsidR="001F26A6" w:rsidRPr="00060D11" w:rsidRDefault="00E95B44" w:rsidP="004E780D">
      <w:pPr>
        <w:pStyle w:val="ListParagraph"/>
        <w:numPr>
          <w:ilvl w:val="0"/>
          <w:numId w:val="28"/>
        </w:numPr>
        <w:spacing w:after="120" w:line="276" w:lineRule="auto"/>
        <w:rPr>
          <w:rFonts w:cstheme="minorHAnsi"/>
          <w:sz w:val="22"/>
          <w:lang w:eastAsia="en-AU"/>
        </w:rPr>
      </w:pPr>
      <w:r w:rsidRPr="00060D11">
        <w:rPr>
          <w:rFonts w:cstheme="minorHAnsi"/>
          <w:i/>
          <w:iCs/>
          <w:sz w:val="22"/>
          <w:lang w:eastAsia="en-AU"/>
        </w:rPr>
        <w:t>s</w:t>
      </w:r>
      <w:r w:rsidR="001F26A6" w:rsidRPr="00060D11">
        <w:rPr>
          <w:rFonts w:cstheme="minorHAnsi"/>
          <w:i/>
          <w:iCs/>
          <w:sz w:val="22"/>
          <w:lang w:eastAsia="en-AU"/>
        </w:rPr>
        <w:t xml:space="preserve">ub-contracting, monitoring and oversight of appropriate partner agency/ies </w:t>
      </w:r>
      <w:r w:rsidR="001F26A6" w:rsidRPr="00060D11">
        <w:rPr>
          <w:rFonts w:cstheme="minorHAnsi"/>
          <w:sz w:val="22"/>
          <w:lang w:eastAsia="en-AU"/>
        </w:rPr>
        <w:t>to work at community level to enhance gender balanced and socially inclusive enrolment and retention in the early grades. This will involve deployment of motivators/awareness raisers at the community level (via a sub-contracted entity) and trialling of a cash transfer mechanism for poor families (via a sub-contracted entity).</w:t>
      </w:r>
    </w:p>
    <w:p w14:paraId="302FCAF6" w14:textId="094680B5" w:rsidR="00262B4A" w:rsidRPr="00060D11" w:rsidRDefault="00262B4A" w:rsidP="00477C43">
      <w:pPr>
        <w:widowControl w:val="0"/>
        <w:tabs>
          <w:tab w:val="left" w:pos="801"/>
          <w:tab w:val="left" w:pos="802"/>
        </w:tabs>
        <w:autoSpaceDE w:val="0"/>
        <w:autoSpaceDN w:val="0"/>
        <w:spacing w:before="119" w:after="240" w:line="244" w:lineRule="auto"/>
        <w:ind w:right="328"/>
        <w:rPr>
          <w:lang w:eastAsia="en-AU"/>
        </w:rPr>
      </w:pPr>
      <w:r w:rsidRPr="00060D11">
        <w:rPr>
          <w:lang w:eastAsia="en-AU"/>
        </w:rPr>
        <w:t>A PIE Technical Working Group will be established in each of the PIE target provinces. This will include representation from the Provincial Education Office, the Provincial Education Adviser, the PIE Provincial Manager. In addition, district representatives and relevant implementing partners will be invited as appropriate or agreed with PDoE. These meetings will be held monthly or as otherwise agreed with PDoE. These meeting will be guided by a Terms of Reference developed in partnership with PDoE.</w:t>
      </w:r>
    </w:p>
    <w:p w14:paraId="0F149CC1" w14:textId="57DA81B2" w:rsidR="001F26A6" w:rsidRPr="00060D11" w:rsidRDefault="001F26A6" w:rsidP="004E780D">
      <w:pPr>
        <w:spacing w:after="120" w:line="276" w:lineRule="auto"/>
        <w:rPr>
          <w:lang w:eastAsia="en-AU"/>
        </w:rPr>
      </w:pPr>
      <w:r w:rsidRPr="00060D11">
        <w:rPr>
          <w:lang w:eastAsia="en-AU"/>
        </w:rPr>
        <w:t xml:space="preserve">As is the case with support to NDoE, the intent of the design is for the </w:t>
      </w:r>
      <w:r w:rsidR="005662DB" w:rsidRPr="00060D11">
        <w:rPr>
          <w:lang w:eastAsia="en-AU"/>
        </w:rPr>
        <w:t>managing contractor</w:t>
      </w:r>
      <w:r w:rsidRPr="00060D11">
        <w:rPr>
          <w:lang w:eastAsia="en-AU"/>
        </w:rPr>
        <w:t xml:space="preserve"> to </w:t>
      </w:r>
      <w:r w:rsidRPr="00060D11">
        <w:rPr>
          <w:i/>
          <w:iCs/>
          <w:lang w:eastAsia="en-AU"/>
        </w:rPr>
        <w:t>respond to</w:t>
      </w:r>
      <w:r w:rsidRPr="00060D11">
        <w:rPr>
          <w:lang w:eastAsia="en-AU"/>
        </w:rPr>
        <w:t xml:space="preserve"> approved plans of government for support assistance, which may be provided through technical assistance (both long and short-term), fund management (AQEFA and </w:t>
      </w:r>
      <w:r w:rsidR="008C681A" w:rsidRPr="00060D11">
        <w:rPr>
          <w:lang w:eastAsia="en-AU"/>
        </w:rPr>
        <w:t>TUF</w:t>
      </w:r>
      <w:r w:rsidRPr="00060D11">
        <w:rPr>
          <w:lang w:eastAsia="en-AU"/>
        </w:rPr>
        <w:t>), facilitation of training programs, workshops, meetings and MERL activities.</w:t>
      </w:r>
    </w:p>
    <w:p w14:paraId="24CE5449" w14:textId="45032122" w:rsidR="001F26A6" w:rsidRPr="00060D11" w:rsidRDefault="001F26A6" w:rsidP="004E780D">
      <w:pPr>
        <w:spacing w:after="120" w:line="276" w:lineRule="auto"/>
        <w:rPr>
          <w:lang w:eastAsia="en-AU"/>
        </w:rPr>
      </w:pPr>
      <w:r w:rsidRPr="00060D11">
        <w:rPr>
          <w:lang w:eastAsia="en-AU"/>
        </w:rPr>
        <w:t xml:space="preserve">The PIE Provincial Managers will engage directly with the PDoE through the office of the Provincial Education Adviser </w:t>
      </w:r>
      <w:r w:rsidR="008439E5" w:rsidRPr="00060D11">
        <w:rPr>
          <w:lang w:eastAsia="en-AU"/>
        </w:rPr>
        <w:t xml:space="preserve">(PEA) </w:t>
      </w:r>
      <w:r w:rsidRPr="00060D11">
        <w:rPr>
          <w:lang w:eastAsia="en-AU"/>
        </w:rPr>
        <w:t>and through the</w:t>
      </w:r>
      <w:r w:rsidR="009006BC" w:rsidRPr="00060D11">
        <w:rPr>
          <w:lang w:eastAsia="en-AU"/>
        </w:rPr>
        <w:t xml:space="preserve"> </w:t>
      </w:r>
      <w:r w:rsidRPr="00060D11">
        <w:rPr>
          <w:lang w:eastAsia="en-AU"/>
        </w:rPr>
        <w:t>PEA to other education officials at the provincial government and district levels. Considering the role and function of the department of Community Development and Religious Affairs of the provincial government in influencing family participation in education, they have also been identified as a key stakeholder and contributor to planning processes.</w:t>
      </w:r>
      <w:r w:rsidR="00262B4A" w:rsidRPr="00060D11">
        <w:rPr>
          <w:lang w:eastAsia="en-AU"/>
        </w:rPr>
        <w:t xml:space="preserve"> District level engagement will also be required as directed by the PDoE and the PEA.</w:t>
      </w:r>
    </w:p>
    <w:p w14:paraId="1A8430E5" w14:textId="499354B2" w:rsidR="001F26A6" w:rsidRPr="00060D11" w:rsidRDefault="001F26A6" w:rsidP="004E780D">
      <w:pPr>
        <w:spacing w:after="120" w:line="276" w:lineRule="auto"/>
        <w:rPr>
          <w:lang w:eastAsia="en-AU"/>
        </w:rPr>
      </w:pPr>
      <w:r w:rsidRPr="00060D11">
        <w:rPr>
          <w:lang w:eastAsia="en-AU"/>
        </w:rPr>
        <w:t xml:space="preserve">Figure </w:t>
      </w:r>
      <w:r w:rsidR="00FC4782" w:rsidRPr="00060D11">
        <w:rPr>
          <w:lang w:eastAsia="en-AU"/>
        </w:rPr>
        <w:t>6</w:t>
      </w:r>
      <w:r w:rsidRPr="00060D11">
        <w:rPr>
          <w:lang w:eastAsia="en-AU"/>
        </w:rPr>
        <w:t xml:space="preserve"> also demonstrates the important role and contributions that churches make to education service delivery and they are reflected as a full partner in improving the quality of early grades learning. While the government has the legislative authority for the provision of education services, churches are recognized as a full partner in education in PNG.</w:t>
      </w:r>
    </w:p>
    <w:p w14:paraId="328A8D93" w14:textId="1C7E6B93" w:rsidR="001F26A6" w:rsidRPr="00060D11" w:rsidRDefault="001F26A6" w:rsidP="004E780D">
      <w:pPr>
        <w:pStyle w:val="ListParagraph"/>
        <w:spacing w:after="120" w:line="276" w:lineRule="auto"/>
        <w:ind w:left="0"/>
        <w:rPr>
          <w:lang w:eastAsia="en-AU"/>
        </w:rPr>
      </w:pPr>
      <w:r w:rsidRPr="00060D11">
        <w:rPr>
          <w:rFonts w:cstheme="minorHAnsi"/>
          <w:sz w:val="22"/>
          <w:lang w:eastAsia="en-AU"/>
        </w:rPr>
        <w:t xml:space="preserve">The support required at the provincial level will be operationalised via an </w:t>
      </w:r>
      <w:r w:rsidR="00CF4FA8" w:rsidRPr="00060D11">
        <w:rPr>
          <w:rFonts w:cstheme="minorHAnsi"/>
          <w:sz w:val="22"/>
          <w:lang w:eastAsia="en-AU"/>
        </w:rPr>
        <w:t>AAP</w:t>
      </w:r>
      <w:r w:rsidRPr="00060D11">
        <w:rPr>
          <w:rFonts w:cstheme="minorHAnsi"/>
          <w:sz w:val="22"/>
          <w:lang w:eastAsia="en-AU"/>
        </w:rPr>
        <w:t xml:space="preserve"> which will guide the provision of all inputs. </w:t>
      </w:r>
      <w:r w:rsidRPr="00060D11">
        <w:rPr>
          <w:rFonts w:cstheme="minorHAnsi"/>
          <w:sz w:val="22"/>
        </w:rPr>
        <w:t xml:space="preserve">The </w:t>
      </w:r>
      <w:r w:rsidR="00CF4FA8" w:rsidRPr="00060D11">
        <w:rPr>
          <w:rFonts w:cstheme="minorHAnsi"/>
          <w:sz w:val="22"/>
        </w:rPr>
        <w:t>AAP</w:t>
      </w:r>
      <w:r w:rsidRPr="00060D11">
        <w:rPr>
          <w:rFonts w:cstheme="minorHAnsi"/>
          <w:sz w:val="22"/>
        </w:rPr>
        <w:t xml:space="preserve"> meets the requirement to work within government systems but also to ensure that DFAT’s accountability standards are met.</w:t>
      </w:r>
    </w:p>
    <w:p w14:paraId="08660A23" w14:textId="77777777" w:rsidR="001F26A6" w:rsidRPr="00060D11" w:rsidRDefault="001F26A6" w:rsidP="004E780D">
      <w:pPr>
        <w:spacing w:after="120" w:line="276" w:lineRule="auto"/>
        <w:rPr>
          <w:lang w:eastAsia="en-AU"/>
        </w:rPr>
      </w:pPr>
    </w:p>
    <w:p w14:paraId="4D9F8A00" w14:textId="77777777" w:rsidR="001F26A6" w:rsidRPr="00060D11" w:rsidRDefault="001F26A6" w:rsidP="001F26A6">
      <w:pPr>
        <w:rPr>
          <w:lang w:eastAsia="en-AU"/>
        </w:rPr>
        <w:sectPr w:rsidR="001F26A6" w:rsidRPr="00060D11" w:rsidSect="008F18F7">
          <w:pgSz w:w="11906" w:h="16838"/>
          <w:pgMar w:top="1440" w:right="1440" w:bottom="1440" w:left="1440" w:header="720" w:footer="720" w:gutter="0"/>
          <w:cols w:space="720"/>
          <w:docGrid w:linePitch="360"/>
        </w:sectPr>
      </w:pPr>
    </w:p>
    <w:p w14:paraId="7C7DFF0F" w14:textId="1509B651" w:rsidR="001F26A6" w:rsidRPr="00060D11" w:rsidRDefault="00832B17" w:rsidP="001F26A6">
      <w:pPr>
        <w:rPr>
          <w:lang w:eastAsia="en-AU"/>
        </w:rPr>
      </w:pPr>
      <w:r>
        <w:rPr>
          <w:noProof/>
          <w:lang w:eastAsia="en-AU"/>
        </w:rPr>
        <mc:AlternateContent>
          <mc:Choice Requires="wpg">
            <w:drawing>
              <wp:inline distT="0" distB="0" distL="0" distR="0" wp14:anchorId="30A405B0" wp14:editId="21D3AE9B">
                <wp:extent cx="9128760" cy="5905500"/>
                <wp:effectExtent l="0" t="0" r="15240" b="19050"/>
                <wp:docPr id="3" name="Group 3" descr="Figure 6: Governance and management arrangements. A diagram of the provincial level arrangements explained on the previous page. "/>
                <wp:cNvGraphicFramePr/>
                <a:graphic xmlns:a="http://schemas.openxmlformats.org/drawingml/2006/main">
                  <a:graphicData uri="http://schemas.microsoft.com/office/word/2010/wordprocessingGroup">
                    <wpg:wgp>
                      <wpg:cNvGrpSpPr/>
                      <wpg:grpSpPr>
                        <a:xfrm>
                          <a:off x="0" y="0"/>
                          <a:ext cx="9128760" cy="5905500"/>
                          <a:chOff x="0" y="0"/>
                          <a:chExt cx="10306075" cy="6449479"/>
                        </a:xfrm>
                      </wpg:grpSpPr>
                      <wps:wsp>
                        <wps:cNvPr id="78" name="TextBox 3"/>
                        <wps:cNvSpPr txBox="1"/>
                        <wps:spPr>
                          <a:xfrm>
                            <a:off x="6158860" y="335280"/>
                            <a:ext cx="1993632" cy="515696"/>
                          </a:xfrm>
                          <a:prstGeom prst="rect">
                            <a:avLst/>
                          </a:prstGeom>
                          <a:noFill/>
                        </wps:spPr>
                        <wps:txbx>
                          <w:txbxContent>
                            <w:p w14:paraId="64E5D5F7" w14:textId="77777777" w:rsidR="00F96637" w:rsidRPr="00945CED" w:rsidRDefault="00F96637" w:rsidP="001F26A6">
                              <w:pPr>
                                <w:rPr>
                                  <w:rFonts w:hAnsi="Calibri"/>
                                  <w:b/>
                                  <w:bCs/>
                                  <w:color w:val="000000" w:themeColor="text1"/>
                                  <w:kern w:val="24"/>
                                  <w:sz w:val="24"/>
                                  <w:szCs w:val="24"/>
                                  <w:lang w:val="en-AU"/>
                                </w:rPr>
                              </w:pPr>
                              <w:r w:rsidRPr="00945CED">
                                <w:rPr>
                                  <w:rFonts w:hAnsi="Calibri"/>
                                  <w:b/>
                                  <w:bCs/>
                                  <w:color w:val="000000" w:themeColor="text1"/>
                                  <w:kern w:val="24"/>
                                  <w:sz w:val="24"/>
                                  <w:szCs w:val="24"/>
                                  <w:lang w:val="en-AU"/>
                                </w:rPr>
                                <w:t>Government of PNG</w:t>
                              </w:r>
                            </w:p>
                          </w:txbxContent>
                        </wps:txbx>
                        <wps:bodyPr wrap="square" rtlCol="0">
                          <a:noAutofit/>
                        </wps:bodyPr>
                      </wps:wsp>
                      <wps:wsp>
                        <wps:cNvPr id="79" name="TextBox 4"/>
                        <wps:cNvSpPr txBox="1"/>
                        <wps:spPr>
                          <a:xfrm>
                            <a:off x="1160140" y="457200"/>
                            <a:ext cx="1805564" cy="515696"/>
                          </a:xfrm>
                          <a:prstGeom prst="rect">
                            <a:avLst/>
                          </a:prstGeom>
                          <a:noFill/>
                        </wps:spPr>
                        <wps:txbx>
                          <w:txbxContent>
                            <w:p w14:paraId="36E28045" w14:textId="77777777" w:rsidR="00F96637" w:rsidRPr="00945CED" w:rsidRDefault="00F96637" w:rsidP="001F26A6">
                              <w:pPr>
                                <w:rPr>
                                  <w:rFonts w:hAnsi="Calibri"/>
                                  <w:b/>
                                  <w:bCs/>
                                  <w:color w:val="000000" w:themeColor="text1"/>
                                  <w:kern w:val="24"/>
                                  <w:sz w:val="24"/>
                                  <w:szCs w:val="24"/>
                                  <w:lang w:val="en-AU"/>
                                </w:rPr>
                              </w:pPr>
                              <w:r w:rsidRPr="00945CED">
                                <w:rPr>
                                  <w:rFonts w:hAnsi="Calibri"/>
                                  <w:b/>
                                  <w:bCs/>
                                  <w:color w:val="000000" w:themeColor="text1"/>
                                  <w:kern w:val="24"/>
                                  <w:sz w:val="24"/>
                                  <w:szCs w:val="24"/>
                                  <w:lang w:val="en-AU"/>
                                </w:rPr>
                                <w:t>Australia Support</w:t>
                              </w:r>
                            </w:p>
                          </w:txbxContent>
                        </wps:txbx>
                        <wps:bodyPr wrap="square" rtlCol="0">
                          <a:noAutofit/>
                        </wps:bodyPr>
                      </wps:wsp>
                      <wps:wsp>
                        <wps:cNvPr id="80" name="TextBox 5" descr="Figure 6: Governance and management arrangements. A diagram of the provincial level arrangements explained on the previous page. "/>
                        <wps:cNvSpPr txBox="1"/>
                        <wps:spPr>
                          <a:xfrm>
                            <a:off x="5755000" y="845820"/>
                            <a:ext cx="1124078" cy="551057"/>
                          </a:xfrm>
                          <a:prstGeom prst="rect">
                            <a:avLst/>
                          </a:prstGeom>
                          <a:noFill/>
                        </wps:spPr>
                        <wps:txbx>
                          <w:txbxContent>
                            <w:p w14:paraId="3243BAC7" w14:textId="77777777" w:rsidR="00F96637" w:rsidRPr="00945CED" w:rsidRDefault="00F96637" w:rsidP="001F26A6">
                              <w:pPr>
                                <w:rPr>
                                  <w:rFonts w:hAnsi="Calibri"/>
                                  <w:b/>
                                  <w:color w:val="000000" w:themeColor="text1"/>
                                  <w:kern w:val="24"/>
                                  <w:sz w:val="24"/>
                                  <w:szCs w:val="24"/>
                                  <w:lang w:val="en-AU"/>
                                </w:rPr>
                              </w:pPr>
                              <w:r w:rsidRPr="00945CED">
                                <w:rPr>
                                  <w:rFonts w:hAnsi="Calibri"/>
                                  <w:b/>
                                  <w:color w:val="000000" w:themeColor="text1"/>
                                  <w:kern w:val="24"/>
                                  <w:sz w:val="24"/>
                                  <w:szCs w:val="24"/>
                                  <w:lang w:val="en-AU"/>
                                </w:rPr>
                                <w:t xml:space="preserve">    Provincial Administrator</w:t>
                              </w:r>
                            </w:p>
                          </w:txbxContent>
                        </wps:txbx>
                        <wps:bodyPr wrap="square" rtlCol="0">
                          <a:noAutofit/>
                        </wps:bodyPr>
                      </wps:wsp>
                      <wps:wsp>
                        <wps:cNvPr id="81" name="TextBox 7"/>
                        <wps:cNvSpPr txBox="1"/>
                        <wps:spPr>
                          <a:xfrm>
                            <a:off x="1533520" y="762000"/>
                            <a:ext cx="1432800" cy="515696"/>
                          </a:xfrm>
                          <a:prstGeom prst="rect">
                            <a:avLst/>
                          </a:prstGeom>
                          <a:noFill/>
                        </wps:spPr>
                        <wps:txbx>
                          <w:txbxContent>
                            <w:p w14:paraId="494A8A36" w14:textId="570B933A" w:rsidR="00F96637" w:rsidRPr="00945CED" w:rsidRDefault="00F96637" w:rsidP="00D86DAF">
                              <w:pPr>
                                <w:jc w:val="center"/>
                                <w:rPr>
                                  <w:rFonts w:hAnsi="Calibri"/>
                                  <w:b/>
                                  <w:color w:val="000000" w:themeColor="text1"/>
                                  <w:kern w:val="24"/>
                                  <w:sz w:val="24"/>
                                  <w:szCs w:val="24"/>
                                  <w:lang w:val="en-AU"/>
                                </w:rPr>
                              </w:pPr>
                              <w:r w:rsidRPr="00945CED">
                                <w:rPr>
                                  <w:rFonts w:hAnsi="Calibri"/>
                                  <w:b/>
                                  <w:color w:val="000000" w:themeColor="text1"/>
                                  <w:kern w:val="24"/>
                                  <w:sz w:val="24"/>
                                  <w:szCs w:val="24"/>
                                  <w:lang w:val="en-AU"/>
                                </w:rPr>
                                <w:t>A</w:t>
                              </w:r>
                              <w:r>
                                <w:rPr>
                                  <w:rFonts w:hAnsi="Calibri"/>
                                  <w:b/>
                                  <w:color w:val="000000" w:themeColor="text1"/>
                                  <w:kern w:val="24"/>
                                  <w:sz w:val="24"/>
                                  <w:szCs w:val="24"/>
                                  <w:lang w:val="en-AU"/>
                                </w:rPr>
                                <w:t>ustralian High Commission (DFAT)</w:t>
                              </w:r>
                            </w:p>
                          </w:txbxContent>
                        </wps:txbx>
                        <wps:bodyPr wrap="square" rtlCol="0">
                          <a:noAutofit/>
                        </wps:bodyPr>
                      </wps:wsp>
                      <wps:wsp>
                        <wps:cNvPr id="83" name="Straight Connector 83"/>
                        <wps:cNvCnPr>
                          <a:cxnSpLocks/>
                        </wps:cNvCnPr>
                        <wps:spPr>
                          <a:xfrm flipV="1">
                            <a:off x="4036690" y="403860"/>
                            <a:ext cx="0" cy="6045619"/>
                          </a:xfrm>
                          <a:prstGeom prst="line">
                            <a:avLst/>
                          </a:prstGeom>
                          <a:ln w="57150">
                            <a:solidFill>
                              <a:srgbClr val="007C89"/>
                            </a:solidFill>
                            <a:prstDash val="dashDot"/>
                          </a:ln>
                        </wps:spPr>
                        <wps:style>
                          <a:lnRef idx="1">
                            <a:schemeClr val="accent1"/>
                          </a:lnRef>
                          <a:fillRef idx="0">
                            <a:schemeClr val="accent1"/>
                          </a:fillRef>
                          <a:effectRef idx="0">
                            <a:schemeClr val="accent1"/>
                          </a:effectRef>
                          <a:fontRef idx="minor">
                            <a:schemeClr val="tx1"/>
                          </a:fontRef>
                        </wps:style>
                        <wps:bodyPr/>
                      </wps:wsp>
                      <wps:wsp>
                        <wps:cNvPr id="84" name="TextBox 16"/>
                        <wps:cNvSpPr txBox="1"/>
                        <wps:spPr>
                          <a:xfrm rot="16200000">
                            <a:off x="-600080" y="891540"/>
                            <a:ext cx="1624139" cy="422856"/>
                          </a:xfrm>
                          <a:prstGeom prst="rect">
                            <a:avLst/>
                          </a:prstGeom>
                          <a:noFill/>
                        </wps:spPr>
                        <wps:txbx>
                          <w:txbxContent>
                            <w:p w14:paraId="087A7F7D" w14:textId="77777777" w:rsidR="00F96637" w:rsidRPr="00945CED" w:rsidRDefault="00F96637" w:rsidP="001F26A6">
                              <w:pPr>
                                <w:rPr>
                                  <w:rFonts w:hAnsi="Calibri"/>
                                  <w:color w:val="000000" w:themeColor="text1"/>
                                  <w:kern w:val="24"/>
                                  <w:sz w:val="24"/>
                                  <w:szCs w:val="24"/>
                                  <w:lang w:val="en-AU"/>
                                </w:rPr>
                              </w:pPr>
                              <w:r w:rsidRPr="00945CED">
                                <w:rPr>
                                  <w:rFonts w:hAnsi="Calibri"/>
                                  <w:color w:val="000000" w:themeColor="text1"/>
                                  <w:kern w:val="24"/>
                                  <w:sz w:val="24"/>
                                  <w:szCs w:val="24"/>
                                  <w:lang w:val="en-AU"/>
                                </w:rPr>
                                <w:t xml:space="preserve">  GOVERNANCE</w:t>
                              </w:r>
                            </w:p>
                          </w:txbxContent>
                        </wps:txbx>
                        <wps:bodyPr wrap="square" rtlCol="0">
                          <a:noAutofit/>
                        </wps:bodyPr>
                      </wps:wsp>
                      <wps:wsp>
                        <wps:cNvPr id="82" name="Straight Connector 82"/>
                        <wps:cNvCnPr>
                          <a:cxnSpLocks/>
                        </wps:cNvCnPr>
                        <wps:spPr>
                          <a:xfrm>
                            <a:off x="409570" y="1672590"/>
                            <a:ext cx="9896505" cy="21622"/>
                          </a:xfrm>
                          <a:prstGeom prst="line">
                            <a:avLst/>
                          </a:prstGeom>
                          <a:ln w="28575">
                            <a:solidFill>
                              <a:srgbClr val="007C89"/>
                            </a:solidFill>
                            <a:prstDash val="dash"/>
                          </a:ln>
                        </wps:spPr>
                        <wps:style>
                          <a:lnRef idx="1">
                            <a:schemeClr val="accent1"/>
                          </a:lnRef>
                          <a:fillRef idx="0">
                            <a:schemeClr val="accent1"/>
                          </a:fillRef>
                          <a:effectRef idx="0">
                            <a:schemeClr val="accent1"/>
                          </a:effectRef>
                          <a:fontRef idx="minor">
                            <a:schemeClr val="tx1"/>
                          </a:fontRef>
                        </wps:style>
                        <wps:bodyPr/>
                      </wps:wsp>
                      <wps:wsp>
                        <wps:cNvPr id="90" name="TextBox 27"/>
                        <wps:cNvSpPr txBox="1"/>
                        <wps:spPr>
                          <a:xfrm>
                            <a:off x="451480" y="0"/>
                            <a:ext cx="7780546" cy="515696"/>
                          </a:xfrm>
                          <a:prstGeom prst="rect">
                            <a:avLst/>
                          </a:prstGeom>
                          <a:noFill/>
                        </wps:spPr>
                        <wps:txbx>
                          <w:txbxContent>
                            <w:p w14:paraId="7B3FE7B7" w14:textId="1D6E5819" w:rsidR="00F96637" w:rsidRPr="00792CA6" w:rsidRDefault="00F96637" w:rsidP="001F26A6">
                              <w:pPr>
                                <w:rPr>
                                  <w:rFonts w:hAnsi="Calibri"/>
                                  <w:b/>
                                  <w:bCs/>
                                  <w:color w:val="000000" w:themeColor="text1"/>
                                  <w:kern w:val="24"/>
                                  <w:lang w:val="en-AU"/>
                                </w:rPr>
                              </w:pPr>
                              <w:r w:rsidRPr="00792CA6">
                                <w:rPr>
                                  <w:rFonts w:hAnsi="Calibri"/>
                                  <w:b/>
                                  <w:bCs/>
                                  <w:color w:val="000000" w:themeColor="text1"/>
                                  <w:kern w:val="24"/>
                                  <w:lang w:val="en-AU"/>
                                </w:rPr>
                                <w:t xml:space="preserve">Figure </w:t>
                              </w:r>
                              <w:r>
                                <w:rPr>
                                  <w:rFonts w:hAnsi="Calibri"/>
                                  <w:b/>
                                  <w:bCs/>
                                  <w:color w:val="000000" w:themeColor="text1"/>
                                  <w:kern w:val="24"/>
                                  <w:lang w:val="en-AU"/>
                                </w:rPr>
                                <w:t>6</w:t>
                              </w:r>
                              <w:r w:rsidRPr="00792CA6">
                                <w:rPr>
                                  <w:rFonts w:hAnsi="Calibri"/>
                                  <w:b/>
                                  <w:bCs/>
                                  <w:color w:val="000000" w:themeColor="text1"/>
                                  <w:kern w:val="24"/>
                                  <w:lang w:val="en-AU"/>
                                </w:rPr>
                                <w:t>:  Governance and Management Arrangements - Provincial Level</w:t>
                              </w:r>
                            </w:p>
                          </w:txbxContent>
                        </wps:txbx>
                        <wps:bodyPr wrap="square" rtlCol="0">
                          <a:noAutofit/>
                        </wps:bodyPr>
                      </wps:wsp>
                      <wps:wsp>
                        <wps:cNvPr id="91" name="TextBox 31"/>
                        <wps:cNvSpPr txBox="1"/>
                        <wps:spPr>
                          <a:xfrm>
                            <a:off x="5377810" y="2747010"/>
                            <a:ext cx="1944544" cy="576824"/>
                          </a:xfrm>
                          <a:prstGeom prst="rect">
                            <a:avLst/>
                          </a:prstGeom>
                          <a:noFill/>
                          <a:ln w="28575">
                            <a:solidFill>
                              <a:schemeClr val="tx1"/>
                            </a:solidFill>
                          </a:ln>
                        </wps:spPr>
                        <wps:txbx>
                          <w:txbxContent>
                            <w:p w14:paraId="7E3E5589"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 xml:space="preserve">Provincial Education </w:t>
                              </w:r>
                              <w:r>
                                <w:rPr>
                                  <w:rFonts w:hAnsi="Calibri"/>
                                  <w:color w:val="000000" w:themeColor="text1"/>
                                  <w:kern w:val="24"/>
                                  <w:sz w:val="24"/>
                                  <w:szCs w:val="24"/>
                                  <w:lang w:val="en-AU"/>
                                </w:rPr>
                                <w:t>Adviser</w:t>
                              </w:r>
                            </w:p>
                          </w:txbxContent>
                        </wps:txbx>
                        <wps:bodyPr wrap="square" rtlCol="0">
                          <a:noAutofit/>
                        </wps:bodyPr>
                      </wps:wsp>
                      <wps:wsp>
                        <wps:cNvPr id="93" name="TextBox 33"/>
                        <wps:cNvSpPr txBox="1"/>
                        <wps:spPr>
                          <a:xfrm>
                            <a:off x="5381620" y="3528060"/>
                            <a:ext cx="1925029" cy="694804"/>
                          </a:xfrm>
                          <a:prstGeom prst="rect">
                            <a:avLst/>
                          </a:prstGeom>
                          <a:noFill/>
                          <a:ln w="12700">
                            <a:solidFill>
                              <a:schemeClr val="tx1"/>
                            </a:solidFill>
                          </a:ln>
                        </wps:spPr>
                        <wps:txbx>
                          <w:txbxContent>
                            <w:p w14:paraId="4509270A"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Provincial Education Directors and Inspectors</w:t>
                              </w:r>
                            </w:p>
                          </w:txbxContent>
                        </wps:txbx>
                        <wps:bodyPr wrap="square" rtlCol="0">
                          <a:noAutofit/>
                        </wps:bodyPr>
                      </wps:wsp>
                      <wps:wsp>
                        <wps:cNvPr id="85" name="TextBox 17"/>
                        <wps:cNvSpPr txBox="1"/>
                        <wps:spPr>
                          <a:xfrm rot="16200000">
                            <a:off x="-664850" y="3745230"/>
                            <a:ext cx="1752556" cy="422856"/>
                          </a:xfrm>
                          <a:prstGeom prst="rect">
                            <a:avLst/>
                          </a:prstGeom>
                          <a:noFill/>
                        </wps:spPr>
                        <wps:txbx>
                          <w:txbxContent>
                            <w:p w14:paraId="1E7A93A9" w14:textId="77777777" w:rsidR="00F96637" w:rsidRPr="00945CED" w:rsidRDefault="00F96637" w:rsidP="001F26A6">
                              <w:pPr>
                                <w:rPr>
                                  <w:rFonts w:hAnsi="Calibri"/>
                                  <w:color w:val="000000" w:themeColor="text1"/>
                                  <w:kern w:val="24"/>
                                  <w:sz w:val="24"/>
                                  <w:szCs w:val="24"/>
                                  <w:lang w:val="en-AU"/>
                                </w:rPr>
                              </w:pPr>
                              <w:r w:rsidRPr="00945CED">
                                <w:rPr>
                                  <w:rFonts w:hAnsi="Calibri"/>
                                  <w:color w:val="000000" w:themeColor="text1"/>
                                  <w:kern w:val="24"/>
                                  <w:sz w:val="24"/>
                                  <w:szCs w:val="24"/>
                                  <w:lang w:val="en-AU"/>
                                </w:rPr>
                                <w:t xml:space="preserve">  MANAGEMENT</w:t>
                              </w:r>
                            </w:p>
                          </w:txbxContent>
                        </wps:txbx>
                        <wps:bodyPr wrap="square" rtlCol="0">
                          <a:noAutofit/>
                        </wps:bodyPr>
                      </wps:wsp>
                      <wps:wsp>
                        <wps:cNvPr id="99" name="TextBox 29"/>
                        <wps:cNvSpPr txBox="1"/>
                        <wps:spPr>
                          <a:xfrm>
                            <a:off x="9206860" y="838200"/>
                            <a:ext cx="1036144" cy="701249"/>
                          </a:xfrm>
                          <a:prstGeom prst="rect">
                            <a:avLst/>
                          </a:prstGeom>
                          <a:noFill/>
                        </wps:spPr>
                        <wps:txbx>
                          <w:txbxContent>
                            <w:p w14:paraId="45D1D818"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Teacher Colleges</w:t>
                              </w:r>
                            </w:p>
                          </w:txbxContent>
                        </wps:txbx>
                        <wps:bodyPr wrap="square" rtlCol="0">
                          <a:noAutofit/>
                        </wps:bodyPr>
                      </wps:wsp>
                      <wps:wsp>
                        <wps:cNvPr id="100" name="Straight Connector 100"/>
                        <wps:cNvCnPr>
                          <a:cxnSpLocks/>
                        </wps:cNvCnPr>
                        <wps:spPr>
                          <a:xfrm>
                            <a:off x="6958960" y="967740"/>
                            <a:ext cx="2250292" cy="9903"/>
                          </a:xfrm>
                          <a:prstGeom prst="line">
                            <a:avLst/>
                          </a:prstGeom>
                          <a:ln w="28575">
                            <a:solidFill>
                              <a:srgbClr val="007C89"/>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a:cxnSpLocks/>
                        </wps:cNvCnPr>
                        <wps:spPr>
                          <a:xfrm flipV="1">
                            <a:off x="6353170" y="1478280"/>
                            <a:ext cx="8348" cy="1266223"/>
                          </a:xfrm>
                          <a:prstGeom prst="straightConnector1">
                            <a:avLst/>
                          </a:prstGeom>
                          <a:ln w="28575">
                            <a:solidFill>
                              <a:srgbClr val="007C89"/>
                            </a:solidFill>
                            <a:prstDash val="solid"/>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Oval 97"/>
                        <wps:cNvSpPr/>
                        <wps:spPr>
                          <a:xfrm>
                            <a:off x="5080630" y="1809750"/>
                            <a:ext cx="2599661" cy="4595381"/>
                          </a:xfrm>
                          <a:prstGeom prst="ellipse">
                            <a:avLst/>
                          </a:prstGeom>
                          <a:noFill/>
                          <a:ln w="28575">
                            <a:solidFill>
                              <a:srgbClr val="007C89"/>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 name="Straight Connector 96"/>
                        <wps:cNvCnPr>
                          <a:cxnSpLocks/>
                        </wps:cNvCnPr>
                        <wps:spPr>
                          <a:xfrm>
                            <a:off x="3606160" y="3017520"/>
                            <a:ext cx="1770401" cy="8084"/>
                          </a:xfrm>
                          <a:prstGeom prst="line">
                            <a:avLst/>
                          </a:prstGeom>
                          <a:ln w="28575">
                            <a:solidFill>
                              <a:srgbClr val="007C89"/>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3" name="Oval 103"/>
                        <wps:cNvSpPr/>
                        <wps:spPr>
                          <a:xfrm>
                            <a:off x="4036690" y="2899410"/>
                            <a:ext cx="1209841" cy="3429647"/>
                          </a:xfrm>
                          <a:prstGeom prst="ellipse">
                            <a:avLst/>
                          </a:prstGeom>
                          <a:solidFill>
                            <a:schemeClr val="bg1"/>
                          </a:solidFill>
                          <a:ln w="28575">
                            <a:solidFill>
                              <a:srgbClr val="007C89"/>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 name="TextBox 48"/>
                        <wps:cNvSpPr txBox="1"/>
                        <wps:spPr>
                          <a:xfrm>
                            <a:off x="4592950" y="1725930"/>
                            <a:ext cx="1770671" cy="530579"/>
                          </a:xfrm>
                          <a:prstGeom prst="rect">
                            <a:avLst/>
                          </a:prstGeom>
                          <a:noFill/>
                          <a:ln w="28575">
                            <a:solidFill>
                              <a:schemeClr val="tx1"/>
                            </a:solidFill>
                          </a:ln>
                        </wps:spPr>
                        <wps:txbx>
                          <w:txbxContent>
                            <w:p w14:paraId="1A0A3D19"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Provincial</w:t>
                              </w:r>
                              <w:r>
                                <w:rPr>
                                  <w:rFonts w:hAnsi="Calibri"/>
                                  <w:color w:val="000000" w:themeColor="text1"/>
                                  <w:kern w:val="24"/>
                                  <w:sz w:val="24"/>
                                  <w:szCs w:val="24"/>
                                  <w:lang w:val="en-AU"/>
                                </w:rPr>
                                <w:t xml:space="preserve"> </w:t>
                              </w:r>
                              <w:r w:rsidRPr="00945CED">
                                <w:rPr>
                                  <w:rFonts w:hAnsi="Calibri"/>
                                  <w:color w:val="000000" w:themeColor="text1"/>
                                  <w:kern w:val="24"/>
                                  <w:sz w:val="24"/>
                                  <w:szCs w:val="24"/>
                                  <w:lang w:val="en-AU"/>
                                </w:rPr>
                                <w:t>Education Management Team</w:t>
                              </w:r>
                            </w:p>
                          </w:txbxContent>
                        </wps:txbx>
                        <wps:bodyPr wrap="square" rtlCol="0">
                          <a:noAutofit/>
                        </wps:bodyPr>
                      </wps:wsp>
                      <wps:wsp>
                        <wps:cNvPr id="109" name="Oval 109"/>
                        <wps:cNvSpPr/>
                        <wps:spPr>
                          <a:xfrm>
                            <a:off x="7442830" y="2137410"/>
                            <a:ext cx="2654369" cy="3886814"/>
                          </a:xfrm>
                          <a:prstGeom prst="ellipse">
                            <a:avLst/>
                          </a:prstGeom>
                          <a:noFill/>
                          <a:ln w="28575">
                            <a:solidFill>
                              <a:srgbClr val="007C89"/>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 name="TextBox 59"/>
                        <wps:cNvSpPr txBox="1"/>
                        <wps:spPr>
                          <a:xfrm>
                            <a:off x="7800970" y="2838450"/>
                            <a:ext cx="1944544" cy="485149"/>
                          </a:xfrm>
                          <a:prstGeom prst="rect">
                            <a:avLst/>
                          </a:prstGeom>
                          <a:noFill/>
                          <a:ln w="28575">
                            <a:solidFill>
                              <a:schemeClr val="tx1"/>
                            </a:solidFill>
                          </a:ln>
                        </wps:spPr>
                        <wps:txbx>
                          <w:txbxContent>
                            <w:p w14:paraId="7E07F69E"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Church Education Secretary</w:t>
                              </w:r>
                            </w:p>
                          </w:txbxContent>
                        </wps:txbx>
                        <wps:bodyPr wrap="square" rtlCol="0">
                          <a:noAutofit/>
                        </wps:bodyPr>
                      </wps:wsp>
                      <wps:wsp>
                        <wps:cNvPr id="104" name="Straight Connector 104"/>
                        <wps:cNvCnPr>
                          <a:cxnSpLocks/>
                        </wps:cNvCnPr>
                        <wps:spPr>
                          <a:xfrm>
                            <a:off x="3613780" y="3775710"/>
                            <a:ext cx="457455" cy="0"/>
                          </a:xfrm>
                          <a:prstGeom prst="line">
                            <a:avLst/>
                          </a:prstGeom>
                          <a:ln w="28575">
                            <a:solidFill>
                              <a:srgbClr val="007C89"/>
                            </a:solidFill>
                            <a:prstDash val="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13" name="TextBox 36"/>
                        <wps:cNvSpPr txBox="1"/>
                        <wps:spPr>
                          <a:xfrm>
                            <a:off x="6368410" y="1725930"/>
                            <a:ext cx="1976480" cy="532878"/>
                          </a:xfrm>
                          <a:prstGeom prst="rect">
                            <a:avLst/>
                          </a:prstGeom>
                          <a:noFill/>
                          <a:ln w="28575">
                            <a:solidFill>
                              <a:schemeClr val="bg1">
                                <a:lumMod val="75000"/>
                              </a:schemeClr>
                            </a:solidFill>
                          </a:ln>
                        </wps:spPr>
                        <wps:txbx>
                          <w:txbxContent>
                            <w:p w14:paraId="65346D75"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Provincial</w:t>
                              </w:r>
                              <w:r>
                                <w:rPr>
                                  <w:rFonts w:hAnsi="Calibri"/>
                                  <w:color w:val="000000" w:themeColor="text1"/>
                                  <w:kern w:val="24"/>
                                  <w:sz w:val="24"/>
                                  <w:szCs w:val="24"/>
                                  <w:lang w:val="en-AU"/>
                                </w:rPr>
                                <w:t xml:space="preserve"> </w:t>
                              </w:r>
                              <w:r w:rsidRPr="00945CED">
                                <w:rPr>
                                  <w:rFonts w:hAnsi="Calibri"/>
                                  <w:color w:val="000000" w:themeColor="text1"/>
                                  <w:kern w:val="24"/>
                                  <w:sz w:val="24"/>
                                  <w:szCs w:val="24"/>
                                  <w:lang w:val="en-AU"/>
                                </w:rPr>
                                <w:t>Community Development Team</w:t>
                              </w:r>
                            </w:p>
                          </w:txbxContent>
                        </wps:txbx>
                        <wps:bodyPr wrap="square" rtlCol="0">
                          <a:noAutofit/>
                        </wps:bodyPr>
                      </wps:wsp>
                      <wps:wsp>
                        <wps:cNvPr id="112" name="TextBox 61"/>
                        <wps:cNvSpPr txBox="1"/>
                        <wps:spPr>
                          <a:xfrm>
                            <a:off x="7797160" y="3771900"/>
                            <a:ext cx="1925029" cy="450942"/>
                          </a:xfrm>
                          <a:prstGeom prst="rect">
                            <a:avLst/>
                          </a:prstGeom>
                          <a:noFill/>
                          <a:ln w="12700">
                            <a:solidFill>
                              <a:schemeClr val="tx1"/>
                            </a:solidFill>
                          </a:ln>
                        </wps:spPr>
                        <wps:txbx>
                          <w:txbxContent>
                            <w:p w14:paraId="75C71B36"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Church Education Officials</w:t>
                              </w:r>
                            </w:p>
                          </w:txbxContent>
                        </wps:txbx>
                        <wps:bodyPr wrap="square" rtlCol="0">
                          <a:noAutofit/>
                        </wps:bodyPr>
                      </wps:wsp>
                      <wps:wsp>
                        <wps:cNvPr id="94" name="TextBox 39"/>
                        <wps:cNvSpPr txBox="1"/>
                        <wps:spPr>
                          <a:xfrm>
                            <a:off x="5374000" y="4320540"/>
                            <a:ext cx="1930943" cy="463653"/>
                          </a:xfrm>
                          <a:prstGeom prst="rect">
                            <a:avLst/>
                          </a:prstGeom>
                          <a:noFill/>
                          <a:ln w="12700">
                            <a:solidFill>
                              <a:schemeClr val="tx1"/>
                            </a:solidFill>
                          </a:ln>
                        </wps:spPr>
                        <wps:txbx>
                          <w:txbxContent>
                            <w:p w14:paraId="300CFD6A"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 xml:space="preserve">    District Officials</w:t>
                              </w:r>
                            </w:p>
                          </w:txbxContent>
                        </wps:txbx>
                        <wps:bodyPr wrap="square" rtlCol="0">
                          <a:noAutofit/>
                        </wps:bodyPr>
                      </wps:wsp>
                      <wps:wsp>
                        <wps:cNvPr id="102" name="TextBox 40"/>
                        <wps:cNvSpPr txBox="1"/>
                        <wps:spPr>
                          <a:xfrm rot="16200000">
                            <a:off x="3697600" y="4366260"/>
                            <a:ext cx="1885704" cy="875924"/>
                          </a:xfrm>
                          <a:prstGeom prst="rect">
                            <a:avLst/>
                          </a:prstGeom>
                          <a:noFill/>
                        </wps:spPr>
                        <wps:txbx>
                          <w:txbxContent>
                            <w:p w14:paraId="4B09A90A" w14:textId="77777777" w:rsidR="00F96637" w:rsidRPr="00945CED" w:rsidRDefault="00F96637" w:rsidP="005D14B5">
                              <w:pPr>
                                <w:pStyle w:val="ListParagraph"/>
                                <w:numPr>
                                  <w:ilvl w:val="0"/>
                                  <w:numId w:val="27"/>
                                </w:numPr>
                                <w:spacing w:line="240" w:lineRule="auto"/>
                                <w:rPr>
                                  <w:rFonts w:hAnsi="Calibri"/>
                                  <w:b/>
                                  <w:bCs/>
                                  <w:color w:val="000000" w:themeColor="text1"/>
                                  <w:kern w:val="24"/>
                                  <w:lang w:val="en-AU"/>
                                </w:rPr>
                              </w:pPr>
                              <w:r w:rsidRPr="00945CED">
                                <w:rPr>
                                  <w:rFonts w:hAnsi="Calibri"/>
                                  <w:b/>
                                  <w:bCs/>
                                  <w:color w:val="000000" w:themeColor="text1"/>
                                  <w:kern w:val="24"/>
                                  <w:lang w:val="en-AU"/>
                                </w:rPr>
                                <w:t>ANNUAL PLANS</w:t>
                              </w:r>
                            </w:p>
                            <w:p w14:paraId="4CA6CA76" w14:textId="77777777" w:rsidR="00F96637" w:rsidRPr="00945CED" w:rsidRDefault="00F96637" w:rsidP="005D14B5">
                              <w:pPr>
                                <w:pStyle w:val="ListParagraph"/>
                                <w:numPr>
                                  <w:ilvl w:val="0"/>
                                  <w:numId w:val="27"/>
                                </w:numPr>
                                <w:spacing w:line="240" w:lineRule="auto"/>
                                <w:rPr>
                                  <w:rFonts w:hAnsi="Calibri"/>
                                  <w:b/>
                                  <w:bCs/>
                                  <w:color w:val="000000" w:themeColor="text1"/>
                                  <w:kern w:val="24"/>
                                </w:rPr>
                              </w:pPr>
                              <w:r w:rsidRPr="00945CED">
                                <w:rPr>
                                  <w:rFonts w:hAnsi="Calibri"/>
                                  <w:b/>
                                  <w:bCs/>
                                  <w:color w:val="000000" w:themeColor="text1"/>
                                  <w:kern w:val="24"/>
                                </w:rPr>
                                <w:t>PROGRESS MONITORING</w:t>
                              </w:r>
                            </w:p>
                            <w:p w14:paraId="35B1E4F0" w14:textId="77777777" w:rsidR="00F96637" w:rsidRPr="00945CED" w:rsidRDefault="00F96637" w:rsidP="005D14B5">
                              <w:pPr>
                                <w:pStyle w:val="ListParagraph"/>
                                <w:numPr>
                                  <w:ilvl w:val="0"/>
                                  <w:numId w:val="27"/>
                                </w:numPr>
                                <w:spacing w:line="240" w:lineRule="auto"/>
                                <w:rPr>
                                  <w:rFonts w:hAnsi="Calibri"/>
                                  <w:b/>
                                  <w:bCs/>
                                  <w:color w:val="000000" w:themeColor="text1"/>
                                  <w:kern w:val="24"/>
                                </w:rPr>
                              </w:pPr>
                              <w:r w:rsidRPr="00945CED">
                                <w:rPr>
                                  <w:rFonts w:hAnsi="Calibri"/>
                                  <w:b/>
                                  <w:bCs/>
                                  <w:color w:val="000000" w:themeColor="text1"/>
                                  <w:kern w:val="24"/>
                                </w:rPr>
                                <w:t>EVALUATION</w:t>
                              </w:r>
                            </w:p>
                          </w:txbxContent>
                        </wps:txbx>
                        <wps:bodyPr wrap="square" rtlCol="0">
                          <a:noAutofit/>
                        </wps:bodyPr>
                      </wps:wsp>
                      <wps:wsp>
                        <wps:cNvPr id="105" name="Straight Connector 105"/>
                        <wps:cNvCnPr>
                          <a:cxnSpLocks/>
                        </wps:cNvCnPr>
                        <wps:spPr>
                          <a:xfrm>
                            <a:off x="3613780" y="4408170"/>
                            <a:ext cx="457455" cy="0"/>
                          </a:xfrm>
                          <a:prstGeom prst="line">
                            <a:avLst/>
                          </a:prstGeom>
                          <a:ln w="28575">
                            <a:solidFill>
                              <a:srgbClr val="007C89"/>
                            </a:solidFill>
                            <a:prstDash val="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92" name="TextBox 32"/>
                        <wps:cNvSpPr txBox="1"/>
                        <wps:spPr>
                          <a:xfrm>
                            <a:off x="5374000" y="4861560"/>
                            <a:ext cx="1930943" cy="463653"/>
                          </a:xfrm>
                          <a:prstGeom prst="rect">
                            <a:avLst/>
                          </a:prstGeom>
                          <a:noFill/>
                          <a:ln w="12700">
                            <a:solidFill>
                              <a:schemeClr val="tx1"/>
                            </a:solidFill>
                          </a:ln>
                        </wps:spPr>
                        <wps:txbx>
                          <w:txbxContent>
                            <w:p w14:paraId="53AA9C68"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 xml:space="preserve">    Targeted LLGs/Schools</w:t>
                              </w:r>
                            </w:p>
                          </w:txbxContent>
                        </wps:txbx>
                        <wps:bodyPr wrap="square" rtlCol="0">
                          <a:noAutofit/>
                        </wps:bodyPr>
                      </wps:wsp>
                      <wps:wsp>
                        <wps:cNvPr id="111" name="TextBox 60"/>
                        <wps:cNvSpPr txBox="1"/>
                        <wps:spPr>
                          <a:xfrm>
                            <a:off x="7789540" y="4785360"/>
                            <a:ext cx="1931534" cy="463653"/>
                          </a:xfrm>
                          <a:prstGeom prst="rect">
                            <a:avLst/>
                          </a:prstGeom>
                          <a:noFill/>
                          <a:ln w="12700">
                            <a:solidFill>
                              <a:schemeClr val="tx1"/>
                            </a:solidFill>
                          </a:ln>
                        </wps:spPr>
                        <wps:txbx>
                          <w:txbxContent>
                            <w:p w14:paraId="36C2F80E"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 xml:space="preserve">    Targeted Schools</w:t>
                              </w:r>
                            </w:p>
                          </w:txbxContent>
                        </wps:txbx>
                        <wps:bodyPr wrap="square" rtlCol="0">
                          <a:noAutofit/>
                        </wps:bodyPr>
                      </wps:wsp>
                      <wps:wsp>
                        <wps:cNvPr id="106" name="Straight Connector 106"/>
                        <wps:cNvCnPr>
                          <a:cxnSpLocks/>
                        </wps:cNvCnPr>
                        <wps:spPr>
                          <a:xfrm>
                            <a:off x="3613780" y="5353050"/>
                            <a:ext cx="457200" cy="0"/>
                          </a:xfrm>
                          <a:prstGeom prst="line">
                            <a:avLst/>
                          </a:prstGeom>
                          <a:ln w="28575">
                            <a:solidFill>
                              <a:srgbClr val="007C89"/>
                            </a:solidFill>
                            <a:prstDash val="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9" name="TextBox 26"/>
                        <wps:cNvSpPr txBox="1"/>
                        <wps:spPr>
                          <a:xfrm>
                            <a:off x="611500" y="3962400"/>
                            <a:ext cx="2996508" cy="992237"/>
                          </a:xfrm>
                          <a:prstGeom prst="rect">
                            <a:avLst/>
                          </a:prstGeom>
                          <a:noFill/>
                          <a:ln w="19050">
                            <a:solidFill>
                              <a:schemeClr val="tx1"/>
                            </a:solidFill>
                          </a:ln>
                        </wps:spPr>
                        <wps:txbx>
                          <w:txbxContent>
                            <w:p w14:paraId="3687371B" w14:textId="77777777" w:rsidR="00F96637" w:rsidRPr="002B28E6" w:rsidRDefault="00F96637" w:rsidP="001F26A6">
                              <w:pPr>
                                <w:jc w:val="center"/>
                                <w:rPr>
                                  <w:rFonts w:hAnsi="Calibri"/>
                                  <w:color w:val="000000" w:themeColor="text1"/>
                                  <w:kern w:val="24"/>
                                  <w:lang w:val="en-AU"/>
                                </w:rPr>
                              </w:pPr>
                              <w:r w:rsidRPr="001A6A97">
                                <w:rPr>
                                  <w:rFonts w:hAnsi="Calibri"/>
                                  <w:color w:val="000000" w:themeColor="text1"/>
                                  <w:kern w:val="24"/>
                                  <w:sz w:val="24"/>
                                  <w:szCs w:val="24"/>
                                  <w:lang w:val="en-AU"/>
                                </w:rPr>
                                <w:t xml:space="preserve">   </w:t>
                              </w:r>
                              <w:r w:rsidRPr="002B28E6">
                                <w:rPr>
                                  <w:rFonts w:hAnsi="Calibri"/>
                                  <w:color w:val="000000" w:themeColor="text1"/>
                                  <w:kern w:val="24"/>
                                  <w:lang w:val="en-AU"/>
                                </w:rPr>
                                <w:t>LONG-TERM ADVISERS FOR:</w:t>
                              </w:r>
                            </w:p>
                            <w:p w14:paraId="7C59E72A" w14:textId="77777777" w:rsidR="00F96637" w:rsidRPr="002B28E6" w:rsidRDefault="00F96637" w:rsidP="005D14B5">
                              <w:pPr>
                                <w:pStyle w:val="ListParagraph"/>
                                <w:numPr>
                                  <w:ilvl w:val="0"/>
                                  <w:numId w:val="24"/>
                                </w:numPr>
                                <w:spacing w:line="240" w:lineRule="auto"/>
                                <w:rPr>
                                  <w:rFonts w:hAnsi="Calibri"/>
                                  <w:color w:val="000000" w:themeColor="text1"/>
                                  <w:kern w:val="24"/>
                                  <w:sz w:val="22"/>
                                  <w:lang w:val="en-AU"/>
                                </w:rPr>
                              </w:pPr>
                              <w:r w:rsidRPr="002B28E6">
                                <w:rPr>
                                  <w:rFonts w:hAnsi="Calibri"/>
                                  <w:color w:val="000000" w:themeColor="text1"/>
                                  <w:kern w:val="24"/>
                                  <w:sz w:val="22"/>
                                  <w:lang w:val="en-AU"/>
                                </w:rPr>
                                <w:t>MONITORING AND EVALUATION</w:t>
                              </w:r>
                            </w:p>
                            <w:p w14:paraId="200626BA" w14:textId="77777777" w:rsidR="00F96637" w:rsidRPr="002B28E6" w:rsidRDefault="00F96637" w:rsidP="005D14B5">
                              <w:pPr>
                                <w:pStyle w:val="ListParagraph"/>
                                <w:numPr>
                                  <w:ilvl w:val="0"/>
                                  <w:numId w:val="24"/>
                                </w:numPr>
                                <w:spacing w:line="240" w:lineRule="auto"/>
                                <w:rPr>
                                  <w:rFonts w:hAnsi="Calibri"/>
                                  <w:color w:val="000000" w:themeColor="text1"/>
                                  <w:kern w:val="24"/>
                                  <w:sz w:val="22"/>
                                  <w:lang w:val="en-AU"/>
                                </w:rPr>
                              </w:pPr>
                              <w:r w:rsidRPr="002B28E6">
                                <w:rPr>
                                  <w:rFonts w:hAnsi="Calibri"/>
                                  <w:color w:val="000000" w:themeColor="text1"/>
                                  <w:kern w:val="24"/>
                                  <w:sz w:val="22"/>
                                  <w:lang w:val="en-AU"/>
                                </w:rPr>
                                <w:t>GE</w:t>
                              </w:r>
                              <w:r>
                                <w:rPr>
                                  <w:rFonts w:hAnsi="Calibri"/>
                                  <w:color w:val="000000" w:themeColor="text1"/>
                                  <w:kern w:val="24"/>
                                  <w:sz w:val="22"/>
                                  <w:lang w:val="en-AU"/>
                                </w:rPr>
                                <w:t>D</w:t>
                              </w:r>
                              <w:r w:rsidRPr="002B28E6">
                                <w:rPr>
                                  <w:rFonts w:hAnsi="Calibri"/>
                                  <w:color w:val="000000" w:themeColor="text1"/>
                                  <w:kern w:val="24"/>
                                  <w:sz w:val="22"/>
                                  <w:lang w:val="en-AU"/>
                                </w:rPr>
                                <w:t>SI</w:t>
                              </w:r>
                              <w:r>
                                <w:rPr>
                                  <w:rFonts w:hAnsi="Calibri"/>
                                  <w:color w:val="000000" w:themeColor="text1"/>
                                  <w:kern w:val="24"/>
                                  <w:sz w:val="22"/>
                                  <w:lang w:val="en-AU"/>
                                </w:rPr>
                                <w:t xml:space="preserve"> / ACCESS / RETENTION</w:t>
                              </w:r>
                            </w:p>
                            <w:p w14:paraId="270879C6" w14:textId="77777777" w:rsidR="00F96637" w:rsidRPr="002B28E6" w:rsidRDefault="00F96637" w:rsidP="005D14B5">
                              <w:pPr>
                                <w:pStyle w:val="ListParagraph"/>
                                <w:numPr>
                                  <w:ilvl w:val="0"/>
                                  <w:numId w:val="24"/>
                                </w:numPr>
                                <w:spacing w:line="240" w:lineRule="auto"/>
                                <w:rPr>
                                  <w:rFonts w:hAnsi="Calibri"/>
                                  <w:color w:val="000000" w:themeColor="text1"/>
                                  <w:kern w:val="24"/>
                                  <w:sz w:val="22"/>
                                  <w:lang w:val="en-AU"/>
                                </w:rPr>
                              </w:pPr>
                              <w:r w:rsidRPr="002B28E6">
                                <w:rPr>
                                  <w:rFonts w:hAnsi="Calibri"/>
                                  <w:color w:val="000000" w:themeColor="text1"/>
                                  <w:kern w:val="24"/>
                                  <w:sz w:val="22"/>
                                  <w:lang w:val="en-AU"/>
                                </w:rPr>
                                <w:t xml:space="preserve">PROVINCIAL </w:t>
                              </w:r>
                              <w:r>
                                <w:rPr>
                                  <w:rFonts w:hAnsi="Calibri"/>
                                  <w:color w:val="000000" w:themeColor="text1"/>
                                  <w:kern w:val="24"/>
                                  <w:sz w:val="22"/>
                                  <w:lang w:val="en-AU"/>
                                </w:rPr>
                                <w:t>MANAGERS</w:t>
                              </w:r>
                            </w:p>
                          </w:txbxContent>
                        </wps:txbx>
                        <wps:bodyPr wrap="square" rtlCol="0">
                          <a:noAutofit/>
                        </wps:bodyPr>
                      </wps:wsp>
                      <wpg:grpSp>
                        <wpg:cNvPr id="41" name="Group 41"/>
                        <wpg:cNvGrpSpPr/>
                        <wpg:grpSpPr>
                          <a:xfrm>
                            <a:off x="611500" y="2293620"/>
                            <a:ext cx="2996508" cy="1029879"/>
                            <a:chOff x="0" y="0"/>
                            <a:chExt cx="2996508" cy="1029879"/>
                          </a:xfrm>
                        </wpg:grpSpPr>
                        <wps:wsp>
                          <wps:cNvPr id="42" name="TextBox 18"/>
                          <wps:cNvSpPr txBox="1"/>
                          <wps:spPr>
                            <a:xfrm>
                              <a:off x="0" y="558800"/>
                              <a:ext cx="2996508" cy="471079"/>
                            </a:xfrm>
                            <a:prstGeom prst="rect">
                              <a:avLst/>
                            </a:prstGeom>
                            <a:noFill/>
                            <a:ln w="19050">
                              <a:solidFill>
                                <a:schemeClr val="tx1"/>
                              </a:solidFill>
                            </a:ln>
                          </wps:spPr>
                          <wps:txbx>
                            <w:txbxContent>
                              <w:p w14:paraId="7571CF37" w14:textId="77777777" w:rsidR="00F9663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  </w:t>
                                </w:r>
                                <w:r>
                                  <w:rPr>
                                    <w:rFonts w:hAnsi="Calibri"/>
                                    <w:color w:val="000000" w:themeColor="text1"/>
                                    <w:kern w:val="24"/>
                                    <w:sz w:val="24"/>
                                    <w:szCs w:val="24"/>
                                    <w:lang w:val="en-AU"/>
                                  </w:rPr>
                                  <w:t>TEAM LEADER</w:t>
                                </w:r>
                              </w:p>
                              <w:p w14:paraId="2A2769C4" w14:textId="77777777" w:rsidR="00F96637" w:rsidRPr="001A6A97" w:rsidRDefault="00F96637" w:rsidP="001F26A6">
                                <w:pPr>
                                  <w:jc w:val="center"/>
                                  <w:rPr>
                                    <w:rFonts w:hAnsi="Calibri"/>
                                    <w:color w:val="000000" w:themeColor="text1"/>
                                    <w:kern w:val="24"/>
                                    <w:sz w:val="24"/>
                                    <w:szCs w:val="24"/>
                                    <w:lang w:val="en-AU"/>
                                  </w:rPr>
                                </w:pPr>
                                <w:r>
                                  <w:rPr>
                                    <w:rFonts w:hAnsi="Calibri"/>
                                    <w:color w:val="000000" w:themeColor="text1"/>
                                    <w:kern w:val="24"/>
                                    <w:sz w:val="24"/>
                                    <w:szCs w:val="24"/>
                                    <w:lang w:val="en-AU"/>
                                  </w:rPr>
                                  <w:t>(&amp; PROVINCIAL MANAGERS)</w:t>
                                </w:r>
                              </w:p>
                            </w:txbxContent>
                          </wps:txbx>
                          <wps:bodyPr wrap="square" rtlCol="0">
                            <a:noAutofit/>
                          </wps:bodyPr>
                        </wps:wsp>
                        <wps:wsp>
                          <wps:cNvPr id="43" name="Text Box 43"/>
                          <wps:cNvSpPr txBox="1"/>
                          <wps:spPr>
                            <a:xfrm>
                              <a:off x="209550" y="0"/>
                              <a:ext cx="2552700" cy="266700"/>
                            </a:xfrm>
                            <a:prstGeom prst="rect">
                              <a:avLst/>
                            </a:prstGeom>
                            <a:solidFill>
                              <a:schemeClr val="lt1"/>
                            </a:solidFill>
                            <a:ln w="6350">
                              <a:solidFill>
                                <a:prstClr val="black"/>
                              </a:solidFill>
                            </a:ln>
                          </wps:spPr>
                          <wps:txbx>
                            <w:txbxContent>
                              <w:p w14:paraId="45322A9A" w14:textId="77777777" w:rsidR="00F96637" w:rsidRPr="00391C72" w:rsidRDefault="00F96637" w:rsidP="001F26A6">
                                <w:pPr>
                                  <w:jc w:val="center"/>
                                  <w:rPr>
                                    <w:b/>
                                    <w:bCs/>
                                    <w:color w:val="auto"/>
                                    <w:lang w:val="en-US"/>
                                  </w:rPr>
                                </w:pPr>
                                <w:r w:rsidRPr="00391C72">
                                  <w:rPr>
                                    <w:b/>
                                    <w:bCs/>
                                    <w:color w:val="auto"/>
                                    <w:lang w:val="en-US"/>
                                  </w:rPr>
                                  <w:t>MANAGING CONTRACTOR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 name="TextBox 41"/>
                        <wps:cNvSpPr txBox="1"/>
                        <wps:spPr>
                          <a:xfrm>
                            <a:off x="619120" y="4953000"/>
                            <a:ext cx="2990172" cy="890007"/>
                          </a:xfrm>
                          <a:prstGeom prst="rect">
                            <a:avLst/>
                          </a:prstGeom>
                          <a:noFill/>
                          <a:ln w="19050">
                            <a:solidFill>
                              <a:schemeClr val="tx1"/>
                            </a:solidFill>
                          </a:ln>
                        </wps:spPr>
                        <wps:txbx>
                          <w:txbxContent>
                            <w:p w14:paraId="1FB13808" w14:textId="77777777" w:rsidR="00F96637" w:rsidRPr="002B28E6" w:rsidRDefault="00F96637" w:rsidP="005D14B5">
                              <w:pPr>
                                <w:pStyle w:val="ListParagraph"/>
                                <w:numPr>
                                  <w:ilvl w:val="0"/>
                                  <w:numId w:val="25"/>
                                </w:numPr>
                                <w:spacing w:line="240" w:lineRule="auto"/>
                                <w:rPr>
                                  <w:rFonts w:hAnsi="Calibri"/>
                                  <w:color w:val="000000" w:themeColor="text1"/>
                                  <w:kern w:val="24"/>
                                  <w:sz w:val="22"/>
                                  <w:lang w:val="en-AU"/>
                                </w:rPr>
                              </w:pPr>
                              <w:r w:rsidRPr="002B28E6">
                                <w:rPr>
                                  <w:rFonts w:hAnsi="Calibri"/>
                                  <w:color w:val="000000" w:themeColor="text1"/>
                                  <w:kern w:val="24"/>
                                  <w:sz w:val="22"/>
                                  <w:lang w:val="en-AU"/>
                                </w:rPr>
                                <w:t xml:space="preserve">SHORT-TERM </w:t>
                              </w:r>
                              <w:r>
                                <w:rPr>
                                  <w:rFonts w:hAnsi="Calibri"/>
                                  <w:color w:val="000000" w:themeColor="text1"/>
                                  <w:kern w:val="24"/>
                                  <w:sz w:val="22"/>
                                  <w:lang w:val="en-AU"/>
                                </w:rPr>
                                <w:t>ADVISER</w:t>
                              </w:r>
                              <w:r w:rsidRPr="002B28E6">
                                <w:rPr>
                                  <w:rFonts w:hAnsi="Calibri"/>
                                  <w:color w:val="000000" w:themeColor="text1"/>
                                  <w:kern w:val="24"/>
                                  <w:sz w:val="22"/>
                                  <w:lang w:val="en-AU"/>
                                </w:rPr>
                                <w:t>S</w:t>
                              </w:r>
                            </w:p>
                            <w:p w14:paraId="6CBF462C" w14:textId="77777777" w:rsidR="00F96637" w:rsidRPr="002B28E6" w:rsidRDefault="00F96637" w:rsidP="005D14B5">
                              <w:pPr>
                                <w:pStyle w:val="ListParagraph"/>
                                <w:numPr>
                                  <w:ilvl w:val="0"/>
                                  <w:numId w:val="25"/>
                                </w:numPr>
                                <w:spacing w:line="240" w:lineRule="auto"/>
                                <w:rPr>
                                  <w:rFonts w:hAnsi="Calibri"/>
                                  <w:color w:val="000000" w:themeColor="text1"/>
                                  <w:kern w:val="24"/>
                                  <w:sz w:val="22"/>
                                  <w:lang w:val="en-AU"/>
                                </w:rPr>
                              </w:pPr>
                              <w:r w:rsidRPr="002B28E6">
                                <w:rPr>
                                  <w:rFonts w:hAnsi="Calibri"/>
                                  <w:color w:val="000000" w:themeColor="text1"/>
                                  <w:kern w:val="24"/>
                                  <w:sz w:val="22"/>
                                  <w:lang w:val="en-AU"/>
                                </w:rPr>
                                <w:t>FUND MANAGEMENT</w:t>
                              </w:r>
                            </w:p>
                            <w:p w14:paraId="00F3F9D4" w14:textId="77777777" w:rsidR="00F96637" w:rsidRPr="002B28E6" w:rsidRDefault="00F96637" w:rsidP="005D14B5">
                              <w:pPr>
                                <w:pStyle w:val="ListParagraph"/>
                                <w:numPr>
                                  <w:ilvl w:val="0"/>
                                  <w:numId w:val="25"/>
                                </w:numPr>
                                <w:spacing w:line="240" w:lineRule="auto"/>
                                <w:rPr>
                                  <w:rFonts w:hAnsi="Calibri"/>
                                  <w:color w:val="000000" w:themeColor="text1"/>
                                  <w:kern w:val="24"/>
                                  <w:sz w:val="22"/>
                                  <w:lang w:val="en-AU"/>
                                </w:rPr>
                              </w:pPr>
                              <w:r w:rsidRPr="002B28E6">
                                <w:rPr>
                                  <w:rFonts w:hAnsi="Calibri"/>
                                  <w:color w:val="000000" w:themeColor="text1"/>
                                  <w:kern w:val="24"/>
                                  <w:sz w:val="22"/>
                                  <w:lang w:val="en-AU"/>
                                </w:rPr>
                                <w:t xml:space="preserve">OPERATIONAL SUPPORT (training programs, workshops, meetings) </w:t>
                              </w:r>
                            </w:p>
                          </w:txbxContent>
                        </wps:txbx>
                        <wps:bodyPr wrap="square" rtlCol="0">
                          <a:noAutofit/>
                        </wps:bodyPr>
                      </wps:wsp>
                      <wps:wsp>
                        <wps:cNvPr id="45" name="Straight Arrow Connector 45"/>
                        <wps:cNvCnPr/>
                        <wps:spPr>
                          <a:xfrm flipV="1">
                            <a:off x="2093590" y="1188720"/>
                            <a:ext cx="0" cy="1103630"/>
                          </a:xfrm>
                          <a:prstGeom prst="straightConnector1">
                            <a:avLst/>
                          </a:prstGeom>
                          <a:ln w="28575">
                            <a:solidFill>
                              <a:srgbClr val="007C8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wps:spPr>
                          <a:xfrm flipV="1">
                            <a:off x="2093590" y="2545080"/>
                            <a:ext cx="0" cy="292100"/>
                          </a:xfrm>
                          <a:prstGeom prst="straightConnector1">
                            <a:avLst/>
                          </a:prstGeom>
                          <a:ln w="28575">
                            <a:solidFill>
                              <a:srgbClr val="007C8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flipV="1">
                            <a:off x="2093590" y="3299460"/>
                            <a:ext cx="0" cy="640715"/>
                          </a:xfrm>
                          <a:prstGeom prst="straightConnector1">
                            <a:avLst/>
                          </a:prstGeom>
                          <a:ln w="28575">
                            <a:solidFill>
                              <a:srgbClr val="007C89"/>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0A405B0" id="Group 3" o:spid="_x0000_s1128" alt="Figure 6: Governance and management arrangements. A diagram of the provincial level arrangements explained on the previous page. " style="width:718.8pt;height:465pt;mso-position-horizontal-relative:char;mso-position-vertical-relative:line" coordsize="103060,6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">
                <v:shape id="TextBox 3" o:spid="_x0000_s1129" type="#_x0000_t202" style="position:absolute;left:61588;top:3352;width:19936;height:5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64E5D5F7" w14:textId="77777777" w:rsidR="00F96637" w:rsidRPr="00945CED" w:rsidRDefault="00F96637" w:rsidP="001F26A6">
                        <w:pPr>
                          <w:rPr>
                            <w:rFonts w:hAnsi="Calibri"/>
                            <w:b/>
                            <w:bCs/>
                            <w:color w:val="000000" w:themeColor="text1"/>
                            <w:kern w:val="24"/>
                            <w:sz w:val="24"/>
                            <w:szCs w:val="24"/>
                            <w:lang w:val="en-AU"/>
                          </w:rPr>
                        </w:pPr>
                        <w:r w:rsidRPr="00945CED">
                          <w:rPr>
                            <w:rFonts w:hAnsi="Calibri"/>
                            <w:b/>
                            <w:bCs/>
                            <w:color w:val="000000" w:themeColor="text1"/>
                            <w:kern w:val="24"/>
                            <w:sz w:val="24"/>
                            <w:szCs w:val="24"/>
                            <w:lang w:val="en-AU"/>
                          </w:rPr>
                          <w:t>Government of PNG</w:t>
                        </w:r>
                      </w:p>
                    </w:txbxContent>
                  </v:textbox>
                </v:shape>
                <v:shape id="TextBox 4" o:spid="_x0000_s1130" type="#_x0000_t202" style="position:absolute;left:11601;top:4572;width:18056;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36E28045" w14:textId="77777777" w:rsidR="00F96637" w:rsidRPr="00945CED" w:rsidRDefault="00F96637" w:rsidP="001F26A6">
                        <w:pPr>
                          <w:rPr>
                            <w:rFonts w:hAnsi="Calibri"/>
                            <w:b/>
                            <w:bCs/>
                            <w:color w:val="000000" w:themeColor="text1"/>
                            <w:kern w:val="24"/>
                            <w:sz w:val="24"/>
                            <w:szCs w:val="24"/>
                            <w:lang w:val="en-AU"/>
                          </w:rPr>
                        </w:pPr>
                        <w:r w:rsidRPr="00945CED">
                          <w:rPr>
                            <w:rFonts w:hAnsi="Calibri"/>
                            <w:b/>
                            <w:bCs/>
                            <w:color w:val="000000" w:themeColor="text1"/>
                            <w:kern w:val="24"/>
                            <w:sz w:val="24"/>
                            <w:szCs w:val="24"/>
                            <w:lang w:val="en-AU"/>
                          </w:rPr>
                          <w:t>Australia Support</w:t>
                        </w:r>
                      </w:p>
                    </w:txbxContent>
                  </v:textbox>
                </v:shape>
                <v:shape id="TextBox 5" o:spid="_x0000_s1131" type="#_x0000_t202" alt="Figure 6: Governance and management arrangements. A diagram of the provincial level arrangements explained on the previous page. " style="position:absolute;left:57550;top:8458;width:11240;height:5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243BAC7" w14:textId="77777777" w:rsidR="00F96637" w:rsidRPr="00945CED" w:rsidRDefault="00F96637" w:rsidP="001F26A6">
                        <w:pPr>
                          <w:rPr>
                            <w:rFonts w:hAnsi="Calibri"/>
                            <w:b/>
                            <w:color w:val="000000" w:themeColor="text1"/>
                            <w:kern w:val="24"/>
                            <w:sz w:val="24"/>
                            <w:szCs w:val="24"/>
                            <w:lang w:val="en-AU"/>
                          </w:rPr>
                        </w:pPr>
                        <w:r w:rsidRPr="00945CED">
                          <w:rPr>
                            <w:rFonts w:hAnsi="Calibri"/>
                            <w:b/>
                            <w:color w:val="000000" w:themeColor="text1"/>
                            <w:kern w:val="24"/>
                            <w:sz w:val="24"/>
                            <w:szCs w:val="24"/>
                            <w:lang w:val="en-AU"/>
                          </w:rPr>
                          <w:t xml:space="preserve">    Provincial Administrator</w:t>
                        </w:r>
                      </w:p>
                    </w:txbxContent>
                  </v:textbox>
                </v:shape>
                <v:shape id="TextBox 7" o:spid="_x0000_s1132" type="#_x0000_t202" style="position:absolute;left:15335;top:7620;width:14328;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494A8A36" w14:textId="570B933A" w:rsidR="00F96637" w:rsidRPr="00945CED" w:rsidRDefault="00F96637" w:rsidP="00D86DAF">
                        <w:pPr>
                          <w:jc w:val="center"/>
                          <w:rPr>
                            <w:rFonts w:hAnsi="Calibri"/>
                            <w:b/>
                            <w:color w:val="000000" w:themeColor="text1"/>
                            <w:kern w:val="24"/>
                            <w:sz w:val="24"/>
                            <w:szCs w:val="24"/>
                            <w:lang w:val="en-AU"/>
                          </w:rPr>
                        </w:pPr>
                        <w:r w:rsidRPr="00945CED">
                          <w:rPr>
                            <w:rFonts w:hAnsi="Calibri"/>
                            <w:b/>
                            <w:color w:val="000000" w:themeColor="text1"/>
                            <w:kern w:val="24"/>
                            <w:sz w:val="24"/>
                            <w:szCs w:val="24"/>
                            <w:lang w:val="en-AU"/>
                          </w:rPr>
                          <w:t>A</w:t>
                        </w:r>
                        <w:r>
                          <w:rPr>
                            <w:rFonts w:hAnsi="Calibri"/>
                            <w:b/>
                            <w:color w:val="000000" w:themeColor="text1"/>
                            <w:kern w:val="24"/>
                            <w:sz w:val="24"/>
                            <w:szCs w:val="24"/>
                            <w:lang w:val="en-AU"/>
                          </w:rPr>
                          <w:t>ustralian High Commission (DFAT)</w:t>
                        </w:r>
                      </w:p>
                    </w:txbxContent>
                  </v:textbox>
                </v:shape>
                <v:line id="Straight Connector 83" o:spid="_x0000_s1133" style="position:absolute;flip:y;visibility:visible;mso-wrap-style:square" from="40366,4038" to="40366,6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" strokecolor="#007c89" strokeweight="4.5pt">
                  <v:stroke dashstyle="dashDot" joinstyle="miter"/>
                  <o:lock v:ext="edit" shapetype="f"/>
                </v:line>
                <v:shape id="TextBox 16" o:spid="_x0000_s1134" type="#_x0000_t202" style="position:absolute;left:-6001;top:8914;width:16242;height:42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" filled="f" stroked="f">
                  <v:textbox>
                    <w:txbxContent>
                      <w:p w14:paraId="087A7F7D" w14:textId="77777777" w:rsidR="00F96637" w:rsidRPr="00945CED" w:rsidRDefault="00F96637" w:rsidP="001F26A6">
                        <w:pPr>
                          <w:rPr>
                            <w:rFonts w:hAnsi="Calibri"/>
                            <w:color w:val="000000" w:themeColor="text1"/>
                            <w:kern w:val="24"/>
                            <w:sz w:val="24"/>
                            <w:szCs w:val="24"/>
                            <w:lang w:val="en-AU"/>
                          </w:rPr>
                        </w:pPr>
                        <w:r w:rsidRPr="00945CED">
                          <w:rPr>
                            <w:rFonts w:hAnsi="Calibri"/>
                            <w:color w:val="000000" w:themeColor="text1"/>
                            <w:kern w:val="24"/>
                            <w:sz w:val="24"/>
                            <w:szCs w:val="24"/>
                            <w:lang w:val="en-AU"/>
                          </w:rPr>
                          <w:t xml:space="preserve">  GOVERNANCE</w:t>
                        </w:r>
                      </w:p>
                    </w:txbxContent>
                  </v:textbox>
                </v:shape>
                <v:line id="Straight Connector 82" o:spid="_x0000_s1135" style="position:absolute;visibility:visible;mso-wrap-style:square" from="4095,16725" to="103060,16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" strokecolor="#007c89" strokeweight="2.25pt">
                  <v:stroke dashstyle="dash" joinstyle="miter"/>
                  <o:lock v:ext="edit" shapetype="f"/>
                </v:line>
                <v:shape id="TextBox 27" o:spid="_x0000_s1136" type="#_x0000_t202" style="position:absolute;left:4514;width:77806;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7B3FE7B7" w14:textId="1D6E5819" w:rsidR="00F96637" w:rsidRPr="00792CA6" w:rsidRDefault="00F96637" w:rsidP="001F26A6">
                        <w:pPr>
                          <w:rPr>
                            <w:rFonts w:hAnsi="Calibri"/>
                            <w:b/>
                            <w:bCs/>
                            <w:color w:val="000000" w:themeColor="text1"/>
                            <w:kern w:val="24"/>
                            <w:lang w:val="en-AU"/>
                          </w:rPr>
                        </w:pPr>
                        <w:r w:rsidRPr="00792CA6">
                          <w:rPr>
                            <w:rFonts w:hAnsi="Calibri"/>
                            <w:b/>
                            <w:bCs/>
                            <w:color w:val="000000" w:themeColor="text1"/>
                            <w:kern w:val="24"/>
                            <w:lang w:val="en-AU"/>
                          </w:rPr>
                          <w:t xml:space="preserve">Figure </w:t>
                        </w:r>
                        <w:r>
                          <w:rPr>
                            <w:rFonts w:hAnsi="Calibri"/>
                            <w:b/>
                            <w:bCs/>
                            <w:color w:val="000000" w:themeColor="text1"/>
                            <w:kern w:val="24"/>
                            <w:lang w:val="en-AU"/>
                          </w:rPr>
                          <w:t>6</w:t>
                        </w:r>
                        <w:r w:rsidRPr="00792CA6">
                          <w:rPr>
                            <w:rFonts w:hAnsi="Calibri"/>
                            <w:b/>
                            <w:bCs/>
                            <w:color w:val="000000" w:themeColor="text1"/>
                            <w:kern w:val="24"/>
                            <w:lang w:val="en-AU"/>
                          </w:rPr>
                          <w:t>:  Governance and Management Arrangements - Provincial Level</w:t>
                        </w:r>
                      </w:p>
                    </w:txbxContent>
                  </v:textbox>
                </v:shape>
                <v:shape id="TextBox 31" o:spid="_x0000_s1137" type="#_x0000_t202" style="position:absolute;left:53778;top:27470;width:19445;height:5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" filled="f" strokecolor="black [3213]" strokeweight="2.25pt">
                  <v:textbox>
                    <w:txbxContent>
                      <w:p w14:paraId="7E3E5589"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 xml:space="preserve">Provincial Education </w:t>
                        </w:r>
                        <w:r>
                          <w:rPr>
                            <w:rFonts w:hAnsi="Calibri"/>
                            <w:color w:val="000000" w:themeColor="text1"/>
                            <w:kern w:val="24"/>
                            <w:sz w:val="24"/>
                            <w:szCs w:val="24"/>
                            <w:lang w:val="en-AU"/>
                          </w:rPr>
                          <w:t>Adviser</w:t>
                        </w:r>
                      </w:p>
                    </w:txbxContent>
                  </v:textbox>
                </v:shape>
                <v:shape id="TextBox 33" o:spid="_x0000_s1138" type="#_x0000_t202" style="position:absolute;left:53816;top:35280;width:19250;height:6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" filled="f" strokecolor="black [3213]" strokeweight="1pt">
                  <v:textbox>
                    <w:txbxContent>
                      <w:p w14:paraId="4509270A"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Provincial Education Directors and Inspectors</w:t>
                        </w:r>
                      </w:p>
                    </w:txbxContent>
                  </v:textbox>
                </v:shape>
                <v:shape id="TextBox 17" o:spid="_x0000_s1139" type="#_x0000_t202" style="position:absolute;left:-6649;top:37452;width:17526;height:422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" filled="f" stroked="f">
                  <v:textbox>
                    <w:txbxContent>
                      <w:p w14:paraId="1E7A93A9" w14:textId="77777777" w:rsidR="00F96637" w:rsidRPr="00945CED" w:rsidRDefault="00F96637" w:rsidP="001F26A6">
                        <w:pPr>
                          <w:rPr>
                            <w:rFonts w:hAnsi="Calibri"/>
                            <w:color w:val="000000" w:themeColor="text1"/>
                            <w:kern w:val="24"/>
                            <w:sz w:val="24"/>
                            <w:szCs w:val="24"/>
                            <w:lang w:val="en-AU"/>
                          </w:rPr>
                        </w:pPr>
                        <w:r w:rsidRPr="00945CED">
                          <w:rPr>
                            <w:rFonts w:hAnsi="Calibri"/>
                            <w:color w:val="000000" w:themeColor="text1"/>
                            <w:kern w:val="24"/>
                            <w:sz w:val="24"/>
                            <w:szCs w:val="24"/>
                            <w:lang w:val="en-AU"/>
                          </w:rPr>
                          <w:t xml:space="preserve">  MANAGEMENT</w:t>
                        </w:r>
                      </w:p>
                    </w:txbxContent>
                  </v:textbox>
                </v:shape>
                <v:shape id="TextBox 29" o:spid="_x0000_s1140" type="#_x0000_t202" style="position:absolute;left:92068;top:8382;width:10362;height:7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45D1D818"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Teacher Colleges</w:t>
                        </w:r>
                      </w:p>
                    </w:txbxContent>
                  </v:textbox>
                </v:shape>
                <v:line id="Straight Connector 100" o:spid="_x0000_s1141" style="position:absolute;visibility:visible;mso-wrap-style:square" from="69589,9677" to="92092,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" strokecolor="#007c89" strokeweight="2.25pt">
                  <v:stroke dashstyle="dash" startarrow="block" endarrow="block" joinstyle="miter"/>
                  <o:lock v:ext="edit" shapetype="f"/>
                </v:line>
                <v:shape id="Straight Arrow Connector 98" o:spid="_x0000_s1142" type="#_x0000_t32" style="position:absolute;left:63531;top:14782;width:84;height:126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" strokecolor="#007c89" strokeweight="2.25pt">
                  <v:stroke startarrow="block" endarrow="block" joinstyle="miter"/>
                  <o:lock v:ext="edit" shapetype="f"/>
                </v:shape>
                <v:oval id="Oval 97" o:spid="_x0000_s1143" style="position:absolute;left:50806;top:18097;width:25996;height:45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" filled="f" strokecolor="#007c89" strokeweight="2.25pt">
                  <v:stroke dashstyle="3 1" joinstyle="miter"/>
                </v:oval>
                <v:line id="Straight Connector 96" o:spid="_x0000_s1144" style="position:absolute;visibility:visible;mso-wrap-style:square" from="36061,30175" to="53765,3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" strokecolor="#007c89" strokeweight="2.25pt">
                  <v:stroke dashstyle="dash" startarrow="block" endarrow="block" joinstyle="miter"/>
                  <o:lock v:ext="edit" shapetype="f"/>
                </v:line>
                <v:oval id="Oval 103" o:spid="_x0000_s1145" style="position:absolute;left:40366;top:28994;width:12099;height:34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" fillcolor="white [3212]" strokecolor="#007c89" strokeweight="2.25pt">
                  <v:stroke dashstyle="3 1" joinstyle="miter"/>
                </v:oval>
                <v:shape id="TextBox 48" o:spid="_x0000_s1146" type="#_x0000_t202" style="position:absolute;left:45929;top:17259;width:17707;height:5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" filled="f" strokecolor="black [3213]" strokeweight="2.25pt">
                  <v:textbox>
                    <w:txbxContent>
                      <w:p w14:paraId="1A0A3D19"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Provincial</w:t>
                        </w:r>
                        <w:r>
                          <w:rPr>
                            <w:rFonts w:hAnsi="Calibri"/>
                            <w:color w:val="000000" w:themeColor="text1"/>
                            <w:kern w:val="24"/>
                            <w:sz w:val="24"/>
                            <w:szCs w:val="24"/>
                            <w:lang w:val="en-AU"/>
                          </w:rPr>
                          <w:t xml:space="preserve"> </w:t>
                        </w:r>
                        <w:r w:rsidRPr="00945CED">
                          <w:rPr>
                            <w:rFonts w:hAnsi="Calibri"/>
                            <w:color w:val="000000" w:themeColor="text1"/>
                            <w:kern w:val="24"/>
                            <w:sz w:val="24"/>
                            <w:szCs w:val="24"/>
                            <w:lang w:val="en-AU"/>
                          </w:rPr>
                          <w:t>Education Management Team</w:t>
                        </w:r>
                      </w:p>
                    </w:txbxContent>
                  </v:textbox>
                </v:shape>
                <v:oval id="Oval 109" o:spid="_x0000_s1147" style="position:absolute;left:74428;top:21374;width:26543;height:38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" filled="f" strokecolor="#007c89" strokeweight="2.25pt">
                  <v:stroke dashstyle="3 1" joinstyle="miter"/>
                </v:oval>
                <v:shape id="TextBox 59" o:spid="_x0000_s1148" type="#_x0000_t202" style="position:absolute;left:78009;top:28384;width:19446;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" filled="f" strokecolor="black [3213]" strokeweight="2.25pt">
                  <v:textbox>
                    <w:txbxContent>
                      <w:p w14:paraId="7E07F69E"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Church Education Secretary</w:t>
                        </w:r>
                      </w:p>
                    </w:txbxContent>
                  </v:textbox>
                </v:shape>
                <v:line id="Straight Connector 104" o:spid="_x0000_s1149" style="position:absolute;visibility:visible;mso-wrap-style:square" from="36137,37757" to="40712,37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" strokecolor="#007c89" strokeweight="2.25pt">
                  <v:stroke dashstyle="dash" endarrow="open" joinstyle="miter"/>
                  <o:lock v:ext="edit" shapetype="f"/>
                </v:line>
                <v:shape id="TextBox 36" o:spid="_x0000_s1150" type="#_x0000_t202" style="position:absolute;left:63684;top:17259;width:19764;height:5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" filled="f" strokecolor="#bfbfbf [2412]" strokeweight="2.25pt">
                  <v:textbox>
                    <w:txbxContent>
                      <w:p w14:paraId="65346D75"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Provincial</w:t>
                        </w:r>
                        <w:r>
                          <w:rPr>
                            <w:rFonts w:hAnsi="Calibri"/>
                            <w:color w:val="000000" w:themeColor="text1"/>
                            <w:kern w:val="24"/>
                            <w:sz w:val="24"/>
                            <w:szCs w:val="24"/>
                            <w:lang w:val="en-AU"/>
                          </w:rPr>
                          <w:t xml:space="preserve"> </w:t>
                        </w:r>
                        <w:r w:rsidRPr="00945CED">
                          <w:rPr>
                            <w:rFonts w:hAnsi="Calibri"/>
                            <w:color w:val="000000" w:themeColor="text1"/>
                            <w:kern w:val="24"/>
                            <w:sz w:val="24"/>
                            <w:szCs w:val="24"/>
                            <w:lang w:val="en-AU"/>
                          </w:rPr>
                          <w:t>Community Development Team</w:t>
                        </w:r>
                      </w:p>
                    </w:txbxContent>
                  </v:textbox>
                </v:shape>
                <v:shape id="TextBox 61" o:spid="_x0000_s1151" type="#_x0000_t202" style="position:absolute;left:77971;top:37719;width:19250;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" filled="f" strokecolor="black [3213]" strokeweight="1pt">
                  <v:textbox>
                    <w:txbxContent>
                      <w:p w14:paraId="75C71B36"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Church Education Officials</w:t>
                        </w:r>
                      </w:p>
                    </w:txbxContent>
                  </v:textbox>
                </v:shape>
                <v:shape id="TextBox 39" o:spid="_x0000_s1152" type="#_x0000_t202" style="position:absolute;left:53740;top:43205;width:19309;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" filled="f" strokecolor="black [3213]" strokeweight="1pt">
                  <v:textbox>
                    <w:txbxContent>
                      <w:p w14:paraId="300CFD6A"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 xml:space="preserve">    District Officials</w:t>
                        </w:r>
                      </w:p>
                    </w:txbxContent>
                  </v:textbox>
                </v:shape>
                <v:shape id="TextBox 40" o:spid="_x0000_s1153" type="#_x0000_t202" style="position:absolute;left:36975;top:43662;width:18857;height:87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" filled="f" stroked="f">
                  <v:textbox>
                    <w:txbxContent>
                      <w:p w14:paraId="4B09A90A" w14:textId="77777777" w:rsidR="00F96637" w:rsidRPr="00945CED" w:rsidRDefault="00F96637" w:rsidP="005D14B5">
                        <w:pPr>
                          <w:pStyle w:val="ListParagraph"/>
                          <w:numPr>
                            <w:ilvl w:val="0"/>
                            <w:numId w:val="27"/>
                          </w:numPr>
                          <w:spacing w:line="240" w:lineRule="auto"/>
                          <w:rPr>
                            <w:rFonts w:hAnsi="Calibri"/>
                            <w:b/>
                            <w:bCs/>
                            <w:color w:val="000000" w:themeColor="text1"/>
                            <w:kern w:val="24"/>
                            <w:lang w:val="en-AU"/>
                          </w:rPr>
                        </w:pPr>
                        <w:r w:rsidRPr="00945CED">
                          <w:rPr>
                            <w:rFonts w:hAnsi="Calibri"/>
                            <w:b/>
                            <w:bCs/>
                            <w:color w:val="000000" w:themeColor="text1"/>
                            <w:kern w:val="24"/>
                            <w:lang w:val="en-AU"/>
                          </w:rPr>
                          <w:t>ANNUAL PLANS</w:t>
                        </w:r>
                      </w:p>
                      <w:p w14:paraId="4CA6CA76" w14:textId="77777777" w:rsidR="00F96637" w:rsidRPr="00945CED" w:rsidRDefault="00F96637" w:rsidP="005D14B5">
                        <w:pPr>
                          <w:pStyle w:val="ListParagraph"/>
                          <w:numPr>
                            <w:ilvl w:val="0"/>
                            <w:numId w:val="27"/>
                          </w:numPr>
                          <w:spacing w:line="240" w:lineRule="auto"/>
                          <w:rPr>
                            <w:rFonts w:hAnsi="Calibri"/>
                            <w:b/>
                            <w:bCs/>
                            <w:color w:val="000000" w:themeColor="text1"/>
                            <w:kern w:val="24"/>
                          </w:rPr>
                        </w:pPr>
                        <w:r w:rsidRPr="00945CED">
                          <w:rPr>
                            <w:rFonts w:hAnsi="Calibri"/>
                            <w:b/>
                            <w:bCs/>
                            <w:color w:val="000000" w:themeColor="text1"/>
                            <w:kern w:val="24"/>
                          </w:rPr>
                          <w:t>PROGRESS MONITORING</w:t>
                        </w:r>
                      </w:p>
                      <w:p w14:paraId="35B1E4F0" w14:textId="77777777" w:rsidR="00F96637" w:rsidRPr="00945CED" w:rsidRDefault="00F96637" w:rsidP="005D14B5">
                        <w:pPr>
                          <w:pStyle w:val="ListParagraph"/>
                          <w:numPr>
                            <w:ilvl w:val="0"/>
                            <w:numId w:val="27"/>
                          </w:numPr>
                          <w:spacing w:line="240" w:lineRule="auto"/>
                          <w:rPr>
                            <w:rFonts w:hAnsi="Calibri"/>
                            <w:b/>
                            <w:bCs/>
                            <w:color w:val="000000" w:themeColor="text1"/>
                            <w:kern w:val="24"/>
                          </w:rPr>
                        </w:pPr>
                        <w:r w:rsidRPr="00945CED">
                          <w:rPr>
                            <w:rFonts w:hAnsi="Calibri"/>
                            <w:b/>
                            <w:bCs/>
                            <w:color w:val="000000" w:themeColor="text1"/>
                            <w:kern w:val="24"/>
                          </w:rPr>
                          <w:t>EVALUATION</w:t>
                        </w:r>
                      </w:p>
                    </w:txbxContent>
                  </v:textbox>
                </v:shape>
                <v:line id="Straight Connector 105" o:spid="_x0000_s1154" style="position:absolute;visibility:visible;mso-wrap-style:square" from="36137,44081" to="40712,44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" strokecolor="#007c89" strokeweight="2.25pt">
                  <v:stroke dashstyle="dash" endarrow="open" joinstyle="miter"/>
                  <o:lock v:ext="edit" shapetype="f"/>
                </v:line>
                <v:shape id="TextBox 32" o:spid="_x0000_s1155" type="#_x0000_t202" style="position:absolute;left:53740;top:48615;width:19309;height:4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" filled="f" strokecolor="black [3213]" strokeweight="1pt">
                  <v:textbox>
                    <w:txbxContent>
                      <w:p w14:paraId="53AA9C68"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 xml:space="preserve">    Targeted LLGs/Schools</w:t>
                        </w:r>
                      </w:p>
                    </w:txbxContent>
                  </v:textbox>
                </v:shape>
                <v:shape id="TextBox 60" o:spid="_x0000_s1156" type="#_x0000_t202" style="position:absolute;left:77895;top:47853;width:19315;height:4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" filled="f" strokecolor="black [3213]" strokeweight="1pt">
                  <v:textbox>
                    <w:txbxContent>
                      <w:p w14:paraId="36C2F80E" w14:textId="77777777" w:rsidR="00F96637" w:rsidRPr="00945CED" w:rsidRDefault="00F96637" w:rsidP="001F26A6">
                        <w:pPr>
                          <w:jc w:val="center"/>
                          <w:rPr>
                            <w:rFonts w:hAnsi="Calibri"/>
                            <w:color w:val="000000" w:themeColor="text1"/>
                            <w:kern w:val="24"/>
                            <w:sz w:val="24"/>
                            <w:szCs w:val="24"/>
                            <w:lang w:val="en-AU"/>
                          </w:rPr>
                        </w:pPr>
                        <w:r w:rsidRPr="00945CED">
                          <w:rPr>
                            <w:rFonts w:hAnsi="Calibri"/>
                            <w:color w:val="000000" w:themeColor="text1"/>
                            <w:kern w:val="24"/>
                            <w:sz w:val="24"/>
                            <w:szCs w:val="24"/>
                            <w:lang w:val="en-AU"/>
                          </w:rPr>
                          <w:t xml:space="preserve">    Targeted Schools</w:t>
                        </w:r>
                      </w:p>
                    </w:txbxContent>
                  </v:textbox>
                </v:shape>
                <v:line id="Straight Connector 106" o:spid="_x0000_s1157" style="position:absolute;visibility:visible;mso-wrap-style:square" from="36137,53530" to="40709,5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" strokecolor="#007c89" strokeweight="2.25pt">
                  <v:stroke dashstyle="dash" endarrow="open" joinstyle="miter"/>
                  <o:lock v:ext="edit" shapetype="f"/>
                </v:line>
                <v:shape id="TextBox 26" o:spid="_x0000_s1158" type="#_x0000_t202" style="position:absolute;left:6115;top:39624;width:29965;height:9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" filled="f" strokecolor="black [3213]" strokeweight="1.5pt">
                  <v:textbox>
                    <w:txbxContent>
                      <w:p w14:paraId="3687371B" w14:textId="77777777" w:rsidR="00F96637" w:rsidRPr="002B28E6" w:rsidRDefault="00F96637" w:rsidP="001F26A6">
                        <w:pPr>
                          <w:jc w:val="center"/>
                          <w:rPr>
                            <w:rFonts w:hAnsi="Calibri"/>
                            <w:color w:val="000000" w:themeColor="text1"/>
                            <w:kern w:val="24"/>
                            <w:lang w:val="en-AU"/>
                          </w:rPr>
                        </w:pPr>
                        <w:r w:rsidRPr="001A6A97">
                          <w:rPr>
                            <w:rFonts w:hAnsi="Calibri"/>
                            <w:color w:val="000000" w:themeColor="text1"/>
                            <w:kern w:val="24"/>
                            <w:sz w:val="24"/>
                            <w:szCs w:val="24"/>
                            <w:lang w:val="en-AU"/>
                          </w:rPr>
                          <w:t xml:space="preserve">   </w:t>
                        </w:r>
                        <w:r w:rsidRPr="002B28E6">
                          <w:rPr>
                            <w:rFonts w:hAnsi="Calibri"/>
                            <w:color w:val="000000" w:themeColor="text1"/>
                            <w:kern w:val="24"/>
                            <w:lang w:val="en-AU"/>
                          </w:rPr>
                          <w:t>LONG-TERM ADVISERS FOR:</w:t>
                        </w:r>
                      </w:p>
                      <w:p w14:paraId="7C59E72A" w14:textId="77777777" w:rsidR="00F96637" w:rsidRPr="002B28E6" w:rsidRDefault="00F96637" w:rsidP="005D14B5">
                        <w:pPr>
                          <w:pStyle w:val="ListParagraph"/>
                          <w:numPr>
                            <w:ilvl w:val="0"/>
                            <w:numId w:val="24"/>
                          </w:numPr>
                          <w:spacing w:line="240" w:lineRule="auto"/>
                          <w:rPr>
                            <w:rFonts w:hAnsi="Calibri"/>
                            <w:color w:val="000000" w:themeColor="text1"/>
                            <w:kern w:val="24"/>
                            <w:sz w:val="22"/>
                            <w:lang w:val="en-AU"/>
                          </w:rPr>
                        </w:pPr>
                        <w:r w:rsidRPr="002B28E6">
                          <w:rPr>
                            <w:rFonts w:hAnsi="Calibri"/>
                            <w:color w:val="000000" w:themeColor="text1"/>
                            <w:kern w:val="24"/>
                            <w:sz w:val="22"/>
                            <w:lang w:val="en-AU"/>
                          </w:rPr>
                          <w:t>MONITORING AND EVALUATION</w:t>
                        </w:r>
                      </w:p>
                      <w:p w14:paraId="200626BA" w14:textId="77777777" w:rsidR="00F96637" w:rsidRPr="002B28E6" w:rsidRDefault="00F96637" w:rsidP="005D14B5">
                        <w:pPr>
                          <w:pStyle w:val="ListParagraph"/>
                          <w:numPr>
                            <w:ilvl w:val="0"/>
                            <w:numId w:val="24"/>
                          </w:numPr>
                          <w:spacing w:line="240" w:lineRule="auto"/>
                          <w:rPr>
                            <w:rFonts w:hAnsi="Calibri"/>
                            <w:color w:val="000000" w:themeColor="text1"/>
                            <w:kern w:val="24"/>
                            <w:sz w:val="22"/>
                            <w:lang w:val="en-AU"/>
                          </w:rPr>
                        </w:pPr>
                        <w:r w:rsidRPr="002B28E6">
                          <w:rPr>
                            <w:rFonts w:hAnsi="Calibri"/>
                            <w:color w:val="000000" w:themeColor="text1"/>
                            <w:kern w:val="24"/>
                            <w:sz w:val="22"/>
                            <w:lang w:val="en-AU"/>
                          </w:rPr>
                          <w:t>GE</w:t>
                        </w:r>
                        <w:r>
                          <w:rPr>
                            <w:rFonts w:hAnsi="Calibri"/>
                            <w:color w:val="000000" w:themeColor="text1"/>
                            <w:kern w:val="24"/>
                            <w:sz w:val="22"/>
                            <w:lang w:val="en-AU"/>
                          </w:rPr>
                          <w:t>D</w:t>
                        </w:r>
                        <w:r w:rsidRPr="002B28E6">
                          <w:rPr>
                            <w:rFonts w:hAnsi="Calibri"/>
                            <w:color w:val="000000" w:themeColor="text1"/>
                            <w:kern w:val="24"/>
                            <w:sz w:val="22"/>
                            <w:lang w:val="en-AU"/>
                          </w:rPr>
                          <w:t>SI</w:t>
                        </w:r>
                        <w:r>
                          <w:rPr>
                            <w:rFonts w:hAnsi="Calibri"/>
                            <w:color w:val="000000" w:themeColor="text1"/>
                            <w:kern w:val="24"/>
                            <w:sz w:val="22"/>
                            <w:lang w:val="en-AU"/>
                          </w:rPr>
                          <w:t xml:space="preserve"> / ACCESS / RETENTION</w:t>
                        </w:r>
                      </w:p>
                      <w:p w14:paraId="270879C6" w14:textId="77777777" w:rsidR="00F96637" w:rsidRPr="002B28E6" w:rsidRDefault="00F96637" w:rsidP="005D14B5">
                        <w:pPr>
                          <w:pStyle w:val="ListParagraph"/>
                          <w:numPr>
                            <w:ilvl w:val="0"/>
                            <w:numId w:val="24"/>
                          </w:numPr>
                          <w:spacing w:line="240" w:lineRule="auto"/>
                          <w:rPr>
                            <w:rFonts w:hAnsi="Calibri"/>
                            <w:color w:val="000000" w:themeColor="text1"/>
                            <w:kern w:val="24"/>
                            <w:sz w:val="22"/>
                            <w:lang w:val="en-AU"/>
                          </w:rPr>
                        </w:pPr>
                        <w:r w:rsidRPr="002B28E6">
                          <w:rPr>
                            <w:rFonts w:hAnsi="Calibri"/>
                            <w:color w:val="000000" w:themeColor="text1"/>
                            <w:kern w:val="24"/>
                            <w:sz w:val="22"/>
                            <w:lang w:val="en-AU"/>
                          </w:rPr>
                          <w:t xml:space="preserve">PROVINCIAL </w:t>
                        </w:r>
                        <w:r>
                          <w:rPr>
                            <w:rFonts w:hAnsi="Calibri"/>
                            <w:color w:val="000000" w:themeColor="text1"/>
                            <w:kern w:val="24"/>
                            <w:sz w:val="22"/>
                            <w:lang w:val="en-AU"/>
                          </w:rPr>
                          <w:t>MANAGERS</w:t>
                        </w:r>
                      </w:p>
                    </w:txbxContent>
                  </v:textbox>
                </v:shape>
                <v:group id="Group 41" o:spid="_x0000_s1159" style="position:absolute;left:6115;top:22936;width:29965;height:10298" coordsize="29965,1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Box 18" o:spid="_x0000_s1160" type="#_x0000_t202" style="position:absolute;top:5588;width:29965;height:4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" filled="f" strokecolor="black [3213]" strokeweight="1.5pt">
                    <v:textbox>
                      <w:txbxContent>
                        <w:p w14:paraId="7571CF37" w14:textId="77777777" w:rsidR="00F96637" w:rsidRDefault="00F96637" w:rsidP="001F26A6">
                          <w:pPr>
                            <w:jc w:val="center"/>
                            <w:rPr>
                              <w:rFonts w:hAnsi="Calibri"/>
                              <w:color w:val="000000" w:themeColor="text1"/>
                              <w:kern w:val="24"/>
                              <w:sz w:val="24"/>
                              <w:szCs w:val="24"/>
                              <w:lang w:val="en-AU"/>
                            </w:rPr>
                          </w:pPr>
                          <w:r w:rsidRPr="001A6A97">
                            <w:rPr>
                              <w:rFonts w:hAnsi="Calibri"/>
                              <w:color w:val="000000" w:themeColor="text1"/>
                              <w:kern w:val="24"/>
                              <w:sz w:val="24"/>
                              <w:szCs w:val="24"/>
                              <w:lang w:val="en-AU"/>
                            </w:rPr>
                            <w:t xml:space="preserve">  </w:t>
                          </w:r>
                          <w:r>
                            <w:rPr>
                              <w:rFonts w:hAnsi="Calibri"/>
                              <w:color w:val="000000" w:themeColor="text1"/>
                              <w:kern w:val="24"/>
                              <w:sz w:val="24"/>
                              <w:szCs w:val="24"/>
                              <w:lang w:val="en-AU"/>
                            </w:rPr>
                            <w:t>TEAM LEADER</w:t>
                          </w:r>
                        </w:p>
                        <w:p w14:paraId="2A2769C4" w14:textId="77777777" w:rsidR="00F96637" w:rsidRPr="001A6A97" w:rsidRDefault="00F96637" w:rsidP="001F26A6">
                          <w:pPr>
                            <w:jc w:val="center"/>
                            <w:rPr>
                              <w:rFonts w:hAnsi="Calibri"/>
                              <w:color w:val="000000" w:themeColor="text1"/>
                              <w:kern w:val="24"/>
                              <w:sz w:val="24"/>
                              <w:szCs w:val="24"/>
                              <w:lang w:val="en-AU"/>
                            </w:rPr>
                          </w:pPr>
                          <w:r>
                            <w:rPr>
                              <w:rFonts w:hAnsi="Calibri"/>
                              <w:color w:val="000000" w:themeColor="text1"/>
                              <w:kern w:val="24"/>
                              <w:sz w:val="24"/>
                              <w:szCs w:val="24"/>
                              <w:lang w:val="en-AU"/>
                            </w:rPr>
                            <w:t>(&amp; PROVINCIAL MANAGERS)</w:t>
                          </w:r>
                        </w:p>
                      </w:txbxContent>
                    </v:textbox>
                  </v:shape>
                  <v:shape id="Text Box 43" o:spid="_x0000_s1161" type="#_x0000_t202" style="position:absolute;left:2095;width:2552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45322A9A" w14:textId="77777777" w:rsidR="00F96637" w:rsidRPr="00391C72" w:rsidRDefault="00F96637" w:rsidP="001F26A6">
                          <w:pPr>
                            <w:jc w:val="center"/>
                            <w:rPr>
                              <w:b/>
                              <w:bCs/>
                              <w:color w:val="auto"/>
                              <w:lang w:val="en-US"/>
                            </w:rPr>
                          </w:pPr>
                          <w:r w:rsidRPr="00391C72">
                            <w:rPr>
                              <w:b/>
                              <w:bCs/>
                              <w:color w:val="auto"/>
                              <w:lang w:val="en-US"/>
                            </w:rPr>
                            <w:t>MANAGING CONTRACTOR</w:t>
                          </w:r>
                        </w:p>
                      </w:txbxContent>
                    </v:textbox>
                  </v:shape>
                </v:group>
                <v:shape id="TextBox 41" o:spid="_x0000_s1162" type="#_x0000_t202" style="position:absolute;left:6191;top:49530;width:29901;height:8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" filled="f" strokecolor="black [3213]" strokeweight="1.5pt">
                  <v:textbox>
                    <w:txbxContent>
                      <w:p w14:paraId="1FB13808" w14:textId="77777777" w:rsidR="00F96637" w:rsidRPr="002B28E6" w:rsidRDefault="00F96637" w:rsidP="005D14B5">
                        <w:pPr>
                          <w:pStyle w:val="ListParagraph"/>
                          <w:numPr>
                            <w:ilvl w:val="0"/>
                            <w:numId w:val="25"/>
                          </w:numPr>
                          <w:spacing w:line="240" w:lineRule="auto"/>
                          <w:rPr>
                            <w:rFonts w:hAnsi="Calibri"/>
                            <w:color w:val="000000" w:themeColor="text1"/>
                            <w:kern w:val="24"/>
                            <w:sz w:val="22"/>
                            <w:lang w:val="en-AU"/>
                          </w:rPr>
                        </w:pPr>
                        <w:r w:rsidRPr="002B28E6">
                          <w:rPr>
                            <w:rFonts w:hAnsi="Calibri"/>
                            <w:color w:val="000000" w:themeColor="text1"/>
                            <w:kern w:val="24"/>
                            <w:sz w:val="22"/>
                            <w:lang w:val="en-AU"/>
                          </w:rPr>
                          <w:t xml:space="preserve">SHORT-TERM </w:t>
                        </w:r>
                        <w:r>
                          <w:rPr>
                            <w:rFonts w:hAnsi="Calibri"/>
                            <w:color w:val="000000" w:themeColor="text1"/>
                            <w:kern w:val="24"/>
                            <w:sz w:val="22"/>
                            <w:lang w:val="en-AU"/>
                          </w:rPr>
                          <w:t>ADVISER</w:t>
                        </w:r>
                        <w:r w:rsidRPr="002B28E6">
                          <w:rPr>
                            <w:rFonts w:hAnsi="Calibri"/>
                            <w:color w:val="000000" w:themeColor="text1"/>
                            <w:kern w:val="24"/>
                            <w:sz w:val="22"/>
                            <w:lang w:val="en-AU"/>
                          </w:rPr>
                          <w:t>S</w:t>
                        </w:r>
                      </w:p>
                      <w:p w14:paraId="6CBF462C" w14:textId="77777777" w:rsidR="00F96637" w:rsidRPr="002B28E6" w:rsidRDefault="00F96637" w:rsidP="005D14B5">
                        <w:pPr>
                          <w:pStyle w:val="ListParagraph"/>
                          <w:numPr>
                            <w:ilvl w:val="0"/>
                            <w:numId w:val="25"/>
                          </w:numPr>
                          <w:spacing w:line="240" w:lineRule="auto"/>
                          <w:rPr>
                            <w:rFonts w:hAnsi="Calibri"/>
                            <w:color w:val="000000" w:themeColor="text1"/>
                            <w:kern w:val="24"/>
                            <w:sz w:val="22"/>
                            <w:lang w:val="en-AU"/>
                          </w:rPr>
                        </w:pPr>
                        <w:r w:rsidRPr="002B28E6">
                          <w:rPr>
                            <w:rFonts w:hAnsi="Calibri"/>
                            <w:color w:val="000000" w:themeColor="text1"/>
                            <w:kern w:val="24"/>
                            <w:sz w:val="22"/>
                            <w:lang w:val="en-AU"/>
                          </w:rPr>
                          <w:t>FUND MANAGEMENT</w:t>
                        </w:r>
                      </w:p>
                      <w:p w14:paraId="00F3F9D4" w14:textId="77777777" w:rsidR="00F96637" w:rsidRPr="002B28E6" w:rsidRDefault="00F96637" w:rsidP="005D14B5">
                        <w:pPr>
                          <w:pStyle w:val="ListParagraph"/>
                          <w:numPr>
                            <w:ilvl w:val="0"/>
                            <w:numId w:val="25"/>
                          </w:numPr>
                          <w:spacing w:line="240" w:lineRule="auto"/>
                          <w:rPr>
                            <w:rFonts w:hAnsi="Calibri"/>
                            <w:color w:val="000000" w:themeColor="text1"/>
                            <w:kern w:val="24"/>
                            <w:sz w:val="22"/>
                            <w:lang w:val="en-AU"/>
                          </w:rPr>
                        </w:pPr>
                        <w:r w:rsidRPr="002B28E6">
                          <w:rPr>
                            <w:rFonts w:hAnsi="Calibri"/>
                            <w:color w:val="000000" w:themeColor="text1"/>
                            <w:kern w:val="24"/>
                            <w:sz w:val="22"/>
                            <w:lang w:val="en-AU"/>
                          </w:rPr>
                          <w:t xml:space="preserve">OPERATIONAL SUPPORT (training programs, workshops, meetings) </w:t>
                        </w:r>
                      </w:p>
                    </w:txbxContent>
                  </v:textbox>
                </v:shape>
                <v:shape id="Straight Arrow Connector 45" o:spid="_x0000_s1163" type="#_x0000_t32" style="position:absolute;left:20935;top:11887;width:0;height:110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" strokecolor="#007c89" strokeweight="2.25pt">
                  <v:stroke endarrow="block" joinstyle="miter"/>
                </v:shape>
                <v:shape id="Straight Arrow Connector 46" o:spid="_x0000_s1164" type="#_x0000_t32" style="position:absolute;left:20935;top:25450;width:0;height:29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" strokecolor="#007c89" strokeweight="2.25pt">
                  <v:stroke endarrow="block" joinstyle="miter"/>
                </v:shape>
                <v:shape id="Straight Arrow Connector 47" o:spid="_x0000_s1165" type="#_x0000_t32" style="position:absolute;left:20935;top:32994;width:0;height:64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" strokecolor="#007c89" strokeweight="2.25pt">
                  <v:stroke endarrow="block" joinstyle="miter"/>
                </v:shape>
                <w10:anchorlock/>
              </v:group>
            </w:pict>
          </mc:Fallback>
        </mc:AlternateContent>
      </w:r>
    </w:p>
    <w:p w14:paraId="6225C97D" w14:textId="77777777" w:rsidR="001F26A6" w:rsidRPr="00060D11" w:rsidRDefault="001F26A6" w:rsidP="00C04736">
      <w:pPr>
        <w:pStyle w:val="Heading2"/>
        <w:sectPr w:rsidR="001F26A6" w:rsidRPr="00060D11" w:rsidSect="008F18F7">
          <w:pgSz w:w="16838" w:h="11906" w:orient="landscape"/>
          <w:pgMar w:top="1440" w:right="1440" w:bottom="1440" w:left="1440" w:header="720" w:footer="720" w:gutter="0"/>
          <w:cols w:space="720"/>
          <w:docGrid w:linePitch="360"/>
        </w:sectPr>
      </w:pPr>
    </w:p>
    <w:p w14:paraId="5EAF9A2C" w14:textId="77777777" w:rsidR="001F26A6" w:rsidRPr="00060D11" w:rsidRDefault="001F26A6" w:rsidP="001F26A6">
      <w:pPr>
        <w:ind w:left="-567"/>
        <w:rPr>
          <w:b/>
          <w:bCs/>
        </w:rPr>
      </w:pPr>
    </w:p>
    <w:p w14:paraId="11BA7B0E" w14:textId="77777777" w:rsidR="001F26A6" w:rsidRPr="00060D11" w:rsidRDefault="001F26A6" w:rsidP="00C04736">
      <w:pPr>
        <w:pStyle w:val="Heading2"/>
      </w:pPr>
      <w:r w:rsidRPr="00060D11">
        <w:t>E.2</w:t>
      </w:r>
      <w:r w:rsidRPr="00060D11">
        <w:tab/>
        <w:t>PARTNERSHIP ENGAGEMENT AND POLICY DIALOGUE</w:t>
      </w:r>
    </w:p>
    <w:p w14:paraId="3A0F7F3C" w14:textId="77777777" w:rsidR="001F26A6" w:rsidRPr="00060D11" w:rsidRDefault="001F26A6" w:rsidP="004E780D">
      <w:pPr>
        <w:spacing w:after="120" w:line="276" w:lineRule="auto"/>
        <w:rPr>
          <w:lang w:eastAsia="en-AU"/>
        </w:rPr>
      </w:pPr>
      <w:r w:rsidRPr="00060D11">
        <w:rPr>
          <w:lang w:eastAsia="en-AU"/>
        </w:rPr>
        <w:t xml:space="preserve">DFAT is keen to see enhanced communications and political engagement between AHC and NDoE/ Provincial administrations within the context of a more cohesive approach to Australia’s support for the education sector and comprehensive monitoring performance. </w:t>
      </w:r>
    </w:p>
    <w:p w14:paraId="7F90EEA5" w14:textId="77777777" w:rsidR="001F26A6" w:rsidRPr="00060D11" w:rsidRDefault="001F26A6" w:rsidP="004E780D">
      <w:pPr>
        <w:spacing w:after="120" w:line="276" w:lineRule="auto"/>
        <w:rPr>
          <w:lang w:eastAsia="en-AU"/>
        </w:rPr>
      </w:pPr>
      <w:r w:rsidRPr="00060D11">
        <w:rPr>
          <w:lang w:eastAsia="en-AU"/>
        </w:rPr>
        <w:t>A detailed Policy Dialogue Matrix is attached as Appendix D.</w:t>
      </w:r>
    </w:p>
    <w:p w14:paraId="76202593" w14:textId="77777777" w:rsidR="001F26A6" w:rsidRPr="00060D11" w:rsidRDefault="001F26A6" w:rsidP="004E780D">
      <w:pPr>
        <w:spacing w:after="120" w:line="276" w:lineRule="auto"/>
        <w:rPr>
          <w:lang w:eastAsia="en-AU"/>
        </w:rPr>
      </w:pPr>
      <w:r w:rsidRPr="00060D11">
        <w:rPr>
          <w:lang w:eastAsia="en-AU"/>
        </w:rPr>
        <w:t>The matrix envisages an increased, and increasingly focused, role for the Minister Counsellor, supported by the Head of Mission as appropriate. The intent is for this dialogue to:</w:t>
      </w:r>
    </w:p>
    <w:p w14:paraId="4A4E7F7F" w14:textId="38F1B9A6" w:rsidR="001F26A6" w:rsidRPr="00060D11" w:rsidRDefault="001F26A6" w:rsidP="004E780D">
      <w:pPr>
        <w:pStyle w:val="ListParagraph"/>
        <w:numPr>
          <w:ilvl w:val="0"/>
          <w:numId w:val="31"/>
        </w:numPr>
        <w:spacing w:after="120" w:line="276" w:lineRule="auto"/>
        <w:rPr>
          <w:rFonts w:cstheme="minorHAnsi"/>
          <w:sz w:val="22"/>
        </w:rPr>
      </w:pPr>
      <w:r w:rsidRPr="00060D11">
        <w:rPr>
          <w:rFonts w:cstheme="minorHAnsi"/>
          <w:sz w:val="22"/>
        </w:rPr>
        <w:t xml:space="preserve">reinforce and strengthen progress towards the achievement of the </w:t>
      </w:r>
      <w:r w:rsidR="00227767" w:rsidRPr="00060D11">
        <w:rPr>
          <w:rFonts w:cstheme="minorHAnsi"/>
          <w:sz w:val="22"/>
        </w:rPr>
        <w:t>EOIO</w:t>
      </w:r>
      <w:r w:rsidR="008C681A" w:rsidRPr="00060D11">
        <w:rPr>
          <w:rFonts w:cstheme="minorHAnsi"/>
          <w:sz w:val="22"/>
        </w:rPr>
        <w:t>;</w:t>
      </w:r>
      <w:r w:rsidR="00443561" w:rsidRPr="00060D11">
        <w:rPr>
          <w:rFonts w:cstheme="minorHAnsi"/>
          <w:sz w:val="22"/>
        </w:rPr>
        <w:t xml:space="preserve"> and</w:t>
      </w:r>
    </w:p>
    <w:p w14:paraId="407E1828" w14:textId="007349BF" w:rsidR="001F26A6" w:rsidRPr="00060D11" w:rsidRDefault="001F26A6" w:rsidP="004E780D">
      <w:pPr>
        <w:pStyle w:val="ListParagraph"/>
        <w:numPr>
          <w:ilvl w:val="0"/>
          <w:numId w:val="31"/>
        </w:numPr>
        <w:spacing w:after="120" w:line="276" w:lineRule="auto"/>
        <w:rPr>
          <w:rFonts w:cstheme="minorHAnsi"/>
          <w:sz w:val="22"/>
        </w:rPr>
      </w:pPr>
      <w:r w:rsidRPr="00060D11">
        <w:rPr>
          <w:rFonts w:cstheme="minorHAnsi"/>
          <w:sz w:val="22"/>
        </w:rPr>
        <w:t xml:space="preserve">draw upon diagnostics and analysis being produced by the </w:t>
      </w:r>
      <w:r w:rsidR="005662DB" w:rsidRPr="00060D11">
        <w:rPr>
          <w:rFonts w:cstheme="minorHAnsi"/>
          <w:sz w:val="22"/>
        </w:rPr>
        <w:t>managing contractor</w:t>
      </w:r>
      <w:r w:rsidRPr="00060D11">
        <w:rPr>
          <w:rFonts w:cstheme="minorHAnsi"/>
          <w:sz w:val="22"/>
        </w:rPr>
        <w:t xml:space="preserve"> at national and sub-national levels to improve the opportunities for AHC to engage in evidence-based dialogue.</w:t>
      </w:r>
    </w:p>
    <w:p w14:paraId="40719B63" w14:textId="429FDD2D" w:rsidR="001F26A6" w:rsidRPr="00060D11" w:rsidRDefault="001F26A6" w:rsidP="004E780D">
      <w:pPr>
        <w:spacing w:after="120" w:line="276" w:lineRule="auto"/>
        <w:rPr>
          <w:lang w:eastAsia="en-AU"/>
        </w:rPr>
      </w:pPr>
      <w:r w:rsidRPr="00060D11">
        <w:rPr>
          <w:lang w:eastAsia="en-AU"/>
        </w:rPr>
        <w:t xml:space="preserve">For example, under </w:t>
      </w:r>
      <w:r w:rsidR="00227767" w:rsidRPr="00060D11">
        <w:rPr>
          <w:lang w:eastAsia="en-AU"/>
        </w:rPr>
        <w:t xml:space="preserve">Targeted </w:t>
      </w:r>
      <w:r w:rsidRPr="00060D11">
        <w:rPr>
          <w:lang w:eastAsia="en-AU"/>
        </w:rPr>
        <w:t xml:space="preserve">Outcome 1, AHC will have access to robust data analysis within the target provinces on enrolment and retention, as well as the equality of access of girls and </w:t>
      </w:r>
      <w:r w:rsidR="004F1B7A" w:rsidRPr="00060D11">
        <w:rPr>
          <w:lang w:eastAsia="en-AU"/>
        </w:rPr>
        <w:t>CWD</w:t>
      </w:r>
      <w:r w:rsidRPr="00060D11">
        <w:rPr>
          <w:lang w:eastAsia="en-AU"/>
        </w:rPr>
        <w:t>. The PIE will also provide AHC with evidence of progressive improvements in gender equal and socially inclusive enrolments and retention and the reasons for improvements.</w:t>
      </w:r>
    </w:p>
    <w:p w14:paraId="6162EB2C" w14:textId="349106FC" w:rsidR="001F26A6" w:rsidRPr="00060D11" w:rsidRDefault="001F26A6" w:rsidP="004E780D">
      <w:pPr>
        <w:spacing w:after="120" w:line="276" w:lineRule="auto"/>
        <w:rPr>
          <w:lang w:eastAsia="en-AU"/>
        </w:rPr>
      </w:pPr>
      <w:r w:rsidRPr="00060D11">
        <w:rPr>
          <w:lang w:eastAsia="en-AU"/>
        </w:rPr>
        <w:t xml:space="preserve">Under </w:t>
      </w:r>
      <w:r w:rsidR="00227767" w:rsidRPr="00060D11">
        <w:rPr>
          <w:lang w:eastAsia="en-AU"/>
        </w:rPr>
        <w:t xml:space="preserve">Targeted </w:t>
      </w:r>
      <w:r w:rsidRPr="00060D11">
        <w:rPr>
          <w:lang w:eastAsia="en-AU"/>
        </w:rPr>
        <w:t xml:space="preserve">Outcome 2, the </w:t>
      </w:r>
      <w:r w:rsidR="005662DB" w:rsidRPr="00060D11">
        <w:rPr>
          <w:lang w:eastAsia="en-AU"/>
        </w:rPr>
        <w:t>managing contractor</w:t>
      </w:r>
      <w:r w:rsidRPr="00060D11">
        <w:rPr>
          <w:lang w:eastAsia="en-AU"/>
        </w:rPr>
        <w:t xml:space="preserve"> will provide AHC with robust data on teacher skills and knowledge and priority upgrading requirements across the target provinces as well as the support systems to help teachers to apply new knowledge and skills. This, coupled with advice from the </w:t>
      </w:r>
      <w:r w:rsidR="005662DB" w:rsidRPr="00060D11">
        <w:rPr>
          <w:lang w:eastAsia="en-AU"/>
        </w:rPr>
        <w:t>managing contractor</w:t>
      </w:r>
      <w:r w:rsidRPr="00060D11">
        <w:rPr>
          <w:lang w:eastAsia="en-AU"/>
        </w:rPr>
        <w:t xml:space="preserve">, will provide an opportunity for the AHC to facilitate improved dialogue between DHERST, the Teaching Service Commission and NDoE. </w:t>
      </w:r>
    </w:p>
    <w:p w14:paraId="2AE4D865" w14:textId="09F4DAF9" w:rsidR="001F26A6" w:rsidRPr="00060D11" w:rsidRDefault="001F26A6" w:rsidP="004E780D">
      <w:pPr>
        <w:spacing w:after="120" w:line="276" w:lineRule="auto"/>
        <w:rPr>
          <w:lang w:eastAsia="en-AU"/>
        </w:rPr>
      </w:pPr>
      <w:r w:rsidRPr="00060D11">
        <w:rPr>
          <w:lang w:eastAsia="en-AU"/>
        </w:rPr>
        <w:t>Under</w:t>
      </w:r>
      <w:r w:rsidR="00227767" w:rsidRPr="00060D11">
        <w:rPr>
          <w:lang w:eastAsia="en-AU"/>
        </w:rPr>
        <w:t xml:space="preserve"> Enabling</w:t>
      </w:r>
      <w:r w:rsidRPr="00060D11">
        <w:rPr>
          <w:lang w:eastAsia="en-AU"/>
        </w:rPr>
        <w:t xml:space="preserve"> Outcome 3, the T</w:t>
      </w:r>
      <w:r w:rsidR="00755914" w:rsidRPr="00060D11">
        <w:rPr>
          <w:lang w:eastAsia="en-AU"/>
        </w:rPr>
        <w:t xml:space="preserve">eam </w:t>
      </w:r>
      <w:r w:rsidRPr="00060D11">
        <w:rPr>
          <w:lang w:eastAsia="en-AU"/>
        </w:rPr>
        <w:t>L</w:t>
      </w:r>
      <w:r w:rsidR="00755914" w:rsidRPr="00060D11">
        <w:rPr>
          <w:lang w:eastAsia="en-AU"/>
        </w:rPr>
        <w:t>eader</w:t>
      </w:r>
      <w:r w:rsidRPr="00060D11">
        <w:rPr>
          <w:lang w:eastAsia="en-AU"/>
        </w:rPr>
        <w:t xml:space="preserve"> and the Provincial Managers/Activity Coordinators will work with the NDoE and </w:t>
      </w:r>
      <w:r w:rsidR="00043740" w:rsidRPr="00060D11">
        <w:rPr>
          <w:lang w:eastAsia="en-AU"/>
        </w:rPr>
        <w:t>p</w:t>
      </w:r>
      <w:r w:rsidRPr="00060D11">
        <w:rPr>
          <w:lang w:eastAsia="en-AU"/>
        </w:rPr>
        <w:t>rovincial education service providers to identify problems and assess their capacity to implement current government policies. The AHC may then build upon these analyses to engage in dialogue with NDoE and DHERST on the realism of the pace of change anticipated by the NEP and the type and nature of capacity development required to implement existing policies and plans.</w:t>
      </w:r>
    </w:p>
    <w:p w14:paraId="284E5344" w14:textId="77777777" w:rsidR="001F26A6" w:rsidRPr="00060D11" w:rsidRDefault="001F26A6" w:rsidP="004E780D">
      <w:pPr>
        <w:spacing w:after="120" w:line="276" w:lineRule="auto"/>
        <w:rPr>
          <w:lang w:eastAsia="en-AU"/>
        </w:rPr>
      </w:pPr>
      <w:r w:rsidRPr="00060D11">
        <w:rPr>
          <w:lang w:eastAsia="en-AU"/>
        </w:rPr>
        <w:t>The work under the PIE investment will also provide a platform for AHC to advocate for the practice of ‘evidence-informed’ decision making, as well as the importance of enhancing collaboration between, and among, different agencies, levels of government and church education service providers.</w:t>
      </w:r>
    </w:p>
    <w:p w14:paraId="5FDD107F" w14:textId="493860CB" w:rsidR="001F26A6" w:rsidRPr="00060D11" w:rsidRDefault="001F26A6" w:rsidP="004E780D">
      <w:pPr>
        <w:spacing w:after="120" w:line="276" w:lineRule="auto"/>
        <w:rPr>
          <w:lang w:eastAsia="en-AU"/>
        </w:rPr>
      </w:pPr>
      <w:r w:rsidRPr="00060D11">
        <w:rPr>
          <w:lang w:eastAsia="en-AU"/>
        </w:rPr>
        <w:t xml:space="preserve">Finally, the MERL Adviser will work to strengthen the alignment of the PIE MERL system with the NEP </w:t>
      </w:r>
      <w:r w:rsidR="00043740" w:rsidRPr="00060D11">
        <w:rPr>
          <w:lang w:eastAsia="en-AU"/>
        </w:rPr>
        <w:t>Monitoring and Evaluation Framework (</w:t>
      </w:r>
      <w:r w:rsidRPr="00060D11">
        <w:rPr>
          <w:lang w:eastAsia="en-AU"/>
        </w:rPr>
        <w:t>MEF</w:t>
      </w:r>
      <w:r w:rsidR="00043740" w:rsidRPr="00060D11">
        <w:rPr>
          <w:lang w:eastAsia="en-AU"/>
        </w:rPr>
        <w:t>)</w:t>
      </w:r>
      <w:r w:rsidRPr="00060D11">
        <w:rPr>
          <w:lang w:eastAsia="en-AU"/>
        </w:rPr>
        <w:t xml:space="preserve"> and to develop methods for capturing Australia’s specific contribution to the achievement of NEP outcomes. While this serves DFAT’s purposes, monitoring the effectiveness of approaches being trialled under PIE fits neatly into what the NEP MEF refers to as ‘</w:t>
      </w:r>
      <w:r w:rsidRPr="00060D11">
        <w:rPr>
          <w:i/>
          <w:iCs/>
          <w:lang w:eastAsia="en-AU"/>
        </w:rPr>
        <w:t xml:space="preserve">Implementation Monitoring’. </w:t>
      </w:r>
      <w:r w:rsidRPr="00060D11">
        <w:rPr>
          <w:lang w:eastAsia="en-AU"/>
        </w:rPr>
        <w:t>The sub-national administrations are required to do this monitoring – determining what works and what doesn’t and advising NDoE – but to date there has been limited capacity to do this.</w:t>
      </w:r>
    </w:p>
    <w:p w14:paraId="3ECECC33" w14:textId="77777777" w:rsidR="001F26A6" w:rsidRPr="00060D11" w:rsidRDefault="001F26A6" w:rsidP="004E780D">
      <w:pPr>
        <w:spacing w:after="120" w:line="276" w:lineRule="auto"/>
      </w:pPr>
      <w:r w:rsidRPr="00060D11">
        <w:rPr>
          <w:lang w:eastAsia="en-AU"/>
        </w:rPr>
        <w:t xml:space="preserve">Capturing information in this space will have significant public diplomacy benefits for Australia. </w:t>
      </w:r>
      <w:r w:rsidRPr="00060D11">
        <w:t>First, this work will demonstrate Australia’s commitment to supporting and strengthening government MERL systems. Second, it will be possible to produce and disseminate information products which DFAT can use when discussing Australia’s specific ‘value add’ to strengthening early grades education in PNG.</w:t>
      </w:r>
    </w:p>
    <w:p w14:paraId="1E7CA83B" w14:textId="77777777" w:rsidR="001F26A6" w:rsidRPr="00060D11" w:rsidRDefault="001F26A6" w:rsidP="00C04736">
      <w:pPr>
        <w:pStyle w:val="Heading2"/>
      </w:pPr>
      <w:bookmarkStart w:id="62" w:name="_Hlk68450050"/>
      <w:r w:rsidRPr="00060D11">
        <w:t>E.3</w:t>
      </w:r>
      <w:r w:rsidRPr="00060D11">
        <w:tab/>
        <w:t>SUSTAINABILITY</w:t>
      </w:r>
    </w:p>
    <w:p w14:paraId="2F4EA1E5" w14:textId="11812AD9" w:rsidR="001F26A6" w:rsidRPr="00060D11" w:rsidRDefault="001F26A6" w:rsidP="004E780D">
      <w:pPr>
        <w:shd w:val="clear" w:color="auto" w:fill="FFFFFF"/>
        <w:spacing w:after="120" w:line="276" w:lineRule="auto"/>
        <w:rPr>
          <w:rFonts w:cstheme="minorHAnsi"/>
          <w:lang w:eastAsia="en-AU"/>
        </w:rPr>
      </w:pPr>
      <w:r w:rsidRPr="00060D11">
        <w:rPr>
          <w:rFonts w:cstheme="minorHAnsi"/>
          <w:lang w:eastAsia="en-AU"/>
        </w:rPr>
        <w:t xml:space="preserve">The design acknowledges the limited fiscal capacity of the PNG </w:t>
      </w:r>
      <w:r w:rsidR="00694525" w:rsidRPr="00060D11">
        <w:rPr>
          <w:rFonts w:cstheme="minorHAnsi"/>
          <w:lang w:eastAsia="en-AU"/>
        </w:rPr>
        <w:t>G</w:t>
      </w:r>
      <w:r w:rsidRPr="00060D11">
        <w:rPr>
          <w:rFonts w:cstheme="minorHAnsi"/>
          <w:lang w:eastAsia="en-AU"/>
        </w:rPr>
        <w:t>overnment to support the delivery of education services across the country, a situation that is likely to continue for some time.  As a result, heightened consideration has been given to identifying and assessing approaches and opportunities for benefits of the investment to be sustained beyond the completion of the program.  These considerations have resulted in the investment design requiring:</w:t>
      </w:r>
    </w:p>
    <w:p w14:paraId="76A5AC73" w14:textId="20B520B6" w:rsidR="001F26A6" w:rsidRPr="00060D11" w:rsidRDefault="001F26A6" w:rsidP="004E780D">
      <w:pPr>
        <w:pStyle w:val="ListParagraph"/>
        <w:numPr>
          <w:ilvl w:val="0"/>
          <w:numId w:val="32"/>
        </w:numPr>
        <w:shd w:val="clear" w:color="auto" w:fill="FFFFFF"/>
        <w:spacing w:after="120" w:line="276" w:lineRule="auto"/>
        <w:ind w:left="360" w:hanging="270"/>
        <w:rPr>
          <w:rFonts w:cstheme="minorHAnsi"/>
          <w:sz w:val="22"/>
          <w:lang w:eastAsia="en-AU"/>
        </w:rPr>
      </w:pPr>
      <w:r w:rsidRPr="00060D11">
        <w:rPr>
          <w:rFonts w:cstheme="minorHAnsi"/>
          <w:b/>
          <w:bCs/>
          <w:sz w:val="22"/>
          <w:lang w:eastAsia="en-AU"/>
        </w:rPr>
        <w:t xml:space="preserve">alignment and support of existing government priorities and plans </w:t>
      </w:r>
      <w:r w:rsidRPr="00060D11">
        <w:rPr>
          <w:rFonts w:cstheme="minorHAnsi"/>
          <w:sz w:val="22"/>
          <w:lang w:eastAsia="en-AU"/>
        </w:rPr>
        <w:t xml:space="preserve">specifically the NEP 2020-2029 and </w:t>
      </w:r>
      <w:r w:rsidR="008439E5" w:rsidRPr="00060D11">
        <w:rPr>
          <w:rFonts w:cstheme="minorHAnsi"/>
          <w:sz w:val="22"/>
          <w:lang w:eastAsia="en-AU"/>
        </w:rPr>
        <w:t>PEPs</w:t>
      </w:r>
      <w:r w:rsidRPr="00060D11">
        <w:rPr>
          <w:rFonts w:cstheme="minorHAnsi"/>
          <w:sz w:val="22"/>
          <w:lang w:eastAsia="en-AU"/>
        </w:rPr>
        <w:t>; this is demonstrated by the alignment of the design’s proposed program logic with the NEP’s focus areas, objectives and indicators</w:t>
      </w:r>
      <w:r w:rsidR="00694525" w:rsidRPr="00060D11">
        <w:rPr>
          <w:rFonts w:cstheme="minorHAnsi"/>
          <w:sz w:val="22"/>
          <w:lang w:eastAsia="en-AU"/>
        </w:rPr>
        <w:t>;</w:t>
      </w:r>
    </w:p>
    <w:p w14:paraId="4CD5A4F3" w14:textId="4D5231BB" w:rsidR="001F26A6" w:rsidRPr="00060D11" w:rsidRDefault="001F26A6" w:rsidP="004E780D">
      <w:pPr>
        <w:pStyle w:val="ListParagraph"/>
        <w:numPr>
          <w:ilvl w:val="0"/>
          <w:numId w:val="32"/>
        </w:numPr>
        <w:shd w:val="clear" w:color="auto" w:fill="FFFFFF"/>
        <w:spacing w:after="120" w:line="276" w:lineRule="auto"/>
        <w:ind w:left="360" w:hanging="270"/>
        <w:rPr>
          <w:rFonts w:cstheme="minorHAnsi"/>
          <w:b/>
          <w:bCs/>
          <w:sz w:val="22"/>
          <w:lang w:eastAsia="en-AU"/>
        </w:rPr>
      </w:pPr>
      <w:r w:rsidRPr="00060D11">
        <w:rPr>
          <w:rFonts w:cstheme="minorHAnsi"/>
          <w:b/>
          <w:bCs/>
          <w:sz w:val="22"/>
          <w:lang w:eastAsia="en-AU"/>
        </w:rPr>
        <w:t>engagement and active participation of key stakeholders throughout the design process,</w:t>
      </w:r>
      <w:r w:rsidRPr="00060D11">
        <w:rPr>
          <w:rFonts w:cstheme="minorHAnsi"/>
          <w:sz w:val="22"/>
          <w:lang w:eastAsia="en-AU"/>
        </w:rPr>
        <w:t xml:space="preserve"> as outlined in Appendix</w:t>
      </w:r>
      <w:r w:rsidRPr="00060D11">
        <w:rPr>
          <w:rFonts w:cstheme="minorHAnsi"/>
          <w:b/>
          <w:bCs/>
          <w:sz w:val="22"/>
          <w:lang w:eastAsia="en-AU"/>
        </w:rPr>
        <w:t xml:space="preserve"> </w:t>
      </w:r>
      <w:r w:rsidRPr="00060D11">
        <w:rPr>
          <w:rFonts w:cstheme="minorHAnsi"/>
          <w:sz w:val="22"/>
          <w:lang w:eastAsia="en-AU"/>
        </w:rPr>
        <w:t>B</w:t>
      </w:r>
      <w:r w:rsidR="00694525" w:rsidRPr="00060D11">
        <w:rPr>
          <w:rFonts w:cstheme="minorHAnsi"/>
          <w:sz w:val="22"/>
          <w:lang w:eastAsia="en-AU"/>
        </w:rPr>
        <w:t>;</w:t>
      </w:r>
    </w:p>
    <w:p w14:paraId="3B25CAC8" w14:textId="646D10F7" w:rsidR="001F26A6" w:rsidRPr="00060D11" w:rsidRDefault="001F26A6" w:rsidP="004E780D">
      <w:pPr>
        <w:pStyle w:val="ListParagraph"/>
        <w:numPr>
          <w:ilvl w:val="0"/>
          <w:numId w:val="32"/>
        </w:numPr>
        <w:shd w:val="clear" w:color="auto" w:fill="FFFFFF"/>
        <w:spacing w:after="120" w:line="276" w:lineRule="auto"/>
        <w:ind w:left="360" w:hanging="270"/>
        <w:rPr>
          <w:rFonts w:cstheme="minorHAnsi"/>
          <w:sz w:val="22"/>
          <w:lang w:eastAsia="en-AU"/>
        </w:rPr>
      </w:pPr>
      <w:r w:rsidRPr="00060D11">
        <w:rPr>
          <w:rFonts w:cstheme="minorHAnsi"/>
          <w:b/>
          <w:bCs/>
          <w:sz w:val="22"/>
          <w:lang w:eastAsia="en-AU"/>
        </w:rPr>
        <w:t>working</w:t>
      </w:r>
      <w:r w:rsidRPr="00060D11">
        <w:rPr>
          <w:rFonts w:cstheme="minorHAnsi"/>
          <w:sz w:val="22"/>
          <w:lang w:eastAsia="en-AU"/>
        </w:rPr>
        <w:t xml:space="preserve"> </w:t>
      </w:r>
      <w:r w:rsidRPr="00060D11">
        <w:rPr>
          <w:rFonts w:cstheme="minorHAnsi"/>
          <w:b/>
          <w:bCs/>
          <w:sz w:val="22"/>
          <w:lang w:eastAsia="en-AU"/>
        </w:rPr>
        <w:t>with existing government and church education service provider systems</w:t>
      </w:r>
      <w:r w:rsidRPr="00060D11">
        <w:rPr>
          <w:rFonts w:cstheme="minorHAnsi"/>
          <w:sz w:val="22"/>
          <w:lang w:eastAsia="en-AU"/>
        </w:rPr>
        <w:t xml:space="preserve"> and avoiding the introduction of parallel governance structures and processes; assigned technical assistance will work alongside those responsible for the functions targeted for improvement</w:t>
      </w:r>
      <w:r w:rsidR="00694525" w:rsidRPr="00060D11">
        <w:rPr>
          <w:rFonts w:cstheme="minorHAnsi"/>
          <w:sz w:val="22"/>
          <w:lang w:eastAsia="en-AU"/>
        </w:rPr>
        <w:t>;</w:t>
      </w:r>
    </w:p>
    <w:p w14:paraId="33E11F97" w14:textId="5FB4A342" w:rsidR="001F26A6" w:rsidRPr="00060D11" w:rsidRDefault="001F26A6" w:rsidP="004E780D">
      <w:pPr>
        <w:pStyle w:val="ListParagraph"/>
        <w:numPr>
          <w:ilvl w:val="0"/>
          <w:numId w:val="32"/>
        </w:numPr>
        <w:shd w:val="clear" w:color="auto" w:fill="FFFFFF"/>
        <w:spacing w:after="120" w:line="276" w:lineRule="auto"/>
        <w:ind w:left="360" w:hanging="270"/>
        <w:rPr>
          <w:rFonts w:cstheme="minorHAnsi"/>
          <w:sz w:val="22"/>
          <w:lang w:eastAsia="en-AU"/>
        </w:rPr>
      </w:pPr>
      <w:r w:rsidRPr="00060D11">
        <w:rPr>
          <w:rFonts w:cstheme="minorHAnsi"/>
          <w:b/>
          <w:bCs/>
          <w:sz w:val="22"/>
          <w:lang w:eastAsia="en-AU"/>
        </w:rPr>
        <w:t>a focus on capacity building of critical systems within the education sector</w:t>
      </w:r>
      <w:r w:rsidRPr="00060D11">
        <w:rPr>
          <w:rFonts w:cstheme="minorHAnsi"/>
          <w:sz w:val="22"/>
          <w:lang w:eastAsia="en-AU"/>
        </w:rPr>
        <w:t xml:space="preserve"> to enable improvements in service delivery and management decision-making, including: effective support to parents, communities and schools to ensure participation of all children; teacher development and support; and ‘knowledge to policy’ processes. Improvement in these critical systems will outlast the duration of the investment</w:t>
      </w:r>
      <w:r w:rsidR="00694525" w:rsidRPr="00060D11">
        <w:rPr>
          <w:rFonts w:cstheme="minorHAnsi"/>
          <w:sz w:val="22"/>
          <w:lang w:eastAsia="en-AU"/>
        </w:rPr>
        <w:t>;</w:t>
      </w:r>
    </w:p>
    <w:p w14:paraId="5E85C1E4" w14:textId="39306E81" w:rsidR="001F26A6" w:rsidRPr="00060D11" w:rsidRDefault="001F26A6" w:rsidP="004E780D">
      <w:pPr>
        <w:pStyle w:val="ListParagraph"/>
        <w:numPr>
          <w:ilvl w:val="0"/>
          <w:numId w:val="32"/>
        </w:numPr>
        <w:shd w:val="clear" w:color="auto" w:fill="FFFFFF"/>
        <w:spacing w:after="120" w:line="276" w:lineRule="auto"/>
        <w:ind w:left="360" w:hanging="270"/>
        <w:rPr>
          <w:rFonts w:cstheme="minorHAnsi"/>
          <w:sz w:val="22"/>
          <w:lang w:eastAsia="en-AU"/>
        </w:rPr>
      </w:pPr>
      <w:r w:rsidRPr="00060D11">
        <w:rPr>
          <w:rFonts w:cstheme="minorHAnsi"/>
          <w:b/>
          <w:bCs/>
          <w:sz w:val="22"/>
          <w:lang w:eastAsia="en-AU"/>
        </w:rPr>
        <w:t>preparation and approval of sustainability assessments and plans</w:t>
      </w:r>
      <w:r w:rsidRPr="00060D11">
        <w:rPr>
          <w:rFonts w:cstheme="minorHAnsi"/>
          <w:sz w:val="22"/>
          <w:lang w:eastAsia="en-AU"/>
        </w:rPr>
        <w:t xml:space="preserve"> prior to activity implementation</w:t>
      </w:r>
      <w:r w:rsidR="00694525" w:rsidRPr="00060D11">
        <w:rPr>
          <w:rFonts w:cstheme="minorHAnsi"/>
          <w:sz w:val="22"/>
          <w:lang w:eastAsia="en-AU"/>
        </w:rPr>
        <w:t>;</w:t>
      </w:r>
      <w:r w:rsidR="00443561" w:rsidRPr="00060D11">
        <w:rPr>
          <w:rFonts w:cstheme="minorHAnsi"/>
          <w:sz w:val="22"/>
          <w:lang w:eastAsia="en-AU"/>
        </w:rPr>
        <w:t xml:space="preserve"> and</w:t>
      </w:r>
    </w:p>
    <w:p w14:paraId="4C6C2018" w14:textId="31DE7A51" w:rsidR="001F26A6" w:rsidRPr="00060D11" w:rsidRDefault="001F26A6" w:rsidP="004E780D">
      <w:pPr>
        <w:pStyle w:val="ListParagraph"/>
        <w:numPr>
          <w:ilvl w:val="0"/>
          <w:numId w:val="32"/>
        </w:numPr>
        <w:shd w:val="clear" w:color="auto" w:fill="FFFFFF"/>
        <w:spacing w:after="120" w:line="276" w:lineRule="auto"/>
        <w:ind w:left="360" w:hanging="270"/>
        <w:rPr>
          <w:lang w:eastAsia="en-AU"/>
        </w:rPr>
      </w:pPr>
      <w:r w:rsidRPr="00060D11">
        <w:rPr>
          <w:rFonts w:cstheme="minorHAnsi"/>
          <w:b/>
          <w:bCs/>
          <w:sz w:val="22"/>
          <w:lang w:eastAsia="en-AU"/>
        </w:rPr>
        <w:t xml:space="preserve">regular and independent review of performance </w:t>
      </w:r>
      <w:r w:rsidRPr="00060D11">
        <w:rPr>
          <w:rFonts w:cstheme="minorHAnsi"/>
          <w:sz w:val="22"/>
          <w:lang w:eastAsia="en-AU"/>
        </w:rPr>
        <w:t>of all program activities to determine the on-going relevance and effectiveness of PIE support and activities.</w:t>
      </w:r>
    </w:p>
    <w:p w14:paraId="6B181182" w14:textId="2FE7FD35" w:rsidR="001F26A6" w:rsidRPr="00060D11" w:rsidRDefault="001F26A6" w:rsidP="004E780D">
      <w:pPr>
        <w:spacing w:after="120" w:line="276" w:lineRule="auto"/>
        <w:rPr>
          <w:lang w:eastAsia="en-AU"/>
        </w:rPr>
      </w:pPr>
      <w:r w:rsidRPr="00060D11">
        <w:rPr>
          <w:lang w:eastAsia="en-AU"/>
        </w:rPr>
        <w:t>The above efforts will maximise the likelihood of PIE supported activities being embedded within NDoE and provincial administrations (</w:t>
      </w:r>
      <w:r w:rsidR="00227767" w:rsidRPr="00060D11">
        <w:rPr>
          <w:lang w:eastAsia="en-AU"/>
        </w:rPr>
        <w:t>E</w:t>
      </w:r>
      <w:r w:rsidRPr="00060D11">
        <w:rPr>
          <w:lang w:eastAsia="en-AU"/>
        </w:rPr>
        <w:t>nabling Outcome 3) and the likelihood of a significant cadre of teachers having their knowledge and skills upgraded in order to improve early grades education in targeted provinces (Targeted Outcome 2). The proposed ‘feedback loop’ to the national level and other provinces also increases the likelihood of effective approaches having an influence on central policies and programming and/or of other provinces adopting/adapting successful approaches.</w:t>
      </w:r>
    </w:p>
    <w:p w14:paraId="711C3415" w14:textId="758E0AF9" w:rsidR="002D1955" w:rsidRPr="00E240BB" w:rsidRDefault="001F26A6" w:rsidP="004E780D">
      <w:pPr>
        <w:spacing w:after="120" w:line="276" w:lineRule="auto"/>
        <w:rPr>
          <w:lang w:eastAsia="en-AU"/>
        </w:rPr>
      </w:pPr>
      <w:r w:rsidRPr="00060D11">
        <w:rPr>
          <w:lang w:eastAsia="en-AU"/>
        </w:rPr>
        <w:t xml:space="preserve">While all of the above efforts will maximise the likelihood of enduring benefits from the implementation of Targeted Outcome 2 and Enabling Outcome 3, more detailed and careful attention has been given by the design team to mechanisms for sustaining the benefits arising under </w:t>
      </w:r>
      <w:r w:rsidR="00227767" w:rsidRPr="00060D11">
        <w:rPr>
          <w:lang w:eastAsia="en-AU"/>
        </w:rPr>
        <w:t xml:space="preserve">Targeted </w:t>
      </w:r>
      <w:r w:rsidRPr="00060D11">
        <w:rPr>
          <w:lang w:eastAsia="en-AU"/>
        </w:rPr>
        <w:t xml:space="preserve">Outcome 1. In this case, the design team attention has looked beyond the mere issue of benefits enduring for individual children, families and communities. The design team’s attention has also turned to the question of how effective </w:t>
      </w:r>
      <w:r w:rsidRPr="00060D11">
        <w:rPr>
          <w:i/>
          <w:iCs/>
          <w:lang w:eastAsia="en-AU"/>
        </w:rPr>
        <w:t>approaches</w:t>
      </w:r>
      <w:r w:rsidRPr="00060D11">
        <w:rPr>
          <w:lang w:eastAsia="en-AU"/>
        </w:rPr>
        <w:t xml:space="preserve"> may be sustained. Two approaches are critical. </w:t>
      </w:r>
    </w:p>
    <w:p w14:paraId="4D45E7AE" w14:textId="5C3ED272" w:rsidR="001F26A6" w:rsidRPr="00060D11" w:rsidRDefault="001F26A6" w:rsidP="004E780D">
      <w:pPr>
        <w:spacing w:after="120" w:line="276" w:lineRule="auto"/>
        <w:rPr>
          <w:rFonts w:cstheme="minorHAnsi"/>
          <w:b/>
          <w:bCs/>
          <w:lang w:eastAsia="en-AU"/>
        </w:rPr>
      </w:pPr>
      <w:r w:rsidRPr="00060D11">
        <w:rPr>
          <w:rFonts w:cstheme="minorHAnsi"/>
          <w:b/>
          <w:bCs/>
          <w:lang w:eastAsia="en-AU"/>
        </w:rPr>
        <w:t>Community motivation/awareness raising on enrolment/retention of early grades children:</w:t>
      </w:r>
    </w:p>
    <w:p w14:paraId="63073747" w14:textId="2D201B39" w:rsidR="001F26A6" w:rsidRPr="00060D11" w:rsidRDefault="001F26A6" w:rsidP="004E780D">
      <w:pPr>
        <w:spacing w:after="120" w:line="276" w:lineRule="auto"/>
        <w:rPr>
          <w:rFonts w:cstheme="minorHAnsi"/>
          <w:lang w:eastAsia="en-AU"/>
        </w:rPr>
      </w:pPr>
      <w:r w:rsidRPr="00060D11">
        <w:rPr>
          <w:rFonts w:cstheme="minorHAnsi"/>
          <w:lang w:eastAsia="en-AU"/>
        </w:rPr>
        <w:t xml:space="preserve">As discussed in Section D – </w:t>
      </w:r>
      <w:r w:rsidRPr="00060D11">
        <w:rPr>
          <w:rFonts w:cstheme="minorHAnsi"/>
          <w:i/>
          <w:iCs/>
          <w:lang w:eastAsia="en-AU"/>
        </w:rPr>
        <w:t>Proposed Outcomes and Investment Options</w:t>
      </w:r>
      <w:r w:rsidRPr="00060D11">
        <w:rPr>
          <w:rFonts w:cstheme="minorHAnsi"/>
          <w:lang w:eastAsia="en-AU"/>
        </w:rPr>
        <w:t xml:space="preserve"> - it is proposed that existing church networks be supported to carry out motivation/awareness raising activities amongst parents and communities to enrol school-aged children and to keep them at school. </w:t>
      </w:r>
    </w:p>
    <w:p w14:paraId="26E07EB4" w14:textId="77777777" w:rsidR="001F26A6" w:rsidRPr="00060D11" w:rsidRDefault="001F26A6" w:rsidP="004E780D">
      <w:pPr>
        <w:spacing w:after="120" w:line="276" w:lineRule="auto"/>
        <w:rPr>
          <w:rFonts w:eastAsia="Calibri" w:cstheme="minorHAnsi"/>
        </w:rPr>
      </w:pPr>
      <w:r w:rsidRPr="00060D11">
        <w:rPr>
          <w:rFonts w:eastAsia="Calibri" w:cstheme="minorHAnsi"/>
        </w:rPr>
        <w:t>For example, the Family Life Mission of the PNG Catholic Church already deploys Family Life Coordinators in every village; this network has the potential to have a significant positive impact on enrolment/retention if adequately trained and supported.</w:t>
      </w:r>
    </w:p>
    <w:p w14:paraId="0D69860D" w14:textId="64006942" w:rsidR="001F26A6" w:rsidRPr="00060D11" w:rsidRDefault="001F26A6" w:rsidP="004E780D">
      <w:pPr>
        <w:spacing w:after="120" w:line="276" w:lineRule="auto"/>
        <w:rPr>
          <w:rFonts w:cstheme="minorHAnsi"/>
          <w:lang w:eastAsia="en-AU"/>
        </w:rPr>
      </w:pPr>
      <w:r w:rsidRPr="00060D11">
        <w:rPr>
          <w:rFonts w:cstheme="minorHAnsi"/>
          <w:lang w:eastAsia="en-AU"/>
        </w:rPr>
        <w:t>Dialogue with church agencies during the design process revealed openness to strengthening the motivational/awareness raising role of these networks. During the Inception Phase, the T</w:t>
      </w:r>
      <w:r w:rsidR="00755914" w:rsidRPr="00060D11">
        <w:rPr>
          <w:rFonts w:cstheme="minorHAnsi"/>
          <w:lang w:eastAsia="en-AU"/>
        </w:rPr>
        <w:t xml:space="preserve">eam </w:t>
      </w:r>
      <w:r w:rsidRPr="00060D11">
        <w:rPr>
          <w:rFonts w:cstheme="minorHAnsi"/>
          <w:lang w:eastAsia="en-AU"/>
        </w:rPr>
        <w:t>L</w:t>
      </w:r>
      <w:r w:rsidR="00755914" w:rsidRPr="00060D11">
        <w:rPr>
          <w:rFonts w:cstheme="minorHAnsi"/>
          <w:lang w:eastAsia="en-AU"/>
        </w:rPr>
        <w:t>eader</w:t>
      </w:r>
      <w:r w:rsidRPr="00060D11">
        <w:rPr>
          <w:rFonts w:cstheme="minorHAnsi"/>
          <w:lang w:eastAsia="en-AU"/>
        </w:rPr>
        <w:t xml:space="preserve"> would take these discussions further to the point of preparing partners to enter into formal agreements.</w:t>
      </w:r>
    </w:p>
    <w:p w14:paraId="24485F37" w14:textId="7B87FB44" w:rsidR="001F26A6" w:rsidRPr="00060D11" w:rsidRDefault="001F26A6" w:rsidP="004E780D">
      <w:pPr>
        <w:spacing w:after="120" w:line="276" w:lineRule="auto"/>
        <w:rPr>
          <w:rFonts w:cstheme="minorHAnsi"/>
          <w:lang w:eastAsia="en-AU"/>
        </w:rPr>
      </w:pPr>
      <w:r w:rsidRPr="00060D11">
        <w:rPr>
          <w:rFonts w:cstheme="minorHAnsi"/>
          <w:lang w:eastAsia="en-AU"/>
        </w:rPr>
        <w:t xml:space="preserve">While the PIE may provide these networks with training and support to carry out the work in the target provinces during the lifetime of the investment, these networks will continue to exist after the investment concludes. Moreover, if the motivational/awareness raising work is perceived to be valuable by the church networks and communities they serve, these networks have a range of options available for receiving on-going funding from international church donors. </w:t>
      </w:r>
    </w:p>
    <w:p w14:paraId="07798731" w14:textId="2ABF6201" w:rsidR="001F26A6" w:rsidRPr="00060D11" w:rsidRDefault="001F26A6" w:rsidP="004E780D">
      <w:pPr>
        <w:spacing w:after="120" w:line="276" w:lineRule="auto"/>
        <w:rPr>
          <w:rFonts w:cstheme="minorHAnsi"/>
          <w:lang w:eastAsia="en-AU"/>
        </w:rPr>
      </w:pPr>
      <w:r w:rsidRPr="00060D11">
        <w:rPr>
          <w:rFonts w:cstheme="minorHAnsi"/>
          <w:b/>
          <w:bCs/>
          <w:lang w:eastAsia="en-AU"/>
        </w:rPr>
        <w:t xml:space="preserve">Action research into mechanisms for incentivising gender balanced and socially inclusive enrolments: </w:t>
      </w:r>
      <w:r w:rsidRPr="00060D11">
        <w:rPr>
          <w:rFonts w:cstheme="minorHAnsi"/>
          <w:lang w:eastAsia="en-AU"/>
        </w:rPr>
        <w:t xml:space="preserve">The evidence reviewed, as well as the results of consultations, indicate that motivation/awareness raising will not significantly influence enrolments/retention unless it is recognised that low-income families simply cannot afford to enrol and keep their children in school - or certainly not their girl children or </w:t>
      </w:r>
      <w:r w:rsidR="004F1B7A" w:rsidRPr="00060D11">
        <w:rPr>
          <w:rFonts w:cstheme="minorHAnsi"/>
          <w:lang w:eastAsia="en-AU"/>
        </w:rPr>
        <w:t>CWD</w:t>
      </w:r>
      <w:r w:rsidRPr="00060D11">
        <w:rPr>
          <w:rFonts w:cstheme="minorHAnsi"/>
          <w:lang w:eastAsia="en-AU"/>
        </w:rPr>
        <w:t xml:space="preserve">. </w:t>
      </w:r>
    </w:p>
    <w:p w14:paraId="5C441DD8" w14:textId="29D06F46" w:rsidR="001F26A6" w:rsidRPr="00060D11" w:rsidRDefault="001F26A6" w:rsidP="004E780D">
      <w:pPr>
        <w:spacing w:after="120" w:line="276" w:lineRule="auto"/>
        <w:rPr>
          <w:rFonts w:eastAsia="Calibri" w:cstheme="minorHAnsi"/>
          <w:bCs/>
        </w:rPr>
      </w:pPr>
      <w:r w:rsidRPr="00060D11">
        <w:rPr>
          <w:rFonts w:cstheme="minorHAnsi"/>
          <w:lang w:eastAsia="en-AU"/>
        </w:rPr>
        <w:t>The evidence is clear that</w:t>
      </w:r>
      <w:r w:rsidRPr="00060D11">
        <w:rPr>
          <w:rFonts w:eastAsia="Calibri" w:cstheme="minorHAnsi"/>
          <w:bCs/>
        </w:rPr>
        <w:t xml:space="preserve"> school fees ha</w:t>
      </w:r>
      <w:r w:rsidR="00C9787C" w:rsidRPr="00060D11">
        <w:rPr>
          <w:rFonts w:eastAsia="Calibri" w:cstheme="minorHAnsi"/>
          <w:bCs/>
        </w:rPr>
        <w:t>ve</w:t>
      </w:r>
      <w:r w:rsidRPr="00060D11">
        <w:rPr>
          <w:rFonts w:eastAsia="Calibri" w:cstheme="minorHAnsi"/>
          <w:bCs/>
        </w:rPr>
        <w:t xml:space="preserve"> a strong negative impact on the participation of girls and </w:t>
      </w:r>
      <w:r w:rsidR="004F1B7A" w:rsidRPr="00060D11">
        <w:rPr>
          <w:rFonts w:eastAsia="Calibri" w:cstheme="minorHAnsi"/>
          <w:bCs/>
        </w:rPr>
        <w:t>CWD</w:t>
      </w:r>
      <w:r w:rsidRPr="00060D11">
        <w:rPr>
          <w:rFonts w:eastAsia="Calibri" w:cstheme="minorHAnsi"/>
          <w:bCs/>
        </w:rPr>
        <w:t xml:space="preserve">. While there is no disputing the evidence, the question of </w:t>
      </w:r>
      <w:r w:rsidRPr="00060D11">
        <w:rPr>
          <w:rFonts w:eastAsia="Calibri" w:cstheme="minorHAnsi"/>
          <w:bCs/>
          <w:i/>
          <w:iCs/>
        </w:rPr>
        <w:t>how</w:t>
      </w:r>
      <w:r w:rsidRPr="00060D11">
        <w:rPr>
          <w:rFonts w:eastAsia="Calibri" w:cstheme="minorHAnsi"/>
          <w:bCs/>
        </w:rPr>
        <w:t xml:space="preserve"> to incentivise enrolment/retention requires considerable further work. </w:t>
      </w:r>
    </w:p>
    <w:p w14:paraId="3C39C667" w14:textId="3E54721C" w:rsidR="001F26A6" w:rsidRPr="00060D11" w:rsidRDefault="001F26A6" w:rsidP="004E780D">
      <w:pPr>
        <w:spacing w:after="120" w:line="276" w:lineRule="auto"/>
        <w:rPr>
          <w:rFonts w:eastAsia="Calibri" w:cstheme="minorHAnsi"/>
        </w:rPr>
      </w:pPr>
      <w:r w:rsidRPr="00060D11">
        <w:rPr>
          <w:rFonts w:eastAsia="Calibri" w:cstheme="minorHAnsi"/>
        </w:rPr>
        <w:t xml:space="preserve">During the Inception Phase the </w:t>
      </w:r>
      <w:r w:rsidR="005662DB" w:rsidRPr="00060D11">
        <w:rPr>
          <w:rFonts w:eastAsia="Calibri" w:cstheme="minorHAnsi"/>
        </w:rPr>
        <w:t>managing contractor</w:t>
      </w:r>
      <w:r w:rsidRPr="00060D11">
        <w:rPr>
          <w:rFonts w:eastAsia="Calibri" w:cstheme="minorHAnsi"/>
        </w:rPr>
        <w:t xml:space="preserve"> will be tasked to carry out an action-research initiative, to explore the feasibility of, and approaches to, </w:t>
      </w:r>
      <w:r w:rsidR="00E83E53" w:rsidRPr="00060D11">
        <w:rPr>
          <w:rFonts w:eastAsia="Calibri" w:cstheme="minorHAnsi"/>
        </w:rPr>
        <w:t>trialling</w:t>
      </w:r>
      <w:r w:rsidRPr="00060D11">
        <w:rPr>
          <w:rFonts w:eastAsia="Calibri" w:cstheme="minorHAnsi"/>
        </w:rPr>
        <w:t xml:space="preserve"> a cash transfer mechanism to support enrolment/retention in targeted provinces. The results of the action-research would guide use of the AQEFA fund to achieve gender balanced and inclusive enrolments/retention in targeted provinces during Phase 1. </w:t>
      </w:r>
    </w:p>
    <w:p w14:paraId="0F7D3C95" w14:textId="77777777" w:rsidR="001F26A6" w:rsidRPr="00060D11" w:rsidRDefault="001F26A6" w:rsidP="004E780D">
      <w:pPr>
        <w:spacing w:after="120" w:line="276" w:lineRule="auto"/>
        <w:rPr>
          <w:rFonts w:ascii="Calibri" w:eastAsia="Calibri" w:hAnsi="Calibri" w:cs="Calibri"/>
          <w:color w:val="2F5496" w:themeColor="accent1" w:themeShade="BF"/>
          <w:szCs w:val="32"/>
          <w:lang w:eastAsia="en-AU"/>
        </w:rPr>
      </w:pPr>
      <w:r w:rsidRPr="00060D11">
        <w:rPr>
          <w:rFonts w:ascii="Calibri" w:eastAsia="Calibri" w:hAnsi="Calibri" w:cs="Calibri"/>
        </w:rPr>
        <w:br w:type="page"/>
      </w:r>
    </w:p>
    <w:p w14:paraId="5289C777" w14:textId="77777777" w:rsidR="001F26A6" w:rsidRPr="00060D11" w:rsidRDefault="001F26A6" w:rsidP="00A15506">
      <w:pPr>
        <w:pStyle w:val="Heading1"/>
        <w:numPr>
          <w:ilvl w:val="0"/>
          <w:numId w:val="54"/>
        </w:numPr>
        <w:suppressAutoHyphens/>
        <w:spacing w:before="0" w:line="380" w:lineRule="exact"/>
        <w:ind w:hanging="720"/>
        <w:contextualSpacing/>
        <w:rPr>
          <w:b/>
          <w:bCs/>
          <w:color w:val="44546A" w:themeColor="text2"/>
          <w:sz w:val="38"/>
          <w:szCs w:val="38"/>
          <w:lang w:val="en-GB"/>
        </w:rPr>
      </w:pPr>
      <w:bookmarkStart w:id="63" w:name="_Toc72913175"/>
      <w:bookmarkStart w:id="64" w:name="_Toc72913223"/>
      <w:bookmarkStart w:id="65" w:name="_Toc14017471"/>
      <w:bookmarkStart w:id="66" w:name="_Toc82182421"/>
      <w:bookmarkEnd w:id="62"/>
      <w:bookmarkEnd w:id="63"/>
      <w:bookmarkEnd w:id="64"/>
      <w:r w:rsidRPr="00060D11">
        <w:rPr>
          <w:b/>
          <w:bCs/>
          <w:noProof/>
          <w:color w:val="44546A" w:themeColor="text2"/>
          <w:sz w:val="38"/>
          <w:szCs w:val="38"/>
          <w:lang w:val="en-GB"/>
        </w:rPr>
        <w:drawing>
          <wp:anchor distT="0" distB="0" distL="114300" distR="114300" simplePos="0" relativeHeight="251738112" behindDoc="1" locked="1" layoutInCell="1" allowOverlap="1" wp14:anchorId="408E10C3" wp14:editId="50DE2A14">
            <wp:simplePos x="0" y="0"/>
            <wp:positionH relativeFrom="page">
              <wp:posOffset>-7620</wp:posOffset>
            </wp:positionH>
            <wp:positionV relativeFrom="page">
              <wp:posOffset>-38100</wp:posOffset>
            </wp:positionV>
            <wp:extent cx="7559675" cy="2519680"/>
            <wp:effectExtent l="0" t="0" r="0" b="0"/>
            <wp:wrapNone/>
            <wp:docPr id="147" name="Picture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a:extLst>
                        <a:ext uri="{C183D7F6-B498-43B3-948B-1728B52AA6E4}">
                          <adec:decorative xmlns:adec="http://schemas.microsoft.com/office/drawing/2017/decorative" val="1"/>
                        </a:ext>
                      </a:extLst>
                    </pic:cNvPr>
                    <pic:cNvPicPr/>
                  </pic:nvPicPr>
                  <pic:blipFill>
                    <a:blip r:embed="rId10" cstate="print">
                      <a:duotone>
                        <a:prstClr val="black"/>
                        <a:srgbClr val="007C89">
                          <a:tint val="45000"/>
                          <a:satMod val="400000"/>
                        </a:srgbClr>
                      </a:duotone>
                      <a:extLst>
                        <a:ext uri="{BEBA8EAE-BF5A-486C-A8C5-ECC9F3942E4B}">
                          <a14:imgProps xmlns:a14="http://schemas.microsoft.com/office/drawing/2010/main">
                            <a14:imgLayer r:embed="rId11">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7559675" cy="2519680"/>
                    </a:xfrm>
                    <a:prstGeom prst="rect">
                      <a:avLst/>
                    </a:prstGeom>
                    <a:ln>
                      <a:noFill/>
                    </a:ln>
                  </pic:spPr>
                </pic:pic>
              </a:graphicData>
            </a:graphic>
            <wp14:sizeRelH relativeFrom="margin">
              <wp14:pctWidth>0</wp14:pctWidth>
            </wp14:sizeRelH>
            <wp14:sizeRelV relativeFrom="margin">
              <wp14:pctHeight>0</wp14:pctHeight>
            </wp14:sizeRelV>
          </wp:anchor>
        </w:drawing>
      </w:r>
      <w:r w:rsidRPr="00060D11">
        <w:rPr>
          <w:b/>
          <w:bCs/>
          <w:color w:val="44546A" w:themeColor="text2"/>
          <w:sz w:val="38"/>
          <w:szCs w:val="38"/>
          <w:lang w:val="en-GB"/>
        </w:rPr>
        <w:t>MONITORING AND EVALUATION</w:t>
      </w:r>
      <w:bookmarkEnd w:id="65"/>
      <w:bookmarkEnd w:id="66"/>
    </w:p>
    <w:p w14:paraId="0AB607EF" w14:textId="77777777" w:rsidR="001F26A6" w:rsidRPr="00060D11" w:rsidRDefault="001F26A6" w:rsidP="001F26A6">
      <w:pPr>
        <w:rPr>
          <w:b/>
          <w:bCs/>
          <w:sz w:val="38"/>
          <w:szCs w:val="38"/>
        </w:rPr>
      </w:pPr>
    </w:p>
    <w:p w14:paraId="045B1E4A" w14:textId="77777777" w:rsidR="001F26A6" w:rsidRPr="00060D11" w:rsidRDefault="001F26A6" w:rsidP="001F26A6"/>
    <w:p w14:paraId="36A5B4C8" w14:textId="77777777" w:rsidR="001F26A6" w:rsidRPr="00060D11" w:rsidRDefault="001F26A6" w:rsidP="001F26A6"/>
    <w:p w14:paraId="0075397D" w14:textId="77777777" w:rsidR="00AC33F3" w:rsidRPr="00060D11" w:rsidRDefault="00AC33F3" w:rsidP="001F26A6">
      <w:pPr>
        <w:rPr>
          <w:rFonts w:asciiTheme="majorHAnsi" w:hAnsiTheme="majorHAnsi" w:cstheme="majorHAnsi"/>
          <w:b/>
          <w:sz w:val="32"/>
          <w:szCs w:val="32"/>
        </w:rPr>
      </w:pPr>
    </w:p>
    <w:p w14:paraId="0E152378" w14:textId="3E9BF791" w:rsidR="001F26A6" w:rsidRPr="00060D11" w:rsidRDefault="001F26A6" w:rsidP="00C04736">
      <w:pPr>
        <w:pStyle w:val="Heading2"/>
      </w:pPr>
      <w:r w:rsidRPr="00060D11">
        <w:t>F.1</w:t>
      </w:r>
      <w:r w:rsidRPr="00060D11">
        <w:tab/>
        <w:t>MERL APPROACH</w:t>
      </w:r>
    </w:p>
    <w:p w14:paraId="5BFE58A8" w14:textId="77777777" w:rsidR="001F26A6" w:rsidRPr="00060D11" w:rsidRDefault="001F26A6" w:rsidP="004E780D">
      <w:pPr>
        <w:spacing w:after="120" w:line="276" w:lineRule="auto"/>
      </w:pPr>
      <w:r w:rsidRPr="00060D11">
        <w:t xml:space="preserve">It is important to recall </w:t>
      </w:r>
      <w:r w:rsidRPr="00060D11">
        <w:rPr>
          <w:i/>
        </w:rPr>
        <w:t>what</w:t>
      </w:r>
      <w:r w:rsidRPr="00060D11">
        <w:t xml:space="preserve"> changes the PIE investment is aiming to achieve and </w:t>
      </w:r>
      <w:r w:rsidRPr="00060D11">
        <w:rPr>
          <w:i/>
        </w:rPr>
        <w:t>how</w:t>
      </w:r>
      <w:r w:rsidRPr="00060D11">
        <w:t xml:space="preserve"> these changes are expected to occur as this determines the appropriate MERL approach. </w:t>
      </w:r>
    </w:p>
    <w:p w14:paraId="479C095C" w14:textId="6203B3D5" w:rsidR="001F26A6" w:rsidRPr="00060D11" w:rsidRDefault="001F26A6" w:rsidP="004E780D">
      <w:pPr>
        <w:spacing w:after="120" w:line="276" w:lineRule="auto"/>
      </w:pPr>
      <w:r w:rsidRPr="00060D11">
        <w:t>The PIE investment will work at the sub-national level, in four provinces (Sandaun</w:t>
      </w:r>
      <w:r w:rsidR="00DD2188" w:rsidRPr="00060D11">
        <w:t xml:space="preserve">, </w:t>
      </w:r>
      <w:r w:rsidRPr="00060D11">
        <w:t>Enga</w:t>
      </w:r>
      <w:r w:rsidR="00DD2188" w:rsidRPr="00060D11">
        <w:t>,</w:t>
      </w:r>
      <w:r w:rsidRPr="00060D11">
        <w:t xml:space="preserve"> Central and </w:t>
      </w:r>
      <w:r w:rsidR="005210D0" w:rsidRPr="00060D11">
        <w:t>ARoB</w:t>
      </w:r>
      <w:r w:rsidRPr="00060D11">
        <w:t xml:space="preserve">). As envisaged in the PNG Education Act 1983, the investment will recognise the importance of engaging a broad range of education system stakeholders including parents, community members, churches, local government and partners. The investment will support the development of effective approaches to address two major challenges to the achievement of early grades learning outcomes, namely, static enrolments/declining retention in the early grades and </w:t>
      </w:r>
      <w:r w:rsidR="0088165C" w:rsidRPr="00060D11">
        <w:t>low skilled</w:t>
      </w:r>
      <w:r w:rsidRPr="00060D11">
        <w:t xml:space="preserve"> teachers. </w:t>
      </w:r>
    </w:p>
    <w:p w14:paraId="481FF094" w14:textId="3A26E094" w:rsidR="001F26A6" w:rsidRPr="00060D11" w:rsidRDefault="001F26A6" w:rsidP="004E780D">
      <w:pPr>
        <w:spacing w:after="120" w:line="276" w:lineRule="auto"/>
      </w:pPr>
      <w:r w:rsidRPr="00060D11">
        <w:t xml:space="preserve">In parallel, the PIE investment will support and help build NDoE </w:t>
      </w:r>
      <w:r w:rsidR="00D4563C" w:rsidRPr="00060D11">
        <w:t>address system weaknesses</w:t>
      </w:r>
      <w:r w:rsidR="00FA37CE" w:rsidRPr="00060D11">
        <w:t xml:space="preserve"> and improve their </w:t>
      </w:r>
      <w:r w:rsidRPr="00060D11">
        <w:t>capacity to capture, analyse and use sub-national performance information (particularly evidence arising from implementation of the program in the targeted provinces) to enhance the functionality and sustainability of the education system. This information will also be utilised to enhance policy dialogue between NDoE and AHC on education service delivery.</w:t>
      </w:r>
    </w:p>
    <w:p w14:paraId="0C5D35A9" w14:textId="77777777" w:rsidR="001F26A6" w:rsidRPr="00060D11" w:rsidRDefault="001F26A6" w:rsidP="004E780D">
      <w:pPr>
        <w:spacing w:after="120" w:line="276" w:lineRule="auto"/>
      </w:pPr>
      <w:r w:rsidRPr="00060D11">
        <w:t xml:space="preserve">With Australia’s assistance, NDoE’s Education Management Information System (EMIS) captures information on </w:t>
      </w:r>
      <w:r w:rsidRPr="00060D11">
        <w:rPr>
          <w:i/>
          <w:iCs/>
        </w:rPr>
        <w:t>what</w:t>
      </w:r>
      <w:r w:rsidRPr="00060D11">
        <w:t xml:space="preserve"> is being achieved, referred to in the NEP as ‘results-based monitoring’</w:t>
      </w:r>
      <w:r w:rsidRPr="00060D11">
        <w:rPr>
          <w:rStyle w:val="FootnoteReference"/>
        </w:rPr>
        <w:footnoteReference w:id="76"/>
      </w:r>
      <w:r w:rsidRPr="00060D11">
        <w:t xml:space="preserve">. This includes information, for example, on enrolments and retention of early grade students, as well as percentage of teachers with qualifications, pupil teacher ratios, teachers access to in-service training and so on.   </w:t>
      </w:r>
    </w:p>
    <w:p w14:paraId="6EE04A57" w14:textId="00824F08" w:rsidR="001F26A6" w:rsidRPr="00060D11" w:rsidRDefault="001F26A6" w:rsidP="004E780D">
      <w:pPr>
        <w:spacing w:after="120" w:line="276" w:lineRule="auto"/>
      </w:pPr>
      <w:r w:rsidRPr="00060D11">
        <w:t xml:space="preserve">However, the EMIS is not able to provide dynamic information about </w:t>
      </w:r>
      <w:r w:rsidRPr="00060D11">
        <w:rPr>
          <w:i/>
          <w:iCs/>
        </w:rPr>
        <w:t>how</w:t>
      </w:r>
      <w:r w:rsidRPr="00060D11">
        <w:t xml:space="preserve"> progress is (or is not) being achieved and to identify impediments to the achievement of outcomes. This type of monitoring, referred to in the NEP as ’Implementation </w:t>
      </w:r>
      <w:r w:rsidR="00EF13E1" w:rsidRPr="00060D11">
        <w:t>M</w:t>
      </w:r>
      <w:r w:rsidRPr="00060D11">
        <w:t>onitoring</w:t>
      </w:r>
      <w:r w:rsidRPr="00060D11">
        <w:rPr>
          <w:rStyle w:val="FootnoteReference"/>
        </w:rPr>
        <w:footnoteReference w:id="77"/>
      </w:r>
      <w:r w:rsidRPr="00060D11">
        <w:t>’ is in an early stage of development.</w:t>
      </w:r>
    </w:p>
    <w:p w14:paraId="2D90E36B" w14:textId="77777777" w:rsidR="001F26A6" w:rsidRPr="00060D11" w:rsidRDefault="001F26A6" w:rsidP="004E780D">
      <w:pPr>
        <w:spacing w:after="120" w:line="276" w:lineRule="auto"/>
      </w:pPr>
      <w:r w:rsidRPr="00060D11">
        <w:t>Australia will continue to support the development of the EMIS. In addition, the ‘value-add’ of the investment level MERL system must be continuous monitoring and provision of information on, for example, the links between:</w:t>
      </w:r>
    </w:p>
    <w:p w14:paraId="2A71446F" w14:textId="221EA167" w:rsidR="001F26A6" w:rsidRPr="00060D11" w:rsidRDefault="001F26A6" w:rsidP="004E780D">
      <w:pPr>
        <w:pStyle w:val="ListParagraph"/>
        <w:numPr>
          <w:ilvl w:val="0"/>
          <w:numId w:val="35"/>
        </w:numPr>
        <w:spacing w:after="120" w:line="276" w:lineRule="auto"/>
        <w:rPr>
          <w:sz w:val="22"/>
        </w:rPr>
      </w:pPr>
      <w:r w:rsidRPr="00060D11">
        <w:rPr>
          <w:sz w:val="22"/>
        </w:rPr>
        <w:t>measures to pro-actively engage parents and improve enrolments and retention</w:t>
      </w:r>
      <w:r w:rsidR="00EF13E1" w:rsidRPr="00060D11">
        <w:rPr>
          <w:sz w:val="22"/>
        </w:rPr>
        <w:t>;</w:t>
      </w:r>
    </w:p>
    <w:p w14:paraId="565B1184" w14:textId="420126EA" w:rsidR="001F26A6" w:rsidRPr="00060D11" w:rsidRDefault="001F26A6" w:rsidP="004E780D">
      <w:pPr>
        <w:pStyle w:val="ListParagraph"/>
        <w:numPr>
          <w:ilvl w:val="0"/>
          <w:numId w:val="35"/>
        </w:numPr>
        <w:spacing w:after="120" w:line="276" w:lineRule="auto"/>
        <w:rPr>
          <w:sz w:val="22"/>
        </w:rPr>
      </w:pPr>
      <w:r w:rsidRPr="00060D11">
        <w:rPr>
          <w:sz w:val="22"/>
        </w:rPr>
        <w:t>measures to specifically encourage the enrolment and retention of girl children and changes in the school level GPI</w:t>
      </w:r>
      <w:r w:rsidR="00EF13E1" w:rsidRPr="00060D11">
        <w:rPr>
          <w:sz w:val="22"/>
        </w:rPr>
        <w:t>;</w:t>
      </w:r>
      <w:r w:rsidR="00443561" w:rsidRPr="00060D11">
        <w:rPr>
          <w:sz w:val="22"/>
        </w:rPr>
        <w:t xml:space="preserve"> and</w:t>
      </w:r>
    </w:p>
    <w:p w14:paraId="7EBBE1D2" w14:textId="3CB87868" w:rsidR="001F26A6" w:rsidRPr="00060D11" w:rsidRDefault="001F26A6" w:rsidP="004E780D">
      <w:pPr>
        <w:pStyle w:val="ListParagraph"/>
        <w:numPr>
          <w:ilvl w:val="0"/>
          <w:numId w:val="35"/>
        </w:numPr>
        <w:spacing w:after="120" w:line="276" w:lineRule="auto"/>
        <w:rPr>
          <w:sz w:val="22"/>
        </w:rPr>
      </w:pPr>
      <w:r w:rsidRPr="00060D11">
        <w:rPr>
          <w:sz w:val="22"/>
        </w:rPr>
        <w:t xml:space="preserve">measures to strengthen local education leadership (at district, community and school levels) and improved quality of SLIPs. </w:t>
      </w:r>
    </w:p>
    <w:p w14:paraId="08D33293" w14:textId="77777777" w:rsidR="001F26A6" w:rsidRPr="00060D11" w:rsidRDefault="001F26A6" w:rsidP="004E780D">
      <w:pPr>
        <w:widowControl w:val="0"/>
        <w:spacing w:after="120" w:line="276" w:lineRule="auto"/>
      </w:pPr>
    </w:p>
    <w:p w14:paraId="2947D97E" w14:textId="0BEFFAD0" w:rsidR="001F26A6" w:rsidRPr="00060D11" w:rsidRDefault="001F26A6" w:rsidP="004E780D">
      <w:pPr>
        <w:widowControl w:val="0"/>
        <w:spacing w:after="120" w:line="276" w:lineRule="auto"/>
        <w:rPr>
          <w:color w:val="FF0000"/>
        </w:rPr>
      </w:pPr>
      <w:r w:rsidRPr="00060D11">
        <w:t xml:space="preserve">These changes would not be expected to happen quickly (see Figure </w:t>
      </w:r>
      <w:r w:rsidR="00FC4782" w:rsidRPr="00060D11">
        <w:t>2</w:t>
      </w:r>
      <w:r w:rsidRPr="00060D11">
        <w:t xml:space="preserve">); however desired changes can be facilitated </w:t>
      </w:r>
      <w:r w:rsidR="00A03D8B" w:rsidRPr="00060D11">
        <w:t xml:space="preserve">by </w:t>
      </w:r>
      <w:r w:rsidR="00281F1A" w:rsidRPr="00060D11">
        <w:t xml:space="preserve">participatory processes </w:t>
      </w:r>
      <w:r w:rsidR="00A03D8B" w:rsidRPr="00060D11">
        <w:t xml:space="preserve">to </w:t>
      </w:r>
      <w:r w:rsidR="00C12780" w:rsidRPr="00060D11">
        <w:t>diagnose problems</w:t>
      </w:r>
      <w:r w:rsidR="00A03D8B" w:rsidRPr="00060D11">
        <w:t xml:space="preserve"> </w:t>
      </w:r>
      <w:r w:rsidR="00314F7D" w:rsidRPr="00060D11">
        <w:t xml:space="preserve">and </w:t>
      </w:r>
      <w:r w:rsidR="00DD16CB" w:rsidRPr="00060D11">
        <w:t xml:space="preserve">support </w:t>
      </w:r>
      <w:r w:rsidR="005A3460" w:rsidRPr="00060D11">
        <w:t xml:space="preserve">for </w:t>
      </w:r>
      <w:r w:rsidR="00DD16CB" w:rsidRPr="00060D11">
        <w:t>politically informed solutions</w:t>
      </w:r>
      <w:r w:rsidRPr="00060D11">
        <w:t xml:space="preserve">. For example, by placing technical support in NDoE, working directly with a senior NDoE official and informing the work of NDoE’s Research and Evaluation Division, </w:t>
      </w:r>
      <w:r w:rsidR="00C21E45" w:rsidRPr="00060D11">
        <w:t>PIE</w:t>
      </w:r>
      <w:r w:rsidRPr="00060D11">
        <w:t xml:space="preserve"> has the opportunity to assist and guide NDoE to not only periodically monitor the process and results of implementing key policy directives, but also to improve institutional performance in real time, what is referred to from DFAT’s perspective, as a ‘continuous improvement’ approach. </w:t>
      </w:r>
    </w:p>
    <w:p w14:paraId="446F7111" w14:textId="77777777" w:rsidR="001F26A6" w:rsidRPr="00060D11" w:rsidRDefault="001F26A6" w:rsidP="00C04736">
      <w:pPr>
        <w:pStyle w:val="Heading2"/>
      </w:pPr>
      <w:r w:rsidRPr="00060D11">
        <w:t>F.2</w:t>
      </w:r>
      <w:r w:rsidRPr="00060D11">
        <w:tab/>
        <w:t>MERL PLAN</w:t>
      </w:r>
    </w:p>
    <w:p w14:paraId="02517F28" w14:textId="48AA6261" w:rsidR="001F26A6" w:rsidRPr="00060D11" w:rsidRDefault="001F26A6" w:rsidP="004E780D">
      <w:pPr>
        <w:spacing w:after="120" w:line="276" w:lineRule="auto"/>
      </w:pPr>
      <w:r w:rsidRPr="00060D11">
        <w:t xml:space="preserve">A MERL Framework at Design, including an embryonic Performance Assessment Framework, is attached as Appendix E. </w:t>
      </w:r>
      <w:r w:rsidRPr="00060D11">
        <w:rPr>
          <w:rFonts w:cstheme="minorHAnsi"/>
        </w:rPr>
        <w:t xml:space="preserve">This Plan does </w:t>
      </w:r>
      <w:r w:rsidRPr="00060D11">
        <w:rPr>
          <w:rFonts w:cstheme="minorHAnsi"/>
          <w:i/>
        </w:rPr>
        <w:t xml:space="preserve">not </w:t>
      </w:r>
      <w:r w:rsidRPr="00060D11">
        <w:rPr>
          <w:rFonts w:cstheme="minorHAnsi"/>
        </w:rPr>
        <w:t xml:space="preserve">set out a complete MERL system but provides the basis for developing such a system. During the Inception Phase, a MERL Adviser would be tasked to </w:t>
      </w:r>
      <w:r w:rsidR="001557B9" w:rsidRPr="00060D11">
        <w:rPr>
          <w:rFonts w:cstheme="minorHAnsi"/>
        </w:rPr>
        <w:t>d</w:t>
      </w:r>
      <w:r w:rsidRPr="00060D11">
        <w:rPr>
          <w:rFonts w:cstheme="minorHAnsi"/>
        </w:rPr>
        <w:t xml:space="preserve">evelop this MERL Framework into a full MERL system. This system would comprise performance indicators, detailed methodology, implementation responsibilities, timelines and budget and should be prepared in accordance with DFAT’s latest M&amp;E Standards. The MERL System developed during the Inception </w:t>
      </w:r>
      <w:r w:rsidR="00EF13E1" w:rsidRPr="00060D11">
        <w:rPr>
          <w:rFonts w:cstheme="minorHAnsi"/>
        </w:rPr>
        <w:t xml:space="preserve">Phase </w:t>
      </w:r>
      <w:r w:rsidRPr="00060D11">
        <w:rPr>
          <w:rFonts w:cstheme="minorHAnsi"/>
        </w:rPr>
        <w:t>will be ready for use at the commencement of Phase 1.</w:t>
      </w:r>
      <w:r w:rsidRPr="00060D11">
        <w:t xml:space="preserve"> </w:t>
      </w:r>
    </w:p>
    <w:p w14:paraId="763CD14D" w14:textId="304BA469" w:rsidR="001F26A6" w:rsidRPr="00060D11" w:rsidRDefault="001F26A6" w:rsidP="004E780D">
      <w:pPr>
        <w:pStyle w:val="BodyText"/>
        <w:spacing w:after="120" w:line="276" w:lineRule="auto"/>
        <w:ind w:left="0" w:right="120"/>
        <w:rPr>
          <w:rFonts w:asciiTheme="minorHAnsi" w:hAnsiTheme="minorHAnsi" w:cstheme="minorHAnsi"/>
          <w:color w:val="44546A" w:themeColor="text2"/>
          <w:lang w:val="en-GB"/>
        </w:rPr>
      </w:pPr>
      <w:r w:rsidRPr="00060D11">
        <w:rPr>
          <w:rFonts w:asciiTheme="minorHAnsi" w:hAnsiTheme="minorHAnsi" w:cstheme="minorHAnsi"/>
          <w:color w:val="44546A" w:themeColor="text2"/>
          <w:lang w:val="en-GB"/>
        </w:rPr>
        <w:t>In developing the full MERL system the following points should be taken into account:</w:t>
      </w:r>
    </w:p>
    <w:p w14:paraId="16367286" w14:textId="77777777" w:rsidR="001F26A6" w:rsidRPr="00060D11" w:rsidRDefault="001F26A6" w:rsidP="004E780D">
      <w:pPr>
        <w:pStyle w:val="BodyText"/>
        <w:spacing w:after="120" w:line="276" w:lineRule="auto"/>
        <w:ind w:left="0" w:right="120"/>
        <w:rPr>
          <w:rFonts w:asciiTheme="minorHAnsi" w:hAnsiTheme="minorHAnsi" w:cstheme="minorHAnsi"/>
          <w:color w:val="44546A" w:themeColor="text2"/>
          <w:lang w:val="en-GB"/>
        </w:rPr>
      </w:pPr>
      <w:r w:rsidRPr="00060D11">
        <w:rPr>
          <w:rFonts w:asciiTheme="minorHAnsi" w:hAnsiTheme="minorHAnsi" w:cstheme="minorHAnsi"/>
          <w:color w:val="44546A" w:themeColor="text2"/>
          <w:lang w:val="en-GB"/>
        </w:rPr>
        <w:t xml:space="preserve">The </w:t>
      </w:r>
      <w:r w:rsidRPr="00060D11">
        <w:rPr>
          <w:rFonts w:asciiTheme="minorHAnsi" w:hAnsiTheme="minorHAnsi" w:cstheme="minorHAnsi"/>
          <w:b/>
          <w:bCs/>
          <w:color w:val="44546A" w:themeColor="text2"/>
          <w:lang w:val="en-GB"/>
        </w:rPr>
        <w:t xml:space="preserve">primary audiences </w:t>
      </w:r>
      <w:r w:rsidRPr="00060D11">
        <w:rPr>
          <w:rFonts w:asciiTheme="minorHAnsi" w:hAnsiTheme="minorHAnsi" w:cstheme="minorHAnsi"/>
          <w:color w:val="44546A" w:themeColor="text2"/>
          <w:lang w:val="en-GB"/>
        </w:rPr>
        <w:t xml:space="preserve">for the information products will be NDoE; AHC; targeted provincial administrations; provincial education service providers (government and church); as well as district and school personnel actively engaged in demonstration trials. The </w:t>
      </w:r>
      <w:r w:rsidRPr="00060D11">
        <w:rPr>
          <w:rFonts w:asciiTheme="minorHAnsi" w:hAnsiTheme="minorHAnsi" w:cstheme="minorHAnsi"/>
          <w:b/>
          <w:bCs/>
          <w:color w:val="44546A" w:themeColor="text2"/>
          <w:lang w:val="en-GB"/>
        </w:rPr>
        <w:t>secondary audiences</w:t>
      </w:r>
      <w:r w:rsidRPr="00060D11">
        <w:rPr>
          <w:rFonts w:asciiTheme="minorHAnsi" w:hAnsiTheme="minorHAnsi" w:cstheme="minorHAnsi"/>
          <w:color w:val="44546A" w:themeColor="text2"/>
          <w:lang w:val="en-GB"/>
        </w:rPr>
        <w:t xml:space="preserve"> for the information products will be non-targeted provinces interested in the results of demonstration trials, as well as other donors working in the education sector.</w:t>
      </w:r>
    </w:p>
    <w:p w14:paraId="41D4371A" w14:textId="77777777" w:rsidR="001F26A6" w:rsidRPr="00060D11" w:rsidRDefault="001F26A6" w:rsidP="004E780D">
      <w:pPr>
        <w:pStyle w:val="BodyText"/>
        <w:spacing w:before="240" w:after="120" w:line="276" w:lineRule="auto"/>
        <w:ind w:left="0" w:right="120"/>
        <w:rPr>
          <w:rFonts w:asciiTheme="minorHAnsi" w:hAnsiTheme="minorHAnsi" w:cstheme="minorHAnsi"/>
          <w:color w:val="44546A" w:themeColor="text2"/>
          <w:lang w:val="en-GB"/>
        </w:rPr>
      </w:pPr>
      <w:r w:rsidRPr="00060D11">
        <w:rPr>
          <w:rFonts w:asciiTheme="minorHAnsi" w:hAnsiTheme="minorHAnsi" w:cstheme="minorHAnsi"/>
          <w:color w:val="44546A" w:themeColor="text2"/>
          <w:lang w:val="en-GB"/>
        </w:rPr>
        <w:t xml:space="preserve">The </w:t>
      </w:r>
      <w:r w:rsidRPr="00060D11">
        <w:rPr>
          <w:rFonts w:asciiTheme="minorHAnsi" w:hAnsiTheme="minorHAnsi" w:cstheme="minorHAnsi"/>
          <w:b/>
          <w:color w:val="44546A" w:themeColor="text2"/>
          <w:lang w:val="en-GB"/>
        </w:rPr>
        <w:t>purpose</w:t>
      </w:r>
      <w:r w:rsidRPr="00060D11">
        <w:rPr>
          <w:rFonts w:asciiTheme="minorHAnsi" w:hAnsiTheme="minorHAnsi" w:cstheme="minorHAnsi"/>
          <w:color w:val="44546A" w:themeColor="text2"/>
          <w:lang w:val="en-GB"/>
        </w:rPr>
        <w:t xml:space="preserve"> of MERL for the PIE investment is to:</w:t>
      </w:r>
    </w:p>
    <w:p w14:paraId="0552B1AC" w14:textId="60EF1633" w:rsidR="001F26A6" w:rsidRPr="00060D11" w:rsidRDefault="001F26A6" w:rsidP="004E780D">
      <w:pPr>
        <w:pStyle w:val="ListParagraph"/>
        <w:numPr>
          <w:ilvl w:val="0"/>
          <w:numId w:val="33"/>
        </w:numPr>
        <w:spacing w:after="120" w:line="276" w:lineRule="auto"/>
        <w:ind w:left="284" w:hanging="284"/>
        <w:contextualSpacing w:val="0"/>
        <w:rPr>
          <w:sz w:val="22"/>
        </w:rPr>
      </w:pPr>
      <w:r w:rsidRPr="00060D11">
        <w:rPr>
          <w:i/>
          <w:sz w:val="22"/>
        </w:rPr>
        <w:t>support evidence-based decision making</w:t>
      </w:r>
      <w:r w:rsidRPr="00060D11">
        <w:rPr>
          <w:b/>
          <w:sz w:val="22"/>
        </w:rPr>
        <w:t xml:space="preserve">: </w:t>
      </w:r>
      <w:r w:rsidRPr="00060D11">
        <w:rPr>
          <w:sz w:val="22"/>
        </w:rPr>
        <w:t>To provide accurate and reliable evidence that enables decision makers to continually adapt to maximise the extent to which the investment achieves the outcomes</w:t>
      </w:r>
      <w:r w:rsidR="00A96E2A" w:rsidRPr="00060D11">
        <w:rPr>
          <w:sz w:val="22"/>
        </w:rPr>
        <w:t>;</w:t>
      </w:r>
    </w:p>
    <w:p w14:paraId="5076C310" w14:textId="26342423" w:rsidR="001F26A6" w:rsidRPr="00060D11" w:rsidRDefault="001F26A6" w:rsidP="004E780D">
      <w:pPr>
        <w:pStyle w:val="ListParagraph"/>
        <w:numPr>
          <w:ilvl w:val="0"/>
          <w:numId w:val="33"/>
        </w:numPr>
        <w:spacing w:after="120" w:line="276" w:lineRule="auto"/>
        <w:ind w:left="284" w:hanging="284"/>
        <w:contextualSpacing w:val="0"/>
        <w:rPr>
          <w:sz w:val="22"/>
        </w:rPr>
      </w:pPr>
      <w:r w:rsidRPr="00060D11">
        <w:rPr>
          <w:i/>
          <w:sz w:val="22"/>
        </w:rPr>
        <w:t>enable learning</w:t>
      </w:r>
      <w:r w:rsidRPr="00060D11">
        <w:rPr>
          <w:b/>
          <w:sz w:val="22"/>
        </w:rPr>
        <w:t xml:space="preserve">: </w:t>
      </w:r>
      <w:r w:rsidRPr="00060D11">
        <w:rPr>
          <w:sz w:val="22"/>
        </w:rPr>
        <w:t xml:space="preserve">To enable </w:t>
      </w:r>
      <w:r w:rsidR="004234E5" w:rsidRPr="00060D11">
        <w:rPr>
          <w:sz w:val="22"/>
        </w:rPr>
        <w:t xml:space="preserve">the </w:t>
      </w:r>
      <w:r w:rsidR="005662DB" w:rsidRPr="00060D11">
        <w:rPr>
          <w:sz w:val="22"/>
        </w:rPr>
        <w:t>managing contractor</w:t>
      </w:r>
      <w:r w:rsidR="004234E5" w:rsidRPr="00060D11">
        <w:rPr>
          <w:sz w:val="22"/>
        </w:rPr>
        <w:t xml:space="preserve"> (T</w:t>
      </w:r>
      <w:r w:rsidR="00755914" w:rsidRPr="00060D11">
        <w:rPr>
          <w:sz w:val="22"/>
        </w:rPr>
        <w:t xml:space="preserve">eam </w:t>
      </w:r>
      <w:r w:rsidR="004234E5" w:rsidRPr="00060D11">
        <w:rPr>
          <w:sz w:val="22"/>
        </w:rPr>
        <w:t>L</w:t>
      </w:r>
      <w:r w:rsidR="00755914" w:rsidRPr="00060D11">
        <w:rPr>
          <w:sz w:val="22"/>
        </w:rPr>
        <w:t>eader</w:t>
      </w:r>
      <w:r w:rsidR="004234E5" w:rsidRPr="00060D11">
        <w:rPr>
          <w:sz w:val="22"/>
        </w:rPr>
        <w:t xml:space="preserve"> and </w:t>
      </w:r>
      <w:r w:rsidR="00A96E2A" w:rsidRPr="00060D11">
        <w:rPr>
          <w:sz w:val="22"/>
        </w:rPr>
        <w:t>P</w:t>
      </w:r>
      <w:r w:rsidRPr="00060D11">
        <w:rPr>
          <w:sz w:val="22"/>
        </w:rPr>
        <w:t xml:space="preserve">rovincial </w:t>
      </w:r>
      <w:r w:rsidR="00A96E2A" w:rsidRPr="00060D11">
        <w:rPr>
          <w:sz w:val="22"/>
        </w:rPr>
        <w:t>T</w:t>
      </w:r>
      <w:r w:rsidRPr="00060D11">
        <w:rPr>
          <w:sz w:val="22"/>
        </w:rPr>
        <w:t>eams</w:t>
      </w:r>
      <w:r w:rsidR="004234E5" w:rsidRPr="00060D11">
        <w:rPr>
          <w:sz w:val="22"/>
        </w:rPr>
        <w:t>)</w:t>
      </w:r>
      <w:r w:rsidRPr="00060D11">
        <w:rPr>
          <w:sz w:val="22"/>
        </w:rPr>
        <w:t xml:space="preserve"> and the NDoE to learn which activities, approaches and techniques prove to be most effective in improving access and equity (NEP Focus Areas 2 and 3); Teaching and Learning (NEP Focus Areas 4 and 5) and Partnership and Management (NEP Focus Areas 7 and 8)</w:t>
      </w:r>
      <w:r w:rsidR="00A96E2A" w:rsidRPr="00060D11">
        <w:rPr>
          <w:sz w:val="22"/>
        </w:rPr>
        <w:t>;</w:t>
      </w:r>
    </w:p>
    <w:p w14:paraId="772623C3" w14:textId="77777777" w:rsidR="001F26A6" w:rsidRPr="00060D11" w:rsidRDefault="001F26A6" w:rsidP="004E780D">
      <w:pPr>
        <w:pStyle w:val="ListParagraph"/>
        <w:numPr>
          <w:ilvl w:val="0"/>
          <w:numId w:val="33"/>
        </w:numPr>
        <w:spacing w:after="120" w:line="276" w:lineRule="auto"/>
        <w:ind w:left="284" w:hanging="284"/>
        <w:contextualSpacing w:val="0"/>
        <w:rPr>
          <w:sz w:val="22"/>
        </w:rPr>
      </w:pPr>
      <w:r w:rsidRPr="00060D11">
        <w:rPr>
          <w:i/>
          <w:sz w:val="22"/>
        </w:rPr>
        <w:t>provide accountability</w:t>
      </w:r>
      <w:r w:rsidRPr="00060D11">
        <w:rPr>
          <w:sz w:val="22"/>
        </w:rPr>
        <w:t xml:space="preserve"> for funds spent.</w:t>
      </w:r>
    </w:p>
    <w:p w14:paraId="0D36DFB6" w14:textId="77777777" w:rsidR="001F26A6" w:rsidRPr="00060D11" w:rsidRDefault="001F26A6" w:rsidP="004E780D">
      <w:pPr>
        <w:spacing w:after="120" w:line="276" w:lineRule="auto"/>
      </w:pPr>
      <w:r w:rsidRPr="00060D11">
        <w:t xml:space="preserve">The </w:t>
      </w:r>
      <w:r w:rsidRPr="00060D11">
        <w:rPr>
          <w:b/>
        </w:rPr>
        <w:t>principles</w:t>
      </w:r>
      <w:r w:rsidRPr="00060D11">
        <w:t xml:space="preserve"> underpinning the MERL system for the PIE investment are:</w:t>
      </w:r>
    </w:p>
    <w:p w14:paraId="0D3103F0" w14:textId="14E528FF" w:rsidR="001F26A6" w:rsidRPr="00060D11" w:rsidRDefault="001F26A6" w:rsidP="005B664D">
      <w:pPr>
        <w:pStyle w:val="ListParagraph"/>
        <w:numPr>
          <w:ilvl w:val="0"/>
          <w:numId w:val="34"/>
        </w:numPr>
        <w:spacing w:after="120" w:line="276" w:lineRule="auto"/>
        <w:ind w:left="284" w:hanging="284"/>
        <w:rPr>
          <w:sz w:val="22"/>
        </w:rPr>
      </w:pPr>
      <w:r w:rsidRPr="00060D11">
        <w:rPr>
          <w:i/>
          <w:sz w:val="22"/>
        </w:rPr>
        <w:t>shared responsibility</w:t>
      </w:r>
      <w:r w:rsidRPr="00060D11">
        <w:rPr>
          <w:sz w:val="22"/>
        </w:rPr>
        <w:t xml:space="preserve"> between stakeholders in reporting against work schedules and budgets</w:t>
      </w:r>
      <w:r w:rsidR="00A96E2A" w:rsidRPr="00060D11">
        <w:rPr>
          <w:sz w:val="22"/>
        </w:rPr>
        <w:t>;</w:t>
      </w:r>
      <w:r w:rsidRPr="00060D11">
        <w:rPr>
          <w:sz w:val="22"/>
        </w:rPr>
        <w:t xml:space="preserve"> </w:t>
      </w:r>
    </w:p>
    <w:p w14:paraId="2C70D838" w14:textId="396F0FFF" w:rsidR="001F26A6" w:rsidRPr="00060D11" w:rsidRDefault="001F26A6" w:rsidP="005B664D">
      <w:pPr>
        <w:pStyle w:val="ListParagraph"/>
        <w:numPr>
          <w:ilvl w:val="0"/>
          <w:numId w:val="34"/>
        </w:numPr>
        <w:spacing w:after="120" w:line="276" w:lineRule="auto"/>
        <w:ind w:left="284" w:hanging="284"/>
        <w:rPr>
          <w:sz w:val="22"/>
        </w:rPr>
      </w:pPr>
      <w:r w:rsidRPr="00060D11">
        <w:rPr>
          <w:i/>
          <w:sz w:val="22"/>
        </w:rPr>
        <w:t xml:space="preserve">building upon existing MERL arrangements; </w:t>
      </w:r>
      <w:r w:rsidRPr="00060D11">
        <w:rPr>
          <w:iCs/>
          <w:sz w:val="22"/>
        </w:rPr>
        <w:t xml:space="preserve">the indicators identified for results-based monitoring of progress will be those identified in the NEP MERL Framework; in addition, the MERL Adviser will work with the provincial teams and NDoE Research and Evaluation Division to agree on appropriate ways and means to measure </w:t>
      </w:r>
      <w:r w:rsidRPr="00060D11">
        <w:rPr>
          <w:i/>
          <w:sz w:val="22"/>
        </w:rPr>
        <w:t>how</w:t>
      </w:r>
      <w:r w:rsidRPr="00060D11">
        <w:rPr>
          <w:iCs/>
          <w:sz w:val="22"/>
        </w:rPr>
        <w:t xml:space="preserve"> progress towards the achievement of outcomes is achieved</w:t>
      </w:r>
      <w:r w:rsidR="00A96E2A" w:rsidRPr="00060D11">
        <w:rPr>
          <w:iCs/>
          <w:sz w:val="22"/>
        </w:rPr>
        <w:t>;</w:t>
      </w:r>
    </w:p>
    <w:p w14:paraId="0023A182" w14:textId="27D0B914" w:rsidR="001F26A6" w:rsidRPr="00060D11" w:rsidRDefault="001F26A6" w:rsidP="005B664D">
      <w:pPr>
        <w:pStyle w:val="ListParagraph"/>
        <w:numPr>
          <w:ilvl w:val="0"/>
          <w:numId w:val="34"/>
        </w:numPr>
        <w:spacing w:after="120" w:line="276" w:lineRule="auto"/>
        <w:rPr>
          <w:sz w:val="22"/>
        </w:rPr>
      </w:pPr>
      <w:r w:rsidRPr="00060D11">
        <w:rPr>
          <w:i/>
          <w:sz w:val="22"/>
        </w:rPr>
        <w:t>provision of MERL technical support</w:t>
      </w:r>
      <w:r w:rsidRPr="00060D11">
        <w:rPr>
          <w:sz w:val="22"/>
        </w:rPr>
        <w:t xml:space="preserve"> to NDoE to both strengthen their approach to monitoring and to ensure that the nature, as well as the performance and quality, of Australia’s contribution is monitored</w:t>
      </w:r>
      <w:r w:rsidR="00A96E2A" w:rsidRPr="00060D11">
        <w:rPr>
          <w:sz w:val="22"/>
        </w:rPr>
        <w:t>;</w:t>
      </w:r>
      <w:r w:rsidR="00443561" w:rsidRPr="00060D11">
        <w:rPr>
          <w:sz w:val="22"/>
        </w:rPr>
        <w:t xml:space="preserve"> and</w:t>
      </w:r>
    </w:p>
    <w:p w14:paraId="71F79E70" w14:textId="77777777" w:rsidR="001F26A6" w:rsidRPr="00060D11" w:rsidRDefault="001F26A6" w:rsidP="005B664D">
      <w:pPr>
        <w:pStyle w:val="ListParagraph"/>
        <w:numPr>
          <w:ilvl w:val="0"/>
          <w:numId w:val="34"/>
        </w:numPr>
        <w:spacing w:after="120" w:line="276" w:lineRule="auto"/>
        <w:rPr>
          <w:sz w:val="22"/>
        </w:rPr>
      </w:pPr>
      <w:r w:rsidRPr="00060D11">
        <w:rPr>
          <w:i/>
          <w:sz w:val="22"/>
        </w:rPr>
        <w:t>MERL reflects DFAT’s monitoring and evaluation standards</w:t>
      </w:r>
      <w:r w:rsidRPr="00060D11">
        <w:rPr>
          <w:sz w:val="22"/>
        </w:rPr>
        <w:t>.</w:t>
      </w:r>
      <w:r w:rsidRPr="00060D11">
        <w:rPr>
          <w:rStyle w:val="FootnoteReference"/>
          <w:sz w:val="22"/>
        </w:rPr>
        <w:footnoteReference w:id="78"/>
      </w:r>
    </w:p>
    <w:p w14:paraId="438620F4" w14:textId="2443FD17" w:rsidR="001F26A6" w:rsidRPr="00060D11" w:rsidRDefault="001F26A6" w:rsidP="005B664D">
      <w:pPr>
        <w:spacing w:after="120" w:line="276" w:lineRule="auto"/>
      </w:pPr>
      <w:r w:rsidRPr="00060D11">
        <w:t xml:space="preserve">The </w:t>
      </w:r>
      <w:r w:rsidRPr="00060D11">
        <w:rPr>
          <w:b/>
        </w:rPr>
        <w:t>focus of the MERL system</w:t>
      </w:r>
      <w:r w:rsidRPr="00060D11">
        <w:t xml:space="preserve"> will be to monitor performance and quality at each of the cause/effect levels in the change pathways in the program logic (i.e.</w:t>
      </w:r>
      <w:r w:rsidR="00A96E2A" w:rsidRPr="00060D11">
        <w:t>,</w:t>
      </w:r>
      <w:r w:rsidRPr="00060D11">
        <w:t xml:space="preserve"> leading to Outcomes 1, 2 and 3). In addition, the system will monitor the continuing validity of the </w:t>
      </w:r>
      <w:r w:rsidR="00A96E2A" w:rsidRPr="00060D11">
        <w:t xml:space="preserve">theory </w:t>
      </w:r>
      <w:r w:rsidRPr="00060D11">
        <w:t>of change</w:t>
      </w:r>
      <w:r w:rsidR="00A96E2A" w:rsidRPr="00060D11">
        <w:t xml:space="preserve"> (ToC)</w:t>
      </w:r>
      <w:r w:rsidRPr="00060D11">
        <w:t xml:space="preserve"> underpinning these change pathways and </w:t>
      </w:r>
      <w:r w:rsidR="00A96E2A" w:rsidRPr="00060D11">
        <w:t xml:space="preserve">underlying </w:t>
      </w:r>
      <w:r w:rsidRPr="00060D11">
        <w:t>assumptions. These are discussed in Appendix E. The focus of monitoring at each level of the program logic, for each change pathway, is described below. Each level of monitoring feeds into the next level:</w:t>
      </w:r>
    </w:p>
    <w:p w14:paraId="0BAB1905" w14:textId="5F512948" w:rsidR="001F26A6" w:rsidRPr="00060D11" w:rsidRDefault="001F26A6" w:rsidP="005B664D">
      <w:pPr>
        <w:pStyle w:val="ListParagraph"/>
        <w:numPr>
          <w:ilvl w:val="0"/>
          <w:numId w:val="36"/>
        </w:numPr>
        <w:autoSpaceDE w:val="0"/>
        <w:autoSpaceDN w:val="0"/>
        <w:adjustRightInd w:val="0"/>
        <w:spacing w:after="120" w:line="276" w:lineRule="auto"/>
        <w:ind w:left="709" w:hanging="283"/>
        <w:contextualSpacing w:val="0"/>
        <w:rPr>
          <w:rFonts w:cs="Calibri"/>
          <w:sz w:val="22"/>
        </w:rPr>
      </w:pPr>
      <w:r w:rsidRPr="00060D11">
        <w:rPr>
          <w:rFonts w:cs="Calibri"/>
          <w:b/>
          <w:sz w:val="22"/>
        </w:rPr>
        <w:t>Input Level:</w:t>
      </w:r>
      <w:r w:rsidRPr="00060D11">
        <w:rPr>
          <w:rFonts w:cs="Calibri"/>
          <w:sz w:val="22"/>
        </w:rPr>
        <w:t xml:space="preserve"> Focused on tracking input indicators in all areas (e.g., funds allocated, use of resources in accordance with </w:t>
      </w:r>
      <w:r w:rsidR="00A96E2A" w:rsidRPr="00060D11">
        <w:rPr>
          <w:rFonts w:cs="Calibri"/>
          <w:sz w:val="22"/>
        </w:rPr>
        <w:t>a</w:t>
      </w:r>
      <w:r w:rsidRPr="00060D11">
        <w:rPr>
          <w:rFonts w:cs="Calibri"/>
          <w:sz w:val="22"/>
        </w:rPr>
        <w:t xml:space="preserve">nnual plans and budgets, in-country logistical support, DFAT policy dialogue efforts, strategic and management oversight). </w:t>
      </w:r>
    </w:p>
    <w:p w14:paraId="3DEB8944" w14:textId="77777777" w:rsidR="001F26A6" w:rsidRPr="00060D11" w:rsidRDefault="001F26A6" w:rsidP="005B664D">
      <w:pPr>
        <w:pStyle w:val="ListParagraph"/>
        <w:numPr>
          <w:ilvl w:val="0"/>
          <w:numId w:val="36"/>
        </w:numPr>
        <w:autoSpaceDE w:val="0"/>
        <w:autoSpaceDN w:val="0"/>
        <w:adjustRightInd w:val="0"/>
        <w:spacing w:after="120" w:line="276" w:lineRule="auto"/>
        <w:ind w:left="709" w:hanging="283"/>
        <w:contextualSpacing w:val="0"/>
        <w:rPr>
          <w:rFonts w:cs="Calibri"/>
          <w:sz w:val="22"/>
        </w:rPr>
      </w:pPr>
      <w:r w:rsidRPr="00060D11">
        <w:rPr>
          <w:rFonts w:cs="Calibri"/>
          <w:b/>
          <w:sz w:val="22"/>
        </w:rPr>
        <w:t>Output Level:</w:t>
      </w:r>
      <w:r w:rsidRPr="00060D11">
        <w:rPr>
          <w:rFonts w:cs="Calibri"/>
          <w:sz w:val="22"/>
        </w:rPr>
        <w:t xml:space="preserve"> This will track attainment of the specified outputs under each of the change pathways, measure the efficiency of implementation and analysing risks. </w:t>
      </w:r>
    </w:p>
    <w:p w14:paraId="0FFDD53D" w14:textId="48228556" w:rsidR="001F26A6" w:rsidRPr="00060D11" w:rsidRDefault="001F26A6" w:rsidP="005B664D">
      <w:pPr>
        <w:pStyle w:val="ListParagraph"/>
        <w:autoSpaceDE w:val="0"/>
        <w:autoSpaceDN w:val="0"/>
        <w:adjustRightInd w:val="0"/>
        <w:spacing w:after="120" w:line="276" w:lineRule="auto"/>
        <w:ind w:left="709"/>
        <w:contextualSpacing w:val="0"/>
        <w:rPr>
          <w:rFonts w:cs="Calibri"/>
          <w:sz w:val="22"/>
        </w:rPr>
      </w:pPr>
      <w:r w:rsidRPr="00060D11">
        <w:rPr>
          <w:rFonts w:cs="Calibri"/>
          <w:i/>
          <w:sz w:val="22"/>
          <w:u w:val="single"/>
        </w:rPr>
        <w:t>For the Targeted Outcome 1 pathway</w:t>
      </w:r>
      <w:r w:rsidRPr="00060D11">
        <w:rPr>
          <w:rFonts w:cs="Calibri"/>
          <w:sz w:val="22"/>
        </w:rPr>
        <w:t xml:space="preserve">: Australia’s ‘value add’ at this level will be evidence gathering, research and analysis to inform the development of approaches/mechanisms to motivate and incentivise disadvantaged families/communities to enrol their children (particularly girls and </w:t>
      </w:r>
      <w:r w:rsidR="004F1B7A" w:rsidRPr="00060D11">
        <w:rPr>
          <w:rFonts w:cs="Calibri"/>
          <w:sz w:val="22"/>
        </w:rPr>
        <w:t>CWD</w:t>
      </w:r>
      <w:r w:rsidRPr="00060D11">
        <w:rPr>
          <w:rFonts w:cs="Calibri"/>
          <w:sz w:val="22"/>
        </w:rPr>
        <w:t xml:space="preserve">) in school and keep them there. </w:t>
      </w:r>
    </w:p>
    <w:p w14:paraId="17EA4F58" w14:textId="7ECF0E71" w:rsidR="001F26A6" w:rsidRPr="00060D11" w:rsidRDefault="001F26A6" w:rsidP="005B664D">
      <w:pPr>
        <w:pStyle w:val="ListParagraph"/>
        <w:autoSpaceDE w:val="0"/>
        <w:autoSpaceDN w:val="0"/>
        <w:adjustRightInd w:val="0"/>
        <w:spacing w:after="120" w:line="276" w:lineRule="auto"/>
        <w:ind w:left="709"/>
        <w:contextualSpacing w:val="0"/>
        <w:rPr>
          <w:rFonts w:cs="Calibri"/>
          <w:sz w:val="22"/>
        </w:rPr>
      </w:pPr>
      <w:r w:rsidRPr="00060D11">
        <w:rPr>
          <w:rFonts w:cs="Calibri"/>
          <w:sz w:val="22"/>
        </w:rPr>
        <w:t xml:space="preserve">Appropriate implementing agencies will be identified, sub-contracted and supervised to carry out this work. Finally, the value add under </w:t>
      </w:r>
      <w:r w:rsidR="00227767" w:rsidRPr="00060D11">
        <w:rPr>
          <w:rFonts w:cs="Calibri"/>
          <w:sz w:val="22"/>
        </w:rPr>
        <w:t xml:space="preserve">Targeted </w:t>
      </w:r>
      <w:r w:rsidRPr="00060D11">
        <w:rPr>
          <w:rFonts w:cs="Calibri"/>
          <w:sz w:val="22"/>
        </w:rPr>
        <w:t xml:space="preserve">Outcome 1 will be the running of workshops, training and coaching, in accordance with the </w:t>
      </w:r>
      <w:r w:rsidR="00CF4FA8" w:rsidRPr="00060D11">
        <w:rPr>
          <w:rFonts w:cs="Calibri"/>
          <w:sz w:val="22"/>
        </w:rPr>
        <w:t>AAP</w:t>
      </w:r>
      <w:r w:rsidRPr="00060D11">
        <w:rPr>
          <w:rFonts w:cs="Calibri"/>
          <w:sz w:val="22"/>
        </w:rPr>
        <w:t>.</w:t>
      </w:r>
    </w:p>
    <w:p w14:paraId="12F28FB4" w14:textId="18E19241" w:rsidR="001F26A6" w:rsidRPr="00060D11" w:rsidRDefault="001F26A6" w:rsidP="005B664D">
      <w:pPr>
        <w:autoSpaceDE w:val="0"/>
        <w:autoSpaceDN w:val="0"/>
        <w:adjustRightInd w:val="0"/>
        <w:spacing w:after="120" w:line="276" w:lineRule="auto"/>
        <w:ind w:left="709"/>
        <w:rPr>
          <w:rFonts w:eastAsia="Calibri" w:cstheme="minorHAnsi"/>
        </w:rPr>
      </w:pPr>
      <w:r w:rsidRPr="00060D11">
        <w:rPr>
          <w:rFonts w:cstheme="minorHAnsi"/>
          <w:i/>
          <w:u w:val="single"/>
        </w:rPr>
        <w:t>For the Targeted Outcome 2 pathway</w:t>
      </w:r>
      <w:r w:rsidRPr="00060D11">
        <w:rPr>
          <w:rFonts w:cstheme="minorHAnsi"/>
          <w:i/>
        </w:rPr>
        <w:t>:</w:t>
      </w:r>
      <w:r w:rsidRPr="00060D11">
        <w:rPr>
          <w:rFonts w:cstheme="minorHAnsi"/>
        </w:rPr>
        <w:t xml:space="preserve"> Research and analysis will identify the most appropriate response to address teacher up</w:t>
      </w:r>
      <w:r w:rsidR="001B3FD7" w:rsidRPr="00060D11">
        <w:rPr>
          <w:rFonts w:cstheme="minorHAnsi"/>
        </w:rPr>
        <w:t>skilling</w:t>
      </w:r>
      <w:r w:rsidRPr="00060D11">
        <w:rPr>
          <w:rFonts w:cstheme="minorHAnsi"/>
        </w:rPr>
        <w:t xml:space="preserve"> in each target province, as well as the barriers and constraints to the system for teacher up</w:t>
      </w:r>
      <w:r w:rsidR="002D6220" w:rsidRPr="00060D11">
        <w:rPr>
          <w:rFonts w:cstheme="minorHAnsi"/>
        </w:rPr>
        <w:t>skilling and continuous professional development</w:t>
      </w:r>
      <w:r w:rsidRPr="00060D11">
        <w:rPr>
          <w:rFonts w:cstheme="minorHAnsi"/>
        </w:rPr>
        <w:t xml:space="preserve">. A key output will be a </w:t>
      </w:r>
      <w:r w:rsidR="00CF4FA8" w:rsidRPr="00060D11">
        <w:rPr>
          <w:rFonts w:eastAsia="Calibri" w:cstheme="minorHAnsi"/>
        </w:rPr>
        <w:t>t</w:t>
      </w:r>
      <w:r w:rsidRPr="00060D11">
        <w:rPr>
          <w:rFonts w:eastAsia="Calibri" w:cstheme="minorHAnsi"/>
        </w:rPr>
        <w:t>eacher upgrading implementation plan (including throughput, timeline, budget</w:t>
      </w:r>
      <w:r w:rsidR="000108B2" w:rsidRPr="00060D11">
        <w:rPr>
          <w:rFonts w:eastAsia="Calibri" w:cstheme="minorHAnsi"/>
        </w:rPr>
        <w:t xml:space="preserve"> </w:t>
      </w:r>
      <w:r w:rsidRPr="00060D11">
        <w:rPr>
          <w:rFonts w:eastAsia="Calibri" w:cstheme="minorHAnsi"/>
        </w:rPr>
        <w:t xml:space="preserve">and management) developed in collaboration with provincial administrations, and DHERST. If appropriate, a </w:t>
      </w:r>
      <w:r w:rsidR="002137DE" w:rsidRPr="00060D11">
        <w:rPr>
          <w:rFonts w:eastAsia="Calibri" w:cstheme="minorHAnsi"/>
        </w:rPr>
        <w:t xml:space="preserve">Teacher </w:t>
      </w:r>
      <w:r w:rsidRPr="00060D11">
        <w:rPr>
          <w:rFonts w:eastAsia="Calibri" w:cstheme="minorHAnsi"/>
        </w:rPr>
        <w:t>College faculty upgrading implementation plan will also be developed in consultation with DHERST.</w:t>
      </w:r>
    </w:p>
    <w:p w14:paraId="7E7FB0B9" w14:textId="77EECA98" w:rsidR="001F26A6" w:rsidRPr="00060D11" w:rsidRDefault="001F26A6" w:rsidP="005B664D">
      <w:pPr>
        <w:autoSpaceDE w:val="0"/>
        <w:autoSpaceDN w:val="0"/>
        <w:adjustRightInd w:val="0"/>
        <w:spacing w:after="120" w:line="276" w:lineRule="auto"/>
        <w:ind w:left="709"/>
        <w:rPr>
          <w:rFonts w:cstheme="minorHAnsi"/>
          <w:iCs/>
        </w:rPr>
      </w:pPr>
      <w:r w:rsidRPr="00060D11">
        <w:rPr>
          <w:rFonts w:cstheme="minorHAnsi"/>
          <w:iCs/>
        </w:rPr>
        <w:t xml:space="preserve">Drawing on proven models the </w:t>
      </w:r>
      <w:r w:rsidR="005662DB" w:rsidRPr="00060D11">
        <w:rPr>
          <w:rFonts w:cstheme="minorHAnsi"/>
          <w:iCs/>
        </w:rPr>
        <w:t>managing contractor</w:t>
      </w:r>
      <w:r w:rsidRPr="00060D11">
        <w:rPr>
          <w:rFonts w:cstheme="minorHAnsi"/>
          <w:iCs/>
        </w:rPr>
        <w:t xml:space="preserve"> will </w:t>
      </w:r>
      <w:r w:rsidR="004727E4" w:rsidRPr="00060D11">
        <w:rPr>
          <w:rFonts w:cstheme="minorHAnsi"/>
          <w:iCs/>
        </w:rPr>
        <w:t xml:space="preserve">undertake </w:t>
      </w:r>
      <w:r w:rsidR="00095D6B" w:rsidRPr="00060D11">
        <w:rPr>
          <w:rFonts w:cstheme="minorHAnsi"/>
          <w:iCs/>
        </w:rPr>
        <w:t>baselines</w:t>
      </w:r>
      <w:r w:rsidR="00414D99" w:rsidRPr="00060D11">
        <w:rPr>
          <w:rFonts w:cstheme="minorHAnsi"/>
          <w:iCs/>
        </w:rPr>
        <w:t xml:space="preserve"> (and later </w:t>
      </w:r>
      <w:r w:rsidR="00CF4FA8" w:rsidRPr="00060D11">
        <w:rPr>
          <w:rFonts w:cstheme="minorHAnsi"/>
          <w:iCs/>
        </w:rPr>
        <w:t>end-lines</w:t>
      </w:r>
      <w:r w:rsidR="00414D99" w:rsidRPr="00060D11">
        <w:rPr>
          <w:rFonts w:cstheme="minorHAnsi"/>
          <w:iCs/>
        </w:rPr>
        <w:t>)</w:t>
      </w:r>
      <w:r w:rsidR="00095D6B" w:rsidRPr="00060D11">
        <w:rPr>
          <w:rFonts w:cstheme="minorHAnsi"/>
          <w:iCs/>
        </w:rPr>
        <w:t xml:space="preserve"> of both teacher competencies and student learning</w:t>
      </w:r>
      <w:r w:rsidR="00BF2DA0" w:rsidRPr="00060D11">
        <w:rPr>
          <w:rStyle w:val="FootnoteReference"/>
          <w:rFonts w:cstheme="minorHAnsi"/>
          <w:iCs/>
        </w:rPr>
        <w:footnoteReference w:id="79"/>
      </w:r>
      <w:r w:rsidR="00BF2DA0" w:rsidRPr="00060D11">
        <w:rPr>
          <w:rFonts w:cstheme="minorHAnsi"/>
          <w:iCs/>
        </w:rPr>
        <w:t xml:space="preserve"> </w:t>
      </w:r>
      <w:r w:rsidR="000527CF" w:rsidRPr="00060D11">
        <w:rPr>
          <w:rFonts w:cstheme="minorHAnsi"/>
          <w:iCs/>
        </w:rPr>
        <w:t xml:space="preserve">followed by support to </w:t>
      </w:r>
      <w:r w:rsidRPr="00060D11">
        <w:rPr>
          <w:rFonts w:cstheme="minorHAnsi"/>
          <w:iCs/>
        </w:rPr>
        <w:t xml:space="preserve">improve </w:t>
      </w:r>
      <w:r w:rsidR="000108B2" w:rsidRPr="00060D11">
        <w:rPr>
          <w:rFonts w:cstheme="minorHAnsi"/>
          <w:iCs/>
        </w:rPr>
        <w:t>the skills and knowledge</w:t>
      </w:r>
      <w:r w:rsidRPr="00060D11">
        <w:rPr>
          <w:rFonts w:cstheme="minorHAnsi"/>
          <w:iCs/>
        </w:rPr>
        <w:t xml:space="preserve"> for </w:t>
      </w:r>
      <w:r w:rsidR="0084593C" w:rsidRPr="00060D11">
        <w:rPr>
          <w:rFonts w:cstheme="minorHAnsi"/>
          <w:iCs/>
        </w:rPr>
        <w:t xml:space="preserve">selected </w:t>
      </w:r>
      <w:r w:rsidRPr="00060D11">
        <w:rPr>
          <w:rFonts w:cstheme="minorHAnsi"/>
          <w:iCs/>
        </w:rPr>
        <w:t xml:space="preserve">teachers, as well as a teacher </w:t>
      </w:r>
      <w:r w:rsidR="003C20E8" w:rsidRPr="00060D11">
        <w:rPr>
          <w:rFonts w:cstheme="minorHAnsi"/>
          <w:iCs/>
        </w:rPr>
        <w:t xml:space="preserve">professional </w:t>
      </w:r>
      <w:r w:rsidRPr="00060D11">
        <w:rPr>
          <w:rFonts w:cstheme="minorHAnsi"/>
          <w:iCs/>
        </w:rPr>
        <w:t>development information system.</w:t>
      </w:r>
    </w:p>
    <w:p w14:paraId="699509A7" w14:textId="7CE17F92" w:rsidR="001F26A6" w:rsidRPr="00060D11" w:rsidRDefault="001F26A6" w:rsidP="004E780D">
      <w:pPr>
        <w:autoSpaceDE w:val="0"/>
        <w:autoSpaceDN w:val="0"/>
        <w:adjustRightInd w:val="0"/>
        <w:spacing w:after="120" w:line="276" w:lineRule="auto"/>
        <w:ind w:left="709"/>
        <w:rPr>
          <w:rFonts w:cs="Calibri"/>
          <w:i/>
          <w:iCs/>
          <w:u w:val="single"/>
        </w:rPr>
      </w:pPr>
      <w:r w:rsidRPr="00060D11">
        <w:rPr>
          <w:rFonts w:cstheme="minorHAnsi"/>
          <w:iCs/>
        </w:rPr>
        <w:t>Barriers to female teachers</w:t>
      </w:r>
      <w:r w:rsidR="00CF4FA8" w:rsidRPr="00060D11">
        <w:rPr>
          <w:rFonts w:cstheme="minorHAnsi"/>
          <w:iCs/>
        </w:rPr>
        <w:t>’</w:t>
      </w:r>
      <w:r w:rsidRPr="00060D11">
        <w:rPr>
          <w:rFonts w:cstheme="minorHAnsi"/>
          <w:iCs/>
        </w:rPr>
        <w:t xml:space="preserve"> </w:t>
      </w:r>
      <w:r w:rsidR="004C0B99" w:rsidRPr="00060D11">
        <w:rPr>
          <w:rFonts w:cstheme="minorHAnsi"/>
          <w:iCs/>
        </w:rPr>
        <w:t>participating</w:t>
      </w:r>
      <w:r w:rsidRPr="00060D11">
        <w:rPr>
          <w:rFonts w:cstheme="minorHAnsi"/>
          <w:iCs/>
        </w:rPr>
        <w:t xml:space="preserve"> will be identified </w:t>
      </w:r>
      <w:r w:rsidR="0095652F" w:rsidRPr="00060D11">
        <w:rPr>
          <w:rFonts w:cstheme="minorHAnsi"/>
          <w:iCs/>
        </w:rPr>
        <w:t>and addressed through a</w:t>
      </w:r>
      <w:r w:rsidR="0018427B" w:rsidRPr="00060D11">
        <w:rPr>
          <w:rFonts w:cstheme="minorHAnsi"/>
          <w:iCs/>
        </w:rPr>
        <w:t>n</w:t>
      </w:r>
      <w:r w:rsidRPr="00060D11">
        <w:rPr>
          <w:rFonts w:cstheme="minorHAnsi"/>
          <w:iCs/>
        </w:rPr>
        <w:t xml:space="preserve"> Advocacy and Incentives Plan</w:t>
      </w:r>
      <w:r w:rsidR="0095652F" w:rsidRPr="00060D11">
        <w:rPr>
          <w:rFonts w:cstheme="minorHAnsi"/>
          <w:iCs/>
        </w:rPr>
        <w:t xml:space="preserve"> that is contextually relevant for each province</w:t>
      </w:r>
      <w:r w:rsidRPr="00060D11">
        <w:rPr>
          <w:rFonts w:cstheme="minorHAnsi"/>
          <w:iCs/>
        </w:rPr>
        <w:t xml:space="preserve">.  </w:t>
      </w:r>
    </w:p>
    <w:p w14:paraId="15A0286F" w14:textId="709E58EA" w:rsidR="001F26A6" w:rsidRPr="00060D11" w:rsidRDefault="001F26A6" w:rsidP="005B664D">
      <w:pPr>
        <w:pStyle w:val="ListParagraph"/>
        <w:autoSpaceDE w:val="0"/>
        <w:autoSpaceDN w:val="0"/>
        <w:adjustRightInd w:val="0"/>
        <w:spacing w:after="120" w:line="276" w:lineRule="auto"/>
        <w:ind w:left="709"/>
        <w:contextualSpacing w:val="0"/>
        <w:rPr>
          <w:rFonts w:cs="Calibri"/>
          <w:sz w:val="22"/>
        </w:rPr>
      </w:pPr>
      <w:r w:rsidRPr="00060D11">
        <w:rPr>
          <w:rFonts w:cs="Calibri"/>
          <w:i/>
          <w:iCs/>
          <w:sz w:val="22"/>
          <w:u w:val="single"/>
        </w:rPr>
        <w:t>For the Enabling Outcome 3 pathway:</w:t>
      </w:r>
      <w:r w:rsidRPr="00060D11">
        <w:rPr>
          <w:rFonts w:cs="Calibri"/>
          <w:sz w:val="22"/>
        </w:rPr>
        <w:t xml:space="preserve"> </w:t>
      </w:r>
      <w:r w:rsidR="00E655E5" w:rsidRPr="00060D11">
        <w:rPr>
          <w:rFonts w:cs="Calibri"/>
          <w:sz w:val="22"/>
        </w:rPr>
        <w:t xml:space="preserve">The </w:t>
      </w:r>
      <w:r w:rsidR="005662DB" w:rsidRPr="00060D11">
        <w:rPr>
          <w:rFonts w:cs="Calibri"/>
          <w:sz w:val="22"/>
        </w:rPr>
        <w:t>managing contractor</w:t>
      </w:r>
      <w:r w:rsidR="00E655E5" w:rsidRPr="00060D11">
        <w:rPr>
          <w:rFonts w:cs="Calibri"/>
          <w:sz w:val="22"/>
        </w:rPr>
        <w:t xml:space="preserve"> will support the development of </w:t>
      </w:r>
      <w:r w:rsidR="00D056DE" w:rsidRPr="00060D11">
        <w:rPr>
          <w:rFonts w:cs="Calibri"/>
          <w:sz w:val="22"/>
        </w:rPr>
        <w:t xml:space="preserve">Activity Support Plans for agreed priorities </w:t>
      </w:r>
      <w:r w:rsidR="00023BC8" w:rsidRPr="00060D11">
        <w:rPr>
          <w:rFonts w:cs="Calibri"/>
          <w:sz w:val="22"/>
        </w:rPr>
        <w:t xml:space="preserve">within selected sections of NDoE, as well as targeted provincial administrations </w:t>
      </w:r>
      <w:r w:rsidR="00D056DE" w:rsidRPr="00060D11">
        <w:rPr>
          <w:rFonts w:cs="Calibri"/>
          <w:sz w:val="22"/>
        </w:rPr>
        <w:t xml:space="preserve">which will, in turn, provide the framework for the provision of any inputs from the PIE investment (i.e., long-term and short-term technical assistance, coaching, training). </w:t>
      </w:r>
      <w:r w:rsidRPr="00060D11">
        <w:rPr>
          <w:rFonts w:cs="Calibri"/>
          <w:sz w:val="22"/>
        </w:rPr>
        <w:t>The</w:t>
      </w:r>
      <w:r w:rsidR="00056E40" w:rsidRPr="00060D11">
        <w:rPr>
          <w:rFonts w:cs="Calibri"/>
          <w:sz w:val="22"/>
        </w:rPr>
        <w:t>re</w:t>
      </w:r>
      <w:r w:rsidRPr="00060D11">
        <w:rPr>
          <w:rFonts w:cs="Calibri"/>
          <w:sz w:val="22"/>
        </w:rPr>
        <w:t xml:space="preserve"> will </w:t>
      </w:r>
      <w:r w:rsidR="00023BC8" w:rsidRPr="00060D11">
        <w:rPr>
          <w:rFonts w:cs="Calibri"/>
          <w:sz w:val="22"/>
        </w:rPr>
        <w:t xml:space="preserve">also </w:t>
      </w:r>
      <w:r w:rsidRPr="00060D11">
        <w:rPr>
          <w:rFonts w:cs="Calibri"/>
          <w:sz w:val="22"/>
        </w:rPr>
        <w:t xml:space="preserve">be </w:t>
      </w:r>
      <w:r w:rsidR="00023BC8" w:rsidRPr="00060D11">
        <w:rPr>
          <w:rFonts w:cs="Calibri"/>
          <w:sz w:val="22"/>
        </w:rPr>
        <w:t xml:space="preserve">a strong focus </w:t>
      </w:r>
      <w:r w:rsidRPr="00060D11">
        <w:rPr>
          <w:rFonts w:cs="Calibri"/>
          <w:sz w:val="22"/>
        </w:rPr>
        <w:t>upon improving the systems for collecting, analysing and using evidence to inform decision-making at all levels.</w:t>
      </w:r>
    </w:p>
    <w:p w14:paraId="3C3BD8DB" w14:textId="635468B5" w:rsidR="001F26A6" w:rsidRPr="00060D11" w:rsidRDefault="001F26A6" w:rsidP="005B664D">
      <w:pPr>
        <w:pStyle w:val="ListParagraph"/>
        <w:autoSpaceDE w:val="0"/>
        <w:autoSpaceDN w:val="0"/>
        <w:adjustRightInd w:val="0"/>
        <w:spacing w:after="120" w:line="276" w:lineRule="auto"/>
        <w:ind w:left="709"/>
        <w:contextualSpacing w:val="0"/>
        <w:rPr>
          <w:rFonts w:cs="Calibri"/>
          <w:sz w:val="22"/>
        </w:rPr>
      </w:pPr>
      <w:r w:rsidRPr="00060D11">
        <w:rPr>
          <w:rFonts w:cs="Calibri"/>
          <w:sz w:val="22"/>
        </w:rPr>
        <w:t xml:space="preserve">The PIE MERL Adviser will support NDoE to improve monitoring for results; the </w:t>
      </w:r>
      <w:r w:rsidR="00811F92" w:rsidRPr="00060D11">
        <w:rPr>
          <w:rFonts w:cs="Calibri"/>
          <w:sz w:val="22"/>
        </w:rPr>
        <w:t xml:space="preserve">PIE </w:t>
      </w:r>
      <w:r w:rsidRPr="00060D11">
        <w:rPr>
          <w:rFonts w:cs="Calibri"/>
          <w:sz w:val="22"/>
        </w:rPr>
        <w:t xml:space="preserve">monitoring system will also track the specific contribution that </w:t>
      </w:r>
      <w:r w:rsidR="00811F92" w:rsidRPr="00060D11">
        <w:rPr>
          <w:rFonts w:cs="Calibri"/>
          <w:sz w:val="22"/>
        </w:rPr>
        <w:t>PIE inputs have</w:t>
      </w:r>
      <w:r w:rsidRPr="00060D11">
        <w:rPr>
          <w:rFonts w:cs="Calibri"/>
          <w:sz w:val="22"/>
        </w:rPr>
        <w:t xml:space="preserve"> made to the achievement of results, as well as the efficiency and effectiveness of Australia’s contribution. </w:t>
      </w:r>
    </w:p>
    <w:p w14:paraId="5EFB1BAE" w14:textId="03E87420" w:rsidR="001F26A6" w:rsidRPr="00060D11" w:rsidRDefault="001F26A6" w:rsidP="005B664D">
      <w:pPr>
        <w:pStyle w:val="ListParagraph"/>
        <w:numPr>
          <w:ilvl w:val="0"/>
          <w:numId w:val="36"/>
        </w:numPr>
        <w:autoSpaceDE w:val="0"/>
        <w:autoSpaceDN w:val="0"/>
        <w:adjustRightInd w:val="0"/>
        <w:spacing w:after="120" w:line="276" w:lineRule="auto"/>
        <w:ind w:left="709" w:hanging="283"/>
        <w:contextualSpacing w:val="0"/>
        <w:rPr>
          <w:rFonts w:cs="Calibri"/>
          <w:sz w:val="22"/>
        </w:rPr>
      </w:pPr>
      <w:r w:rsidRPr="00060D11">
        <w:rPr>
          <w:rFonts w:cs="Calibri"/>
          <w:b/>
          <w:sz w:val="22"/>
        </w:rPr>
        <w:t>Intermediate Outcomes Level:</w:t>
      </w:r>
      <w:r w:rsidRPr="00060D11">
        <w:rPr>
          <w:rFonts w:cs="Calibri"/>
          <w:sz w:val="22"/>
        </w:rPr>
        <w:t xml:space="preserve"> At this level, the MERL system aims to capture and present evidence on the extent to which the achievement of specific outputs has resulted in the achievement of the anticipated </w:t>
      </w:r>
      <w:r w:rsidR="00227767" w:rsidRPr="00060D11">
        <w:rPr>
          <w:rFonts w:cs="Calibri"/>
          <w:sz w:val="22"/>
        </w:rPr>
        <w:t>IOs</w:t>
      </w:r>
      <w:r w:rsidRPr="00060D11">
        <w:rPr>
          <w:rFonts w:cs="Calibri"/>
          <w:sz w:val="22"/>
        </w:rPr>
        <w:t xml:space="preserve">: </w:t>
      </w:r>
    </w:p>
    <w:p w14:paraId="6261BF0C" w14:textId="71E24BE6" w:rsidR="001F26A6" w:rsidRPr="00060D11" w:rsidRDefault="001F26A6" w:rsidP="005B664D">
      <w:pPr>
        <w:pStyle w:val="ListParagraph"/>
        <w:autoSpaceDE w:val="0"/>
        <w:autoSpaceDN w:val="0"/>
        <w:adjustRightInd w:val="0"/>
        <w:spacing w:after="120" w:line="276" w:lineRule="auto"/>
        <w:ind w:left="709"/>
        <w:contextualSpacing w:val="0"/>
        <w:rPr>
          <w:rFonts w:cs="Calibri"/>
          <w:sz w:val="22"/>
        </w:rPr>
      </w:pPr>
      <w:r w:rsidRPr="00060D11">
        <w:rPr>
          <w:rFonts w:cs="Calibri"/>
          <w:i/>
          <w:sz w:val="22"/>
        </w:rPr>
        <w:t xml:space="preserve">For the </w:t>
      </w:r>
      <w:r w:rsidR="00227767" w:rsidRPr="00060D11">
        <w:rPr>
          <w:rFonts w:cs="Calibri"/>
          <w:i/>
          <w:sz w:val="22"/>
        </w:rPr>
        <w:t xml:space="preserve">IO </w:t>
      </w:r>
      <w:r w:rsidRPr="00060D11">
        <w:rPr>
          <w:rFonts w:cs="Calibri"/>
          <w:i/>
          <w:sz w:val="22"/>
        </w:rPr>
        <w:t>1 pathway:</w:t>
      </w:r>
      <w:r w:rsidRPr="00060D11">
        <w:rPr>
          <w:rFonts w:cs="Calibri"/>
          <w:b/>
          <w:sz w:val="22"/>
        </w:rPr>
        <w:t xml:space="preserve"> </w:t>
      </w:r>
      <w:r w:rsidRPr="00060D11">
        <w:rPr>
          <w:rFonts w:cs="Calibri"/>
          <w:sz w:val="22"/>
        </w:rPr>
        <w:t>monitoring will not only relate to the evidence of results (as per NEP MEF indicators: NER, GER</w:t>
      </w:r>
      <w:r w:rsidR="00CF4FA8" w:rsidRPr="00060D11">
        <w:rPr>
          <w:rFonts w:cs="Calibri"/>
          <w:sz w:val="22"/>
        </w:rPr>
        <w:t>,</w:t>
      </w:r>
      <w:r w:rsidRPr="00060D11">
        <w:rPr>
          <w:rFonts w:cs="Calibri"/>
          <w:sz w:val="22"/>
        </w:rPr>
        <w:t xml:space="preserve"> GPI in selected areas), but also consideration of the way in which these results have been achieved (PIE Implementation </w:t>
      </w:r>
      <w:r w:rsidR="00CF4FA8" w:rsidRPr="00060D11">
        <w:rPr>
          <w:rFonts w:cs="Calibri"/>
          <w:sz w:val="22"/>
        </w:rPr>
        <w:t>I</w:t>
      </w:r>
      <w:r w:rsidRPr="00060D11">
        <w:rPr>
          <w:rFonts w:cs="Calibri"/>
          <w:sz w:val="22"/>
        </w:rPr>
        <w:t xml:space="preserve">ndicators). The PIE MERL system will, therefore, be tracking the performance and quality of sub-contractors implementing innovative approaches to motivating/incentivising parents to enrol children (particularly girls and </w:t>
      </w:r>
      <w:r w:rsidR="004F1B7A" w:rsidRPr="00060D11">
        <w:rPr>
          <w:rFonts w:cs="Calibri"/>
          <w:sz w:val="22"/>
        </w:rPr>
        <w:t>CWD</w:t>
      </w:r>
      <w:r w:rsidRPr="00060D11">
        <w:rPr>
          <w:rFonts w:cs="Calibri"/>
          <w:sz w:val="22"/>
        </w:rPr>
        <w:t>).</w:t>
      </w:r>
    </w:p>
    <w:p w14:paraId="5AEB0B38" w14:textId="3EAA664E" w:rsidR="001F26A6" w:rsidRPr="00060D11" w:rsidRDefault="001F26A6" w:rsidP="005B664D">
      <w:pPr>
        <w:autoSpaceDE w:val="0"/>
        <w:autoSpaceDN w:val="0"/>
        <w:adjustRightInd w:val="0"/>
        <w:spacing w:after="120" w:line="276" w:lineRule="auto"/>
        <w:ind w:left="709"/>
        <w:rPr>
          <w:rFonts w:cs="Calibri"/>
        </w:rPr>
      </w:pPr>
      <w:r w:rsidRPr="00060D11">
        <w:rPr>
          <w:rFonts w:cs="Calibri"/>
          <w:i/>
        </w:rPr>
        <w:t xml:space="preserve">For the </w:t>
      </w:r>
      <w:r w:rsidR="00227767" w:rsidRPr="00060D11">
        <w:rPr>
          <w:rFonts w:cs="Calibri"/>
          <w:i/>
        </w:rPr>
        <w:t xml:space="preserve">IO </w:t>
      </w:r>
      <w:r w:rsidRPr="00060D11">
        <w:rPr>
          <w:rFonts w:cs="Calibri"/>
          <w:i/>
        </w:rPr>
        <w:t xml:space="preserve">2 pathway: </w:t>
      </w:r>
      <w:r w:rsidRPr="00060D11">
        <w:rPr>
          <w:rFonts w:cs="Calibri"/>
          <w:iCs/>
        </w:rPr>
        <w:t>monitoring will relate to</w:t>
      </w:r>
      <w:r w:rsidRPr="00060D11">
        <w:rPr>
          <w:rFonts w:cs="Calibri"/>
          <w:i/>
        </w:rPr>
        <w:t xml:space="preserve"> </w:t>
      </w:r>
      <w:r w:rsidRPr="00060D11">
        <w:rPr>
          <w:rFonts w:cs="Calibri"/>
        </w:rPr>
        <w:t xml:space="preserve">evidence of results (as per NEP MEF indicators: percent of teachers with appropriate qualification; percent of teachers accessing up-grade training opportunities). The PIE MERL system will also monitor the influence of a range of approaches designed to address the blockages in current systems for teacher upgrading, as well as the influence of scholarships and advocacy/incentives on rates of upgrading (particularly amongst female teachers). </w:t>
      </w:r>
    </w:p>
    <w:p w14:paraId="061A57B6" w14:textId="68E3D632" w:rsidR="001F26A6" w:rsidRPr="00060D11" w:rsidRDefault="001F26A6" w:rsidP="005B664D">
      <w:pPr>
        <w:autoSpaceDE w:val="0"/>
        <w:autoSpaceDN w:val="0"/>
        <w:adjustRightInd w:val="0"/>
        <w:spacing w:after="120" w:line="276" w:lineRule="auto"/>
        <w:ind w:left="709" w:hanging="283"/>
        <w:rPr>
          <w:rFonts w:cs="Calibri"/>
        </w:rPr>
      </w:pPr>
      <w:r w:rsidRPr="00060D11">
        <w:rPr>
          <w:rFonts w:cs="Calibri"/>
        </w:rPr>
        <w:tab/>
      </w:r>
      <w:r w:rsidRPr="00060D11">
        <w:rPr>
          <w:rFonts w:cs="Calibri"/>
          <w:i/>
          <w:iCs/>
        </w:rPr>
        <w:t xml:space="preserve">For the </w:t>
      </w:r>
      <w:r w:rsidR="00227767" w:rsidRPr="00060D11">
        <w:rPr>
          <w:rFonts w:cs="Calibri"/>
          <w:i/>
          <w:iCs/>
        </w:rPr>
        <w:t xml:space="preserve">IO </w:t>
      </w:r>
      <w:r w:rsidRPr="00060D11">
        <w:rPr>
          <w:rFonts w:cs="Calibri"/>
          <w:i/>
          <w:iCs/>
        </w:rPr>
        <w:t>3 pathway</w:t>
      </w:r>
      <w:r w:rsidRPr="00060D11">
        <w:rPr>
          <w:rFonts w:cs="Calibri"/>
        </w:rPr>
        <w:t xml:space="preserve">: monitoring will not only relate to the evidence of results (as per NEP MEF indicators: i.e., the performance of designated functions at sub-national levels), but also to tracking influence of Australia’s contributions to improving the performance of entities within NDoE </w:t>
      </w:r>
      <w:r w:rsidR="00C37188" w:rsidRPr="00060D11">
        <w:rPr>
          <w:rFonts w:cs="Calibri"/>
        </w:rPr>
        <w:t xml:space="preserve">address priority areas </w:t>
      </w:r>
      <w:r w:rsidR="00CC5CE4" w:rsidRPr="00060D11">
        <w:rPr>
          <w:rFonts w:cs="Calibri"/>
        </w:rPr>
        <w:t xml:space="preserve">including those involved in </w:t>
      </w:r>
      <w:r w:rsidRPr="00060D11">
        <w:rPr>
          <w:rFonts w:cs="Calibri"/>
        </w:rPr>
        <w:t>analysing, disseminating and using evidence to inform decision-making (e.g., Research and Evaluation Division, Policy and Planning Division)</w:t>
      </w:r>
    </w:p>
    <w:p w14:paraId="3BA397F7" w14:textId="079D358D" w:rsidR="001F26A6" w:rsidRPr="00060D11" w:rsidRDefault="001F26A6" w:rsidP="005B664D">
      <w:pPr>
        <w:autoSpaceDE w:val="0"/>
        <w:autoSpaceDN w:val="0"/>
        <w:adjustRightInd w:val="0"/>
        <w:spacing w:after="120" w:line="276" w:lineRule="auto"/>
        <w:ind w:left="709"/>
        <w:rPr>
          <w:rFonts w:cs="Calibri"/>
        </w:rPr>
      </w:pPr>
      <w:r w:rsidRPr="00060D11">
        <w:rPr>
          <w:rFonts w:cs="Calibri"/>
        </w:rPr>
        <w:t xml:space="preserve">Depending upon the inputs provided, the PIE MERL system will also need to capture data on the performance and quality of capacity development efforts carried out in both NDoE and the PDoEs to achieve these </w:t>
      </w:r>
      <w:r w:rsidR="00227767" w:rsidRPr="00060D11">
        <w:rPr>
          <w:rFonts w:cs="Calibri"/>
        </w:rPr>
        <w:t>IOs</w:t>
      </w:r>
      <w:r w:rsidRPr="00060D11">
        <w:rPr>
          <w:rFonts w:cs="Calibri"/>
        </w:rPr>
        <w:t>.</w:t>
      </w:r>
    </w:p>
    <w:p w14:paraId="0E09B713" w14:textId="77777777" w:rsidR="001F26A6" w:rsidRPr="00060D11" w:rsidRDefault="001F26A6" w:rsidP="004E780D">
      <w:pPr>
        <w:pStyle w:val="ListParagraph"/>
        <w:numPr>
          <w:ilvl w:val="0"/>
          <w:numId w:val="36"/>
        </w:numPr>
        <w:autoSpaceDE w:val="0"/>
        <w:autoSpaceDN w:val="0"/>
        <w:adjustRightInd w:val="0"/>
        <w:spacing w:after="120" w:line="276" w:lineRule="auto"/>
        <w:ind w:left="709" w:hanging="283"/>
        <w:contextualSpacing w:val="0"/>
        <w:rPr>
          <w:rFonts w:cs="Calibri"/>
          <w:sz w:val="22"/>
        </w:rPr>
      </w:pPr>
      <w:r w:rsidRPr="00060D11">
        <w:rPr>
          <w:rFonts w:cs="Calibri"/>
          <w:b/>
          <w:sz w:val="22"/>
        </w:rPr>
        <w:t>End of Investment Outcomes Level:</w:t>
      </w:r>
      <w:r w:rsidRPr="00060D11">
        <w:rPr>
          <w:rFonts w:cs="Calibri"/>
          <w:sz w:val="22"/>
        </w:rPr>
        <w:t xml:space="preserve"> At this level, the PIE MERL system needs to produce evidence to demonstrate whether, and to what extent, effective approaches have been developed to:</w:t>
      </w:r>
    </w:p>
    <w:p w14:paraId="25C10D4D" w14:textId="50C256FC" w:rsidR="001F26A6" w:rsidRPr="00060D11" w:rsidRDefault="001F26A6" w:rsidP="004E780D">
      <w:pPr>
        <w:pStyle w:val="ListParagraph"/>
        <w:numPr>
          <w:ilvl w:val="0"/>
          <w:numId w:val="37"/>
        </w:numPr>
        <w:autoSpaceDE w:val="0"/>
        <w:autoSpaceDN w:val="0"/>
        <w:adjustRightInd w:val="0"/>
        <w:spacing w:after="120" w:line="276" w:lineRule="auto"/>
        <w:contextualSpacing w:val="0"/>
        <w:rPr>
          <w:rFonts w:cs="Calibri"/>
          <w:sz w:val="22"/>
        </w:rPr>
      </w:pPr>
      <w:r w:rsidRPr="00060D11">
        <w:rPr>
          <w:rFonts w:cs="Calibri"/>
          <w:sz w:val="22"/>
        </w:rPr>
        <w:t xml:space="preserve">address the ‘creeping crisis’ in enrolment/retention in the early grades, particularly for girls and </w:t>
      </w:r>
      <w:r w:rsidR="004F1B7A" w:rsidRPr="00060D11">
        <w:rPr>
          <w:rFonts w:cs="Calibri"/>
          <w:sz w:val="22"/>
        </w:rPr>
        <w:t>CWD;</w:t>
      </w:r>
    </w:p>
    <w:p w14:paraId="7A27FBB1" w14:textId="68B8B223" w:rsidR="001F26A6" w:rsidRPr="00060D11" w:rsidRDefault="001F26A6" w:rsidP="004E780D">
      <w:pPr>
        <w:pStyle w:val="ListParagraph"/>
        <w:numPr>
          <w:ilvl w:val="0"/>
          <w:numId w:val="37"/>
        </w:numPr>
        <w:autoSpaceDE w:val="0"/>
        <w:autoSpaceDN w:val="0"/>
        <w:adjustRightInd w:val="0"/>
        <w:spacing w:after="120" w:line="276" w:lineRule="auto"/>
        <w:contextualSpacing w:val="0"/>
        <w:rPr>
          <w:rFonts w:cs="Calibri"/>
          <w:sz w:val="22"/>
        </w:rPr>
      </w:pPr>
      <w:r w:rsidRPr="00060D11">
        <w:rPr>
          <w:rFonts w:cs="Calibri"/>
          <w:sz w:val="22"/>
        </w:rPr>
        <w:t>deal with the shortage of qualified teachers in the early grades</w:t>
      </w:r>
      <w:r w:rsidR="00CF4FA8" w:rsidRPr="00060D11">
        <w:rPr>
          <w:rFonts w:cs="Calibri"/>
          <w:sz w:val="22"/>
        </w:rPr>
        <w:t>;</w:t>
      </w:r>
      <w:r w:rsidR="00443561" w:rsidRPr="00060D11">
        <w:rPr>
          <w:rFonts w:cs="Calibri"/>
          <w:sz w:val="22"/>
        </w:rPr>
        <w:t xml:space="preserve"> and</w:t>
      </w:r>
    </w:p>
    <w:p w14:paraId="6AEFA265" w14:textId="4DB9AB9B" w:rsidR="001F26A6" w:rsidRPr="00060D11" w:rsidRDefault="00683617" w:rsidP="004E780D">
      <w:pPr>
        <w:pStyle w:val="ListParagraph"/>
        <w:numPr>
          <w:ilvl w:val="0"/>
          <w:numId w:val="37"/>
        </w:numPr>
        <w:autoSpaceDE w:val="0"/>
        <w:autoSpaceDN w:val="0"/>
        <w:adjustRightInd w:val="0"/>
        <w:spacing w:after="120" w:line="276" w:lineRule="auto"/>
        <w:contextualSpacing w:val="0"/>
        <w:rPr>
          <w:rFonts w:cs="Calibri"/>
          <w:sz w:val="22"/>
        </w:rPr>
      </w:pPr>
      <w:r w:rsidRPr="00060D11">
        <w:rPr>
          <w:rFonts w:cs="Calibri"/>
          <w:sz w:val="22"/>
        </w:rPr>
        <w:t xml:space="preserve">create systemic change and </w:t>
      </w:r>
      <w:r w:rsidR="001F26A6" w:rsidRPr="00060D11">
        <w:rPr>
          <w:rFonts w:cs="Calibri"/>
          <w:sz w:val="22"/>
        </w:rPr>
        <w:t>improve the functional capacity and sustainability of the whole education system, by engaging national and sub-national stakeholders in a collaborative effort to improve education services.</w:t>
      </w:r>
    </w:p>
    <w:p w14:paraId="5D25D21D" w14:textId="0DE4AB1E" w:rsidR="001F26A6" w:rsidRPr="00060D11" w:rsidRDefault="001F26A6" w:rsidP="004E780D">
      <w:pPr>
        <w:autoSpaceDE w:val="0"/>
        <w:autoSpaceDN w:val="0"/>
        <w:adjustRightInd w:val="0"/>
        <w:spacing w:after="120" w:line="276" w:lineRule="auto"/>
        <w:ind w:left="720"/>
        <w:rPr>
          <w:rFonts w:cs="Calibri"/>
        </w:rPr>
      </w:pPr>
      <w:r w:rsidRPr="00060D11">
        <w:rPr>
          <w:rFonts w:cs="Calibri"/>
        </w:rPr>
        <w:t xml:space="preserve">At this level, the PIE MERL system needs to be able to monitor results, processes and the on-going relevance of </w:t>
      </w:r>
      <w:r w:rsidR="00CF4FA8" w:rsidRPr="00060D11">
        <w:rPr>
          <w:rFonts w:cs="Calibri"/>
        </w:rPr>
        <w:t>ToCs</w:t>
      </w:r>
      <w:r w:rsidRPr="00060D11">
        <w:rPr>
          <w:rFonts w:cs="Calibri"/>
        </w:rPr>
        <w:t xml:space="preserve"> and assumptions.</w:t>
      </w:r>
    </w:p>
    <w:p w14:paraId="0EFA8B4A" w14:textId="7497DB11" w:rsidR="001F26A6" w:rsidRPr="00060D11" w:rsidRDefault="001F26A6" w:rsidP="004E780D">
      <w:pPr>
        <w:pStyle w:val="ListParagraph"/>
        <w:autoSpaceDE w:val="0"/>
        <w:autoSpaceDN w:val="0"/>
        <w:adjustRightInd w:val="0"/>
        <w:spacing w:after="120" w:line="276" w:lineRule="auto"/>
        <w:ind w:left="0"/>
        <w:contextualSpacing w:val="0"/>
        <w:rPr>
          <w:rFonts w:cstheme="minorHAnsi"/>
          <w:sz w:val="22"/>
        </w:rPr>
      </w:pPr>
      <w:r w:rsidRPr="00060D11">
        <w:rPr>
          <w:rFonts w:cstheme="minorHAnsi"/>
          <w:sz w:val="22"/>
        </w:rPr>
        <w:t xml:space="preserve">The PIE budget </w:t>
      </w:r>
      <w:r w:rsidR="00C050E4">
        <w:rPr>
          <w:rFonts w:cstheme="minorHAnsi"/>
          <w:sz w:val="22"/>
        </w:rPr>
        <w:t>is ample</w:t>
      </w:r>
      <w:r w:rsidRPr="00060D11">
        <w:rPr>
          <w:rFonts w:cstheme="minorHAnsi"/>
          <w:sz w:val="22"/>
        </w:rPr>
        <w:t xml:space="preserve"> to review results and implementation data to provide an answer to the question “</w:t>
      </w:r>
      <w:r w:rsidRPr="00060D11">
        <w:rPr>
          <w:rFonts w:cstheme="minorHAnsi"/>
          <w:i/>
          <w:sz w:val="22"/>
        </w:rPr>
        <w:t xml:space="preserve">Did we get it right? Was our thinking about the way in which change would occur – and the most appropriate way to support that change - accurate? Were our assumptions sound?” </w:t>
      </w:r>
      <w:r w:rsidRPr="00060D11">
        <w:rPr>
          <w:rFonts w:cstheme="minorHAnsi"/>
          <w:sz w:val="22"/>
        </w:rPr>
        <w:t xml:space="preserve">Here, the emphasis is upon determining the extent to which progress in achieving the </w:t>
      </w:r>
      <w:r w:rsidR="00227767" w:rsidRPr="00060D11">
        <w:rPr>
          <w:rFonts w:cstheme="minorHAnsi"/>
          <w:sz w:val="22"/>
        </w:rPr>
        <w:t>IOs</w:t>
      </w:r>
      <w:r w:rsidRPr="00060D11">
        <w:rPr>
          <w:rFonts w:cstheme="minorHAnsi"/>
          <w:sz w:val="22"/>
        </w:rPr>
        <w:t xml:space="preserve"> has, in fact, led to progress in achievement of the </w:t>
      </w:r>
      <w:r w:rsidR="00227767" w:rsidRPr="00060D11">
        <w:rPr>
          <w:rFonts w:cstheme="minorHAnsi"/>
          <w:sz w:val="22"/>
        </w:rPr>
        <w:t>EOIO</w:t>
      </w:r>
      <w:r w:rsidRPr="00060D11">
        <w:rPr>
          <w:rFonts w:cstheme="minorHAnsi"/>
          <w:sz w:val="22"/>
        </w:rPr>
        <w:t xml:space="preserve">. </w:t>
      </w:r>
    </w:p>
    <w:p w14:paraId="3CBE46D0" w14:textId="081DA4B1" w:rsidR="001F26A6" w:rsidRPr="00060D11" w:rsidRDefault="001F26A6" w:rsidP="004E780D">
      <w:pPr>
        <w:spacing w:after="120" w:line="276" w:lineRule="auto"/>
        <w:rPr>
          <w:rFonts w:cstheme="minorHAnsi"/>
        </w:rPr>
      </w:pPr>
      <w:r w:rsidRPr="00060D11">
        <w:rPr>
          <w:rFonts w:cstheme="minorHAnsi"/>
        </w:rPr>
        <w:t xml:space="preserve">The </w:t>
      </w:r>
      <w:r w:rsidRPr="00060D11">
        <w:rPr>
          <w:rFonts w:cstheme="minorHAnsi"/>
          <w:b/>
        </w:rPr>
        <w:t xml:space="preserve">role of the MERL system in fostering communication and dialogue between NDoE and selected PDoEs, as well as with DHERST and the Teaching Commission </w:t>
      </w:r>
      <w:r w:rsidRPr="00060D11">
        <w:rPr>
          <w:rFonts w:cstheme="minorHAnsi"/>
        </w:rPr>
        <w:t xml:space="preserve">is also critical. While monitoring produces information to satisfy reporting requirements for both GoPNG and GoA, information products may also be used as the basis for ‘learning events’ potentially involving national and provincial government, church education service providers and donors. The MERL Framework outlined in Appendix E provides for Quarterly Progress Review and Plan Adjustment events – by </w:t>
      </w:r>
      <w:r w:rsidR="00CF4FA8" w:rsidRPr="00060D11">
        <w:rPr>
          <w:rFonts w:cstheme="minorHAnsi"/>
        </w:rPr>
        <w:t>p</w:t>
      </w:r>
      <w:r w:rsidRPr="00060D11">
        <w:rPr>
          <w:rFonts w:cstheme="minorHAnsi"/>
        </w:rPr>
        <w:t>rovince and nationally – to share evidence and consider the significance of the evidence to inform current thinking and planning.</w:t>
      </w:r>
    </w:p>
    <w:p w14:paraId="6AAF647D" w14:textId="7480CD66" w:rsidR="001F26A6" w:rsidRPr="00060D11" w:rsidRDefault="001F26A6" w:rsidP="004E780D">
      <w:pPr>
        <w:spacing w:after="120" w:line="276" w:lineRule="auto"/>
        <w:rPr>
          <w:rFonts w:cstheme="minorHAnsi"/>
        </w:rPr>
      </w:pPr>
      <w:r w:rsidRPr="00060D11">
        <w:rPr>
          <w:rFonts w:cstheme="minorHAnsi"/>
        </w:rPr>
        <w:t xml:space="preserve">The PIE MERL system also has a key role to play in </w:t>
      </w:r>
      <w:r w:rsidRPr="00060D11">
        <w:rPr>
          <w:rFonts w:cstheme="minorHAnsi"/>
          <w:b/>
        </w:rPr>
        <w:t xml:space="preserve">addressing gender equality and social inclusion concerns. </w:t>
      </w:r>
      <w:r w:rsidRPr="00060D11">
        <w:rPr>
          <w:rFonts w:cstheme="minorHAnsi"/>
        </w:rPr>
        <w:t xml:space="preserve">The MERL Specialist will be responsible for ensuring </w:t>
      </w:r>
      <w:r w:rsidR="000124B1" w:rsidRPr="00060D11">
        <w:rPr>
          <w:rFonts w:cstheme="minorHAnsi"/>
        </w:rPr>
        <w:t>that</w:t>
      </w:r>
      <w:r w:rsidRPr="00060D11">
        <w:rPr>
          <w:rFonts w:cstheme="minorHAnsi"/>
        </w:rPr>
        <w:t xml:space="preserve"> </w:t>
      </w:r>
      <w:r w:rsidR="005B32D8" w:rsidRPr="00060D11">
        <w:rPr>
          <w:rFonts w:cstheme="minorHAnsi"/>
        </w:rPr>
        <w:t xml:space="preserve">the </w:t>
      </w:r>
      <w:r w:rsidRPr="00060D11">
        <w:rPr>
          <w:rFonts w:cstheme="minorHAnsi"/>
        </w:rPr>
        <w:t xml:space="preserve">PIE MERL system meets DFAT standards. This will include assisting the full-time, national GEDSI/Access/Retention Adviser to ensure that gender analysis is integrated into baseline assessments (at national and sub-national levels. The MERL Adviser will also be tasked to design and supervise implementation of a baseline survey of </w:t>
      </w:r>
      <w:r w:rsidR="004F1B7A" w:rsidRPr="00060D11">
        <w:rPr>
          <w:rFonts w:cstheme="minorHAnsi"/>
        </w:rPr>
        <w:t>CWD</w:t>
      </w:r>
      <w:r w:rsidRPr="00060D11">
        <w:rPr>
          <w:rFonts w:cstheme="minorHAnsi"/>
        </w:rPr>
        <w:t xml:space="preserve"> in target provinces to inform on-going programming. Where appropriate, this work will draw upon, and build on, work already done by </w:t>
      </w:r>
      <w:r w:rsidR="00686208" w:rsidRPr="00060D11">
        <w:rPr>
          <w:rFonts w:cstheme="minorHAnsi"/>
        </w:rPr>
        <w:t>CSPD</w:t>
      </w:r>
      <w:r w:rsidRPr="00060D11">
        <w:rPr>
          <w:rFonts w:cstheme="minorHAnsi"/>
        </w:rPr>
        <w:t xml:space="preserve"> and SCF under the PPF grants program.</w:t>
      </w:r>
    </w:p>
    <w:p w14:paraId="65AF01D3" w14:textId="4925E492" w:rsidR="001F26A6" w:rsidRPr="00060D11" w:rsidRDefault="001F26A6" w:rsidP="004E780D">
      <w:pPr>
        <w:spacing w:after="120" w:line="276" w:lineRule="auto"/>
        <w:rPr>
          <w:rFonts w:cstheme="minorHAnsi"/>
        </w:rPr>
      </w:pPr>
      <w:r w:rsidRPr="00060D11">
        <w:rPr>
          <w:rFonts w:cstheme="minorHAnsi"/>
        </w:rPr>
        <w:t xml:space="preserve">Finally, the </w:t>
      </w:r>
      <w:r w:rsidR="00C050E4">
        <w:rPr>
          <w:rFonts w:cstheme="minorHAnsi"/>
        </w:rPr>
        <w:t>monitoring missions</w:t>
      </w:r>
      <w:r w:rsidRPr="00060D11">
        <w:rPr>
          <w:rFonts w:cstheme="minorHAnsi"/>
        </w:rPr>
        <w:t xml:space="preserve"> may </w:t>
      </w:r>
      <w:r w:rsidR="00C050E4">
        <w:rPr>
          <w:rFonts w:cstheme="minorHAnsi"/>
        </w:rPr>
        <w:t>focus on</w:t>
      </w:r>
      <w:r w:rsidRPr="00060D11">
        <w:rPr>
          <w:rFonts w:cstheme="minorHAnsi"/>
        </w:rPr>
        <w:t xml:space="preserve"> answering the question “</w:t>
      </w:r>
      <w:r w:rsidRPr="00060D11">
        <w:rPr>
          <w:rFonts w:cstheme="minorHAnsi"/>
          <w:i/>
        </w:rPr>
        <w:t xml:space="preserve">To what extent does Australia’s support via the PIE investment close the gender equality gap and integrate children with disabilities?” </w:t>
      </w:r>
      <w:r w:rsidRPr="00060D11">
        <w:rPr>
          <w:rFonts w:cstheme="minorHAnsi"/>
        </w:rPr>
        <w:t xml:space="preserve">In order to do this, it may be necessary to further develop tools or build capacity </w:t>
      </w:r>
      <w:r w:rsidR="00A73F55" w:rsidRPr="00060D11">
        <w:rPr>
          <w:rFonts w:cstheme="minorHAnsi"/>
        </w:rPr>
        <w:t xml:space="preserve">among </w:t>
      </w:r>
      <w:r w:rsidR="00A40A2B" w:rsidRPr="00060D11">
        <w:rPr>
          <w:rFonts w:cstheme="minorHAnsi"/>
        </w:rPr>
        <w:t xml:space="preserve">PIE </w:t>
      </w:r>
      <w:r w:rsidR="00A73F55" w:rsidRPr="00060D11">
        <w:rPr>
          <w:rFonts w:cstheme="minorHAnsi"/>
        </w:rPr>
        <w:t>program staff</w:t>
      </w:r>
      <w:r w:rsidRPr="00060D11">
        <w:rPr>
          <w:rFonts w:cstheme="minorHAnsi"/>
        </w:rPr>
        <w:t xml:space="preserve"> </w:t>
      </w:r>
      <w:r w:rsidR="00A40A2B" w:rsidRPr="00060D11">
        <w:rPr>
          <w:rFonts w:cstheme="minorHAnsi"/>
        </w:rPr>
        <w:t xml:space="preserve">and advisers </w:t>
      </w:r>
      <w:r w:rsidRPr="00060D11">
        <w:rPr>
          <w:rFonts w:cstheme="minorHAnsi"/>
        </w:rPr>
        <w:t>to understand the gender equality and disability inclusion policy priorities of both governments.</w:t>
      </w:r>
    </w:p>
    <w:p w14:paraId="05E5E382" w14:textId="77777777" w:rsidR="001F26A6" w:rsidRPr="00060D11" w:rsidRDefault="001F26A6" w:rsidP="004E780D">
      <w:pPr>
        <w:spacing w:after="120" w:line="276" w:lineRule="auto"/>
        <w:rPr>
          <w:rFonts w:cstheme="minorHAnsi"/>
          <w:highlight w:val="yellow"/>
        </w:rPr>
      </w:pPr>
    </w:p>
    <w:p w14:paraId="5F559C42" w14:textId="77777777" w:rsidR="001F26A6" w:rsidRPr="00060D11" w:rsidRDefault="001F26A6" w:rsidP="00C04736">
      <w:pPr>
        <w:pStyle w:val="Heading2"/>
      </w:pPr>
      <w:r w:rsidRPr="00060D11">
        <w:t>F.3</w:t>
      </w:r>
      <w:r w:rsidRPr="00060D11">
        <w:tab/>
        <w:t>INDEPENDENT REVIEWS OF PROGRESS</w:t>
      </w:r>
    </w:p>
    <w:p w14:paraId="72588C5B" w14:textId="00F8BEE1" w:rsidR="001F26A6" w:rsidRPr="00060D11" w:rsidRDefault="001F26A6" w:rsidP="004E780D">
      <w:pPr>
        <w:spacing w:after="120" w:line="276" w:lineRule="auto"/>
        <w:rPr>
          <w:rFonts w:cstheme="minorHAnsi"/>
        </w:rPr>
      </w:pPr>
      <w:r w:rsidRPr="00060D11">
        <w:rPr>
          <w:rFonts w:cstheme="minorHAnsi"/>
        </w:rPr>
        <w:t xml:space="preserve">The PIE budget makes provision for </w:t>
      </w:r>
      <w:proofErr w:type="gramStart"/>
      <w:r w:rsidR="00EA60EA">
        <w:rPr>
          <w:rFonts w:cstheme="minorHAnsi"/>
        </w:rPr>
        <w:t xml:space="preserve">monitoring </w:t>
      </w:r>
      <w:r w:rsidRPr="00060D11">
        <w:rPr>
          <w:rFonts w:cstheme="minorHAnsi"/>
        </w:rPr>
        <w:t xml:space="preserve"> to</w:t>
      </w:r>
      <w:proofErr w:type="gramEnd"/>
      <w:r w:rsidRPr="00060D11">
        <w:rPr>
          <w:rFonts w:cstheme="minorHAnsi"/>
        </w:rPr>
        <w:t xml:space="preserve"> provide direct advice on the progress and process of the investment during implementation. The design provides for this function to commence after six months and, thereafter, involve six-monthly visits.</w:t>
      </w:r>
      <w:r w:rsidR="00A40A2B" w:rsidRPr="00060D11">
        <w:rPr>
          <w:rFonts w:cstheme="minorHAnsi"/>
        </w:rPr>
        <w:t xml:space="preserve"> </w:t>
      </w:r>
    </w:p>
    <w:p w14:paraId="4A0D6CFA" w14:textId="050C3CD4" w:rsidR="001F26A6" w:rsidRPr="00060D11" w:rsidRDefault="001F26A6" w:rsidP="004E780D">
      <w:pPr>
        <w:spacing w:after="120" w:line="276" w:lineRule="auto"/>
        <w:rPr>
          <w:rFonts w:cstheme="minorHAnsi"/>
        </w:rPr>
      </w:pPr>
      <w:r w:rsidRPr="00060D11">
        <w:rPr>
          <w:rFonts w:cstheme="minorHAnsi"/>
        </w:rPr>
        <w:t xml:space="preserve">The focus for each </w:t>
      </w:r>
      <w:r w:rsidR="00EA60EA">
        <w:rPr>
          <w:rFonts w:cstheme="minorHAnsi"/>
        </w:rPr>
        <w:t>monitoring</w:t>
      </w:r>
      <w:r w:rsidRPr="00060D11">
        <w:rPr>
          <w:rFonts w:cstheme="minorHAnsi"/>
        </w:rPr>
        <w:t xml:space="preserve"> mission will be determined by AHC. However, key review questions are outlined in the Skeletal Performance Assessment Framework included in Appendix E. </w:t>
      </w:r>
      <w:r w:rsidRPr="00060D11">
        <w:rPr>
          <w:rFonts w:cstheme="minorHAnsi"/>
          <w:b/>
          <w:bCs/>
        </w:rPr>
        <w:t>Early consideration of the key review questions by both DFAT Program Management and the PIE MERL Adviser is advisable</w:t>
      </w:r>
      <w:r w:rsidRPr="00060D11">
        <w:rPr>
          <w:rFonts w:cstheme="minorHAnsi"/>
        </w:rPr>
        <w:t xml:space="preserve"> because it is important for the PIE monitoring system to be collecting the information required by the </w:t>
      </w:r>
      <w:r w:rsidR="00EA60EA">
        <w:rPr>
          <w:rFonts w:cstheme="minorHAnsi"/>
        </w:rPr>
        <w:t>monitoring</w:t>
      </w:r>
      <w:r w:rsidRPr="00060D11">
        <w:rPr>
          <w:rFonts w:cstheme="minorHAnsi"/>
        </w:rPr>
        <w:t xml:space="preserve"> </w:t>
      </w:r>
      <w:r w:rsidR="00EA60EA">
        <w:rPr>
          <w:rFonts w:cstheme="minorHAnsi"/>
        </w:rPr>
        <w:t>team</w:t>
      </w:r>
      <w:r w:rsidR="00EA60EA" w:rsidRPr="00060D11">
        <w:rPr>
          <w:rFonts w:cstheme="minorHAnsi"/>
        </w:rPr>
        <w:t xml:space="preserve"> </w:t>
      </w:r>
      <w:r w:rsidRPr="00060D11">
        <w:rPr>
          <w:rFonts w:cstheme="minorHAnsi"/>
        </w:rPr>
        <w:t xml:space="preserve">to address the questions posed by the DFAT Program Management. </w:t>
      </w:r>
      <w:r w:rsidR="00632283" w:rsidRPr="00060D11">
        <w:rPr>
          <w:rFonts w:cstheme="minorHAnsi"/>
        </w:rPr>
        <w:t xml:space="preserve">After the first 3 years, </w:t>
      </w:r>
      <w:r w:rsidR="00632283" w:rsidRPr="00060D11">
        <w:rPr>
          <w:rFonts w:cstheme="minorHAnsi"/>
          <w:b/>
          <w:bCs/>
        </w:rPr>
        <w:t>consideration to scale up the program will follow an Independent Review,</w:t>
      </w:r>
      <w:r w:rsidR="00632283" w:rsidRPr="00060D11">
        <w:rPr>
          <w:rFonts w:cstheme="minorHAnsi"/>
        </w:rPr>
        <w:t xml:space="preserve"> which will draw on the program MERL evidence of impact.</w:t>
      </w:r>
    </w:p>
    <w:p w14:paraId="6146B8E5" w14:textId="20B49637" w:rsidR="002137DE" w:rsidRPr="00060D11" w:rsidRDefault="002137DE" w:rsidP="00C04736"/>
    <w:p w14:paraId="5AB492C8" w14:textId="77777777" w:rsidR="002137DE" w:rsidRPr="00060D11" w:rsidRDefault="002137DE">
      <w:pPr>
        <w:rPr>
          <w:rFonts w:asciiTheme="majorHAnsi" w:eastAsiaTheme="majorEastAsia" w:hAnsiTheme="majorHAnsi" w:cstheme="majorBidi"/>
          <w:b/>
          <w:bCs/>
          <w:sz w:val="38"/>
          <w:szCs w:val="38"/>
          <w:lang w:eastAsia="en-AU"/>
        </w:rPr>
      </w:pPr>
      <w:r w:rsidRPr="00060D11">
        <w:rPr>
          <w:b/>
          <w:bCs/>
          <w:sz w:val="38"/>
          <w:szCs w:val="38"/>
        </w:rPr>
        <w:br w:type="page"/>
      </w:r>
    </w:p>
    <w:p w14:paraId="5F2A3B73" w14:textId="62CF363B" w:rsidR="001F26A6" w:rsidRPr="00060D11" w:rsidRDefault="00D40739" w:rsidP="001F26A6">
      <w:pPr>
        <w:pStyle w:val="Heading1"/>
        <w:rPr>
          <w:b/>
          <w:bCs/>
          <w:color w:val="44546A" w:themeColor="text2"/>
          <w:sz w:val="38"/>
          <w:szCs w:val="38"/>
          <w:lang w:val="en-GB"/>
        </w:rPr>
      </w:pPr>
      <w:bookmarkStart w:id="67" w:name="_Toc82182422"/>
      <w:r w:rsidRPr="00060D11">
        <w:rPr>
          <w:b/>
          <w:bCs/>
          <w:noProof/>
          <w:color w:val="44546A" w:themeColor="text2"/>
          <w:sz w:val="38"/>
          <w:szCs w:val="38"/>
          <w:lang w:val="en-GB"/>
        </w:rPr>
        <w:drawing>
          <wp:anchor distT="0" distB="0" distL="114300" distR="114300" simplePos="0" relativeHeight="251770880" behindDoc="1" locked="1" layoutInCell="1" allowOverlap="1" wp14:anchorId="42606527" wp14:editId="76011CD3">
            <wp:simplePos x="0" y="0"/>
            <wp:positionH relativeFrom="page">
              <wp:posOffset>157480</wp:posOffset>
            </wp:positionH>
            <wp:positionV relativeFrom="page">
              <wp:posOffset>471805</wp:posOffset>
            </wp:positionV>
            <wp:extent cx="7559675" cy="2519680"/>
            <wp:effectExtent l="0" t="0" r="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0" cstate="print">
                      <a:duotone>
                        <a:prstClr val="black"/>
                        <a:srgbClr val="007C89">
                          <a:tint val="45000"/>
                          <a:satMod val="400000"/>
                        </a:srgbClr>
                      </a:duotone>
                      <a:extLst>
                        <a:ext uri="{BEBA8EAE-BF5A-486C-A8C5-ECC9F3942E4B}">
                          <a14:imgProps xmlns:a14="http://schemas.microsoft.com/office/drawing/2010/main">
                            <a14:imgLayer r:embed="rId11">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7559675" cy="2519680"/>
                    </a:xfrm>
                    <a:prstGeom prst="rect">
                      <a:avLst/>
                    </a:prstGeom>
                    <a:ln>
                      <a:noFill/>
                    </a:ln>
                  </pic:spPr>
                </pic:pic>
              </a:graphicData>
            </a:graphic>
            <wp14:sizeRelH relativeFrom="margin">
              <wp14:pctWidth>0</wp14:pctWidth>
            </wp14:sizeRelH>
            <wp14:sizeRelV relativeFrom="margin">
              <wp14:pctHeight>0</wp14:pctHeight>
            </wp14:sizeRelV>
          </wp:anchor>
        </w:drawing>
      </w:r>
      <w:r w:rsidR="001F26A6" w:rsidRPr="00060D11">
        <w:rPr>
          <w:b/>
          <w:bCs/>
          <w:color w:val="44546A" w:themeColor="text2"/>
          <w:sz w:val="38"/>
          <w:szCs w:val="38"/>
          <w:lang w:val="en-GB"/>
        </w:rPr>
        <w:t>G</w:t>
      </w:r>
      <w:r w:rsidR="001F26A6" w:rsidRPr="00060D11">
        <w:rPr>
          <w:b/>
          <w:bCs/>
          <w:color w:val="44546A" w:themeColor="text2"/>
          <w:lang w:val="en-GB"/>
        </w:rPr>
        <w:t>.</w:t>
      </w:r>
      <w:r w:rsidR="001F26A6" w:rsidRPr="00060D11">
        <w:rPr>
          <w:b/>
          <w:bCs/>
          <w:color w:val="44546A" w:themeColor="text2"/>
          <w:lang w:val="en-GB"/>
        </w:rPr>
        <w:tab/>
      </w:r>
      <w:r w:rsidR="001F26A6" w:rsidRPr="00060D11">
        <w:rPr>
          <w:b/>
          <w:bCs/>
          <w:color w:val="44546A" w:themeColor="text2"/>
          <w:sz w:val="38"/>
          <w:szCs w:val="38"/>
          <w:lang w:val="en-GB"/>
        </w:rPr>
        <w:t>GENDER EQUALITY AND DISABILITY INCLUSION</w:t>
      </w:r>
      <w:bookmarkEnd w:id="67"/>
    </w:p>
    <w:p w14:paraId="228EA50A" w14:textId="77777777" w:rsidR="002137DE" w:rsidRPr="00060D11" w:rsidRDefault="002137DE" w:rsidP="00C04736"/>
    <w:p w14:paraId="2C343644" w14:textId="77777777" w:rsidR="00D40739" w:rsidRPr="00060D11" w:rsidRDefault="00D40739" w:rsidP="00C04736"/>
    <w:p w14:paraId="170BBD66" w14:textId="1DD5C780" w:rsidR="00D40739" w:rsidRDefault="00D40739" w:rsidP="00C04736"/>
    <w:p w14:paraId="2D534794" w14:textId="77777777" w:rsidR="00C04736" w:rsidRPr="00060D11" w:rsidRDefault="00C04736" w:rsidP="00C04736"/>
    <w:p w14:paraId="577EFC37" w14:textId="77777777" w:rsidR="00D40739" w:rsidRPr="00060D11" w:rsidRDefault="00D40739" w:rsidP="00C04736"/>
    <w:p w14:paraId="5A501A98" w14:textId="77777777" w:rsidR="00C04736" w:rsidRDefault="00C04736" w:rsidP="00C04736"/>
    <w:p w14:paraId="34222AEE" w14:textId="77777777" w:rsidR="00C04736" w:rsidRDefault="00C04736" w:rsidP="00C04736"/>
    <w:p w14:paraId="29846105" w14:textId="4E191AB3" w:rsidR="001F26A6" w:rsidRPr="00060D11" w:rsidRDefault="001F26A6" w:rsidP="00C04736">
      <w:pPr>
        <w:pStyle w:val="Heading2"/>
      </w:pPr>
      <w:r w:rsidRPr="00060D11">
        <w:t>G.1</w:t>
      </w:r>
      <w:r w:rsidRPr="00060D11">
        <w:tab/>
        <w:t>GENDER EQUALITY</w:t>
      </w:r>
    </w:p>
    <w:p w14:paraId="3ECEE51A" w14:textId="77777777" w:rsidR="00D40739" w:rsidRPr="00060D11" w:rsidRDefault="00D40739" w:rsidP="00C04736"/>
    <w:p w14:paraId="271D5F6C" w14:textId="611A08C2" w:rsidR="001F26A6" w:rsidRPr="00C04736" w:rsidRDefault="001F26A6" w:rsidP="00C04736">
      <w:pPr>
        <w:rPr>
          <w:b/>
          <w:bCs/>
        </w:rPr>
      </w:pPr>
      <w:r w:rsidRPr="00C04736">
        <w:rPr>
          <w:b/>
          <w:bCs/>
        </w:rPr>
        <w:t>Context</w:t>
      </w:r>
    </w:p>
    <w:p w14:paraId="2CE26F14" w14:textId="77777777" w:rsidR="001F26A6" w:rsidRPr="00060D11" w:rsidRDefault="001F26A6" w:rsidP="004E780D">
      <w:pPr>
        <w:pStyle w:val="BodyText"/>
        <w:spacing w:before="117" w:after="120" w:line="276" w:lineRule="auto"/>
        <w:ind w:left="0" w:right="279"/>
        <w:jc w:val="both"/>
        <w:rPr>
          <w:rFonts w:asciiTheme="minorHAnsi" w:hAnsiTheme="minorHAnsi" w:cstheme="minorHAnsi"/>
          <w:color w:val="44546A" w:themeColor="text2"/>
          <w:lang w:val="en-GB"/>
        </w:rPr>
      </w:pPr>
      <w:r w:rsidRPr="00060D11">
        <w:rPr>
          <w:rFonts w:asciiTheme="minorHAnsi" w:hAnsiTheme="minorHAnsi" w:cstheme="minorHAnsi"/>
          <w:color w:val="44546A" w:themeColor="text2"/>
          <w:lang w:val="en-GB"/>
        </w:rPr>
        <w:t>Despite PNG being a signatory to a range of international treaties</w:t>
      </w:r>
      <w:r w:rsidRPr="00060D11">
        <w:rPr>
          <w:rStyle w:val="FootnoteReference"/>
          <w:rFonts w:asciiTheme="minorHAnsi" w:hAnsiTheme="minorHAnsi" w:cstheme="minorHAnsi"/>
          <w:lang w:val="en-GB"/>
        </w:rPr>
        <w:footnoteReference w:id="80"/>
      </w:r>
      <w:r w:rsidRPr="00060D11">
        <w:rPr>
          <w:rFonts w:asciiTheme="minorHAnsi" w:hAnsiTheme="minorHAnsi" w:cstheme="minorHAnsi"/>
          <w:color w:val="44546A" w:themeColor="text2"/>
          <w:lang w:val="en-GB"/>
        </w:rPr>
        <w:t xml:space="preserve"> progress has been weak</w:t>
      </w:r>
      <w:r w:rsidRPr="00060D11">
        <w:rPr>
          <w:rStyle w:val="FootnoteReference"/>
          <w:rFonts w:asciiTheme="minorHAnsi" w:hAnsiTheme="minorHAnsi" w:cstheme="minorHAnsi"/>
          <w:lang w:val="en-GB"/>
        </w:rPr>
        <w:footnoteReference w:id="81"/>
      </w:r>
      <w:r w:rsidRPr="00060D11">
        <w:rPr>
          <w:rFonts w:asciiTheme="minorHAnsi" w:hAnsiTheme="minorHAnsi" w:cstheme="minorHAnsi"/>
          <w:color w:val="44546A" w:themeColor="text2"/>
          <w:lang w:val="en-GB"/>
        </w:rPr>
        <w:t>. and despite equality being enshrined in the PNG National Constitution and a range of legislation,</w:t>
      </w:r>
      <w:r w:rsidRPr="00060D11">
        <w:rPr>
          <w:rStyle w:val="FootnoteReference"/>
          <w:rFonts w:asciiTheme="minorHAnsi" w:hAnsiTheme="minorHAnsi" w:cstheme="minorHAnsi"/>
          <w:lang w:val="en-GB"/>
        </w:rPr>
        <w:footnoteReference w:id="82"/>
      </w:r>
      <w:r w:rsidRPr="00060D11">
        <w:rPr>
          <w:rFonts w:asciiTheme="minorHAnsi" w:hAnsiTheme="minorHAnsi" w:cstheme="minorHAnsi"/>
          <w:color w:val="44546A" w:themeColor="text2"/>
          <w:lang w:val="en-GB"/>
        </w:rPr>
        <w:t xml:space="preserve"> gender inequality is still a major social, economic and political issue and remains prevalent in both urban and rural societies. The most recent United Nations Gender Inequality Index (2017) ranks PNG 159th of 160 countries. Gender violence, gender inequalities and violations of the rights of women and girls are endemic across the country.</w:t>
      </w:r>
    </w:p>
    <w:p w14:paraId="05CC18A1" w14:textId="77777777" w:rsidR="001F26A6" w:rsidRPr="00060D11" w:rsidRDefault="001F26A6" w:rsidP="004E780D">
      <w:pPr>
        <w:pStyle w:val="BodyText"/>
        <w:spacing w:before="117" w:after="120" w:line="276" w:lineRule="auto"/>
        <w:ind w:left="0" w:right="279"/>
        <w:jc w:val="both"/>
        <w:rPr>
          <w:rFonts w:asciiTheme="minorHAnsi" w:hAnsiTheme="minorHAnsi" w:cstheme="minorHAnsi"/>
          <w:color w:val="44546A" w:themeColor="text2"/>
          <w:lang w:val="en-GB"/>
        </w:rPr>
      </w:pPr>
      <w:r w:rsidRPr="00060D11">
        <w:rPr>
          <w:rFonts w:asciiTheme="minorHAnsi" w:hAnsiTheme="minorHAnsi" w:cstheme="minorHAnsi"/>
          <w:color w:val="44546A" w:themeColor="text2"/>
          <w:lang w:val="en-GB"/>
        </w:rPr>
        <w:t>Similarly, although the seven national churches mandated to delivery education services in PNG jointly agreed on a Theology of Gender Equality in April 2016, changes in the structure and functions of the church do not yet reflect shifts towards equal rights, responsibilities and opportunities for males and females. This is also reflected in the church functions as an education service provider.</w:t>
      </w:r>
    </w:p>
    <w:p w14:paraId="01D97B1C" w14:textId="7BF80CDF" w:rsidR="001F26A6" w:rsidRPr="00060D11" w:rsidRDefault="001F26A6" w:rsidP="004E780D">
      <w:pPr>
        <w:pStyle w:val="BodyText"/>
        <w:spacing w:before="117" w:after="120" w:line="276" w:lineRule="auto"/>
        <w:ind w:left="0" w:right="279"/>
        <w:jc w:val="both"/>
        <w:rPr>
          <w:rFonts w:asciiTheme="minorHAnsi" w:hAnsiTheme="minorHAnsi" w:cstheme="minorHAnsi"/>
          <w:color w:val="44546A" w:themeColor="text2"/>
          <w:lang w:val="en-GB"/>
        </w:rPr>
      </w:pPr>
      <w:r w:rsidRPr="00060D11">
        <w:rPr>
          <w:rFonts w:asciiTheme="minorHAnsi" w:hAnsiTheme="minorHAnsi" w:cstheme="minorHAnsi"/>
          <w:color w:val="44546A" w:themeColor="text2"/>
          <w:lang w:val="en-GB"/>
        </w:rPr>
        <w:t xml:space="preserve">Appendix F, prepared in </w:t>
      </w:r>
      <w:r w:rsidR="00E83E53" w:rsidRPr="00060D11">
        <w:rPr>
          <w:rFonts w:asciiTheme="minorHAnsi" w:hAnsiTheme="minorHAnsi" w:cstheme="minorHAnsi"/>
          <w:color w:val="44546A" w:themeColor="text2"/>
          <w:lang w:val="en-GB"/>
        </w:rPr>
        <w:t>August</w:t>
      </w:r>
      <w:r w:rsidRPr="00060D11">
        <w:rPr>
          <w:rFonts w:asciiTheme="minorHAnsi" w:hAnsiTheme="minorHAnsi" w:cstheme="minorHAnsi"/>
          <w:color w:val="44546A" w:themeColor="text2"/>
          <w:lang w:val="en-GB"/>
        </w:rPr>
        <w:t xml:space="preserve"> 2019 during an earlier </w:t>
      </w:r>
      <w:r w:rsidR="0061257D" w:rsidRPr="00060D11">
        <w:rPr>
          <w:rFonts w:asciiTheme="minorHAnsi" w:hAnsiTheme="minorHAnsi" w:cstheme="minorHAnsi"/>
          <w:color w:val="44546A" w:themeColor="text2"/>
          <w:lang w:val="en-GB"/>
        </w:rPr>
        <w:t>Education for Prosperity (</w:t>
      </w:r>
      <w:r w:rsidRPr="00060D11">
        <w:rPr>
          <w:rFonts w:asciiTheme="minorHAnsi" w:hAnsiTheme="minorHAnsi" w:cstheme="minorHAnsi"/>
          <w:color w:val="44546A" w:themeColor="text2"/>
          <w:lang w:val="en-GB"/>
        </w:rPr>
        <w:t>E4P</w:t>
      </w:r>
      <w:r w:rsidR="0061257D" w:rsidRPr="00060D11">
        <w:rPr>
          <w:rFonts w:asciiTheme="minorHAnsi" w:hAnsiTheme="minorHAnsi" w:cstheme="minorHAnsi"/>
          <w:color w:val="44546A" w:themeColor="text2"/>
          <w:lang w:val="en-GB"/>
        </w:rPr>
        <w:t>)</w:t>
      </w:r>
      <w:r w:rsidRPr="00060D11">
        <w:rPr>
          <w:rFonts w:asciiTheme="minorHAnsi" w:hAnsiTheme="minorHAnsi" w:cstheme="minorHAnsi"/>
          <w:color w:val="44546A" w:themeColor="text2"/>
          <w:lang w:val="en-GB"/>
        </w:rPr>
        <w:t xml:space="preserve"> design process, provides detailed background on the gender equality context in PNG.</w:t>
      </w:r>
    </w:p>
    <w:p w14:paraId="0F549181" w14:textId="77777777" w:rsidR="001F26A6" w:rsidRPr="00060D11" w:rsidRDefault="001F26A6" w:rsidP="004E780D">
      <w:pPr>
        <w:tabs>
          <w:tab w:val="left" w:pos="284"/>
        </w:tabs>
        <w:spacing w:after="120" w:line="276" w:lineRule="auto"/>
        <w:rPr>
          <w:rFonts w:eastAsia="Times New Roman" w:cs="Times New Roman"/>
        </w:rPr>
      </w:pPr>
      <w:r w:rsidRPr="00060D11">
        <w:rPr>
          <w:rFonts w:eastAsia="Times New Roman" w:cs="Times New Roman"/>
        </w:rPr>
        <w:t xml:space="preserve">The limited progress in addressing gender equality in PNG is reflected in lack of progress within NDoE and the PDoEs as well. A 2019 literature review commissioned by the DFAT funded Education Capacity Development Facility, quoted an NDoE Gender Audit report from 2015 which stated that: </w:t>
      </w:r>
      <w:r w:rsidRPr="00060D11">
        <w:rPr>
          <w:i/>
          <w:iCs/>
        </w:rPr>
        <w:t>“The NDoE GESI desk is not proactive in generating data and information for provinces feeding into relevant division and not seen as credible source of information and knowledge. The desk does not receive any recurrent funding and is totally dependent on donor funds. There is a need to strengthen the capacity of the gender desk to conduct awareness and training on gender policies.</w:t>
      </w:r>
      <w:r w:rsidRPr="00060D11">
        <w:rPr>
          <w:rStyle w:val="FootnoteReference"/>
          <w:i/>
          <w:iCs/>
        </w:rPr>
        <w:footnoteReference w:id="83"/>
      </w:r>
      <w:r w:rsidRPr="00060D11">
        <w:rPr>
          <w:i/>
          <w:iCs/>
        </w:rPr>
        <w:t>”</w:t>
      </w:r>
    </w:p>
    <w:p w14:paraId="3A5EBB69" w14:textId="77777777" w:rsidR="001F26A6" w:rsidRPr="00060D11" w:rsidRDefault="001F26A6" w:rsidP="004E780D">
      <w:pPr>
        <w:spacing w:after="120" w:line="276" w:lineRule="auto"/>
      </w:pPr>
      <w:r w:rsidRPr="00060D11">
        <w:t>Consultations carried out during this design process suggest that little has changed. While Gender Equality is now a branch in NDoE, the National Coordinator is the only staff member. The branch has little or no budget. Budget that is available is limited to the provision of training programs in selected provinces in four regions.</w:t>
      </w:r>
    </w:p>
    <w:p w14:paraId="5F4888CE" w14:textId="77777777" w:rsidR="001F26A6" w:rsidRPr="00C04736" w:rsidRDefault="001F26A6" w:rsidP="00C04736">
      <w:pPr>
        <w:rPr>
          <w:b/>
          <w:bCs/>
        </w:rPr>
      </w:pPr>
      <w:r w:rsidRPr="00C04736">
        <w:rPr>
          <w:b/>
          <w:bCs/>
        </w:rPr>
        <w:t>Enrolment, access and retention in the early grades</w:t>
      </w:r>
    </w:p>
    <w:p w14:paraId="7CB5229F" w14:textId="065018FB" w:rsidR="001F26A6" w:rsidRPr="00060D11" w:rsidRDefault="001F26A6" w:rsidP="004E780D">
      <w:pPr>
        <w:tabs>
          <w:tab w:val="left" w:pos="284"/>
        </w:tabs>
        <w:spacing w:after="120" w:line="276" w:lineRule="auto"/>
        <w:rPr>
          <w:rFonts w:eastAsia="Times New Roman" w:cstheme="minorHAnsi"/>
        </w:rPr>
      </w:pPr>
      <w:r w:rsidRPr="00060D11">
        <w:rPr>
          <w:rFonts w:eastAsia="Times New Roman" w:cstheme="minorHAnsi"/>
        </w:rPr>
        <w:t>In the five ‘short-listed’ provinces studied during this design process, the Gender Parity Index (GPI)</w:t>
      </w:r>
      <w:r w:rsidRPr="00060D11">
        <w:rPr>
          <w:rStyle w:val="FootnoteReference"/>
          <w:rFonts w:eastAsia="Times New Roman" w:cstheme="minorHAnsi"/>
        </w:rPr>
        <w:footnoteReference w:id="84"/>
      </w:r>
      <w:r w:rsidRPr="00060D11">
        <w:rPr>
          <w:rFonts w:eastAsia="Times New Roman" w:cstheme="minorHAnsi"/>
        </w:rPr>
        <w:t xml:space="preserve"> was less than one in all five provinces. In the </w:t>
      </w:r>
      <w:r w:rsidR="004225CA" w:rsidRPr="00060D11">
        <w:rPr>
          <w:rFonts w:eastAsia="Times New Roman" w:cstheme="minorHAnsi"/>
        </w:rPr>
        <w:t>two</w:t>
      </w:r>
      <w:r w:rsidR="00791095" w:rsidRPr="00060D11">
        <w:rPr>
          <w:rFonts w:eastAsia="Times New Roman" w:cstheme="minorHAnsi"/>
        </w:rPr>
        <w:t xml:space="preserve"> </w:t>
      </w:r>
      <w:r w:rsidRPr="00060D11">
        <w:rPr>
          <w:rFonts w:eastAsia="Times New Roman" w:cstheme="minorHAnsi"/>
        </w:rPr>
        <w:t xml:space="preserve">provinces selected </w:t>
      </w:r>
      <w:r w:rsidR="00791095" w:rsidRPr="00060D11">
        <w:rPr>
          <w:rFonts w:eastAsia="Times New Roman" w:cstheme="minorHAnsi"/>
        </w:rPr>
        <w:t xml:space="preserve">during the design </w:t>
      </w:r>
      <w:r w:rsidR="00F118A3" w:rsidRPr="00060D11">
        <w:rPr>
          <w:rFonts w:eastAsia="Times New Roman" w:cstheme="minorHAnsi"/>
        </w:rPr>
        <w:t>consultations</w:t>
      </w:r>
      <w:r w:rsidRPr="00060D11">
        <w:rPr>
          <w:rFonts w:eastAsia="Times New Roman" w:cstheme="minorHAnsi"/>
        </w:rPr>
        <w:t xml:space="preserve">, Sandaun has a GPI of 0.86 and Enga has a GPI of 0.81. Data analysis of enrolment and retention in the early grades indicates a far lower GPI for initial enrolment in </w:t>
      </w:r>
      <w:r w:rsidR="004225CA" w:rsidRPr="00060D11">
        <w:rPr>
          <w:rFonts w:eastAsia="Times New Roman" w:cstheme="minorHAnsi"/>
        </w:rPr>
        <w:t>p</w:t>
      </w:r>
      <w:r w:rsidRPr="00060D11">
        <w:rPr>
          <w:rFonts w:eastAsia="Times New Roman" w:cstheme="minorHAnsi"/>
        </w:rPr>
        <w:t>reparatory and for transition from elementary to primary school.</w:t>
      </w:r>
    </w:p>
    <w:p w14:paraId="4BFE1B28" w14:textId="3695FECE" w:rsidR="001F26A6" w:rsidRPr="00060D11" w:rsidRDefault="005152EB" w:rsidP="004E780D">
      <w:pPr>
        <w:tabs>
          <w:tab w:val="left" w:pos="284"/>
        </w:tabs>
        <w:spacing w:after="120" w:line="276" w:lineRule="auto"/>
        <w:rPr>
          <w:rFonts w:eastAsia="Times New Roman" w:cstheme="minorHAnsi"/>
        </w:rPr>
      </w:pPr>
      <w:r w:rsidRPr="00060D11">
        <w:rPr>
          <w:rFonts w:eastAsia="Times New Roman" w:cstheme="minorHAnsi"/>
        </w:rPr>
        <w:t>G</w:t>
      </w:r>
      <w:r w:rsidR="001F26A6" w:rsidRPr="00060D11">
        <w:rPr>
          <w:rFonts w:eastAsia="Times New Roman" w:cstheme="minorHAnsi"/>
        </w:rPr>
        <w:t xml:space="preserve">PI data at district and school level was not able to be collected during the design process. </w:t>
      </w:r>
    </w:p>
    <w:p w14:paraId="6E64AEDC" w14:textId="77777777" w:rsidR="001F26A6" w:rsidRPr="00060D11" w:rsidRDefault="001F26A6" w:rsidP="004E780D">
      <w:pPr>
        <w:spacing w:after="120" w:line="276" w:lineRule="auto"/>
        <w:rPr>
          <w:rFonts w:eastAsia="Times New Roman" w:cstheme="minorHAnsi"/>
        </w:rPr>
      </w:pPr>
      <w:r w:rsidRPr="00060D11">
        <w:rPr>
          <w:rFonts w:eastAsia="Times New Roman" w:cstheme="minorHAnsi"/>
        </w:rPr>
        <w:t xml:space="preserve">Provincial consultations held in the five short-listed provinces revealed that the </w:t>
      </w:r>
      <w:bookmarkStart w:id="68" w:name="_Hlk67306302"/>
      <w:r w:rsidRPr="00060D11">
        <w:rPr>
          <w:rFonts w:eastAsia="Times New Roman" w:cstheme="minorHAnsi"/>
        </w:rPr>
        <w:t>barriers to enrolment, attendance, retention and completion of schooling among girls in the early grades included cultural and gender-based practices and beliefs (i.e., school is not a priority for girls because they are culturally obligated to assist with household chores and other family responsibilities); the belief that formal jobs are for males only; isolation and fear of Sanguma/superstitions; socio-economic pressures</w:t>
      </w:r>
      <w:bookmarkEnd w:id="68"/>
      <w:r w:rsidRPr="00060D11">
        <w:rPr>
          <w:rFonts w:eastAsia="Times New Roman" w:cstheme="minorHAnsi"/>
        </w:rPr>
        <w:t>.</w:t>
      </w:r>
      <w:r w:rsidRPr="00060D11">
        <w:rPr>
          <w:rStyle w:val="FootnoteReference"/>
          <w:rFonts w:eastAsia="Times New Roman" w:cstheme="minorHAnsi"/>
        </w:rPr>
        <w:footnoteReference w:id="85"/>
      </w:r>
      <w:r w:rsidRPr="00060D11">
        <w:rPr>
          <w:rFonts w:eastAsia="Times New Roman" w:cstheme="minorHAnsi"/>
        </w:rPr>
        <w:t xml:space="preserve"> Anecdotal evidence was provided of gender-based choices regarding who should be sent to school within the context of limited family resources (see discussion on GTFS, below) </w:t>
      </w:r>
    </w:p>
    <w:p w14:paraId="20CF76AF" w14:textId="7684B38B" w:rsidR="001F26A6" w:rsidRPr="00060D11" w:rsidRDefault="001F26A6" w:rsidP="004E780D">
      <w:pPr>
        <w:pStyle w:val="ListParagraph"/>
        <w:numPr>
          <w:ilvl w:val="0"/>
          <w:numId w:val="41"/>
        </w:numPr>
        <w:spacing w:after="120" w:line="276" w:lineRule="auto"/>
        <w:rPr>
          <w:rFonts w:cstheme="minorHAnsi"/>
          <w:i/>
          <w:iCs/>
          <w:sz w:val="22"/>
        </w:rPr>
      </w:pPr>
      <w:r w:rsidRPr="00060D11">
        <w:rPr>
          <w:rFonts w:cstheme="minorHAnsi"/>
          <w:i/>
          <w:iCs/>
          <w:sz w:val="22"/>
        </w:rPr>
        <w:t>The proposed focus on increasing enrolment and retention (</w:t>
      </w:r>
      <w:r w:rsidR="00227767" w:rsidRPr="00060D11">
        <w:rPr>
          <w:rFonts w:cstheme="minorHAnsi"/>
          <w:i/>
          <w:iCs/>
          <w:sz w:val="22"/>
        </w:rPr>
        <w:t xml:space="preserve">Targeted </w:t>
      </w:r>
      <w:r w:rsidRPr="00060D11">
        <w:rPr>
          <w:rFonts w:cstheme="minorHAnsi"/>
          <w:i/>
          <w:iCs/>
          <w:sz w:val="22"/>
        </w:rPr>
        <w:t xml:space="preserve">Outcome 1) will specifically aim to improve the GPI in </w:t>
      </w:r>
      <w:r w:rsidR="0048280D" w:rsidRPr="00060D11">
        <w:rPr>
          <w:rFonts w:cstheme="minorHAnsi"/>
          <w:i/>
          <w:iCs/>
          <w:sz w:val="22"/>
        </w:rPr>
        <w:t>target provinces</w:t>
      </w:r>
      <w:r w:rsidRPr="00060D11">
        <w:rPr>
          <w:rFonts w:cstheme="minorHAnsi"/>
          <w:i/>
          <w:iCs/>
          <w:sz w:val="22"/>
        </w:rPr>
        <w:t>.</w:t>
      </w:r>
    </w:p>
    <w:p w14:paraId="5208CC79" w14:textId="77777777" w:rsidR="001F26A6" w:rsidRPr="00C04736" w:rsidRDefault="001F26A6" w:rsidP="00C04736">
      <w:pPr>
        <w:rPr>
          <w:b/>
          <w:bCs/>
          <w:lang w:eastAsia="en-AU"/>
        </w:rPr>
      </w:pPr>
      <w:r w:rsidRPr="00C04736">
        <w:rPr>
          <w:b/>
          <w:bCs/>
          <w:lang w:eastAsia="en-AU"/>
        </w:rPr>
        <w:t>Early grades teaching staff</w:t>
      </w:r>
    </w:p>
    <w:p w14:paraId="369920F0" w14:textId="7D71A09F" w:rsidR="001F26A6" w:rsidRPr="00060D11" w:rsidRDefault="001F26A6" w:rsidP="004E780D">
      <w:pPr>
        <w:spacing w:after="120" w:line="276" w:lineRule="auto"/>
        <w:rPr>
          <w:rFonts w:cstheme="minorHAnsi"/>
          <w:lang w:eastAsia="en-AU"/>
        </w:rPr>
      </w:pPr>
      <w:r w:rsidRPr="00060D11">
        <w:rPr>
          <w:rFonts w:cstheme="minorHAnsi"/>
          <w:lang w:eastAsia="en-AU"/>
        </w:rPr>
        <w:t>Data on teaching numbers across the five provinces studied during the design process (refer Appendix B) indicate that approximately 60</w:t>
      </w:r>
      <w:r w:rsidR="009633EE" w:rsidRPr="00060D11">
        <w:rPr>
          <w:rFonts w:cstheme="minorHAnsi"/>
          <w:lang w:eastAsia="en-AU"/>
        </w:rPr>
        <w:t xml:space="preserve"> </w:t>
      </w:r>
      <w:r w:rsidRPr="00060D11">
        <w:rPr>
          <w:rFonts w:cstheme="minorHAnsi"/>
          <w:lang w:eastAsia="en-AU"/>
        </w:rPr>
        <w:t>percent of primary and elementary teachers are male; approximately 40</w:t>
      </w:r>
      <w:r w:rsidR="009633EE" w:rsidRPr="00060D11">
        <w:rPr>
          <w:rFonts w:cstheme="minorHAnsi"/>
          <w:lang w:eastAsia="en-AU"/>
        </w:rPr>
        <w:t xml:space="preserve"> </w:t>
      </w:r>
      <w:r w:rsidRPr="00060D11">
        <w:rPr>
          <w:rFonts w:cstheme="minorHAnsi"/>
          <w:lang w:eastAsia="en-AU"/>
        </w:rPr>
        <w:t>percent are female. However, the gender breakdown between provinces varies.</w:t>
      </w:r>
    </w:p>
    <w:p w14:paraId="2B916F01" w14:textId="0D28632B" w:rsidR="001F26A6" w:rsidRPr="00060D11" w:rsidRDefault="001F26A6" w:rsidP="004E780D">
      <w:pPr>
        <w:spacing w:after="120" w:line="276" w:lineRule="auto"/>
        <w:rPr>
          <w:rFonts w:cstheme="minorHAnsi"/>
          <w:lang w:eastAsia="en-AU"/>
        </w:rPr>
      </w:pPr>
      <w:r w:rsidRPr="00060D11">
        <w:rPr>
          <w:rFonts w:cstheme="minorHAnsi"/>
          <w:lang w:eastAsia="en-AU"/>
        </w:rPr>
        <w:t>In the targeted provinces, the gender breakdown of teachers at the elementary level in Enga is approximately 55</w:t>
      </w:r>
      <w:r w:rsidR="009633EE" w:rsidRPr="00060D11">
        <w:rPr>
          <w:rFonts w:cstheme="minorHAnsi"/>
          <w:lang w:eastAsia="en-AU"/>
        </w:rPr>
        <w:t xml:space="preserve"> </w:t>
      </w:r>
      <w:r w:rsidRPr="00060D11">
        <w:rPr>
          <w:rFonts w:cstheme="minorHAnsi"/>
          <w:lang w:eastAsia="en-AU"/>
        </w:rPr>
        <w:t>percent M/45</w:t>
      </w:r>
      <w:r w:rsidR="009633EE" w:rsidRPr="00060D11">
        <w:rPr>
          <w:rFonts w:cstheme="minorHAnsi"/>
          <w:lang w:eastAsia="en-AU"/>
        </w:rPr>
        <w:t xml:space="preserve"> </w:t>
      </w:r>
      <w:r w:rsidRPr="00060D11">
        <w:rPr>
          <w:rFonts w:cstheme="minorHAnsi"/>
          <w:lang w:eastAsia="en-AU"/>
        </w:rPr>
        <w:t>percent F; at the primary level the gender breakdown is approximately 63</w:t>
      </w:r>
      <w:r w:rsidR="009633EE" w:rsidRPr="00060D11">
        <w:rPr>
          <w:rFonts w:cstheme="minorHAnsi"/>
          <w:lang w:eastAsia="en-AU"/>
        </w:rPr>
        <w:t xml:space="preserve"> </w:t>
      </w:r>
      <w:r w:rsidRPr="00060D11">
        <w:rPr>
          <w:rFonts w:cstheme="minorHAnsi"/>
          <w:lang w:eastAsia="en-AU"/>
        </w:rPr>
        <w:t>percent M/37</w:t>
      </w:r>
      <w:r w:rsidR="009633EE" w:rsidRPr="00060D11">
        <w:rPr>
          <w:rFonts w:cstheme="minorHAnsi"/>
          <w:lang w:eastAsia="en-AU"/>
        </w:rPr>
        <w:t xml:space="preserve"> </w:t>
      </w:r>
      <w:r w:rsidRPr="00060D11">
        <w:rPr>
          <w:rFonts w:cstheme="minorHAnsi"/>
          <w:lang w:eastAsia="en-AU"/>
        </w:rPr>
        <w:t>percent F. In Sandaun, the gender breakdown of teachers at the elementary level is approximately 62</w:t>
      </w:r>
      <w:r w:rsidR="0064352A" w:rsidRPr="00060D11">
        <w:rPr>
          <w:rFonts w:cstheme="minorHAnsi"/>
          <w:lang w:eastAsia="en-AU"/>
        </w:rPr>
        <w:t xml:space="preserve"> </w:t>
      </w:r>
      <w:r w:rsidRPr="00060D11">
        <w:rPr>
          <w:rFonts w:cstheme="minorHAnsi"/>
          <w:lang w:eastAsia="en-AU"/>
        </w:rPr>
        <w:t>percent M/38</w:t>
      </w:r>
      <w:r w:rsidR="0064352A" w:rsidRPr="00060D11">
        <w:rPr>
          <w:rFonts w:cstheme="minorHAnsi"/>
          <w:lang w:eastAsia="en-AU"/>
        </w:rPr>
        <w:t xml:space="preserve"> </w:t>
      </w:r>
      <w:r w:rsidRPr="00060D11">
        <w:rPr>
          <w:rFonts w:cstheme="minorHAnsi"/>
          <w:lang w:eastAsia="en-AU"/>
        </w:rPr>
        <w:t>percent F; at the primary level the gender breakdown is approximately 64</w:t>
      </w:r>
      <w:r w:rsidR="0064352A" w:rsidRPr="00060D11">
        <w:rPr>
          <w:rFonts w:cstheme="minorHAnsi"/>
          <w:lang w:eastAsia="en-AU"/>
        </w:rPr>
        <w:t xml:space="preserve"> </w:t>
      </w:r>
      <w:r w:rsidRPr="00060D11">
        <w:rPr>
          <w:rFonts w:cstheme="minorHAnsi"/>
          <w:lang w:eastAsia="en-AU"/>
        </w:rPr>
        <w:t>percent M/36</w:t>
      </w:r>
      <w:r w:rsidR="0064352A" w:rsidRPr="00060D11">
        <w:rPr>
          <w:rFonts w:cstheme="minorHAnsi"/>
          <w:lang w:eastAsia="en-AU"/>
        </w:rPr>
        <w:t xml:space="preserve"> </w:t>
      </w:r>
      <w:r w:rsidRPr="00060D11">
        <w:rPr>
          <w:rFonts w:cstheme="minorHAnsi"/>
          <w:lang w:eastAsia="en-AU"/>
        </w:rPr>
        <w:t>percent F.</w:t>
      </w:r>
    </w:p>
    <w:p w14:paraId="055C4EB6" w14:textId="7B47B85A" w:rsidR="001F26A6" w:rsidRPr="00060D11" w:rsidRDefault="001F26A6" w:rsidP="004E780D">
      <w:pPr>
        <w:spacing w:after="120" w:line="276" w:lineRule="auto"/>
        <w:rPr>
          <w:rFonts w:cstheme="minorHAnsi"/>
          <w:lang w:eastAsia="en-AU"/>
        </w:rPr>
      </w:pPr>
      <w:r w:rsidRPr="00060D11">
        <w:rPr>
          <w:rFonts w:cstheme="minorHAnsi"/>
          <w:lang w:eastAsia="en-AU"/>
        </w:rPr>
        <w:t xml:space="preserve">As more elementary teachers are required to upgrade their skills and qualifications to take up their role as primary teachers under the new 1-6-6 structure, there is potential to improve the gender balance of the teaching staff in </w:t>
      </w:r>
      <w:r w:rsidR="00EE56DF" w:rsidRPr="00060D11">
        <w:rPr>
          <w:rFonts w:cstheme="minorHAnsi"/>
          <w:lang w:eastAsia="en-AU"/>
        </w:rPr>
        <w:t>target provinces</w:t>
      </w:r>
      <w:r w:rsidRPr="00060D11">
        <w:rPr>
          <w:rFonts w:cstheme="minorHAnsi"/>
          <w:lang w:eastAsia="en-AU"/>
        </w:rPr>
        <w:t xml:space="preserve">. </w:t>
      </w:r>
    </w:p>
    <w:p w14:paraId="41444B52" w14:textId="61713007" w:rsidR="001F26A6" w:rsidRPr="00060D11" w:rsidRDefault="001F26A6" w:rsidP="004E780D">
      <w:pPr>
        <w:pStyle w:val="ListParagraph"/>
        <w:numPr>
          <w:ilvl w:val="0"/>
          <w:numId w:val="39"/>
        </w:numPr>
        <w:spacing w:after="120" w:line="276" w:lineRule="auto"/>
        <w:rPr>
          <w:rFonts w:cstheme="minorHAnsi"/>
          <w:sz w:val="22"/>
          <w:lang w:eastAsia="en-AU"/>
        </w:rPr>
      </w:pPr>
      <w:r w:rsidRPr="00060D11">
        <w:rPr>
          <w:rFonts w:cstheme="minorHAnsi"/>
          <w:i/>
          <w:iCs/>
          <w:sz w:val="22"/>
          <w:lang w:eastAsia="en-AU"/>
        </w:rPr>
        <w:t>The proposed focus (</w:t>
      </w:r>
      <w:r w:rsidR="00227767" w:rsidRPr="00060D11">
        <w:rPr>
          <w:rFonts w:cstheme="minorHAnsi"/>
          <w:i/>
          <w:iCs/>
          <w:sz w:val="22"/>
          <w:lang w:eastAsia="en-AU"/>
        </w:rPr>
        <w:t xml:space="preserve">Targeted </w:t>
      </w:r>
      <w:r w:rsidRPr="00060D11">
        <w:rPr>
          <w:rFonts w:cstheme="minorHAnsi"/>
          <w:i/>
          <w:iCs/>
          <w:sz w:val="22"/>
          <w:lang w:eastAsia="en-AU"/>
        </w:rPr>
        <w:t>Outcome 2) on identifying barriers to female early grade teachers upgrading their knowledge, skills and qualifications, offers the potential to advocate with DHERST and the Teaching Service Commission to develop incentives to increase the number of qualified female early grade teachers and address the gender imbalance in teaching staff.</w:t>
      </w:r>
    </w:p>
    <w:p w14:paraId="4FF4AF73" w14:textId="77777777" w:rsidR="001F26A6" w:rsidRPr="00060D11" w:rsidRDefault="001F26A6" w:rsidP="004E780D">
      <w:pPr>
        <w:spacing w:after="120" w:line="276" w:lineRule="auto"/>
        <w:rPr>
          <w:rFonts w:cstheme="minorHAnsi"/>
          <w:b/>
          <w:bCs/>
          <w:lang w:eastAsia="en-AU"/>
        </w:rPr>
      </w:pPr>
    </w:p>
    <w:p w14:paraId="591D2672" w14:textId="77777777" w:rsidR="008F18F7" w:rsidRDefault="008F18F7" w:rsidP="004E780D">
      <w:pPr>
        <w:spacing w:after="120" w:line="276" w:lineRule="auto"/>
        <w:rPr>
          <w:rFonts w:asciiTheme="majorHAnsi" w:hAnsiTheme="majorHAnsi" w:cstheme="majorHAnsi"/>
          <w:b/>
          <w:bCs/>
          <w:sz w:val="24"/>
          <w:szCs w:val="24"/>
          <w:lang w:eastAsia="en-AU"/>
        </w:rPr>
      </w:pPr>
    </w:p>
    <w:p w14:paraId="3F835FB7" w14:textId="77777777" w:rsidR="008F18F7" w:rsidRDefault="008F18F7" w:rsidP="004E780D">
      <w:pPr>
        <w:spacing w:after="120" w:line="276" w:lineRule="auto"/>
        <w:rPr>
          <w:rFonts w:asciiTheme="majorHAnsi" w:hAnsiTheme="majorHAnsi" w:cstheme="majorHAnsi"/>
          <w:b/>
          <w:bCs/>
          <w:sz w:val="24"/>
          <w:szCs w:val="24"/>
          <w:lang w:eastAsia="en-AU"/>
        </w:rPr>
      </w:pPr>
    </w:p>
    <w:p w14:paraId="6A4F7DC2" w14:textId="4E58CB7D" w:rsidR="001F26A6" w:rsidRPr="00060D11" w:rsidRDefault="001F26A6" w:rsidP="004E780D">
      <w:pPr>
        <w:spacing w:after="120" w:line="276" w:lineRule="auto"/>
        <w:rPr>
          <w:rFonts w:asciiTheme="majorHAnsi" w:hAnsiTheme="majorHAnsi" w:cstheme="majorHAnsi"/>
          <w:b/>
          <w:bCs/>
          <w:sz w:val="24"/>
          <w:szCs w:val="24"/>
          <w:lang w:eastAsia="en-AU"/>
        </w:rPr>
      </w:pPr>
      <w:r w:rsidRPr="00060D11">
        <w:rPr>
          <w:rFonts w:asciiTheme="majorHAnsi" w:hAnsiTheme="majorHAnsi" w:cstheme="majorHAnsi"/>
          <w:b/>
          <w:bCs/>
          <w:sz w:val="24"/>
          <w:szCs w:val="24"/>
          <w:lang w:eastAsia="en-AU"/>
        </w:rPr>
        <w:t>Teacher training</w:t>
      </w:r>
    </w:p>
    <w:p w14:paraId="06985F36" w14:textId="77777777" w:rsidR="001F26A6" w:rsidRPr="00060D11" w:rsidRDefault="001F26A6" w:rsidP="004E780D">
      <w:pPr>
        <w:spacing w:after="120" w:line="276" w:lineRule="auto"/>
        <w:rPr>
          <w:rFonts w:cstheme="minorHAnsi"/>
          <w:lang w:eastAsia="en-AU"/>
        </w:rPr>
      </w:pPr>
      <w:r w:rsidRPr="00060D11">
        <w:rPr>
          <w:rFonts w:cstheme="minorHAnsi"/>
          <w:lang w:eastAsia="en-AU"/>
        </w:rPr>
        <w:t>A 2019 synthesis of gender literature and data on education in PNG</w:t>
      </w:r>
      <w:r w:rsidRPr="00060D11">
        <w:rPr>
          <w:rStyle w:val="FootnoteReference"/>
          <w:rFonts w:cstheme="minorHAnsi"/>
          <w:lang w:eastAsia="en-AU"/>
        </w:rPr>
        <w:footnoteReference w:id="86"/>
      </w:r>
      <w:r w:rsidRPr="00060D11">
        <w:rPr>
          <w:rFonts w:cstheme="minorHAnsi"/>
          <w:lang w:eastAsia="en-AU"/>
        </w:rPr>
        <w:t xml:space="preserve"> noted that:</w:t>
      </w:r>
    </w:p>
    <w:p w14:paraId="1E894507" w14:textId="4BACE000" w:rsidR="001F26A6" w:rsidRPr="00060D11" w:rsidRDefault="001F26A6" w:rsidP="004E780D">
      <w:pPr>
        <w:spacing w:after="120" w:line="276" w:lineRule="auto"/>
        <w:ind w:left="426"/>
        <w:rPr>
          <w:rFonts w:cstheme="minorHAnsi"/>
          <w:i/>
          <w:iCs/>
        </w:rPr>
      </w:pPr>
      <w:r w:rsidRPr="00060D11">
        <w:rPr>
          <w:rFonts w:cstheme="minorHAnsi"/>
          <w:i/>
          <w:iCs/>
        </w:rPr>
        <w:t>“Based on 13 Teachers colleges surveyed, there is one female College Princip</w:t>
      </w:r>
      <w:r w:rsidR="006600D6" w:rsidRPr="00060D11">
        <w:rPr>
          <w:rFonts w:cstheme="minorHAnsi"/>
          <w:i/>
          <w:iCs/>
        </w:rPr>
        <w:t>al</w:t>
      </w:r>
      <w:r w:rsidRPr="00060D11">
        <w:rPr>
          <w:rFonts w:cstheme="minorHAnsi"/>
          <w:i/>
          <w:iCs/>
        </w:rPr>
        <w:t xml:space="preserve"> out of 13 Teachers </w:t>
      </w:r>
      <w:r w:rsidR="004225CA" w:rsidRPr="00060D11">
        <w:rPr>
          <w:rFonts w:cstheme="minorHAnsi"/>
          <w:i/>
          <w:iCs/>
        </w:rPr>
        <w:t>C</w:t>
      </w:r>
      <w:r w:rsidRPr="00060D11">
        <w:rPr>
          <w:rFonts w:cstheme="minorHAnsi"/>
          <w:i/>
          <w:iCs/>
        </w:rPr>
        <w:t>olleges. Males also occupy 80</w:t>
      </w:r>
      <w:r w:rsidR="006600D6" w:rsidRPr="00060D11">
        <w:rPr>
          <w:rFonts w:cstheme="minorHAnsi"/>
          <w:i/>
          <w:iCs/>
        </w:rPr>
        <w:t xml:space="preserve"> </w:t>
      </w:r>
      <w:r w:rsidRPr="00060D11">
        <w:rPr>
          <w:rFonts w:cstheme="minorHAnsi"/>
          <w:i/>
          <w:iCs/>
        </w:rPr>
        <w:t xml:space="preserve">percent of </w:t>
      </w:r>
      <w:r w:rsidR="004225CA" w:rsidRPr="00060D11">
        <w:rPr>
          <w:rFonts w:cstheme="minorHAnsi"/>
          <w:i/>
          <w:iCs/>
        </w:rPr>
        <w:t>D</w:t>
      </w:r>
      <w:r w:rsidRPr="00060D11">
        <w:rPr>
          <w:rFonts w:cstheme="minorHAnsi"/>
          <w:i/>
          <w:iCs/>
        </w:rPr>
        <w:t>eputy</w:t>
      </w:r>
      <w:r w:rsidR="004225CA" w:rsidRPr="00060D11">
        <w:rPr>
          <w:rFonts w:cstheme="minorHAnsi"/>
          <w:i/>
          <w:iCs/>
        </w:rPr>
        <w:t xml:space="preserve"> P</w:t>
      </w:r>
      <w:r w:rsidRPr="00060D11">
        <w:rPr>
          <w:rFonts w:cstheme="minorHAnsi"/>
          <w:i/>
          <w:iCs/>
        </w:rPr>
        <w:t>rincipal roles, 78</w:t>
      </w:r>
      <w:r w:rsidR="006600D6" w:rsidRPr="00060D11">
        <w:rPr>
          <w:rFonts w:cstheme="minorHAnsi"/>
          <w:i/>
          <w:iCs/>
        </w:rPr>
        <w:t xml:space="preserve"> </w:t>
      </w:r>
      <w:r w:rsidRPr="00060D11">
        <w:rPr>
          <w:rFonts w:cstheme="minorHAnsi"/>
          <w:i/>
          <w:iCs/>
        </w:rPr>
        <w:t xml:space="preserve">percent Heads of </w:t>
      </w:r>
      <w:r w:rsidR="004225CA" w:rsidRPr="00060D11">
        <w:rPr>
          <w:rFonts w:cstheme="minorHAnsi"/>
          <w:i/>
          <w:iCs/>
        </w:rPr>
        <w:t>S</w:t>
      </w:r>
      <w:r w:rsidRPr="00060D11">
        <w:rPr>
          <w:rFonts w:cstheme="minorHAnsi"/>
          <w:i/>
          <w:iCs/>
        </w:rPr>
        <w:t>ubjects</w:t>
      </w:r>
      <w:r w:rsidR="004225CA" w:rsidRPr="00060D11">
        <w:rPr>
          <w:rFonts w:cstheme="minorHAnsi"/>
          <w:i/>
          <w:iCs/>
        </w:rPr>
        <w:t xml:space="preserve">, while </w:t>
      </w:r>
      <w:r w:rsidRPr="00060D11">
        <w:rPr>
          <w:rFonts w:cstheme="minorHAnsi"/>
          <w:i/>
          <w:iCs/>
        </w:rPr>
        <w:t>45</w:t>
      </w:r>
      <w:r w:rsidR="006600D6" w:rsidRPr="00060D11">
        <w:rPr>
          <w:rFonts w:cstheme="minorHAnsi"/>
          <w:i/>
          <w:iCs/>
        </w:rPr>
        <w:t xml:space="preserve"> </w:t>
      </w:r>
      <w:r w:rsidRPr="00060D11">
        <w:rPr>
          <w:rFonts w:cstheme="minorHAnsi"/>
          <w:i/>
          <w:iCs/>
        </w:rPr>
        <w:t xml:space="preserve">percent females occupy teaching positions. Nine Teachers Colleges are affiliated to religious organisations. The last known gender training for teachers’ colleges was in 2009 and most Teachers </w:t>
      </w:r>
      <w:r w:rsidR="004225CA" w:rsidRPr="00060D11">
        <w:rPr>
          <w:rFonts w:cstheme="minorHAnsi"/>
          <w:i/>
          <w:iCs/>
        </w:rPr>
        <w:t>C</w:t>
      </w:r>
      <w:r w:rsidRPr="00060D11">
        <w:rPr>
          <w:rFonts w:cstheme="minorHAnsi"/>
          <w:i/>
          <w:iCs/>
        </w:rPr>
        <w:t>olleges do not have gender policies in place.”</w:t>
      </w:r>
      <w:r w:rsidRPr="00060D11">
        <w:rPr>
          <w:rStyle w:val="FootnoteReference"/>
          <w:rFonts w:cstheme="minorHAnsi"/>
          <w:i/>
          <w:iCs/>
        </w:rPr>
        <w:footnoteReference w:id="87"/>
      </w:r>
    </w:p>
    <w:p w14:paraId="1329F00B" w14:textId="06431B16" w:rsidR="001F26A6" w:rsidRPr="00060D11" w:rsidRDefault="001F26A6" w:rsidP="004E780D">
      <w:pPr>
        <w:spacing w:after="120" w:line="276" w:lineRule="auto"/>
        <w:rPr>
          <w:rFonts w:cstheme="minorHAnsi"/>
          <w:lang w:eastAsia="en-AU"/>
        </w:rPr>
      </w:pPr>
      <w:r w:rsidRPr="00060D11">
        <w:rPr>
          <w:rFonts w:cstheme="minorHAnsi"/>
          <w:lang w:eastAsia="en-AU"/>
        </w:rPr>
        <w:t>Consultations with the Gender Branch National Coordinator in NDoE indicate that since pre-service training responsibilities were shifted to DHERST she has no knowledge of the quality and focus of pre-service gender equality training. She further advised that while the PDoE’s run their own in-service training, “</w:t>
      </w:r>
      <w:r w:rsidRPr="00060D11">
        <w:rPr>
          <w:rFonts w:cstheme="minorHAnsi"/>
          <w:i/>
          <w:iCs/>
          <w:lang w:eastAsia="en-AU"/>
        </w:rPr>
        <w:t xml:space="preserve">this has nothing to do with GESI.” </w:t>
      </w:r>
      <w:r w:rsidRPr="00060D11">
        <w:rPr>
          <w:rFonts w:cstheme="minorHAnsi"/>
          <w:lang w:eastAsia="en-AU"/>
        </w:rPr>
        <w:t>The National Coordinator advised that she has tried to carry out gender training for inspectors, who double as gender focal points at the provincial level. Her hope and intention was for the inspectors to integrate gender equality principles into in-service training and support to teachers. However, she found that the inspectors did not pass the training onto teachers but focused instead on their mandated duties.</w:t>
      </w:r>
    </w:p>
    <w:p w14:paraId="4AEA88F2" w14:textId="77777777" w:rsidR="001F26A6" w:rsidRPr="00060D11" w:rsidRDefault="001F26A6" w:rsidP="004E780D">
      <w:pPr>
        <w:spacing w:after="120" w:line="276" w:lineRule="auto"/>
        <w:rPr>
          <w:lang w:eastAsia="en-AU"/>
        </w:rPr>
      </w:pPr>
      <w:r w:rsidRPr="00060D11">
        <w:rPr>
          <w:lang w:eastAsia="en-AU"/>
        </w:rPr>
        <w:t xml:space="preserve">The National Coordinator has ceased training inspectors and now provides in-service training directly to teachers in the Southern and New Guinea Islands regions. While she reports that this is more productive, the numbers she can train are limited, as is the overall impact. </w:t>
      </w:r>
    </w:p>
    <w:p w14:paraId="22949989" w14:textId="5D3D09B9" w:rsidR="001F26A6" w:rsidRPr="00060D11" w:rsidRDefault="001F26A6" w:rsidP="004E780D">
      <w:pPr>
        <w:pStyle w:val="ListParagraph"/>
        <w:numPr>
          <w:ilvl w:val="0"/>
          <w:numId w:val="39"/>
        </w:numPr>
        <w:spacing w:after="120" w:line="276" w:lineRule="auto"/>
        <w:rPr>
          <w:lang w:eastAsia="en-AU"/>
        </w:rPr>
      </w:pPr>
      <w:r w:rsidRPr="00060D11">
        <w:rPr>
          <w:i/>
          <w:iCs/>
          <w:sz w:val="22"/>
          <w:lang w:eastAsia="en-AU"/>
        </w:rPr>
        <w:t xml:space="preserve">The proposed focus on </w:t>
      </w:r>
      <w:r w:rsidR="00147E11" w:rsidRPr="00060D11">
        <w:rPr>
          <w:i/>
          <w:iCs/>
          <w:sz w:val="22"/>
          <w:lang w:eastAsia="en-AU"/>
        </w:rPr>
        <w:t>systemic chang</w:t>
      </w:r>
      <w:r w:rsidRPr="00060D11">
        <w:rPr>
          <w:i/>
          <w:iCs/>
          <w:sz w:val="22"/>
          <w:lang w:eastAsia="en-AU"/>
        </w:rPr>
        <w:t xml:space="preserve">e </w:t>
      </w:r>
      <w:r w:rsidR="00147E11" w:rsidRPr="00060D11">
        <w:rPr>
          <w:i/>
          <w:iCs/>
          <w:sz w:val="22"/>
          <w:lang w:eastAsia="en-AU"/>
        </w:rPr>
        <w:t xml:space="preserve">that improves the delivery of early grades </w:t>
      </w:r>
      <w:r w:rsidR="00E83E53" w:rsidRPr="00060D11">
        <w:rPr>
          <w:i/>
          <w:iCs/>
          <w:sz w:val="22"/>
          <w:lang w:eastAsia="en-AU"/>
        </w:rPr>
        <w:t>education (</w:t>
      </w:r>
      <w:r w:rsidR="00C457EB" w:rsidRPr="00060D11">
        <w:rPr>
          <w:i/>
          <w:iCs/>
          <w:sz w:val="22"/>
          <w:lang w:eastAsia="en-AU"/>
        </w:rPr>
        <w:t xml:space="preserve">Enabling </w:t>
      </w:r>
      <w:r w:rsidRPr="00060D11">
        <w:rPr>
          <w:i/>
          <w:iCs/>
          <w:sz w:val="22"/>
          <w:lang w:eastAsia="en-AU"/>
        </w:rPr>
        <w:t>Outcome 3) offers the opportunity to integrate GE</w:t>
      </w:r>
      <w:r w:rsidR="004B0ACF" w:rsidRPr="00060D11">
        <w:rPr>
          <w:i/>
          <w:iCs/>
          <w:sz w:val="22"/>
          <w:lang w:eastAsia="en-AU"/>
        </w:rPr>
        <w:t>D</w:t>
      </w:r>
      <w:r w:rsidRPr="00060D11">
        <w:rPr>
          <w:i/>
          <w:iCs/>
          <w:sz w:val="22"/>
          <w:lang w:eastAsia="en-AU"/>
        </w:rPr>
        <w:t xml:space="preserve">SI training into leadership and management capacity development in NDoE and the PDoEs. This also offers the opportunity to strengthen the capacity of the Gender Branch to engage in dialogue with DHERST and the Teaching Service Commission to improve the quality and focus of pre-service gender equality training (under </w:t>
      </w:r>
      <w:r w:rsidR="00C457EB" w:rsidRPr="00060D11">
        <w:rPr>
          <w:i/>
          <w:iCs/>
          <w:sz w:val="22"/>
          <w:lang w:eastAsia="en-AU"/>
        </w:rPr>
        <w:t xml:space="preserve">Targeted </w:t>
      </w:r>
      <w:r w:rsidRPr="00060D11">
        <w:rPr>
          <w:i/>
          <w:iCs/>
          <w:sz w:val="22"/>
          <w:lang w:eastAsia="en-AU"/>
        </w:rPr>
        <w:t>Outcome 2)</w:t>
      </w:r>
      <w:r w:rsidR="004225CA" w:rsidRPr="00060D11">
        <w:rPr>
          <w:i/>
          <w:iCs/>
          <w:sz w:val="22"/>
          <w:lang w:eastAsia="en-AU"/>
        </w:rPr>
        <w:t>.</w:t>
      </w:r>
    </w:p>
    <w:p w14:paraId="39D2ECA5" w14:textId="77777777" w:rsidR="001F26A6" w:rsidRPr="00060D11" w:rsidRDefault="001F26A6" w:rsidP="004E780D">
      <w:pPr>
        <w:pStyle w:val="ListParagraph"/>
        <w:spacing w:after="120" w:line="276" w:lineRule="auto"/>
        <w:rPr>
          <w:lang w:eastAsia="en-AU"/>
        </w:rPr>
      </w:pPr>
    </w:p>
    <w:p w14:paraId="6BCD418B" w14:textId="5772DB81" w:rsidR="001F26A6" w:rsidRPr="00C04736" w:rsidRDefault="001F26A6" w:rsidP="00C04736">
      <w:pPr>
        <w:rPr>
          <w:b/>
          <w:bCs/>
        </w:rPr>
      </w:pPr>
      <w:r w:rsidRPr="00C04736">
        <w:rPr>
          <w:b/>
          <w:bCs/>
        </w:rPr>
        <w:t>Gendered effect of G</w:t>
      </w:r>
      <w:r w:rsidR="008A1524" w:rsidRPr="00C04736">
        <w:rPr>
          <w:b/>
          <w:bCs/>
        </w:rPr>
        <w:t>overnment Tuition Fee Subsidy</w:t>
      </w:r>
    </w:p>
    <w:p w14:paraId="3C5855E7" w14:textId="3050B314" w:rsidR="001F26A6" w:rsidRPr="00060D11" w:rsidRDefault="001F26A6" w:rsidP="00C04736">
      <w:pPr>
        <w:rPr>
          <w:lang w:eastAsia="en-AU"/>
        </w:rPr>
      </w:pPr>
      <w:r w:rsidRPr="00060D11">
        <w:rPr>
          <w:lang w:eastAsia="en-AU"/>
        </w:rPr>
        <w:t>The current requirement for parents to contribute 38</w:t>
      </w:r>
      <w:r w:rsidR="001F583C" w:rsidRPr="00060D11">
        <w:rPr>
          <w:lang w:eastAsia="en-AU"/>
        </w:rPr>
        <w:t xml:space="preserve"> </w:t>
      </w:r>
      <w:r w:rsidRPr="00060D11">
        <w:rPr>
          <w:lang w:eastAsia="en-AU"/>
        </w:rPr>
        <w:t xml:space="preserve">percent of school fees is a significant impost on poor families, particularly within the context of the COVID-19 pandemic and the flow-on reduction in household incomes. Anecdotal evidence was presented to the design team indicating that enrolments of girls increased during the tuition free period. However, following </w:t>
      </w:r>
      <w:r w:rsidR="00DF4F61" w:rsidRPr="00060D11">
        <w:rPr>
          <w:lang w:eastAsia="en-AU"/>
        </w:rPr>
        <w:t xml:space="preserve">the </w:t>
      </w:r>
      <w:r w:rsidRPr="00060D11">
        <w:rPr>
          <w:lang w:eastAsia="en-AU"/>
        </w:rPr>
        <w:t>introduc</w:t>
      </w:r>
      <w:r w:rsidR="00DF4F61" w:rsidRPr="00060D11">
        <w:rPr>
          <w:lang w:eastAsia="en-AU"/>
        </w:rPr>
        <w:t>tion</w:t>
      </w:r>
      <w:r w:rsidRPr="00060D11">
        <w:rPr>
          <w:lang w:eastAsia="en-AU"/>
        </w:rPr>
        <w:t xml:space="preserve"> of the GTFS, enrolments fell. Further, where low-income parents need to make choices about which child will attend school, embedded gender norms reduce the likelihood that girls will be enrolled/retained in school.</w:t>
      </w:r>
    </w:p>
    <w:p w14:paraId="23E441AE" w14:textId="6D382F8A" w:rsidR="001F26A6" w:rsidRPr="00060D11" w:rsidRDefault="001F26A6" w:rsidP="004E780D">
      <w:pPr>
        <w:pStyle w:val="ListParagraph"/>
        <w:numPr>
          <w:ilvl w:val="0"/>
          <w:numId w:val="39"/>
        </w:numPr>
        <w:spacing w:after="120" w:line="276" w:lineRule="auto"/>
        <w:rPr>
          <w:sz w:val="22"/>
          <w:lang w:eastAsia="en-AU"/>
        </w:rPr>
      </w:pPr>
      <w:r w:rsidRPr="00060D11">
        <w:rPr>
          <w:i/>
          <w:iCs/>
          <w:sz w:val="22"/>
          <w:lang w:eastAsia="en-AU"/>
        </w:rPr>
        <w:t>The proposed focus on enhancing approaches to removing barriers (particularly gender-based barriers) to student enrolment and retention in the early grades (</w:t>
      </w:r>
      <w:r w:rsidR="00C457EB" w:rsidRPr="00060D11">
        <w:rPr>
          <w:i/>
          <w:iCs/>
          <w:sz w:val="22"/>
          <w:lang w:eastAsia="en-AU"/>
        </w:rPr>
        <w:t xml:space="preserve">Targeted </w:t>
      </w:r>
      <w:r w:rsidRPr="00060D11">
        <w:rPr>
          <w:i/>
          <w:iCs/>
          <w:sz w:val="22"/>
          <w:lang w:eastAsia="en-AU"/>
        </w:rPr>
        <w:t>Outcome 1) offers the potential to mitigate the gendered effect of the GTFS on reducing female enrolment/retention.</w:t>
      </w:r>
    </w:p>
    <w:p w14:paraId="66FAC37C" w14:textId="77777777" w:rsidR="00C04736" w:rsidRDefault="00C04736" w:rsidP="00C04736">
      <w:pPr>
        <w:rPr>
          <w:b/>
          <w:bCs/>
          <w:lang w:eastAsia="en-AU"/>
        </w:rPr>
      </w:pPr>
    </w:p>
    <w:p w14:paraId="06B883FC" w14:textId="5CD234A2" w:rsidR="001F26A6" w:rsidRPr="00C04736" w:rsidRDefault="001F26A6" w:rsidP="00C04736">
      <w:pPr>
        <w:rPr>
          <w:b/>
          <w:bCs/>
          <w:lang w:eastAsia="en-AU"/>
        </w:rPr>
      </w:pPr>
      <w:r w:rsidRPr="00C04736">
        <w:rPr>
          <w:b/>
          <w:bCs/>
          <w:lang w:eastAsia="en-AU"/>
        </w:rPr>
        <w:t>How will the PIE investment contribute to closing the gender gap?</w:t>
      </w:r>
    </w:p>
    <w:p w14:paraId="6FAC10DE" w14:textId="77777777" w:rsidR="001F26A6" w:rsidRPr="00060D11" w:rsidRDefault="001F26A6" w:rsidP="004E780D">
      <w:pPr>
        <w:spacing w:after="120" w:line="276" w:lineRule="auto"/>
        <w:rPr>
          <w:lang w:eastAsia="en-AU"/>
        </w:rPr>
      </w:pPr>
      <w:r w:rsidRPr="00060D11">
        <w:rPr>
          <w:lang w:eastAsia="en-AU"/>
        </w:rPr>
        <w:t>The PIE investment meets the requirements to be marked as “significant” (Score 1) under the OECD-DAC Gender Equality Policy Markers.</w:t>
      </w:r>
      <w:r w:rsidRPr="00060D11">
        <w:rPr>
          <w:rStyle w:val="FootnoteReference"/>
          <w:lang w:eastAsia="en-AU"/>
        </w:rPr>
        <w:footnoteReference w:id="88"/>
      </w:r>
      <w:r w:rsidRPr="00060D11">
        <w:rPr>
          <w:lang w:eastAsia="en-AU"/>
        </w:rPr>
        <w:t xml:space="preserve">  Specifically, it is a basic education program designed to benefit boys and girls, but with a specific objective and activities that address the gender-specific barriers to girls’ education. In accordance with OECD-DAC Guidance:</w:t>
      </w:r>
    </w:p>
    <w:p w14:paraId="371008F0" w14:textId="55C8D770" w:rsidR="001F26A6" w:rsidRPr="00060D11" w:rsidRDefault="001F26A6" w:rsidP="004E780D">
      <w:pPr>
        <w:pStyle w:val="ListParagraph"/>
        <w:numPr>
          <w:ilvl w:val="0"/>
          <w:numId w:val="38"/>
        </w:numPr>
        <w:spacing w:after="120" w:line="276" w:lineRule="auto"/>
        <w:rPr>
          <w:sz w:val="22"/>
          <w:lang w:eastAsia="en-AU"/>
        </w:rPr>
      </w:pPr>
      <w:r w:rsidRPr="00060D11">
        <w:rPr>
          <w:sz w:val="22"/>
          <w:lang w:eastAsia="en-AU"/>
        </w:rPr>
        <w:t xml:space="preserve">the total </w:t>
      </w:r>
      <w:r w:rsidR="00C63AC6">
        <w:rPr>
          <w:sz w:val="22"/>
          <w:lang w:eastAsia="en-AU"/>
        </w:rPr>
        <w:t xml:space="preserve">indicative </w:t>
      </w:r>
      <w:r w:rsidRPr="00060D11">
        <w:rPr>
          <w:sz w:val="22"/>
          <w:lang w:eastAsia="en-AU"/>
        </w:rPr>
        <w:t>budget of the PIE investment (AUD</w:t>
      </w:r>
      <w:r w:rsidR="004225CA" w:rsidRPr="00060D11">
        <w:rPr>
          <w:sz w:val="22"/>
          <w:lang w:eastAsia="en-AU"/>
        </w:rPr>
        <w:t xml:space="preserve"> </w:t>
      </w:r>
      <w:r w:rsidRPr="00060D11">
        <w:rPr>
          <w:sz w:val="22"/>
          <w:lang w:eastAsia="en-AU"/>
        </w:rPr>
        <w:t xml:space="preserve">75 million) is counted as gender equality focused </w:t>
      </w:r>
      <w:proofErr w:type="gramStart"/>
      <w:r w:rsidRPr="00060D11">
        <w:rPr>
          <w:sz w:val="22"/>
          <w:lang w:eastAsia="en-AU"/>
        </w:rPr>
        <w:t>aid</w:t>
      </w:r>
      <w:r w:rsidR="004225CA" w:rsidRPr="00060D11">
        <w:rPr>
          <w:sz w:val="22"/>
          <w:lang w:eastAsia="en-AU"/>
        </w:rPr>
        <w:t>;</w:t>
      </w:r>
      <w:proofErr w:type="gramEnd"/>
    </w:p>
    <w:p w14:paraId="7D33B56D" w14:textId="17B4ECFD" w:rsidR="001F26A6" w:rsidRPr="00060D11" w:rsidRDefault="001F26A6" w:rsidP="004E780D">
      <w:pPr>
        <w:pStyle w:val="ListParagraph"/>
        <w:numPr>
          <w:ilvl w:val="0"/>
          <w:numId w:val="38"/>
        </w:numPr>
        <w:spacing w:after="120" w:line="276" w:lineRule="auto"/>
        <w:rPr>
          <w:sz w:val="22"/>
          <w:lang w:eastAsia="en-AU"/>
        </w:rPr>
      </w:pPr>
      <w:r w:rsidRPr="00060D11">
        <w:rPr>
          <w:sz w:val="22"/>
          <w:lang w:eastAsia="en-AU"/>
        </w:rPr>
        <w:t>responsibility for validating the gender marker applied to this investment sits with the Program Manager, AHC, Port Moresby, in consultation with Gender Branch, DFAT; this will be done during the internal design appraisal process</w:t>
      </w:r>
      <w:r w:rsidR="003656D3" w:rsidRPr="00060D11">
        <w:rPr>
          <w:sz w:val="22"/>
          <w:lang w:eastAsia="en-AU"/>
        </w:rPr>
        <w:t>;</w:t>
      </w:r>
      <w:r w:rsidR="00CD6414" w:rsidRPr="00060D11">
        <w:rPr>
          <w:sz w:val="22"/>
          <w:lang w:eastAsia="en-AU"/>
        </w:rPr>
        <w:t xml:space="preserve"> and</w:t>
      </w:r>
    </w:p>
    <w:p w14:paraId="43C4196C" w14:textId="306DBE32" w:rsidR="001F26A6" w:rsidRPr="00060D11" w:rsidRDefault="001F26A6" w:rsidP="004E780D">
      <w:pPr>
        <w:pStyle w:val="ListParagraph"/>
        <w:numPr>
          <w:ilvl w:val="0"/>
          <w:numId w:val="38"/>
        </w:numPr>
        <w:spacing w:after="120" w:line="276" w:lineRule="auto"/>
        <w:rPr>
          <w:sz w:val="22"/>
          <w:lang w:eastAsia="en-AU"/>
        </w:rPr>
      </w:pPr>
      <w:r w:rsidRPr="00060D11">
        <w:rPr>
          <w:sz w:val="22"/>
          <w:lang w:eastAsia="en-AU"/>
        </w:rPr>
        <w:t>the monitoring and evaluation framework (Appendix E), as well as the policy dialogue matrix (Appendix D) give specific attention to both measuring progress in closing the gender gap and to engaging in policy dialogue around gender equality issues.</w:t>
      </w:r>
    </w:p>
    <w:p w14:paraId="551023C4" w14:textId="6C5BCCC3" w:rsidR="001F26A6" w:rsidRPr="00060D11" w:rsidRDefault="001F26A6" w:rsidP="004E780D">
      <w:pPr>
        <w:spacing w:after="120" w:line="276" w:lineRule="auto"/>
        <w:rPr>
          <w:lang w:eastAsia="en-AU"/>
        </w:rPr>
      </w:pPr>
      <w:r w:rsidRPr="00060D11">
        <w:rPr>
          <w:lang w:eastAsia="en-AU"/>
        </w:rPr>
        <w:t xml:space="preserve">Attention to gender equality needs to be embedded within all aspects of the PIE investment. A full gender analysis has not been conducted as part of the design process. A detailed gender analysis will need to be carried out at early implementation to inform implementation strategies across all outcome areas. </w:t>
      </w:r>
    </w:p>
    <w:p w14:paraId="673906BE" w14:textId="0D899D0C" w:rsidR="001F26A6" w:rsidRPr="00060D11" w:rsidRDefault="001F26A6" w:rsidP="004E780D">
      <w:pPr>
        <w:spacing w:after="120" w:line="276" w:lineRule="auto"/>
        <w:rPr>
          <w:lang w:eastAsia="en-AU"/>
        </w:rPr>
      </w:pPr>
      <w:r w:rsidRPr="00060D11">
        <w:rPr>
          <w:b/>
          <w:bCs/>
          <w:lang w:eastAsia="en-AU"/>
        </w:rPr>
        <w:t xml:space="preserve">The PIE budget provides for the appointment of a full-time national GEDSI/Access/Retention Adviser to ensure that gender analysis </w:t>
      </w:r>
      <w:r w:rsidR="003656D3" w:rsidRPr="00060D11">
        <w:rPr>
          <w:b/>
          <w:bCs/>
          <w:lang w:eastAsia="en-AU"/>
        </w:rPr>
        <w:t>will</w:t>
      </w:r>
      <w:r w:rsidRPr="00060D11">
        <w:rPr>
          <w:b/>
          <w:bCs/>
          <w:lang w:eastAsia="en-AU"/>
        </w:rPr>
        <w:t xml:space="preserve"> be integrated into the </w:t>
      </w:r>
      <w:r w:rsidR="00EB7488" w:rsidRPr="00060D11">
        <w:rPr>
          <w:b/>
          <w:bCs/>
          <w:lang w:eastAsia="en-AU"/>
        </w:rPr>
        <w:t>participatory processes, baselines</w:t>
      </w:r>
      <w:r w:rsidRPr="00060D11">
        <w:rPr>
          <w:b/>
          <w:bCs/>
          <w:lang w:eastAsia="en-AU"/>
        </w:rPr>
        <w:t xml:space="preserve"> and training needs assessments</w:t>
      </w:r>
      <w:r w:rsidR="002755D0" w:rsidRPr="00060D11">
        <w:rPr>
          <w:b/>
          <w:bCs/>
          <w:lang w:eastAsia="en-AU"/>
        </w:rPr>
        <w:t xml:space="preserve"> </w:t>
      </w:r>
      <w:r w:rsidR="002755D0" w:rsidRPr="00060D11">
        <w:rPr>
          <w:lang w:eastAsia="en-AU"/>
        </w:rPr>
        <w:t>which will be carried out to underpin strategic and operational planning to achieve Outcomes 2 and 3.</w:t>
      </w:r>
    </w:p>
    <w:p w14:paraId="11C4A07C" w14:textId="02C53FF4" w:rsidR="001F26A6" w:rsidRPr="00060D11" w:rsidRDefault="001F26A6" w:rsidP="004E780D">
      <w:pPr>
        <w:spacing w:after="120" w:line="276" w:lineRule="auto"/>
        <w:rPr>
          <w:lang w:eastAsia="en-AU"/>
        </w:rPr>
      </w:pPr>
      <w:r w:rsidRPr="00060D11">
        <w:rPr>
          <w:lang w:eastAsia="en-AU"/>
        </w:rPr>
        <w:t xml:space="preserve">In accordance with OECD-DAC Gender Equality Guidance, </w:t>
      </w:r>
      <w:r w:rsidR="00BC5C8A" w:rsidRPr="00060D11">
        <w:rPr>
          <w:lang w:eastAsia="en-AU"/>
        </w:rPr>
        <w:t>priority areas for reform</w:t>
      </w:r>
      <w:r w:rsidRPr="00060D11">
        <w:rPr>
          <w:lang w:eastAsia="en-AU"/>
        </w:rPr>
        <w:t xml:space="preserve"> at national and sub-national levels should consider the extent to which </w:t>
      </w:r>
      <w:r w:rsidRPr="00060D11">
        <w:rPr>
          <w:i/>
          <w:iCs/>
          <w:lang w:eastAsia="en-AU"/>
        </w:rPr>
        <w:t>all</w:t>
      </w:r>
      <w:r w:rsidRPr="00060D11">
        <w:rPr>
          <w:lang w:eastAsia="en-AU"/>
        </w:rPr>
        <w:t xml:space="preserve"> functional positions and organisational areas of responsibility have the potential to impact on gender equality. In this way, all plans to strengthen the capacity of individual positions or organisational unit functions should embed attention to gender equality issues within them.</w:t>
      </w:r>
    </w:p>
    <w:p w14:paraId="3F4D7962" w14:textId="735A9C3D" w:rsidR="001F26A6" w:rsidRPr="00060D11" w:rsidRDefault="001F26A6" w:rsidP="004E780D">
      <w:pPr>
        <w:spacing w:after="120" w:line="276" w:lineRule="auto"/>
        <w:rPr>
          <w:lang w:eastAsia="en-AU"/>
        </w:rPr>
      </w:pPr>
      <w:r w:rsidRPr="00060D11">
        <w:rPr>
          <w:lang w:eastAsia="en-AU"/>
        </w:rPr>
        <w:t xml:space="preserve">While a Gender and Development Strategy is listed as a cross-cutting output under this investment, this should be not be a theoretical ‘think piece’ but, rather, an evidence-informed strategy which organises and consolidates ‘action areas’ under each outcome area, based upon the results of the </w:t>
      </w:r>
      <w:r w:rsidR="003762FA" w:rsidRPr="00060D11">
        <w:rPr>
          <w:lang w:eastAsia="en-AU"/>
        </w:rPr>
        <w:t>participatory problem analys</w:t>
      </w:r>
      <w:r w:rsidR="00FB11C3" w:rsidRPr="00060D11">
        <w:rPr>
          <w:lang w:eastAsia="en-AU"/>
        </w:rPr>
        <w:t>es</w:t>
      </w:r>
      <w:r w:rsidRPr="00060D11">
        <w:rPr>
          <w:lang w:eastAsia="en-AU"/>
        </w:rPr>
        <w:t>. Once this strategy is completed, the investment MEF should be adjusted to ensure that the on-going validity of the strategy, as well as individual measures to close the gender gap, are monitored. The performance information collected should, in turn, be the basis for adjusting the Gender and Development Strategy over time.</w:t>
      </w:r>
    </w:p>
    <w:p w14:paraId="1A367141" w14:textId="77777777" w:rsidR="001F26A6" w:rsidRPr="00060D11" w:rsidRDefault="001F26A6" w:rsidP="004E780D">
      <w:pPr>
        <w:spacing w:after="120" w:line="276" w:lineRule="auto"/>
        <w:rPr>
          <w:lang w:eastAsia="en-AU"/>
        </w:rPr>
      </w:pPr>
      <w:r w:rsidRPr="00060D11">
        <w:rPr>
          <w:lang w:eastAsia="en-AU"/>
        </w:rPr>
        <w:t xml:space="preserve">At design stage, it is only possible to identify areas where the combined gender and institutional analyses </w:t>
      </w:r>
      <w:r w:rsidRPr="00060D11">
        <w:rPr>
          <w:i/>
          <w:iCs/>
          <w:u w:val="single"/>
          <w:lang w:eastAsia="en-AU"/>
        </w:rPr>
        <w:t>may</w:t>
      </w:r>
      <w:r w:rsidRPr="00060D11">
        <w:rPr>
          <w:lang w:eastAsia="en-AU"/>
        </w:rPr>
        <w:t xml:space="preserve"> be expected to produce tangible and feasible strategies/activities to close the gender gap.  These include the following:</w:t>
      </w:r>
    </w:p>
    <w:p w14:paraId="35A39D7C" w14:textId="7628C9EA" w:rsidR="001F26A6" w:rsidRPr="00060D11" w:rsidRDefault="001F26A6" w:rsidP="004E780D">
      <w:pPr>
        <w:spacing w:after="120" w:line="276" w:lineRule="auto"/>
        <w:ind w:left="2127" w:hanging="2127"/>
        <w:rPr>
          <w:rFonts w:cstheme="minorHAnsi"/>
          <w:b/>
          <w:bCs/>
        </w:rPr>
      </w:pPr>
      <w:r w:rsidRPr="00060D11">
        <w:rPr>
          <w:rFonts w:cstheme="minorHAnsi"/>
          <w:b/>
          <w:bCs/>
        </w:rPr>
        <w:t xml:space="preserve">Targeted Outcome 1:  </w:t>
      </w:r>
      <w:r w:rsidRPr="00060D11">
        <w:rPr>
          <w:rFonts w:cstheme="minorHAnsi"/>
          <w:b/>
          <w:bCs/>
        </w:rPr>
        <w:tab/>
      </w:r>
      <w:r w:rsidR="00E604FA" w:rsidRPr="00060D11">
        <w:rPr>
          <w:rFonts w:eastAsia="Calibri Light" w:cstheme="minorHAnsi"/>
        </w:rPr>
        <w:t xml:space="preserve">More children (girls, boys, and </w:t>
      </w:r>
      <w:r w:rsidR="004F1B7A" w:rsidRPr="00060D11">
        <w:rPr>
          <w:rFonts w:eastAsia="Calibri Light" w:cstheme="minorHAnsi"/>
        </w:rPr>
        <w:t>CWD</w:t>
      </w:r>
      <w:r w:rsidR="00E604FA" w:rsidRPr="00060D11">
        <w:rPr>
          <w:rFonts w:eastAsia="Calibri Light" w:cstheme="minorHAnsi"/>
        </w:rPr>
        <w:t>) in the early grades enrol and stay in school in selected provinces using replicable and sustainable approaches</w:t>
      </w:r>
      <w:r w:rsidRPr="00060D11">
        <w:rPr>
          <w:rFonts w:cstheme="minorHAnsi"/>
        </w:rPr>
        <w:t xml:space="preserve">. </w:t>
      </w:r>
    </w:p>
    <w:p w14:paraId="60DD73D7" w14:textId="15D71CA8" w:rsidR="001F26A6" w:rsidRPr="00060D11" w:rsidRDefault="001F26A6" w:rsidP="004E780D">
      <w:pPr>
        <w:pStyle w:val="ListParagraph"/>
        <w:numPr>
          <w:ilvl w:val="0"/>
          <w:numId w:val="1"/>
        </w:numPr>
        <w:spacing w:after="120" w:line="276" w:lineRule="auto"/>
        <w:rPr>
          <w:sz w:val="22"/>
          <w:lang w:eastAsia="en-AU"/>
        </w:rPr>
      </w:pPr>
      <w:r w:rsidRPr="00060D11">
        <w:rPr>
          <w:sz w:val="22"/>
          <w:lang w:eastAsia="en-AU"/>
        </w:rPr>
        <w:t>Pro-actively encouraging parents to enrol girls and to keep them in school</w:t>
      </w:r>
      <w:r w:rsidR="003656D3" w:rsidRPr="00060D11">
        <w:rPr>
          <w:sz w:val="22"/>
          <w:lang w:eastAsia="en-AU"/>
        </w:rPr>
        <w:t>;</w:t>
      </w:r>
    </w:p>
    <w:p w14:paraId="2AB1D81F" w14:textId="77777777" w:rsidR="001F26A6" w:rsidRPr="00060D11" w:rsidRDefault="001F26A6" w:rsidP="004E780D">
      <w:pPr>
        <w:pStyle w:val="ListParagraph"/>
        <w:numPr>
          <w:ilvl w:val="0"/>
          <w:numId w:val="1"/>
        </w:numPr>
        <w:spacing w:after="120" w:line="276" w:lineRule="auto"/>
        <w:rPr>
          <w:sz w:val="22"/>
          <w:lang w:eastAsia="en-AU"/>
        </w:rPr>
      </w:pPr>
      <w:r w:rsidRPr="00060D11">
        <w:rPr>
          <w:sz w:val="22"/>
          <w:lang w:eastAsia="en-AU"/>
        </w:rPr>
        <w:t>Provision of financial incentives to encourage disadvantaged families to allow girls to enrol and remain in school.</w:t>
      </w:r>
    </w:p>
    <w:p w14:paraId="03BCEF03" w14:textId="78731C3D" w:rsidR="001F26A6" w:rsidRPr="00060D11" w:rsidRDefault="001F26A6" w:rsidP="004E780D">
      <w:pPr>
        <w:spacing w:after="120" w:line="276" w:lineRule="auto"/>
        <w:rPr>
          <w:lang w:eastAsia="en-AU"/>
        </w:rPr>
      </w:pPr>
    </w:p>
    <w:p w14:paraId="652F907B" w14:textId="0086FC4B" w:rsidR="00EC48B0" w:rsidRPr="00060D11" w:rsidRDefault="001F26A6" w:rsidP="004E780D">
      <w:pPr>
        <w:spacing w:after="120" w:line="276" w:lineRule="auto"/>
        <w:ind w:left="2127" w:hanging="2127"/>
        <w:rPr>
          <w:rFonts w:eastAsia="Calibri Light" w:cstheme="minorHAnsi"/>
        </w:rPr>
      </w:pPr>
      <w:r w:rsidRPr="00060D11">
        <w:rPr>
          <w:rFonts w:cstheme="minorHAnsi"/>
          <w:b/>
          <w:bCs/>
        </w:rPr>
        <w:t xml:space="preserve">Targeted Outcome 2: </w:t>
      </w:r>
      <w:r w:rsidRPr="00060D11">
        <w:rPr>
          <w:rFonts w:cstheme="minorHAnsi"/>
        </w:rPr>
        <w:t xml:space="preserve"> </w:t>
      </w:r>
      <w:r w:rsidRPr="00060D11">
        <w:rPr>
          <w:rFonts w:cstheme="minorHAnsi"/>
        </w:rPr>
        <w:tab/>
      </w:r>
      <w:r w:rsidR="0065531B" w:rsidRPr="00060D11">
        <w:rPr>
          <w:rFonts w:cstheme="minorHAnsi"/>
        </w:rPr>
        <w:t>Targeted provinces are using sustainable and replicable approaches to support i</w:t>
      </w:r>
      <w:r w:rsidR="0065531B" w:rsidRPr="00060D11">
        <w:rPr>
          <w:rFonts w:eastAsia="Calibri Light" w:cstheme="minorHAnsi"/>
        </w:rPr>
        <w:t>mprovements in the quality of teaching and learning in the early grades</w:t>
      </w:r>
      <w:r w:rsidR="003656D3" w:rsidRPr="00060D11">
        <w:rPr>
          <w:rFonts w:eastAsia="Calibri Light" w:cstheme="minorHAnsi"/>
        </w:rPr>
        <w:t>.</w:t>
      </w:r>
      <w:r w:rsidR="0065531B" w:rsidRPr="00060D11">
        <w:rPr>
          <w:rFonts w:eastAsia="Calibri Light" w:cstheme="minorHAnsi"/>
        </w:rPr>
        <w:t xml:space="preserve"> </w:t>
      </w:r>
    </w:p>
    <w:p w14:paraId="20521619" w14:textId="5D13C04E" w:rsidR="001F26A6" w:rsidRPr="00060D11" w:rsidRDefault="001F26A6" w:rsidP="00A15506">
      <w:pPr>
        <w:pStyle w:val="ListParagraph"/>
        <w:numPr>
          <w:ilvl w:val="0"/>
          <w:numId w:val="62"/>
        </w:numPr>
        <w:spacing w:after="120" w:line="276" w:lineRule="auto"/>
        <w:rPr>
          <w:sz w:val="22"/>
        </w:rPr>
      </w:pPr>
      <w:r w:rsidRPr="00060D11">
        <w:rPr>
          <w:sz w:val="22"/>
        </w:rPr>
        <w:t>Pro-actively supporting upgrading of the knowledge, skills and qualifications of female elementary school teachers with a view to redressing the gender imbalance in teachers at the primary level (i.e., as elementary teachers move into primary under the new 1-6-6 structure)</w:t>
      </w:r>
      <w:r w:rsidR="003656D3" w:rsidRPr="00060D11">
        <w:rPr>
          <w:sz w:val="22"/>
        </w:rPr>
        <w:t>;</w:t>
      </w:r>
    </w:p>
    <w:p w14:paraId="08268937" w14:textId="77777777" w:rsidR="001F26A6" w:rsidRPr="00060D11" w:rsidRDefault="001F26A6" w:rsidP="00A15506">
      <w:pPr>
        <w:pStyle w:val="ListParagraph"/>
        <w:numPr>
          <w:ilvl w:val="0"/>
          <w:numId w:val="62"/>
        </w:numPr>
        <w:spacing w:after="120" w:line="276" w:lineRule="auto"/>
        <w:rPr>
          <w:sz w:val="22"/>
        </w:rPr>
      </w:pPr>
      <w:r w:rsidRPr="00060D11">
        <w:rPr>
          <w:sz w:val="22"/>
        </w:rPr>
        <w:t xml:space="preserve">Reviewing/upgrading pre-service and in-service training on GoPNGs gender equality policies, as well as </w:t>
      </w:r>
      <w:r w:rsidRPr="00060D11">
        <w:rPr>
          <w:b/>
          <w:bCs/>
          <w:sz w:val="22"/>
        </w:rPr>
        <w:t>gender sensitive</w:t>
      </w:r>
      <w:r w:rsidRPr="00060D11">
        <w:rPr>
          <w:sz w:val="22"/>
        </w:rPr>
        <w:t xml:space="preserve"> teaching practices.</w:t>
      </w:r>
    </w:p>
    <w:p w14:paraId="496ABC13" w14:textId="77777777" w:rsidR="001F26A6" w:rsidRPr="00060D11" w:rsidRDefault="001F26A6" w:rsidP="004E780D">
      <w:pPr>
        <w:spacing w:after="120" w:line="276" w:lineRule="auto"/>
        <w:rPr>
          <w:rFonts w:cstheme="minorHAnsi"/>
          <w:b/>
          <w:bCs/>
        </w:rPr>
      </w:pPr>
    </w:p>
    <w:p w14:paraId="1105540E" w14:textId="2589AF9E" w:rsidR="002B0F9C" w:rsidRPr="00060D11" w:rsidRDefault="001F26A6" w:rsidP="004E780D">
      <w:pPr>
        <w:spacing w:after="120" w:line="276" w:lineRule="auto"/>
        <w:ind w:left="2127" w:hanging="2127"/>
        <w:rPr>
          <w:rFonts w:cstheme="minorHAnsi"/>
          <w:b/>
          <w:bCs/>
        </w:rPr>
      </w:pPr>
      <w:r w:rsidRPr="00060D11">
        <w:rPr>
          <w:rFonts w:cstheme="minorHAnsi"/>
          <w:b/>
          <w:bCs/>
        </w:rPr>
        <w:t xml:space="preserve">Enabling Outcome 3: </w:t>
      </w:r>
      <w:r w:rsidRPr="00060D11">
        <w:rPr>
          <w:rFonts w:cstheme="minorHAnsi"/>
          <w:b/>
          <w:bCs/>
        </w:rPr>
        <w:tab/>
      </w:r>
      <w:r w:rsidR="002B0F9C" w:rsidRPr="00060D11">
        <w:rPr>
          <w:rFonts w:cstheme="minorHAnsi"/>
        </w:rPr>
        <w:t>Evidence of systemic change within the education sector that improves the delivery of early grades education</w:t>
      </w:r>
      <w:r w:rsidR="003656D3" w:rsidRPr="00060D11">
        <w:rPr>
          <w:rFonts w:cstheme="minorHAnsi"/>
        </w:rPr>
        <w:t>.</w:t>
      </w:r>
      <w:r w:rsidR="002B0F9C" w:rsidRPr="00060D11" w:rsidDel="00670EC0">
        <w:rPr>
          <w:rFonts w:cstheme="minorHAnsi"/>
          <w:b/>
          <w:bCs/>
        </w:rPr>
        <w:t xml:space="preserve"> </w:t>
      </w:r>
    </w:p>
    <w:p w14:paraId="7C3E3589" w14:textId="730F4DBD" w:rsidR="001F26A6" w:rsidRPr="00060D11" w:rsidRDefault="001F26A6" w:rsidP="00A15506">
      <w:pPr>
        <w:pStyle w:val="ListParagraph"/>
        <w:numPr>
          <w:ilvl w:val="0"/>
          <w:numId w:val="63"/>
        </w:numPr>
        <w:spacing w:after="120" w:line="276" w:lineRule="auto"/>
        <w:rPr>
          <w:sz w:val="22"/>
        </w:rPr>
      </w:pPr>
      <w:r w:rsidRPr="00060D11">
        <w:rPr>
          <w:sz w:val="22"/>
        </w:rPr>
        <w:t>Strengthening the capacity of the NDoE Gender Branch and provincial GESI desks to conduct awareness and training of staff on gender policies and to advocate and promote gender equality in education management and the teaching workforce</w:t>
      </w:r>
      <w:r w:rsidR="003656D3" w:rsidRPr="00060D11">
        <w:rPr>
          <w:sz w:val="22"/>
        </w:rPr>
        <w:t>;</w:t>
      </w:r>
    </w:p>
    <w:p w14:paraId="7998B317" w14:textId="2D2635FC" w:rsidR="001F26A6" w:rsidRPr="00060D11" w:rsidRDefault="001F26A6" w:rsidP="00A15506">
      <w:pPr>
        <w:pStyle w:val="ListParagraph"/>
        <w:numPr>
          <w:ilvl w:val="0"/>
          <w:numId w:val="63"/>
        </w:numPr>
        <w:spacing w:after="120" w:line="276" w:lineRule="auto"/>
        <w:rPr>
          <w:sz w:val="22"/>
        </w:rPr>
      </w:pPr>
      <w:r w:rsidRPr="00060D11">
        <w:rPr>
          <w:sz w:val="22"/>
        </w:rPr>
        <w:t>Specifically designing and funding activities to upgrade the leadership and management skills of women in education management (at national and sub-national levels), support the development of mentors and sponsors for women leaders in education, as well as women’s leadership networks</w:t>
      </w:r>
      <w:r w:rsidR="003656D3" w:rsidRPr="00060D11">
        <w:rPr>
          <w:sz w:val="22"/>
        </w:rPr>
        <w:t>;</w:t>
      </w:r>
    </w:p>
    <w:p w14:paraId="721B6FF7" w14:textId="2DF1D4CC" w:rsidR="001F26A6" w:rsidRPr="00060D11" w:rsidRDefault="001F26A6" w:rsidP="00A15506">
      <w:pPr>
        <w:pStyle w:val="ListParagraph"/>
        <w:numPr>
          <w:ilvl w:val="0"/>
          <w:numId w:val="63"/>
        </w:numPr>
        <w:spacing w:after="120" w:line="276" w:lineRule="auto"/>
        <w:rPr>
          <w:sz w:val="22"/>
        </w:rPr>
      </w:pPr>
      <w:r w:rsidRPr="00060D11">
        <w:rPr>
          <w:sz w:val="22"/>
        </w:rPr>
        <w:t xml:space="preserve">Specifically designing and funding activities to increase women’s involvement in decision making bodies in provincial and church education service providers (e.g., Provincial Education Boards, </w:t>
      </w:r>
      <w:r w:rsidR="00F112B1" w:rsidRPr="00060D11">
        <w:rPr>
          <w:sz w:val="22"/>
        </w:rPr>
        <w:t>SBoM</w:t>
      </w:r>
      <w:r w:rsidRPr="00060D11">
        <w:rPr>
          <w:sz w:val="22"/>
        </w:rPr>
        <w:t xml:space="preserve">). </w:t>
      </w:r>
    </w:p>
    <w:p w14:paraId="21A34540" w14:textId="317D5E31" w:rsidR="001F26A6" w:rsidRPr="00060D11" w:rsidRDefault="001F26A6" w:rsidP="004E780D">
      <w:pPr>
        <w:spacing w:after="120"/>
      </w:pPr>
    </w:p>
    <w:p w14:paraId="0FA47F18" w14:textId="77777777" w:rsidR="001F26A6" w:rsidRPr="00060D11" w:rsidRDefault="001F26A6" w:rsidP="00C04736">
      <w:pPr>
        <w:pStyle w:val="Heading2"/>
      </w:pPr>
      <w:r w:rsidRPr="00060D11">
        <w:t>G.2</w:t>
      </w:r>
      <w:r w:rsidRPr="00060D11">
        <w:tab/>
        <w:t>DISABILITY INCLUSIVENESS</w:t>
      </w:r>
    </w:p>
    <w:p w14:paraId="34AC8334" w14:textId="77777777" w:rsidR="001F26A6" w:rsidRPr="00060D11" w:rsidRDefault="001F26A6" w:rsidP="00AF34D0"/>
    <w:p w14:paraId="5932204E" w14:textId="77777777" w:rsidR="001F26A6" w:rsidRPr="00060D11" w:rsidRDefault="001F26A6" w:rsidP="00AF34D0">
      <w:pPr>
        <w:rPr>
          <w:b/>
          <w:bCs/>
        </w:rPr>
      </w:pPr>
      <w:r w:rsidRPr="00060D11">
        <w:t>During the preparation of this design disability representatives were consulted at the national level and were also specifically invited to join the provincial teams engaged in intensive design consultations in Enga and Sandaun.</w:t>
      </w:r>
      <w:r w:rsidRPr="00060D11">
        <w:rPr>
          <w:b/>
          <w:bCs/>
        </w:rPr>
        <w:t xml:space="preserve"> </w:t>
      </w:r>
    </w:p>
    <w:p w14:paraId="1B88EEA6" w14:textId="77777777" w:rsidR="00AF34D0" w:rsidRDefault="00AF34D0" w:rsidP="00AF34D0">
      <w:pPr>
        <w:rPr>
          <w:b/>
          <w:bCs/>
        </w:rPr>
      </w:pPr>
    </w:p>
    <w:p w14:paraId="730E35F0" w14:textId="58AA6246" w:rsidR="001F26A6" w:rsidRPr="00AF34D0" w:rsidRDefault="001F26A6" w:rsidP="00AF34D0">
      <w:pPr>
        <w:rPr>
          <w:b/>
          <w:bCs/>
        </w:rPr>
      </w:pPr>
      <w:r w:rsidRPr="00AF34D0">
        <w:rPr>
          <w:b/>
          <w:bCs/>
        </w:rPr>
        <w:t>Context</w:t>
      </w:r>
    </w:p>
    <w:p w14:paraId="03381DB8" w14:textId="31934D9A" w:rsidR="001F26A6" w:rsidRPr="00060D11" w:rsidRDefault="001F26A6" w:rsidP="004E780D">
      <w:pPr>
        <w:spacing w:after="120"/>
        <w:rPr>
          <w:iCs/>
        </w:rPr>
      </w:pPr>
      <w:r w:rsidRPr="00060D11">
        <w:rPr>
          <w:iCs/>
        </w:rPr>
        <w:t xml:space="preserve">PNG was ahead of other countries in the region in introducing the first PNG National Special Education Policy (NSEP) which opened the way for </w:t>
      </w:r>
      <w:r w:rsidR="004F1B7A" w:rsidRPr="00060D11">
        <w:rPr>
          <w:iCs/>
        </w:rPr>
        <w:t>CWD</w:t>
      </w:r>
      <w:r w:rsidRPr="00060D11">
        <w:rPr>
          <w:iCs/>
        </w:rPr>
        <w:t xml:space="preserve"> to access education. The three key features of the policy required:</w:t>
      </w:r>
    </w:p>
    <w:p w14:paraId="1AD8D41E" w14:textId="7B14D194" w:rsidR="001F26A6" w:rsidRPr="00060D11" w:rsidRDefault="00477C12" w:rsidP="004E780D">
      <w:pPr>
        <w:pStyle w:val="ListParagraph"/>
        <w:numPr>
          <w:ilvl w:val="0"/>
          <w:numId w:val="40"/>
        </w:numPr>
        <w:spacing w:after="120" w:line="240" w:lineRule="auto"/>
        <w:rPr>
          <w:iCs/>
          <w:sz w:val="22"/>
        </w:rPr>
      </w:pPr>
      <w:r w:rsidRPr="00060D11">
        <w:rPr>
          <w:iCs/>
          <w:sz w:val="22"/>
        </w:rPr>
        <w:t>t</w:t>
      </w:r>
      <w:r w:rsidR="001F26A6" w:rsidRPr="00060D11">
        <w:rPr>
          <w:iCs/>
          <w:sz w:val="22"/>
        </w:rPr>
        <w:t>hat where feasible, children with special needs should attend regular schools along with their peers;</w:t>
      </w:r>
    </w:p>
    <w:p w14:paraId="0B4E4631" w14:textId="1CC016B6" w:rsidR="001F26A6" w:rsidRPr="00060D11" w:rsidRDefault="00477C12" w:rsidP="004E780D">
      <w:pPr>
        <w:pStyle w:val="ListParagraph"/>
        <w:numPr>
          <w:ilvl w:val="0"/>
          <w:numId w:val="40"/>
        </w:numPr>
        <w:spacing w:after="120" w:line="240" w:lineRule="auto"/>
        <w:rPr>
          <w:iCs/>
          <w:sz w:val="22"/>
        </w:rPr>
      </w:pPr>
      <w:r w:rsidRPr="00060D11">
        <w:rPr>
          <w:iCs/>
          <w:sz w:val="22"/>
        </w:rPr>
        <w:t>t</w:t>
      </w:r>
      <w:r w:rsidR="001F26A6" w:rsidRPr="00060D11">
        <w:rPr>
          <w:iCs/>
          <w:sz w:val="22"/>
        </w:rPr>
        <w:t>hat teachers be trained through pre-service and in-service course</w:t>
      </w:r>
      <w:r w:rsidR="001B3673" w:rsidRPr="00060D11">
        <w:rPr>
          <w:iCs/>
          <w:sz w:val="22"/>
        </w:rPr>
        <w:t>s</w:t>
      </w:r>
      <w:r w:rsidR="001F26A6" w:rsidRPr="00060D11">
        <w:rPr>
          <w:iCs/>
          <w:sz w:val="22"/>
        </w:rPr>
        <w:t xml:space="preserve">; </w:t>
      </w:r>
      <w:r w:rsidR="00CD6414" w:rsidRPr="00060D11">
        <w:rPr>
          <w:iCs/>
          <w:sz w:val="22"/>
        </w:rPr>
        <w:t>and</w:t>
      </w:r>
    </w:p>
    <w:p w14:paraId="54E76E43" w14:textId="1033FC04" w:rsidR="001F26A6" w:rsidRPr="00060D11" w:rsidRDefault="00477C12" w:rsidP="004E780D">
      <w:pPr>
        <w:pStyle w:val="ListParagraph"/>
        <w:numPr>
          <w:ilvl w:val="0"/>
          <w:numId w:val="40"/>
        </w:numPr>
        <w:spacing w:after="120" w:line="240" w:lineRule="auto"/>
        <w:rPr>
          <w:iCs/>
          <w:sz w:val="22"/>
        </w:rPr>
      </w:pPr>
      <w:r w:rsidRPr="00060D11">
        <w:rPr>
          <w:iCs/>
          <w:sz w:val="22"/>
        </w:rPr>
        <w:t>t</w:t>
      </w:r>
      <w:r w:rsidR="001F26A6" w:rsidRPr="00060D11">
        <w:rPr>
          <w:iCs/>
          <w:sz w:val="22"/>
        </w:rPr>
        <w:t>hat the department allocates funding for special education activities.</w:t>
      </w:r>
      <w:r w:rsidR="001F26A6" w:rsidRPr="00060D11">
        <w:rPr>
          <w:rStyle w:val="FootnoteReference"/>
          <w:iCs/>
          <w:sz w:val="22"/>
        </w:rPr>
        <w:footnoteReference w:id="89"/>
      </w:r>
    </w:p>
    <w:p w14:paraId="4D7DDD7A" w14:textId="3557EC43" w:rsidR="001F26A6" w:rsidRPr="00060D11" w:rsidRDefault="001F26A6" w:rsidP="004E780D">
      <w:pPr>
        <w:spacing w:after="120"/>
      </w:pPr>
      <w:r w:rsidRPr="00060D11">
        <w:rPr>
          <w:iCs/>
        </w:rPr>
        <w:t xml:space="preserve">One of the most important </w:t>
      </w:r>
      <w:r w:rsidRPr="00060D11">
        <w:t xml:space="preserve">aspects of the NSEP was the mandating of Special Education Resource Centres as the main mechanism through which the education of </w:t>
      </w:r>
      <w:r w:rsidR="004F1B7A" w:rsidRPr="00060D11">
        <w:t>CWD</w:t>
      </w:r>
      <w:r w:rsidRPr="00060D11">
        <w:t xml:space="preserve"> would be supported. In particular</w:t>
      </w:r>
      <w:r w:rsidR="00CB66E3" w:rsidRPr="00060D11">
        <w:t>,</w:t>
      </w:r>
      <w:r w:rsidRPr="00060D11">
        <w:t xml:space="preserve"> it outlined that the ‘primary role of a resource centre is to in-service and support field teachers in their role as inclusive teachers’ according to the National Special Education Policy and Plan’. By 2008, the number of SERCs had increased to 23 operating in 17 provinces.</w:t>
      </w:r>
      <w:r w:rsidRPr="00060D11">
        <w:rPr>
          <w:rStyle w:val="FootnoteReference"/>
        </w:rPr>
        <w:footnoteReference w:id="90"/>
      </w:r>
    </w:p>
    <w:p w14:paraId="70A662B1" w14:textId="19D1FF34" w:rsidR="001F26A6" w:rsidRPr="00060D11" w:rsidRDefault="00686208" w:rsidP="004E780D">
      <w:pPr>
        <w:spacing w:after="120"/>
        <w:rPr>
          <w:caps/>
          <w:lang w:eastAsia="en-AU"/>
        </w:rPr>
      </w:pPr>
      <w:r w:rsidRPr="00060D11">
        <w:rPr>
          <w:lang w:eastAsia="en-AU"/>
        </w:rPr>
        <w:t>CSPD</w:t>
      </w:r>
      <w:r w:rsidR="001F26A6" w:rsidRPr="00060D11">
        <w:rPr>
          <w:lang w:eastAsia="en-AU"/>
        </w:rPr>
        <w:t xml:space="preserve"> is the largest provider of disability services in PNG and works with government departments to implement inclusive development services. In the education sector, with substantial support from Australia, </w:t>
      </w:r>
      <w:r w:rsidRPr="00060D11">
        <w:rPr>
          <w:rFonts w:cstheme="minorHAnsi"/>
        </w:rPr>
        <w:t xml:space="preserve">CSPD </w:t>
      </w:r>
      <w:r w:rsidR="001F26A6" w:rsidRPr="00060D11">
        <w:rPr>
          <w:lang w:eastAsia="en-AU"/>
        </w:rPr>
        <w:t xml:space="preserve">has set up and operates 19 Inclusive Education Resource Centres (IERCs) which are responsible for identifying and working directly with children and adults with disabilities in the community. However, the centres are not permitted to provide services beyond a 15 km limit, so </w:t>
      </w:r>
      <w:r w:rsidRPr="00060D11">
        <w:rPr>
          <w:rFonts w:cstheme="minorHAnsi"/>
        </w:rPr>
        <w:t xml:space="preserve">CSPD </w:t>
      </w:r>
      <w:r w:rsidR="001F26A6" w:rsidRPr="00060D11">
        <w:rPr>
          <w:lang w:eastAsia="en-AU"/>
        </w:rPr>
        <w:t>is attempting to extend their services through the establishment of sub-centres and by providing support to schools, upon request, via mobile teams to carry out screening and testing and to encourage parents to bring their children to the nearest IERC.</w:t>
      </w:r>
    </w:p>
    <w:p w14:paraId="391E377F" w14:textId="090EA38C" w:rsidR="001F26A6" w:rsidRPr="00060D11" w:rsidRDefault="00686208" w:rsidP="004E780D">
      <w:pPr>
        <w:spacing w:after="120"/>
      </w:pPr>
      <w:r w:rsidRPr="00060D11">
        <w:rPr>
          <w:rFonts w:cstheme="minorHAnsi"/>
        </w:rPr>
        <w:t xml:space="preserve">CSPD </w:t>
      </w:r>
      <w:r w:rsidR="001F26A6" w:rsidRPr="00060D11">
        <w:t>also runs the Callan Inclusive Education Institute (CIEI), recognised by NDoE and the Teachers Institute. The CIEI provides training to teachers who, upon satisfactory completion, are awarded with an Applied Diploma in Special Inclusive Education (ADSIE). Australia provided scholarships for teachers to study for th</w:t>
      </w:r>
      <w:r w:rsidR="00477C12" w:rsidRPr="00060D11">
        <w:t xml:space="preserve">is diploma </w:t>
      </w:r>
      <w:r w:rsidR="001F26A6" w:rsidRPr="00060D11">
        <w:t>which, according to a September 2020 evaluation, proved to be a very successful intervention. However, this support ceased in June 2020.</w:t>
      </w:r>
    </w:p>
    <w:p w14:paraId="5743D45C" w14:textId="77777777" w:rsidR="001F26A6" w:rsidRPr="00AF34D0" w:rsidRDefault="001F26A6" w:rsidP="00AF34D0">
      <w:pPr>
        <w:rPr>
          <w:b/>
          <w:bCs/>
        </w:rPr>
      </w:pPr>
      <w:r w:rsidRPr="00AF34D0">
        <w:rPr>
          <w:b/>
          <w:bCs/>
          <w:lang w:eastAsia="en-AU"/>
        </w:rPr>
        <w:t>Barriers to inclusion</w:t>
      </w:r>
    </w:p>
    <w:p w14:paraId="2B260DBD" w14:textId="42ACE835" w:rsidR="001F26A6" w:rsidRPr="00060D11" w:rsidRDefault="001F26A6" w:rsidP="004E780D">
      <w:pPr>
        <w:spacing w:after="120"/>
      </w:pPr>
      <w:r w:rsidRPr="00060D11">
        <w:rPr>
          <w:rFonts w:cstheme="minorHAnsi"/>
        </w:rPr>
        <w:t>There are no official statistics about people living with disabilities in PNG. And although the school census surveys include a question on ‘</w:t>
      </w:r>
      <w:r w:rsidRPr="00060D11">
        <w:rPr>
          <w:rFonts w:cstheme="minorHAnsi"/>
          <w:i/>
          <w:iCs/>
        </w:rPr>
        <w:t>childhood disability’</w:t>
      </w:r>
      <w:r w:rsidRPr="00060D11">
        <w:rPr>
          <w:rFonts w:cstheme="minorHAnsi"/>
        </w:rPr>
        <w:t xml:space="preserve"> this is poorly defined, poorly addressed and the resulting data is not robust. </w:t>
      </w:r>
    </w:p>
    <w:p w14:paraId="6DE9D52A" w14:textId="68AC970C" w:rsidR="001F26A6" w:rsidRPr="00060D11" w:rsidRDefault="001F26A6" w:rsidP="004E780D">
      <w:pPr>
        <w:spacing w:after="120"/>
        <w:rPr>
          <w:iCs/>
        </w:rPr>
      </w:pPr>
      <w:r w:rsidRPr="00060D11">
        <w:rPr>
          <w:iCs/>
        </w:rPr>
        <w:t xml:space="preserve">Despite the intent of the NSEP, a range of barriers appear to prevent </w:t>
      </w:r>
      <w:r w:rsidR="004F1B7A" w:rsidRPr="00060D11">
        <w:rPr>
          <w:iCs/>
        </w:rPr>
        <w:t>CWD</w:t>
      </w:r>
      <w:r w:rsidRPr="00060D11">
        <w:rPr>
          <w:iCs/>
        </w:rPr>
        <w:t xml:space="preserve"> from being enrolled and retained in the early grades. These range from community/parental attitudes downgrading the importance of education for </w:t>
      </w:r>
      <w:r w:rsidR="004F1B7A" w:rsidRPr="00060D11">
        <w:rPr>
          <w:iCs/>
        </w:rPr>
        <w:t>CWD</w:t>
      </w:r>
      <w:r w:rsidRPr="00060D11">
        <w:rPr>
          <w:iCs/>
        </w:rPr>
        <w:t>, which have been exacerbated by the introduction of the GTFS; lack of screening and testing facilities in schools; inappropriate school infrastructure; poorly trained teachers, bullying and social exclusion by other students. All of these factors were mentioned during provincial consultations carried out as part of this design process.</w:t>
      </w:r>
    </w:p>
    <w:p w14:paraId="3EA38D5E" w14:textId="77777777" w:rsidR="001F26A6" w:rsidRPr="00AF34D0" w:rsidRDefault="001F26A6" w:rsidP="00AF34D0">
      <w:pPr>
        <w:rPr>
          <w:b/>
          <w:bCs/>
        </w:rPr>
      </w:pPr>
      <w:r w:rsidRPr="00AF34D0">
        <w:rPr>
          <w:b/>
          <w:bCs/>
        </w:rPr>
        <w:t>DFAT’s past efforts to address barriers to inclusion</w:t>
      </w:r>
    </w:p>
    <w:p w14:paraId="23731236" w14:textId="77777777" w:rsidR="001F26A6" w:rsidRPr="00060D11" w:rsidRDefault="001F26A6" w:rsidP="004E780D">
      <w:pPr>
        <w:spacing w:after="120"/>
        <w:rPr>
          <w:rFonts w:cstheme="minorHAnsi"/>
          <w:iCs/>
        </w:rPr>
      </w:pPr>
      <w:r w:rsidRPr="00060D11">
        <w:rPr>
          <w:rFonts w:cstheme="minorHAnsi"/>
          <w:iCs/>
        </w:rPr>
        <w:t xml:space="preserve">Australia has supported a succession of investments to address barriers to inclusion in primary education but has not necessarily capitalised upon these investments in order to ensure that benefits are </w:t>
      </w:r>
      <w:proofErr w:type="gramStart"/>
      <w:r w:rsidRPr="00060D11">
        <w:rPr>
          <w:rFonts w:cstheme="minorHAnsi"/>
          <w:iCs/>
        </w:rPr>
        <w:t>sustained</w:t>
      </w:r>
      <w:proofErr w:type="gramEnd"/>
      <w:r w:rsidRPr="00060D11">
        <w:rPr>
          <w:rFonts w:cstheme="minorHAnsi"/>
          <w:iCs/>
        </w:rPr>
        <w:t xml:space="preserve"> and effective approaches promoted more broadly.</w:t>
      </w:r>
    </w:p>
    <w:p w14:paraId="108E6AE6" w14:textId="402BA65D" w:rsidR="001F26A6" w:rsidRPr="00060D11" w:rsidRDefault="0056702F" w:rsidP="004E780D">
      <w:pPr>
        <w:spacing w:after="120"/>
        <w:rPr>
          <w:rFonts w:cstheme="minorHAnsi"/>
          <w:iCs/>
        </w:rPr>
      </w:pPr>
      <w:r w:rsidRPr="00060D11">
        <w:rPr>
          <w:rFonts w:cstheme="minorHAnsi"/>
          <w:iCs/>
        </w:rPr>
        <w:t>Primary and Secondary Teacher Education Project</w:t>
      </w:r>
      <w:r w:rsidR="001F26A6" w:rsidRPr="00060D11">
        <w:rPr>
          <w:rFonts w:cstheme="minorHAnsi"/>
          <w:b/>
          <w:bCs/>
          <w:iCs/>
        </w:rPr>
        <w:t xml:space="preserve">: </w:t>
      </w:r>
      <w:r w:rsidR="001F26A6" w:rsidRPr="00060D11">
        <w:rPr>
          <w:rFonts w:cstheme="minorHAnsi"/>
          <w:iCs/>
        </w:rPr>
        <w:t>Australia funded the AUD</w:t>
      </w:r>
      <w:r w:rsidR="00477C12" w:rsidRPr="00060D11">
        <w:rPr>
          <w:rFonts w:cstheme="minorHAnsi"/>
          <w:iCs/>
        </w:rPr>
        <w:t xml:space="preserve"> </w:t>
      </w:r>
      <w:r w:rsidR="001F26A6" w:rsidRPr="00060D11">
        <w:rPr>
          <w:rFonts w:cstheme="minorHAnsi"/>
          <w:iCs/>
        </w:rPr>
        <w:t>38 million Primary and Secondary Teacher Education Project from 1999-2004 with six technical components, one of which was Special Education Teacher Education. The focus appeared to be upon special education curriculum writing and teaching and learning strategies.</w:t>
      </w:r>
      <w:r w:rsidR="001F26A6" w:rsidRPr="00060D11">
        <w:rPr>
          <w:rStyle w:val="FootnoteReference"/>
          <w:rFonts w:cstheme="minorHAnsi"/>
          <w:iCs/>
        </w:rPr>
        <w:footnoteReference w:id="91"/>
      </w:r>
      <w:r w:rsidR="001F26A6" w:rsidRPr="00060D11">
        <w:rPr>
          <w:rFonts w:cstheme="minorHAnsi"/>
          <w:iCs/>
        </w:rPr>
        <w:t xml:space="preserve"> During the current design process it has been difficult to determine the extent to which these materials were, or are, being used. A recent PNG National Research Institute status report indicates that pre-service teachers are not given enough units on special education and are still trained to each using a teacher-centred pedagogy, rather than focusing on the needs of the child with disabilities.</w:t>
      </w:r>
      <w:r w:rsidR="001F26A6" w:rsidRPr="00060D11">
        <w:rPr>
          <w:rStyle w:val="FootnoteReference"/>
          <w:rFonts w:cstheme="minorHAnsi"/>
          <w:iCs/>
        </w:rPr>
        <w:footnoteReference w:id="92"/>
      </w:r>
    </w:p>
    <w:p w14:paraId="42A7C5C2" w14:textId="659A130D" w:rsidR="001F26A6" w:rsidRPr="00060D11" w:rsidRDefault="001F26A6" w:rsidP="004E780D">
      <w:pPr>
        <w:spacing w:after="120"/>
        <w:rPr>
          <w:rFonts w:cstheme="minorHAnsi"/>
          <w:iCs/>
        </w:rPr>
      </w:pPr>
      <w:r w:rsidRPr="00060D11">
        <w:rPr>
          <w:rFonts w:cstheme="minorHAnsi"/>
          <w:b/>
          <w:bCs/>
          <w:iCs/>
        </w:rPr>
        <w:t xml:space="preserve">Education Opportunities for All: </w:t>
      </w:r>
      <w:r w:rsidRPr="00060D11">
        <w:rPr>
          <w:rFonts w:cstheme="minorHAnsi"/>
          <w:iCs/>
        </w:rPr>
        <w:t>Australia supported the AUD</w:t>
      </w:r>
      <w:r w:rsidR="00C457EB" w:rsidRPr="00060D11">
        <w:rPr>
          <w:rFonts w:cstheme="minorHAnsi"/>
          <w:iCs/>
        </w:rPr>
        <w:t xml:space="preserve"> </w:t>
      </w:r>
      <w:r w:rsidRPr="00060D11">
        <w:rPr>
          <w:rFonts w:cstheme="minorHAnsi"/>
          <w:iCs/>
        </w:rPr>
        <w:t xml:space="preserve">4 million Education Opportunities for All PNG Children project from 2016 to June 2020 implemented by </w:t>
      </w:r>
      <w:r w:rsidR="00686208" w:rsidRPr="00060D11">
        <w:rPr>
          <w:rFonts w:cstheme="minorHAnsi"/>
        </w:rPr>
        <w:t>CSPD</w:t>
      </w:r>
      <w:r w:rsidRPr="00060D11">
        <w:rPr>
          <w:rFonts w:cstheme="minorHAnsi"/>
          <w:iCs/>
        </w:rPr>
        <w:t xml:space="preserve">, managed by the Education Capacity Development Facility (ECDF). This investment aimed to: (i) improve in-service training for teachers in special education; (ii) support children and adults living with disabilities to participate in education (and in local communities); (iii) to increase the awareness of rights, knowledge and advocacy skills of people with disabilities; and (iv) to expand the network of service providers. </w:t>
      </w:r>
    </w:p>
    <w:p w14:paraId="395A72E7" w14:textId="58DAFE2B" w:rsidR="001F26A6" w:rsidRPr="00060D11" w:rsidRDefault="001F26A6" w:rsidP="004E780D">
      <w:pPr>
        <w:spacing w:after="120"/>
        <w:rPr>
          <w:rFonts w:cstheme="minorHAnsi"/>
        </w:rPr>
      </w:pPr>
      <w:r w:rsidRPr="00060D11">
        <w:rPr>
          <w:rFonts w:cstheme="minorHAnsi"/>
          <w:iCs/>
        </w:rPr>
        <w:t>Of specific relevance to the current design is the finding of an evaluation of this investment commissioned by AHC, Port Moresby, produced in October 2020</w:t>
      </w:r>
      <w:r w:rsidR="0056702F" w:rsidRPr="00060D11">
        <w:rPr>
          <w:rFonts w:cstheme="minorHAnsi"/>
          <w:iCs/>
        </w:rPr>
        <w:t>,</w:t>
      </w:r>
      <w:r w:rsidRPr="00060D11">
        <w:rPr>
          <w:rFonts w:cstheme="minorHAnsi"/>
          <w:iCs/>
        </w:rPr>
        <w:t xml:space="preserve"> </w:t>
      </w:r>
      <w:r w:rsidR="00C457EB" w:rsidRPr="00060D11">
        <w:rPr>
          <w:rFonts w:cstheme="minorHAnsi"/>
          <w:iCs/>
        </w:rPr>
        <w:t xml:space="preserve">which </w:t>
      </w:r>
      <w:r w:rsidRPr="00060D11">
        <w:rPr>
          <w:rFonts w:cstheme="minorHAnsi"/>
          <w:iCs/>
        </w:rPr>
        <w:t xml:space="preserve">found that </w:t>
      </w:r>
      <w:r w:rsidR="00C457EB" w:rsidRPr="00060D11">
        <w:rPr>
          <w:rFonts w:cstheme="minorHAnsi"/>
          <w:iCs/>
        </w:rPr>
        <w:t>(i)</w:t>
      </w:r>
      <w:r w:rsidRPr="00060D11">
        <w:rPr>
          <w:rFonts w:cstheme="minorHAnsi"/>
          <w:iCs/>
        </w:rPr>
        <w:t xml:space="preserve"> was mostly achieved. Specifically, the evaluation reported that: “</w:t>
      </w:r>
      <w:r w:rsidRPr="00060D11">
        <w:rPr>
          <w:i/>
          <w:iCs/>
          <w:lang w:eastAsia="en-AU"/>
        </w:rPr>
        <w:t xml:space="preserve">The short courses for teachers in inclusive education have been well received by IERC staff and are recognised as filling a critical gap in inclusive education training.” </w:t>
      </w:r>
      <w:r w:rsidRPr="00060D11">
        <w:rPr>
          <w:rStyle w:val="FootnoteReference"/>
          <w:i/>
          <w:iCs/>
          <w:lang w:eastAsia="en-AU"/>
        </w:rPr>
        <w:footnoteReference w:id="93"/>
      </w:r>
    </w:p>
    <w:p w14:paraId="5DF6D013" w14:textId="6455955B" w:rsidR="001F26A6" w:rsidRPr="00060D11" w:rsidRDefault="001F26A6" w:rsidP="004E780D">
      <w:pPr>
        <w:spacing w:after="120"/>
        <w:rPr>
          <w:rFonts w:cstheme="minorHAnsi"/>
          <w:iCs/>
        </w:rPr>
      </w:pPr>
      <w:r w:rsidRPr="00060D11">
        <w:rPr>
          <w:rFonts w:cstheme="minorHAnsi"/>
          <w:iCs/>
        </w:rPr>
        <w:t xml:space="preserve">Further, the </w:t>
      </w:r>
      <w:r w:rsidR="0056702F" w:rsidRPr="00060D11">
        <w:rPr>
          <w:rFonts w:cstheme="minorHAnsi"/>
          <w:iCs/>
        </w:rPr>
        <w:t>e</w:t>
      </w:r>
      <w:r w:rsidRPr="00060D11">
        <w:rPr>
          <w:rFonts w:cstheme="minorHAnsi"/>
          <w:iCs/>
        </w:rPr>
        <w:t>valuation made a range of recommendations to build upon the achievements:</w:t>
      </w:r>
    </w:p>
    <w:p w14:paraId="60993FAB" w14:textId="37FAC610" w:rsidR="001F26A6" w:rsidRPr="00060D11" w:rsidRDefault="001F26A6" w:rsidP="004E780D">
      <w:pPr>
        <w:pStyle w:val="ListParagraph"/>
        <w:numPr>
          <w:ilvl w:val="0"/>
          <w:numId w:val="42"/>
        </w:numPr>
        <w:spacing w:after="120" w:line="240" w:lineRule="auto"/>
        <w:rPr>
          <w:rFonts w:cstheme="minorHAnsi"/>
          <w:iCs/>
          <w:sz w:val="22"/>
        </w:rPr>
      </w:pPr>
      <w:r w:rsidRPr="00060D11">
        <w:rPr>
          <w:rFonts w:cstheme="minorHAnsi"/>
          <w:iCs/>
          <w:sz w:val="22"/>
        </w:rPr>
        <w:t>expanding the availability of in-service teacher training on inclusive education</w:t>
      </w:r>
      <w:r w:rsidR="0056702F" w:rsidRPr="00060D11">
        <w:rPr>
          <w:rFonts w:cstheme="minorHAnsi"/>
          <w:iCs/>
          <w:sz w:val="22"/>
        </w:rPr>
        <w:t>;</w:t>
      </w:r>
    </w:p>
    <w:p w14:paraId="722C69FF" w14:textId="424FA6D0" w:rsidR="001F26A6" w:rsidRPr="00060D11" w:rsidRDefault="001F26A6" w:rsidP="004E780D">
      <w:pPr>
        <w:pStyle w:val="ListParagraph"/>
        <w:numPr>
          <w:ilvl w:val="0"/>
          <w:numId w:val="42"/>
        </w:numPr>
        <w:spacing w:after="120" w:line="240" w:lineRule="auto"/>
        <w:rPr>
          <w:rFonts w:cstheme="minorHAnsi"/>
          <w:iCs/>
          <w:sz w:val="22"/>
        </w:rPr>
      </w:pPr>
      <w:r w:rsidRPr="00060D11">
        <w:rPr>
          <w:rFonts w:cstheme="minorHAnsi"/>
          <w:iCs/>
          <w:sz w:val="22"/>
        </w:rPr>
        <w:t xml:space="preserve">working with IERC sub-branches to support outreach officers based in schools in regional areas to provide a link with the IERC for </w:t>
      </w:r>
      <w:r w:rsidR="004F1B7A" w:rsidRPr="00060D11">
        <w:rPr>
          <w:rFonts w:cstheme="minorHAnsi"/>
          <w:iCs/>
          <w:sz w:val="22"/>
        </w:rPr>
        <w:t>CWD</w:t>
      </w:r>
      <w:r w:rsidRPr="00060D11">
        <w:rPr>
          <w:rFonts w:cstheme="minorHAnsi"/>
          <w:iCs/>
          <w:sz w:val="22"/>
        </w:rPr>
        <w:t xml:space="preserve"> in remote and rural areas</w:t>
      </w:r>
      <w:r w:rsidR="0056702F" w:rsidRPr="00060D11">
        <w:rPr>
          <w:rFonts w:cstheme="minorHAnsi"/>
          <w:iCs/>
          <w:sz w:val="22"/>
        </w:rPr>
        <w:t>;</w:t>
      </w:r>
      <w:r w:rsidR="00CD6414" w:rsidRPr="00060D11">
        <w:rPr>
          <w:rFonts w:cstheme="minorHAnsi"/>
          <w:iCs/>
          <w:sz w:val="22"/>
        </w:rPr>
        <w:t xml:space="preserve"> and</w:t>
      </w:r>
    </w:p>
    <w:p w14:paraId="2CEB448A" w14:textId="3D3F8D73" w:rsidR="001F26A6" w:rsidRPr="00060D11" w:rsidRDefault="001F26A6" w:rsidP="004E780D">
      <w:pPr>
        <w:pStyle w:val="ListParagraph"/>
        <w:numPr>
          <w:ilvl w:val="0"/>
          <w:numId w:val="42"/>
        </w:numPr>
        <w:spacing w:after="120" w:line="240" w:lineRule="auto"/>
        <w:rPr>
          <w:rFonts w:cstheme="minorHAnsi"/>
          <w:iCs/>
          <w:sz w:val="22"/>
        </w:rPr>
      </w:pPr>
      <w:r w:rsidRPr="00060D11">
        <w:rPr>
          <w:rFonts w:cstheme="minorHAnsi"/>
          <w:iCs/>
          <w:sz w:val="22"/>
        </w:rPr>
        <w:t xml:space="preserve">a pilot study targeting a school in each district to have </w:t>
      </w:r>
      <w:r w:rsidR="0056702F" w:rsidRPr="00060D11">
        <w:rPr>
          <w:rFonts w:cstheme="minorHAnsi"/>
          <w:iCs/>
          <w:sz w:val="22"/>
        </w:rPr>
        <w:t>one to two</w:t>
      </w:r>
      <w:r w:rsidRPr="00060D11">
        <w:rPr>
          <w:rFonts w:cstheme="minorHAnsi"/>
          <w:iCs/>
          <w:sz w:val="22"/>
        </w:rPr>
        <w:t xml:space="preserve"> teachers training in the CIEI Applied Diploma and providing inclusive education expertise for the district, with a link to the IERC; this study could also support IERC’s working with other disabled people’s organisations training individuals to act as teaching assistants for </w:t>
      </w:r>
      <w:r w:rsidR="004F1B7A" w:rsidRPr="00060D11">
        <w:rPr>
          <w:rFonts w:cstheme="minorHAnsi"/>
          <w:iCs/>
          <w:sz w:val="22"/>
        </w:rPr>
        <w:t>CWD</w:t>
      </w:r>
      <w:r w:rsidRPr="00060D11">
        <w:rPr>
          <w:rFonts w:cstheme="minorHAnsi"/>
          <w:iCs/>
          <w:sz w:val="22"/>
        </w:rPr>
        <w:t xml:space="preserve"> in remote areas.</w:t>
      </w:r>
    </w:p>
    <w:p w14:paraId="1E4BBFB0" w14:textId="202AB54D" w:rsidR="001F26A6" w:rsidRPr="00060D11" w:rsidRDefault="008F4F38" w:rsidP="004E780D">
      <w:pPr>
        <w:spacing w:after="120"/>
        <w:rPr>
          <w:rFonts w:cstheme="minorHAnsi"/>
        </w:rPr>
      </w:pPr>
      <w:r w:rsidRPr="00060D11">
        <w:rPr>
          <w:rFonts w:asciiTheme="majorHAnsi" w:hAnsiTheme="majorHAnsi" w:cstheme="majorHAnsi"/>
          <w:b/>
          <w:bCs/>
          <w:iCs/>
        </w:rPr>
        <w:t>PNG Partnership Fund</w:t>
      </w:r>
      <w:r w:rsidR="0056702F" w:rsidRPr="00060D11">
        <w:rPr>
          <w:rFonts w:asciiTheme="majorHAnsi" w:hAnsiTheme="majorHAnsi" w:cstheme="majorHAnsi"/>
          <w:b/>
          <w:bCs/>
          <w:iCs/>
        </w:rPr>
        <w:t xml:space="preserve"> </w:t>
      </w:r>
      <w:r w:rsidRPr="00060D11">
        <w:rPr>
          <w:rFonts w:cstheme="minorHAnsi"/>
          <w:iCs/>
        </w:rPr>
        <w:t>(</w:t>
      </w:r>
      <w:r w:rsidR="001F26A6" w:rsidRPr="00060D11">
        <w:rPr>
          <w:rFonts w:asciiTheme="majorHAnsi" w:hAnsiTheme="majorHAnsi" w:cstheme="majorHAnsi"/>
          <w:b/>
          <w:bCs/>
          <w:iCs/>
        </w:rPr>
        <w:t>PPF</w:t>
      </w:r>
      <w:r w:rsidRPr="00060D11">
        <w:rPr>
          <w:rFonts w:asciiTheme="majorHAnsi" w:hAnsiTheme="majorHAnsi" w:cstheme="majorHAnsi"/>
          <w:b/>
          <w:bCs/>
          <w:iCs/>
        </w:rPr>
        <w:t>)</w:t>
      </w:r>
      <w:r w:rsidR="001F26A6" w:rsidRPr="00060D11">
        <w:rPr>
          <w:rFonts w:asciiTheme="majorHAnsi" w:hAnsiTheme="majorHAnsi" w:cstheme="majorHAnsi"/>
          <w:b/>
          <w:bCs/>
          <w:iCs/>
        </w:rPr>
        <w:t xml:space="preserve"> Education Grants</w:t>
      </w:r>
      <w:r w:rsidR="0056702F" w:rsidRPr="00060D11">
        <w:rPr>
          <w:rFonts w:asciiTheme="majorHAnsi" w:hAnsiTheme="majorHAnsi" w:cstheme="majorHAnsi"/>
          <w:b/>
          <w:bCs/>
          <w:iCs/>
        </w:rPr>
        <w:t>:</w:t>
      </w:r>
      <w:r w:rsidR="001F26A6" w:rsidRPr="00060D11">
        <w:rPr>
          <w:rFonts w:asciiTheme="majorHAnsi" w:hAnsiTheme="majorHAnsi" w:cstheme="majorHAnsi"/>
          <w:b/>
          <w:bCs/>
          <w:iCs/>
        </w:rPr>
        <w:t xml:space="preserve"> </w:t>
      </w:r>
      <w:r w:rsidR="001F26A6" w:rsidRPr="00060D11">
        <w:rPr>
          <w:rFonts w:cstheme="minorHAnsi"/>
          <w:iCs/>
        </w:rPr>
        <w:t>From July 2017 to June 202</w:t>
      </w:r>
      <w:r w:rsidR="00935BB2">
        <w:rPr>
          <w:rFonts w:cstheme="minorHAnsi"/>
          <w:iCs/>
        </w:rPr>
        <w:t>2</w:t>
      </w:r>
      <w:r w:rsidR="001F26A6" w:rsidRPr="00060D11">
        <w:rPr>
          <w:rFonts w:cstheme="minorHAnsi"/>
          <w:iCs/>
        </w:rPr>
        <w:t>, Australia provided a total of AUD</w:t>
      </w:r>
      <w:r w:rsidR="0056702F" w:rsidRPr="00060D11">
        <w:rPr>
          <w:rFonts w:cstheme="minorHAnsi"/>
          <w:iCs/>
        </w:rPr>
        <w:t xml:space="preserve"> </w:t>
      </w:r>
      <w:r w:rsidR="00935BB2">
        <w:rPr>
          <w:rFonts w:cstheme="minorHAnsi"/>
          <w:iCs/>
        </w:rPr>
        <w:t>63</w:t>
      </w:r>
      <w:r w:rsidR="001F26A6" w:rsidRPr="00060D11">
        <w:rPr>
          <w:rFonts w:cstheme="minorHAnsi"/>
          <w:iCs/>
        </w:rPr>
        <w:t xml:space="preserve"> million in PPF Education Grants to three NGO Consortia lead by Care Australia (CARE), Save the Children Fund (RISE)</w:t>
      </w:r>
      <w:r w:rsidR="0056702F" w:rsidRPr="00060D11">
        <w:rPr>
          <w:rFonts w:cstheme="minorHAnsi"/>
          <w:iCs/>
        </w:rPr>
        <w:t xml:space="preserve"> </w:t>
      </w:r>
      <w:r w:rsidR="001F26A6" w:rsidRPr="00060D11">
        <w:rPr>
          <w:rFonts w:cstheme="minorHAnsi"/>
          <w:iCs/>
        </w:rPr>
        <w:t xml:space="preserve">and World Vision (T4E). The grants were designed to improve early grade literacy and numeracy and implementers were required to address DFAT’s policy priorities, including social inclusion. A Mid-Term Review </w:t>
      </w:r>
      <w:r w:rsidR="00052FC0" w:rsidRPr="00060D11">
        <w:rPr>
          <w:rFonts w:cstheme="minorHAnsi"/>
          <w:iCs/>
        </w:rPr>
        <w:t xml:space="preserve">(MTR) </w:t>
      </w:r>
      <w:r w:rsidR="001F26A6" w:rsidRPr="00060D11">
        <w:rPr>
          <w:rFonts w:cstheme="minorHAnsi"/>
          <w:iCs/>
        </w:rPr>
        <w:t xml:space="preserve">Report on the PPF, presented in June 2020, found that all three grantees had mainstreamed disability inclusion in their training programs, with RISE having specific targets for disability inclusion (i.e., better quality </w:t>
      </w:r>
      <w:r w:rsidR="001F26A6" w:rsidRPr="00060D11">
        <w:rPr>
          <w:rFonts w:cstheme="minorHAnsi"/>
        </w:rPr>
        <w:t xml:space="preserve">and more inclusive classroom practice; screening and support program for CWD through funding of additional staff and resources at IERCs; teacher training in inclusive education). </w:t>
      </w:r>
    </w:p>
    <w:p w14:paraId="5B058FBD" w14:textId="77777777" w:rsidR="001F26A6" w:rsidRPr="00060D11" w:rsidRDefault="001F26A6" w:rsidP="004E780D">
      <w:pPr>
        <w:spacing w:after="120"/>
        <w:rPr>
          <w:rFonts w:cstheme="minorHAnsi"/>
          <w:iCs/>
        </w:rPr>
      </w:pPr>
      <w:r w:rsidRPr="00060D11">
        <w:rPr>
          <w:rFonts w:cstheme="minorHAnsi"/>
          <w:iCs/>
        </w:rPr>
        <w:t>The following quotation from the MTR Report highlights one area which may be built upon during the PIE investment is:</w:t>
      </w:r>
    </w:p>
    <w:p w14:paraId="7F682677" w14:textId="617BF403" w:rsidR="001F26A6" w:rsidRPr="00060D11" w:rsidRDefault="001F26A6" w:rsidP="004E780D">
      <w:pPr>
        <w:spacing w:after="120"/>
        <w:ind w:left="720"/>
        <w:rPr>
          <w:rFonts w:cstheme="minorHAnsi"/>
          <w:i/>
          <w:iCs/>
        </w:rPr>
      </w:pPr>
      <w:r w:rsidRPr="00060D11">
        <w:rPr>
          <w:rFonts w:cstheme="minorHAnsi"/>
          <w:i/>
          <w:iCs/>
        </w:rPr>
        <w:t>“During</w:t>
      </w:r>
      <w:r w:rsidRPr="00060D11">
        <w:rPr>
          <w:rFonts w:cstheme="minorHAnsi"/>
          <w:i/>
          <w:iCs/>
          <w:spacing w:val="-9"/>
        </w:rPr>
        <w:t xml:space="preserve"> </w:t>
      </w:r>
      <w:r w:rsidRPr="00060D11">
        <w:rPr>
          <w:rFonts w:cstheme="minorHAnsi"/>
          <w:i/>
          <w:iCs/>
        </w:rPr>
        <w:t>the</w:t>
      </w:r>
      <w:r w:rsidRPr="00060D11">
        <w:rPr>
          <w:rFonts w:cstheme="minorHAnsi"/>
          <w:i/>
          <w:iCs/>
          <w:spacing w:val="-8"/>
        </w:rPr>
        <w:t xml:space="preserve"> </w:t>
      </w:r>
      <w:r w:rsidRPr="00060D11">
        <w:rPr>
          <w:rFonts w:cstheme="minorHAnsi"/>
          <w:i/>
          <w:iCs/>
        </w:rPr>
        <w:t>review,</w:t>
      </w:r>
      <w:r w:rsidRPr="00060D11">
        <w:rPr>
          <w:rFonts w:cstheme="minorHAnsi"/>
          <w:i/>
          <w:iCs/>
          <w:spacing w:val="-8"/>
        </w:rPr>
        <w:t xml:space="preserve"> </w:t>
      </w:r>
      <w:r w:rsidRPr="00060D11">
        <w:rPr>
          <w:rFonts w:cstheme="minorHAnsi"/>
          <w:i/>
          <w:iCs/>
        </w:rPr>
        <w:t>with</w:t>
      </w:r>
      <w:r w:rsidRPr="00060D11">
        <w:rPr>
          <w:rFonts w:cstheme="minorHAnsi"/>
          <w:i/>
          <w:iCs/>
          <w:spacing w:val="-10"/>
        </w:rPr>
        <w:t xml:space="preserve"> </w:t>
      </w:r>
      <w:r w:rsidRPr="00060D11">
        <w:rPr>
          <w:rFonts w:cstheme="minorHAnsi"/>
          <w:i/>
          <w:iCs/>
        </w:rPr>
        <w:t>the</w:t>
      </w:r>
      <w:r w:rsidRPr="00060D11">
        <w:rPr>
          <w:rFonts w:cstheme="minorHAnsi"/>
          <w:i/>
          <w:iCs/>
          <w:spacing w:val="-8"/>
        </w:rPr>
        <w:t xml:space="preserve"> </w:t>
      </w:r>
      <w:r w:rsidRPr="00060D11">
        <w:rPr>
          <w:rFonts w:cstheme="minorHAnsi"/>
          <w:i/>
          <w:iCs/>
        </w:rPr>
        <w:t>participation</w:t>
      </w:r>
      <w:r w:rsidRPr="00060D11">
        <w:rPr>
          <w:rFonts w:cstheme="minorHAnsi"/>
          <w:i/>
          <w:iCs/>
          <w:spacing w:val="-9"/>
        </w:rPr>
        <w:t xml:space="preserve"> </w:t>
      </w:r>
      <w:r w:rsidRPr="00060D11">
        <w:rPr>
          <w:rFonts w:cstheme="minorHAnsi"/>
          <w:i/>
          <w:iCs/>
        </w:rPr>
        <w:t>of</w:t>
      </w:r>
      <w:r w:rsidRPr="00060D11">
        <w:rPr>
          <w:rFonts w:cstheme="minorHAnsi"/>
          <w:i/>
          <w:iCs/>
          <w:spacing w:val="-8"/>
        </w:rPr>
        <w:t xml:space="preserve"> </w:t>
      </w:r>
      <w:r w:rsidRPr="00060D11">
        <w:rPr>
          <w:rFonts w:cstheme="minorHAnsi"/>
          <w:i/>
          <w:iCs/>
        </w:rPr>
        <w:t>an</w:t>
      </w:r>
      <w:r w:rsidRPr="00060D11">
        <w:rPr>
          <w:rFonts w:cstheme="minorHAnsi"/>
          <w:i/>
          <w:iCs/>
          <w:spacing w:val="-9"/>
        </w:rPr>
        <w:t xml:space="preserve"> </w:t>
      </w:r>
      <w:r w:rsidRPr="00060D11">
        <w:rPr>
          <w:rFonts w:cstheme="minorHAnsi"/>
          <w:i/>
          <w:iCs/>
        </w:rPr>
        <w:t>NDOE</w:t>
      </w:r>
      <w:r w:rsidRPr="00060D11">
        <w:rPr>
          <w:rFonts w:cstheme="minorHAnsi"/>
          <w:i/>
          <w:iCs/>
          <w:spacing w:val="-8"/>
        </w:rPr>
        <w:t xml:space="preserve"> </w:t>
      </w:r>
      <w:r w:rsidRPr="00060D11">
        <w:rPr>
          <w:rFonts w:cstheme="minorHAnsi"/>
          <w:i/>
          <w:iCs/>
        </w:rPr>
        <w:t>senior</w:t>
      </w:r>
      <w:r w:rsidRPr="00060D11">
        <w:rPr>
          <w:rFonts w:cstheme="minorHAnsi"/>
          <w:i/>
          <w:iCs/>
          <w:spacing w:val="-9"/>
        </w:rPr>
        <w:t xml:space="preserve"> </w:t>
      </w:r>
      <w:r w:rsidRPr="00060D11">
        <w:rPr>
          <w:rFonts w:cstheme="minorHAnsi"/>
          <w:i/>
          <w:iCs/>
        </w:rPr>
        <w:t>official there is now a clearer understanding of the NDOE expectations regarding training programs to develop the SLIP. It is</w:t>
      </w:r>
      <w:r w:rsidRPr="00060D11">
        <w:rPr>
          <w:rFonts w:cstheme="minorHAnsi"/>
          <w:i/>
          <w:iCs/>
          <w:spacing w:val="-5"/>
        </w:rPr>
        <w:t xml:space="preserve"> </w:t>
      </w:r>
      <w:r w:rsidRPr="00060D11">
        <w:rPr>
          <w:rFonts w:cstheme="minorHAnsi"/>
          <w:i/>
          <w:iCs/>
        </w:rPr>
        <w:t>of</w:t>
      </w:r>
      <w:r w:rsidRPr="00060D11">
        <w:rPr>
          <w:rFonts w:cstheme="minorHAnsi"/>
          <w:i/>
          <w:iCs/>
          <w:spacing w:val="-3"/>
        </w:rPr>
        <w:t xml:space="preserve"> </w:t>
      </w:r>
      <w:r w:rsidRPr="00060D11">
        <w:rPr>
          <w:rFonts w:cstheme="minorHAnsi"/>
          <w:i/>
          <w:iCs/>
        </w:rPr>
        <w:t>note</w:t>
      </w:r>
      <w:r w:rsidRPr="00060D11">
        <w:rPr>
          <w:rFonts w:cstheme="minorHAnsi"/>
          <w:i/>
          <w:iCs/>
          <w:spacing w:val="-3"/>
        </w:rPr>
        <w:t xml:space="preserve"> </w:t>
      </w:r>
      <w:r w:rsidRPr="00060D11">
        <w:rPr>
          <w:rFonts w:cstheme="minorHAnsi"/>
          <w:i/>
          <w:iCs/>
        </w:rPr>
        <w:t>that</w:t>
      </w:r>
      <w:r w:rsidRPr="00060D11">
        <w:rPr>
          <w:rFonts w:cstheme="minorHAnsi"/>
          <w:i/>
          <w:iCs/>
          <w:spacing w:val="-2"/>
        </w:rPr>
        <w:t xml:space="preserve"> </w:t>
      </w:r>
      <w:r w:rsidRPr="00060D11">
        <w:rPr>
          <w:rFonts w:cstheme="minorHAnsi"/>
          <w:i/>
          <w:iCs/>
        </w:rPr>
        <w:t>both</w:t>
      </w:r>
      <w:r w:rsidRPr="00060D11">
        <w:rPr>
          <w:rFonts w:cstheme="minorHAnsi"/>
          <w:i/>
          <w:iCs/>
          <w:spacing w:val="-3"/>
        </w:rPr>
        <w:t xml:space="preserve"> </w:t>
      </w:r>
      <w:r w:rsidRPr="00060D11">
        <w:rPr>
          <w:rFonts w:cstheme="minorHAnsi"/>
          <w:i/>
          <w:iCs/>
        </w:rPr>
        <w:t>T4E</w:t>
      </w:r>
      <w:r w:rsidRPr="00060D11">
        <w:rPr>
          <w:rFonts w:cstheme="minorHAnsi"/>
          <w:i/>
          <w:iCs/>
          <w:spacing w:val="-3"/>
        </w:rPr>
        <w:t xml:space="preserve"> </w:t>
      </w:r>
      <w:r w:rsidRPr="00060D11">
        <w:rPr>
          <w:rFonts w:cstheme="minorHAnsi"/>
          <w:i/>
          <w:iCs/>
        </w:rPr>
        <w:t>and</w:t>
      </w:r>
      <w:r w:rsidRPr="00060D11">
        <w:rPr>
          <w:rFonts w:cstheme="minorHAnsi"/>
          <w:i/>
          <w:iCs/>
          <w:spacing w:val="-6"/>
        </w:rPr>
        <w:t xml:space="preserve"> </w:t>
      </w:r>
      <w:r w:rsidRPr="00060D11">
        <w:rPr>
          <w:rFonts w:cstheme="minorHAnsi"/>
          <w:i/>
          <w:iCs/>
        </w:rPr>
        <w:t>PKS</w:t>
      </w:r>
      <w:r w:rsidRPr="00060D11">
        <w:rPr>
          <w:rFonts w:cstheme="minorHAnsi"/>
          <w:i/>
          <w:iCs/>
          <w:spacing w:val="-6"/>
        </w:rPr>
        <w:t xml:space="preserve"> </w:t>
      </w:r>
      <w:r w:rsidRPr="00060D11">
        <w:rPr>
          <w:rFonts w:cstheme="minorHAnsi"/>
          <w:i/>
          <w:iCs/>
        </w:rPr>
        <w:t>training</w:t>
      </w:r>
      <w:r w:rsidRPr="00060D11">
        <w:rPr>
          <w:rFonts w:cstheme="minorHAnsi"/>
          <w:i/>
          <w:iCs/>
          <w:spacing w:val="-5"/>
        </w:rPr>
        <w:t xml:space="preserve"> </w:t>
      </w:r>
      <w:r w:rsidRPr="00060D11">
        <w:rPr>
          <w:rFonts w:cstheme="minorHAnsi"/>
          <w:i/>
          <w:iCs/>
        </w:rPr>
        <w:t>packages</w:t>
      </w:r>
      <w:r w:rsidRPr="00060D11">
        <w:rPr>
          <w:rFonts w:cstheme="minorHAnsi"/>
          <w:i/>
          <w:iCs/>
          <w:spacing w:val="-3"/>
        </w:rPr>
        <w:t xml:space="preserve"> </w:t>
      </w:r>
      <w:r w:rsidRPr="00060D11">
        <w:rPr>
          <w:rFonts w:cstheme="minorHAnsi"/>
          <w:i/>
          <w:iCs/>
        </w:rPr>
        <w:t>include</w:t>
      </w:r>
      <w:r w:rsidRPr="00060D11">
        <w:rPr>
          <w:rFonts w:cstheme="minorHAnsi"/>
          <w:i/>
          <w:iCs/>
          <w:spacing w:val="-3"/>
        </w:rPr>
        <w:t xml:space="preserve"> </w:t>
      </w:r>
      <w:r w:rsidRPr="00060D11">
        <w:rPr>
          <w:rFonts w:cstheme="minorHAnsi"/>
          <w:i/>
          <w:iCs/>
        </w:rPr>
        <w:t>extra</w:t>
      </w:r>
      <w:r w:rsidRPr="00060D11">
        <w:rPr>
          <w:rFonts w:cstheme="minorHAnsi"/>
          <w:i/>
          <w:iCs/>
          <w:spacing w:val="-4"/>
        </w:rPr>
        <w:t xml:space="preserve"> </w:t>
      </w:r>
      <w:r w:rsidRPr="00060D11">
        <w:rPr>
          <w:rFonts w:cstheme="minorHAnsi"/>
          <w:i/>
          <w:iCs/>
        </w:rPr>
        <w:t>modules</w:t>
      </w:r>
      <w:r w:rsidRPr="00060D11">
        <w:rPr>
          <w:rFonts w:cstheme="minorHAnsi"/>
          <w:i/>
          <w:iCs/>
          <w:spacing w:val="-4"/>
        </w:rPr>
        <w:t xml:space="preserve"> </w:t>
      </w:r>
      <w:r w:rsidRPr="00060D11">
        <w:rPr>
          <w:rFonts w:cstheme="minorHAnsi"/>
          <w:i/>
          <w:iCs/>
        </w:rPr>
        <w:t>on</w:t>
      </w:r>
      <w:r w:rsidRPr="00060D11">
        <w:rPr>
          <w:rFonts w:cstheme="minorHAnsi"/>
          <w:i/>
          <w:iCs/>
          <w:spacing w:val="-4"/>
        </w:rPr>
        <w:t xml:space="preserve"> </w:t>
      </w:r>
      <w:r w:rsidR="0056702F" w:rsidRPr="00060D11">
        <w:rPr>
          <w:rFonts w:cstheme="minorHAnsi"/>
          <w:i/>
          <w:iCs/>
        </w:rPr>
        <w:t>c</w:t>
      </w:r>
      <w:r w:rsidRPr="00060D11">
        <w:rPr>
          <w:rFonts w:cstheme="minorHAnsi"/>
          <w:i/>
          <w:iCs/>
        </w:rPr>
        <w:t>hild</w:t>
      </w:r>
      <w:r w:rsidRPr="00060D11">
        <w:rPr>
          <w:rFonts w:cstheme="minorHAnsi"/>
          <w:i/>
          <w:iCs/>
          <w:spacing w:val="-3"/>
        </w:rPr>
        <w:t xml:space="preserve"> </w:t>
      </w:r>
      <w:r w:rsidRPr="00060D11">
        <w:rPr>
          <w:rFonts w:cstheme="minorHAnsi"/>
          <w:i/>
          <w:iCs/>
        </w:rPr>
        <w:t>protection,</w:t>
      </w:r>
      <w:r w:rsidRPr="00060D11">
        <w:rPr>
          <w:rFonts w:cstheme="minorHAnsi"/>
          <w:i/>
          <w:iCs/>
          <w:spacing w:val="-4"/>
        </w:rPr>
        <w:t xml:space="preserve"> </w:t>
      </w:r>
      <w:r w:rsidRPr="00060D11">
        <w:rPr>
          <w:rFonts w:cstheme="minorHAnsi"/>
          <w:i/>
          <w:iCs/>
        </w:rPr>
        <w:t>gender</w:t>
      </w:r>
      <w:r w:rsidRPr="00060D11">
        <w:rPr>
          <w:rFonts w:cstheme="minorHAnsi"/>
          <w:i/>
          <w:iCs/>
          <w:spacing w:val="-3"/>
        </w:rPr>
        <w:t xml:space="preserve"> </w:t>
      </w:r>
      <w:r w:rsidRPr="00060D11">
        <w:rPr>
          <w:rFonts w:cstheme="minorHAnsi"/>
          <w:i/>
          <w:iCs/>
        </w:rPr>
        <w:t>and</w:t>
      </w:r>
      <w:r w:rsidRPr="00060D11">
        <w:rPr>
          <w:rFonts w:cstheme="minorHAnsi"/>
          <w:i/>
          <w:iCs/>
          <w:spacing w:val="-4"/>
        </w:rPr>
        <w:t xml:space="preserve"> </w:t>
      </w:r>
      <w:r w:rsidRPr="00060D11">
        <w:rPr>
          <w:rFonts w:cstheme="minorHAnsi"/>
          <w:i/>
          <w:iCs/>
        </w:rPr>
        <w:t>disability inclusion that are not part of the 2007 NDOE SLIP format outline. It is anticipated that these extra modules will become part of the NDOE SLIP format and training</w:t>
      </w:r>
      <w:r w:rsidRPr="00060D11">
        <w:rPr>
          <w:rFonts w:cstheme="minorHAnsi"/>
          <w:i/>
          <w:iCs/>
          <w:spacing w:val="-18"/>
        </w:rPr>
        <w:t xml:space="preserve"> </w:t>
      </w:r>
      <w:r w:rsidRPr="00060D11">
        <w:rPr>
          <w:rFonts w:cstheme="minorHAnsi"/>
          <w:i/>
          <w:iCs/>
        </w:rPr>
        <w:t>programs</w:t>
      </w:r>
      <w:r w:rsidRPr="00060D11">
        <w:rPr>
          <w:rStyle w:val="FootnoteReference"/>
          <w:rFonts w:cstheme="minorHAnsi"/>
          <w:i/>
          <w:iCs/>
        </w:rPr>
        <w:footnoteReference w:id="94"/>
      </w:r>
      <w:r w:rsidRPr="00060D11">
        <w:rPr>
          <w:rFonts w:cstheme="minorHAnsi"/>
          <w:i/>
          <w:iCs/>
        </w:rPr>
        <w:t>.”</w:t>
      </w:r>
    </w:p>
    <w:p w14:paraId="4DEB4048" w14:textId="1CC0E45A" w:rsidR="001F26A6" w:rsidRPr="00060D11" w:rsidRDefault="001F26A6" w:rsidP="00AF34D0">
      <w:pPr>
        <w:rPr>
          <w:b/>
          <w:bCs/>
          <w:lang w:eastAsia="en-AU"/>
        </w:rPr>
      </w:pPr>
      <w:r w:rsidRPr="00060D11">
        <w:rPr>
          <w:lang w:eastAsia="en-AU"/>
        </w:rPr>
        <w:t>The design team was unable to confirm whether or not ND</w:t>
      </w:r>
      <w:r w:rsidR="005C0060" w:rsidRPr="00060D11">
        <w:rPr>
          <w:lang w:eastAsia="en-AU"/>
        </w:rPr>
        <w:t>o</w:t>
      </w:r>
      <w:r w:rsidRPr="00060D11">
        <w:rPr>
          <w:lang w:eastAsia="en-AU"/>
        </w:rPr>
        <w:t>E has taken up the GE</w:t>
      </w:r>
      <w:r w:rsidR="005C0060" w:rsidRPr="00060D11">
        <w:rPr>
          <w:lang w:eastAsia="en-AU"/>
        </w:rPr>
        <w:t>D</w:t>
      </w:r>
      <w:r w:rsidRPr="00060D11">
        <w:rPr>
          <w:lang w:eastAsia="en-AU"/>
        </w:rPr>
        <w:t>SI modifications to the SLIP manual promoted under the PPF. However, it is likely that further adjustments to the SLIP format will await approval of the NEP and the SLIP policy.</w:t>
      </w:r>
    </w:p>
    <w:p w14:paraId="565472E0" w14:textId="77777777" w:rsidR="00AF34D0" w:rsidRDefault="00AF34D0" w:rsidP="00AF34D0">
      <w:pPr>
        <w:rPr>
          <w:b/>
          <w:bCs/>
          <w:lang w:eastAsia="en-AU"/>
        </w:rPr>
      </w:pPr>
    </w:p>
    <w:p w14:paraId="550DDBD4" w14:textId="6F381A43" w:rsidR="001F26A6" w:rsidRPr="00AF34D0" w:rsidRDefault="001F26A6" w:rsidP="00AF34D0">
      <w:pPr>
        <w:rPr>
          <w:b/>
          <w:bCs/>
          <w:lang w:eastAsia="en-AU"/>
        </w:rPr>
      </w:pPr>
      <w:r w:rsidRPr="00AF34D0">
        <w:rPr>
          <w:b/>
          <w:bCs/>
          <w:lang w:eastAsia="en-AU"/>
        </w:rPr>
        <w:t>How will the PIE investment promote disability inclusion?</w:t>
      </w:r>
    </w:p>
    <w:p w14:paraId="0FB72D69" w14:textId="1CE72B59" w:rsidR="001F26A6" w:rsidRPr="00060D11" w:rsidRDefault="001F26A6" w:rsidP="004E780D">
      <w:pPr>
        <w:spacing w:after="120"/>
        <w:rPr>
          <w:rFonts w:cstheme="minorHAnsi"/>
          <w:lang w:eastAsia="en-AU"/>
        </w:rPr>
      </w:pPr>
      <w:r w:rsidRPr="00060D11">
        <w:rPr>
          <w:rFonts w:cstheme="minorHAnsi"/>
          <w:lang w:eastAsia="en-AU"/>
        </w:rPr>
        <w:t xml:space="preserve">The PIE design will build upon successful strategies developed by previous DFAT-funded investments to promote disability inclusion and address recommendations made from review/evaluations of these investments. The PIE approach to disability inclusion will also maintain partnerships established under previous investments (e.g., with </w:t>
      </w:r>
      <w:r w:rsidR="00686208" w:rsidRPr="00060D11">
        <w:rPr>
          <w:rFonts w:cstheme="minorHAnsi"/>
        </w:rPr>
        <w:t>CSPD</w:t>
      </w:r>
      <w:r w:rsidRPr="00060D11">
        <w:rPr>
          <w:rFonts w:cstheme="minorHAnsi"/>
          <w:lang w:eastAsia="en-AU"/>
        </w:rPr>
        <w:t>) in order to sustain previous gains and in order to ‘</w:t>
      </w:r>
      <w:r w:rsidRPr="00060D11">
        <w:rPr>
          <w:rFonts w:cstheme="minorHAnsi"/>
          <w:i/>
          <w:iCs/>
          <w:lang w:eastAsia="en-AU"/>
        </w:rPr>
        <w:t>watch and learn</w:t>
      </w:r>
      <w:r w:rsidRPr="00060D11">
        <w:rPr>
          <w:rFonts w:cstheme="minorHAnsi"/>
          <w:lang w:eastAsia="en-AU"/>
        </w:rPr>
        <w:t xml:space="preserve">’ from work currently being carried out in the sector. </w:t>
      </w:r>
    </w:p>
    <w:p w14:paraId="0155BD03" w14:textId="77777777" w:rsidR="001F26A6" w:rsidRPr="00060D11" w:rsidRDefault="001F26A6" w:rsidP="004E780D">
      <w:pPr>
        <w:spacing w:after="120"/>
        <w:rPr>
          <w:rFonts w:cstheme="minorHAnsi"/>
          <w:lang w:eastAsia="en-AU"/>
        </w:rPr>
      </w:pPr>
      <w:r w:rsidRPr="00060D11">
        <w:rPr>
          <w:rFonts w:cstheme="minorHAnsi"/>
          <w:lang w:eastAsia="en-AU"/>
        </w:rPr>
        <w:t>The PIE approach will include:</w:t>
      </w:r>
    </w:p>
    <w:p w14:paraId="5140C17A" w14:textId="4316F009" w:rsidR="001F26A6" w:rsidRPr="00060D11" w:rsidRDefault="001F26A6" w:rsidP="004E780D">
      <w:pPr>
        <w:pStyle w:val="ListParagraph"/>
        <w:numPr>
          <w:ilvl w:val="0"/>
          <w:numId w:val="43"/>
        </w:numPr>
        <w:spacing w:after="120" w:line="240" w:lineRule="auto"/>
        <w:rPr>
          <w:rFonts w:cstheme="minorHAnsi"/>
          <w:sz w:val="22"/>
          <w:lang w:eastAsia="en-AU"/>
        </w:rPr>
      </w:pPr>
      <w:r w:rsidRPr="00060D11">
        <w:rPr>
          <w:rFonts w:cstheme="minorHAnsi"/>
          <w:sz w:val="22"/>
        </w:rPr>
        <w:t>continued funding of scholarships (</w:t>
      </w:r>
      <w:r w:rsidR="000D1567" w:rsidRPr="00060D11">
        <w:rPr>
          <w:rFonts w:cstheme="minorHAnsi"/>
          <w:sz w:val="22"/>
        </w:rPr>
        <w:t>in coordination with Australia Awards PNG</w:t>
      </w:r>
      <w:r w:rsidRPr="00060D11">
        <w:rPr>
          <w:rFonts w:cstheme="minorHAnsi"/>
          <w:sz w:val="22"/>
        </w:rPr>
        <w:t xml:space="preserve">) for early grade teachers in </w:t>
      </w:r>
      <w:r w:rsidR="00A22A25" w:rsidRPr="00060D11">
        <w:rPr>
          <w:rFonts w:cstheme="minorHAnsi"/>
          <w:sz w:val="22"/>
        </w:rPr>
        <w:t>target provinces</w:t>
      </w:r>
      <w:r w:rsidRPr="00060D11">
        <w:rPr>
          <w:rFonts w:cstheme="minorHAnsi"/>
          <w:sz w:val="22"/>
        </w:rPr>
        <w:t xml:space="preserve"> to obtain the </w:t>
      </w:r>
      <w:r w:rsidR="0056702F" w:rsidRPr="00060D11">
        <w:rPr>
          <w:rFonts w:cstheme="minorHAnsi"/>
          <w:sz w:val="22"/>
        </w:rPr>
        <w:t xml:space="preserve">CIEI </w:t>
      </w:r>
      <w:r w:rsidRPr="00060D11">
        <w:rPr>
          <w:rFonts w:cstheme="minorHAnsi"/>
          <w:sz w:val="22"/>
        </w:rPr>
        <w:t>Applied Diploma in Special Inclusive Education</w:t>
      </w:r>
      <w:r w:rsidR="0056702F" w:rsidRPr="00060D11">
        <w:rPr>
          <w:rFonts w:cstheme="minorHAnsi"/>
          <w:sz w:val="22"/>
        </w:rPr>
        <w:t>;</w:t>
      </w:r>
    </w:p>
    <w:p w14:paraId="3C4B57AA" w14:textId="418A66A1" w:rsidR="001F26A6" w:rsidRPr="00060D11" w:rsidRDefault="001F26A6" w:rsidP="004E780D">
      <w:pPr>
        <w:pStyle w:val="ListParagraph"/>
        <w:numPr>
          <w:ilvl w:val="0"/>
          <w:numId w:val="43"/>
        </w:numPr>
        <w:spacing w:after="120" w:line="240" w:lineRule="auto"/>
        <w:rPr>
          <w:rFonts w:cstheme="minorHAnsi"/>
          <w:sz w:val="22"/>
          <w:lang w:eastAsia="en-AU"/>
        </w:rPr>
      </w:pPr>
      <w:r w:rsidRPr="00060D11">
        <w:rPr>
          <w:rFonts w:cstheme="minorHAnsi"/>
          <w:sz w:val="22"/>
          <w:lang w:eastAsia="en-AU"/>
        </w:rPr>
        <w:t xml:space="preserve">provision of these scholarships within the context of a strategy to </w:t>
      </w:r>
      <w:r w:rsidRPr="00060D11">
        <w:rPr>
          <w:rFonts w:cstheme="minorHAnsi"/>
          <w:iCs/>
          <w:sz w:val="22"/>
        </w:rPr>
        <w:t xml:space="preserve">pilot an approach to targeting a school in selected districts to have </w:t>
      </w:r>
      <w:r w:rsidR="0056702F" w:rsidRPr="00060D11">
        <w:rPr>
          <w:rFonts w:cstheme="minorHAnsi"/>
          <w:iCs/>
          <w:sz w:val="22"/>
        </w:rPr>
        <w:t>one to two</w:t>
      </w:r>
      <w:r w:rsidRPr="00060D11">
        <w:rPr>
          <w:rFonts w:cstheme="minorHAnsi"/>
          <w:iCs/>
          <w:sz w:val="22"/>
        </w:rPr>
        <w:t xml:space="preserve"> teachers trained in the CIEI Applied Diploma with the intent that these teachers will provide inclusive education expertise for the district, with a link to an IERC in the province</w:t>
      </w:r>
      <w:r w:rsidR="0056702F" w:rsidRPr="00060D11">
        <w:rPr>
          <w:rFonts w:cstheme="minorHAnsi"/>
          <w:iCs/>
          <w:sz w:val="22"/>
        </w:rPr>
        <w:t>;</w:t>
      </w:r>
    </w:p>
    <w:p w14:paraId="316EDABE" w14:textId="16696C85" w:rsidR="001F26A6" w:rsidRPr="00060D11" w:rsidRDefault="001F26A6" w:rsidP="004E780D">
      <w:pPr>
        <w:pStyle w:val="ListParagraph"/>
        <w:numPr>
          <w:ilvl w:val="0"/>
          <w:numId w:val="43"/>
        </w:numPr>
        <w:spacing w:after="120" w:line="240" w:lineRule="auto"/>
        <w:rPr>
          <w:rFonts w:cstheme="minorHAnsi"/>
          <w:sz w:val="22"/>
          <w:lang w:eastAsia="en-AU"/>
        </w:rPr>
      </w:pPr>
      <w:r w:rsidRPr="00060D11">
        <w:rPr>
          <w:rFonts w:cstheme="minorHAnsi"/>
          <w:sz w:val="22"/>
        </w:rPr>
        <w:t xml:space="preserve">tied financial support to IERCs </w:t>
      </w:r>
      <w:r w:rsidR="00B8628D" w:rsidRPr="00060D11">
        <w:rPr>
          <w:rFonts w:cstheme="minorHAnsi"/>
          <w:sz w:val="22"/>
        </w:rPr>
        <w:t>in target provinces</w:t>
      </w:r>
      <w:r w:rsidRPr="00060D11">
        <w:rPr>
          <w:rFonts w:cstheme="minorHAnsi"/>
          <w:sz w:val="22"/>
        </w:rPr>
        <w:t xml:space="preserve"> to provide back-up </w:t>
      </w:r>
      <w:r w:rsidRPr="00060D11">
        <w:rPr>
          <w:rFonts w:cstheme="minorHAnsi"/>
          <w:sz w:val="22"/>
          <w:lang w:eastAsia="en-AU"/>
        </w:rPr>
        <w:t>support to the SIE trained teachers, via mobile teams, to carry out screening and testing and to encourage parents to bring their children to the IERC</w:t>
      </w:r>
      <w:r w:rsidR="003D6233" w:rsidRPr="00060D11">
        <w:rPr>
          <w:rFonts w:cstheme="minorHAnsi"/>
          <w:sz w:val="22"/>
          <w:lang w:eastAsia="en-AU"/>
        </w:rPr>
        <w:t>;</w:t>
      </w:r>
    </w:p>
    <w:p w14:paraId="04CA7787" w14:textId="4C0E2DB6" w:rsidR="001F26A6" w:rsidRPr="00060D11" w:rsidRDefault="001F26A6" w:rsidP="004E780D">
      <w:pPr>
        <w:pStyle w:val="ListParagraph"/>
        <w:numPr>
          <w:ilvl w:val="0"/>
          <w:numId w:val="43"/>
        </w:numPr>
        <w:spacing w:after="120" w:line="240" w:lineRule="auto"/>
        <w:rPr>
          <w:rFonts w:cstheme="minorHAnsi"/>
          <w:sz w:val="22"/>
          <w:lang w:eastAsia="en-AU"/>
        </w:rPr>
      </w:pPr>
      <w:r w:rsidRPr="00060D11">
        <w:rPr>
          <w:rFonts w:cstheme="minorHAnsi"/>
          <w:sz w:val="22"/>
          <w:lang w:eastAsia="en-AU"/>
        </w:rPr>
        <w:t xml:space="preserve">monitoring of the results of an initiative being undertaken by </w:t>
      </w:r>
      <w:r w:rsidR="003D6233" w:rsidRPr="00060D11">
        <w:rPr>
          <w:rFonts w:cstheme="minorHAnsi"/>
          <w:sz w:val="22"/>
          <w:lang w:eastAsia="en-AU"/>
        </w:rPr>
        <w:t xml:space="preserve">CIEI </w:t>
      </w:r>
      <w:r w:rsidRPr="00060D11">
        <w:rPr>
          <w:rFonts w:cstheme="minorHAnsi"/>
          <w:sz w:val="22"/>
          <w:lang w:eastAsia="en-AU"/>
        </w:rPr>
        <w:t xml:space="preserve">with support from Mary McKillip Foundation to develop and test a remote delivery model of education for </w:t>
      </w:r>
      <w:r w:rsidR="003D6233" w:rsidRPr="00060D11">
        <w:rPr>
          <w:rFonts w:cstheme="minorHAnsi"/>
          <w:sz w:val="22"/>
          <w:lang w:eastAsia="en-AU"/>
        </w:rPr>
        <w:t>CWD</w:t>
      </w:r>
      <w:r w:rsidRPr="00060D11">
        <w:rPr>
          <w:rFonts w:cstheme="minorHAnsi"/>
          <w:sz w:val="22"/>
          <w:lang w:eastAsia="en-AU"/>
        </w:rPr>
        <w:t xml:space="preserve"> in Sandaun (Vanimo and Aitape); if successful this approach could be adopted/adapted for broader application under the auspices of the PIE investment</w:t>
      </w:r>
      <w:r w:rsidR="003D6233" w:rsidRPr="00060D11">
        <w:rPr>
          <w:rFonts w:cstheme="minorHAnsi"/>
          <w:sz w:val="22"/>
          <w:lang w:eastAsia="en-AU"/>
        </w:rPr>
        <w:t>;</w:t>
      </w:r>
      <w:r w:rsidR="00CD6414" w:rsidRPr="00060D11">
        <w:rPr>
          <w:rFonts w:cstheme="minorHAnsi"/>
          <w:sz w:val="22"/>
          <w:lang w:eastAsia="en-AU"/>
        </w:rPr>
        <w:t xml:space="preserve"> and</w:t>
      </w:r>
    </w:p>
    <w:p w14:paraId="66583AFA" w14:textId="30B5E9C9" w:rsidR="001F26A6" w:rsidRPr="00060D11" w:rsidRDefault="003D6233" w:rsidP="004E780D">
      <w:pPr>
        <w:pStyle w:val="ListParagraph"/>
        <w:numPr>
          <w:ilvl w:val="0"/>
          <w:numId w:val="43"/>
        </w:numPr>
        <w:spacing w:after="120" w:line="240" w:lineRule="auto"/>
        <w:rPr>
          <w:rFonts w:cstheme="minorHAnsi"/>
          <w:sz w:val="22"/>
          <w:lang w:eastAsia="en-AU"/>
        </w:rPr>
      </w:pPr>
      <w:r w:rsidRPr="00060D11">
        <w:rPr>
          <w:rFonts w:cstheme="minorHAnsi"/>
          <w:sz w:val="22"/>
          <w:lang w:eastAsia="en-AU"/>
        </w:rPr>
        <w:t>s</w:t>
      </w:r>
      <w:r w:rsidR="001F26A6" w:rsidRPr="00060D11">
        <w:rPr>
          <w:rFonts w:cstheme="minorHAnsi"/>
          <w:sz w:val="22"/>
          <w:lang w:eastAsia="en-AU"/>
        </w:rPr>
        <w:t>upport to NDoE to review and update the SLIP format and training programs, to build on the work carried out under the PPF, as and when appropriate.</w:t>
      </w:r>
    </w:p>
    <w:p w14:paraId="61DB66DB" w14:textId="4DD69CE2" w:rsidR="001F26A6" w:rsidRPr="00060D11" w:rsidRDefault="001F26A6" w:rsidP="004E780D">
      <w:pPr>
        <w:spacing w:after="120"/>
        <w:rPr>
          <w:rFonts w:cstheme="minorHAnsi"/>
          <w:lang w:eastAsia="en-AU"/>
        </w:rPr>
      </w:pPr>
      <w:r w:rsidRPr="00060D11">
        <w:rPr>
          <w:rFonts w:cstheme="minorHAnsi"/>
          <w:lang w:eastAsia="en-AU"/>
        </w:rPr>
        <w:t xml:space="preserve">In addition, strategies already discussed under each outcome area will have benefits for </w:t>
      </w:r>
      <w:r w:rsidR="004F1B7A" w:rsidRPr="00060D11">
        <w:rPr>
          <w:rFonts w:cstheme="minorHAnsi"/>
          <w:lang w:eastAsia="en-AU"/>
        </w:rPr>
        <w:t>CWD</w:t>
      </w:r>
      <w:r w:rsidRPr="00060D11">
        <w:rPr>
          <w:rFonts w:cstheme="minorHAnsi"/>
          <w:lang w:eastAsia="en-AU"/>
        </w:rPr>
        <w:t xml:space="preserve"> and their families. Specifically:</w:t>
      </w:r>
    </w:p>
    <w:p w14:paraId="3905B7D3" w14:textId="035043E6" w:rsidR="001F26A6" w:rsidRPr="00060D11" w:rsidRDefault="001F26A6" w:rsidP="004E780D">
      <w:pPr>
        <w:spacing w:after="120"/>
        <w:rPr>
          <w:rFonts w:cstheme="minorHAnsi"/>
          <w:lang w:eastAsia="en-AU"/>
        </w:rPr>
      </w:pPr>
      <w:r w:rsidRPr="00060D11">
        <w:rPr>
          <w:rFonts w:cstheme="minorHAnsi"/>
          <w:b/>
          <w:bCs/>
          <w:lang w:eastAsia="en-AU"/>
        </w:rPr>
        <w:t xml:space="preserve">Under targeted outcome 1: </w:t>
      </w:r>
      <w:r w:rsidRPr="00060D11">
        <w:rPr>
          <w:rFonts w:cstheme="minorHAnsi"/>
          <w:lang w:eastAsia="en-AU"/>
        </w:rPr>
        <w:t xml:space="preserve">motivation/awareness raising with parents and exploring the potential (during the Inception Phase) for the provision of financial incentives to disadvantaged families will aim to increase the enrolment/retention of </w:t>
      </w:r>
      <w:r w:rsidR="003D6233" w:rsidRPr="00060D11">
        <w:rPr>
          <w:rFonts w:cstheme="minorHAnsi"/>
          <w:lang w:eastAsia="en-AU"/>
        </w:rPr>
        <w:t>CWD</w:t>
      </w:r>
      <w:r w:rsidRPr="00060D11">
        <w:rPr>
          <w:rFonts w:cstheme="minorHAnsi"/>
          <w:lang w:eastAsia="en-AU"/>
        </w:rPr>
        <w:t>.</w:t>
      </w:r>
    </w:p>
    <w:p w14:paraId="2B69F272" w14:textId="394970CC" w:rsidR="001F26A6" w:rsidRPr="00060D11" w:rsidRDefault="001F26A6" w:rsidP="004E780D">
      <w:pPr>
        <w:spacing w:after="120"/>
        <w:rPr>
          <w:rFonts w:cstheme="minorHAnsi"/>
        </w:rPr>
      </w:pPr>
      <w:r w:rsidRPr="00060D11">
        <w:rPr>
          <w:rFonts w:cstheme="minorHAnsi"/>
          <w:b/>
          <w:bCs/>
        </w:rPr>
        <w:t xml:space="preserve">Under targeted outcome 2: </w:t>
      </w:r>
      <w:r w:rsidRPr="00060D11">
        <w:rPr>
          <w:rFonts w:cstheme="minorHAnsi"/>
        </w:rPr>
        <w:t xml:space="preserve">building upon previous efforts to improve teacher training on inclusive education will aim to improve teaching and learning practices for </w:t>
      </w:r>
      <w:r w:rsidR="003D6233" w:rsidRPr="00060D11">
        <w:rPr>
          <w:rFonts w:cstheme="minorHAnsi"/>
        </w:rPr>
        <w:t>CWD</w:t>
      </w:r>
      <w:r w:rsidRPr="00060D11">
        <w:rPr>
          <w:rFonts w:cstheme="minorHAnsi"/>
        </w:rPr>
        <w:t xml:space="preserve">. </w:t>
      </w:r>
    </w:p>
    <w:p w14:paraId="1A86BC42" w14:textId="51791C53" w:rsidR="001F26A6" w:rsidRPr="00060D11" w:rsidRDefault="001F26A6" w:rsidP="004E780D">
      <w:pPr>
        <w:spacing w:after="120"/>
        <w:rPr>
          <w:rFonts w:cstheme="minorHAnsi"/>
        </w:rPr>
      </w:pPr>
      <w:r w:rsidRPr="00060D11">
        <w:rPr>
          <w:rFonts w:cstheme="minorHAnsi"/>
          <w:b/>
          <w:bCs/>
        </w:rPr>
        <w:t xml:space="preserve">Under enabling outcome 3: </w:t>
      </w:r>
      <w:r w:rsidRPr="00060D11">
        <w:rPr>
          <w:rFonts w:cstheme="minorHAnsi"/>
        </w:rPr>
        <w:t xml:space="preserve">the focus will be upon carrying out a baseline survey on </w:t>
      </w:r>
      <w:r w:rsidR="003D6233" w:rsidRPr="00060D11">
        <w:rPr>
          <w:rFonts w:cstheme="minorHAnsi"/>
        </w:rPr>
        <w:t>CWD</w:t>
      </w:r>
      <w:r w:rsidRPr="00060D11">
        <w:rPr>
          <w:rFonts w:cstheme="minorHAnsi"/>
        </w:rPr>
        <w:t xml:space="preserve"> in </w:t>
      </w:r>
      <w:r w:rsidR="00C91C7F" w:rsidRPr="00060D11">
        <w:rPr>
          <w:rFonts w:cstheme="minorHAnsi"/>
        </w:rPr>
        <w:t>target provinces</w:t>
      </w:r>
      <w:r w:rsidRPr="00060D11">
        <w:rPr>
          <w:rFonts w:cstheme="minorHAnsi"/>
        </w:rPr>
        <w:t xml:space="preserve"> in the Inception Phase and feeding this information back to NDoE to inform decision-making.</w:t>
      </w:r>
    </w:p>
    <w:p w14:paraId="3DF0F656" w14:textId="77777777" w:rsidR="001F26A6" w:rsidRPr="00060D11" w:rsidRDefault="001F26A6" w:rsidP="004E780D">
      <w:pPr>
        <w:spacing w:after="120"/>
        <w:rPr>
          <w:rFonts w:cstheme="minorHAnsi"/>
        </w:rPr>
      </w:pPr>
    </w:p>
    <w:p w14:paraId="60270A39" w14:textId="77777777" w:rsidR="001F26A6" w:rsidRPr="00060D11" w:rsidRDefault="001F26A6" w:rsidP="001F26A6">
      <w:pPr>
        <w:spacing w:after="160" w:line="276" w:lineRule="auto"/>
        <w:rPr>
          <w:rFonts w:eastAsiaTheme="majorEastAsia" w:cstheme="minorHAnsi"/>
          <w:b/>
          <w:bCs/>
          <w:sz w:val="32"/>
          <w:szCs w:val="32"/>
          <w:lang w:eastAsia="en-AU"/>
        </w:rPr>
      </w:pPr>
      <w:r w:rsidRPr="00060D11">
        <w:rPr>
          <w:rFonts w:cstheme="minorHAnsi"/>
          <w:b/>
          <w:bCs/>
        </w:rPr>
        <w:br w:type="page"/>
      </w:r>
    </w:p>
    <w:p w14:paraId="54C00366" w14:textId="77777777" w:rsidR="001F26A6" w:rsidRPr="00060D11" w:rsidRDefault="001F26A6" w:rsidP="001F26A6">
      <w:pPr>
        <w:pStyle w:val="Heading1"/>
        <w:rPr>
          <w:rFonts w:cstheme="majorHAnsi"/>
          <w:b/>
          <w:bCs/>
          <w:color w:val="44546A" w:themeColor="text2"/>
          <w:sz w:val="38"/>
          <w:szCs w:val="38"/>
          <w:lang w:val="en-GB"/>
        </w:rPr>
      </w:pPr>
      <w:bookmarkStart w:id="69" w:name="_Toc82182423"/>
      <w:r w:rsidRPr="00060D11">
        <w:rPr>
          <w:noProof/>
          <w:color w:val="44546A" w:themeColor="text2"/>
          <w:lang w:val="en-GB"/>
        </w:rPr>
        <w:drawing>
          <wp:anchor distT="0" distB="0" distL="114300" distR="114300" simplePos="0" relativeHeight="251740160" behindDoc="1" locked="1" layoutInCell="1" allowOverlap="1" wp14:anchorId="7E389EA7" wp14:editId="23BBC982">
            <wp:simplePos x="0" y="0"/>
            <wp:positionH relativeFrom="page">
              <wp:posOffset>30480</wp:posOffset>
            </wp:positionH>
            <wp:positionV relativeFrom="page">
              <wp:posOffset>22860</wp:posOffset>
            </wp:positionV>
            <wp:extent cx="7559675" cy="2519680"/>
            <wp:effectExtent l="0" t="0" r="0" b="0"/>
            <wp:wrapNone/>
            <wp:docPr id="150" name="Picture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a:extLst>
                        <a:ext uri="{C183D7F6-B498-43B3-948B-1728B52AA6E4}">
                          <adec:decorative xmlns:adec="http://schemas.microsoft.com/office/drawing/2017/decorative" val="1"/>
                        </a:ext>
                      </a:extLst>
                    </pic:cNvPr>
                    <pic:cNvPicPr/>
                  </pic:nvPicPr>
                  <pic:blipFill>
                    <a:blip r:embed="rId10" cstate="print">
                      <a:duotone>
                        <a:prstClr val="black"/>
                        <a:srgbClr val="007C89">
                          <a:tint val="45000"/>
                          <a:satMod val="400000"/>
                        </a:srgbClr>
                      </a:duotone>
                      <a:extLst>
                        <a:ext uri="{BEBA8EAE-BF5A-486C-A8C5-ECC9F3942E4B}">
                          <a14:imgProps xmlns:a14="http://schemas.microsoft.com/office/drawing/2010/main">
                            <a14:imgLayer r:embed="rId11">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7559675" cy="2519680"/>
                    </a:xfrm>
                    <a:prstGeom prst="rect">
                      <a:avLst/>
                    </a:prstGeom>
                    <a:ln>
                      <a:noFill/>
                    </a:ln>
                  </pic:spPr>
                </pic:pic>
              </a:graphicData>
            </a:graphic>
            <wp14:sizeRelH relativeFrom="margin">
              <wp14:pctWidth>0</wp14:pctWidth>
            </wp14:sizeRelH>
            <wp14:sizeRelV relativeFrom="margin">
              <wp14:pctHeight>0</wp14:pctHeight>
            </wp14:sizeRelV>
          </wp:anchor>
        </w:drawing>
      </w:r>
      <w:r w:rsidRPr="00060D11">
        <w:rPr>
          <w:rFonts w:cstheme="majorHAnsi"/>
          <w:b/>
          <w:bCs/>
          <w:color w:val="44546A" w:themeColor="text2"/>
          <w:sz w:val="38"/>
          <w:szCs w:val="38"/>
          <w:lang w:val="en-GB"/>
        </w:rPr>
        <w:t>H.</w:t>
      </w:r>
      <w:r w:rsidRPr="00060D11">
        <w:rPr>
          <w:rFonts w:cstheme="majorHAnsi"/>
          <w:b/>
          <w:bCs/>
          <w:color w:val="44546A" w:themeColor="text2"/>
          <w:sz w:val="38"/>
          <w:szCs w:val="38"/>
          <w:lang w:val="en-GB"/>
        </w:rPr>
        <w:tab/>
        <w:t>BUDGET AND RESOURCES</w:t>
      </w:r>
      <w:bookmarkEnd w:id="69"/>
    </w:p>
    <w:p w14:paraId="654F3FF6" w14:textId="77777777" w:rsidR="001F26A6" w:rsidRPr="00060D11" w:rsidRDefault="001F26A6" w:rsidP="001F26A6">
      <w:pPr>
        <w:rPr>
          <w:lang w:eastAsia="en-AU"/>
        </w:rPr>
      </w:pPr>
    </w:p>
    <w:p w14:paraId="2C55AD64" w14:textId="77777777" w:rsidR="001F26A6" w:rsidRPr="00060D11" w:rsidRDefault="001F26A6" w:rsidP="001F26A6">
      <w:pPr>
        <w:rPr>
          <w:lang w:eastAsia="en-AU"/>
        </w:rPr>
      </w:pPr>
    </w:p>
    <w:p w14:paraId="6DE993D1" w14:textId="77777777" w:rsidR="001F26A6" w:rsidRPr="00060D11" w:rsidRDefault="001F26A6" w:rsidP="001F26A6">
      <w:pPr>
        <w:rPr>
          <w:lang w:eastAsia="en-AU"/>
        </w:rPr>
      </w:pPr>
    </w:p>
    <w:p w14:paraId="34D8A57F" w14:textId="77777777" w:rsidR="001F26A6" w:rsidRPr="00060D11" w:rsidRDefault="001F26A6" w:rsidP="001F26A6">
      <w:pPr>
        <w:rPr>
          <w:lang w:eastAsia="en-AU"/>
        </w:rPr>
      </w:pPr>
    </w:p>
    <w:p w14:paraId="7651DA9E" w14:textId="77777777" w:rsidR="001F26A6" w:rsidRPr="00060D11" w:rsidRDefault="001F26A6" w:rsidP="00C04736">
      <w:pPr>
        <w:pStyle w:val="Heading2"/>
      </w:pPr>
      <w:bookmarkStart w:id="70" w:name="_Hlk72822689"/>
      <w:r w:rsidRPr="00060D11">
        <w:t>H.1</w:t>
      </w:r>
      <w:r w:rsidRPr="00060D11">
        <w:tab/>
        <w:t>BUDGET</w:t>
      </w:r>
    </w:p>
    <w:p w14:paraId="5F69F602" w14:textId="41863F8C" w:rsidR="001F26A6" w:rsidRPr="00060D11" w:rsidRDefault="001F26A6" w:rsidP="004E780D">
      <w:pPr>
        <w:spacing w:after="120" w:line="276" w:lineRule="auto"/>
      </w:pPr>
      <w:r w:rsidRPr="00060D11">
        <w:t xml:space="preserve">The total </w:t>
      </w:r>
      <w:r w:rsidR="00C63AC6">
        <w:t xml:space="preserve">indicative </w:t>
      </w:r>
      <w:r w:rsidRPr="00060D11">
        <w:t>budget envelope for PIE is AUD75 million over eight years over three phases – an Inception Phase of six months, Phase 1 – 4.5 years and a subsequent Phase 2 of three years pending the results o</w:t>
      </w:r>
      <w:r w:rsidR="00E34D88" w:rsidRPr="00060D11">
        <w:t>f</w:t>
      </w:r>
      <w:r w:rsidRPr="00060D11">
        <w:t xml:space="preserve"> an independent appraisal of progress. It is anticipated that eight</w:t>
      </w:r>
      <w:r w:rsidR="00775595" w:rsidRPr="00060D11">
        <w:t xml:space="preserve"> to ten</w:t>
      </w:r>
      <w:r w:rsidRPr="00060D11">
        <w:t xml:space="preserve"> provinces </w:t>
      </w:r>
      <w:r w:rsidR="00775595" w:rsidRPr="00060D11">
        <w:t>may</w:t>
      </w:r>
      <w:r w:rsidRPr="00060D11">
        <w:t xml:space="preserve"> be engaged during the timeframe of the investment</w:t>
      </w:r>
      <w:r w:rsidR="00775595" w:rsidRPr="00060D11">
        <w:t>, subject to the independent appraisal of phase 1, and additional resources</w:t>
      </w:r>
      <w:r w:rsidRPr="00060D11">
        <w:t>.</w:t>
      </w:r>
    </w:p>
    <w:p w14:paraId="4E79F7ED" w14:textId="057C54AF" w:rsidR="000B0336" w:rsidRPr="00060D11" w:rsidRDefault="001F26A6" w:rsidP="00AE77F6">
      <w:pPr>
        <w:spacing w:after="120" w:line="276" w:lineRule="auto"/>
        <w:rPr>
          <w:rFonts w:cstheme="minorHAnsi"/>
        </w:rPr>
      </w:pPr>
      <w:r w:rsidRPr="00060D11">
        <w:t xml:space="preserve">The </w:t>
      </w:r>
      <w:r w:rsidR="000B0336" w:rsidRPr="00060D11">
        <w:t>indicative budget</w:t>
      </w:r>
      <w:r w:rsidRPr="00060D11">
        <w:t xml:space="preserve"> includes</w:t>
      </w:r>
      <w:r w:rsidR="00C2289F" w:rsidRPr="00060D11">
        <w:t xml:space="preserve"> a mix of funding for </w:t>
      </w:r>
      <w:r w:rsidR="002137DE" w:rsidRPr="00060D11">
        <w:t xml:space="preserve">strategic </w:t>
      </w:r>
      <w:r w:rsidR="00C2289F" w:rsidRPr="00060D11">
        <w:t>technical assistance</w:t>
      </w:r>
      <w:r w:rsidR="002137DE" w:rsidRPr="00060D11">
        <w:rPr>
          <w:rStyle w:val="FootnoteReference"/>
        </w:rPr>
        <w:footnoteReference w:id="95"/>
      </w:r>
      <w:r w:rsidR="00C2289F" w:rsidRPr="00060D11">
        <w:t xml:space="preserve">, operational costs and grants for local education service providers. </w:t>
      </w:r>
    </w:p>
    <w:p w14:paraId="156F86D5" w14:textId="4936372A" w:rsidR="001F26A6" w:rsidRPr="00AE77F6" w:rsidRDefault="001F26A6" w:rsidP="00AE77F6">
      <w:pPr>
        <w:spacing w:after="120" w:line="276" w:lineRule="auto"/>
      </w:pPr>
      <w:bookmarkStart w:id="71" w:name="_Toc510108182"/>
    </w:p>
    <w:p w14:paraId="72945BB0" w14:textId="77777777" w:rsidR="001F26A6" w:rsidRPr="00060D11" w:rsidRDefault="001F26A6" w:rsidP="005D14B5">
      <w:pPr>
        <w:pStyle w:val="ListParagraph"/>
        <w:numPr>
          <w:ilvl w:val="0"/>
          <w:numId w:val="44"/>
        </w:numPr>
        <w:sectPr w:rsidR="001F26A6" w:rsidRPr="00060D11" w:rsidSect="008F18F7">
          <w:pgSz w:w="11906" w:h="16838"/>
          <w:pgMar w:top="1440" w:right="1440" w:bottom="1440" w:left="1440" w:header="709" w:footer="709" w:gutter="0"/>
          <w:cols w:space="708"/>
          <w:docGrid w:linePitch="360"/>
        </w:sectPr>
      </w:pPr>
    </w:p>
    <w:p w14:paraId="394A3910" w14:textId="249DEAD2" w:rsidR="001F26A6" w:rsidRPr="00060D11" w:rsidRDefault="001F26A6" w:rsidP="001F26A6">
      <w:pPr>
        <w:pStyle w:val="Heading1"/>
        <w:spacing w:before="0"/>
        <w:rPr>
          <w:b/>
          <w:bCs/>
          <w:color w:val="44546A" w:themeColor="text2"/>
          <w:sz w:val="38"/>
          <w:szCs w:val="38"/>
          <w:lang w:val="en-GB"/>
        </w:rPr>
      </w:pPr>
      <w:bookmarkStart w:id="72" w:name="_Toc82182424"/>
      <w:bookmarkEnd w:id="70"/>
      <w:bookmarkEnd w:id="71"/>
      <w:r w:rsidRPr="00060D11">
        <w:rPr>
          <w:rFonts w:cstheme="majorHAnsi"/>
          <w:b/>
          <w:bCs/>
          <w:noProof/>
          <w:color w:val="44546A" w:themeColor="text2"/>
          <w:sz w:val="38"/>
          <w:szCs w:val="38"/>
          <w:lang w:val="en-GB"/>
        </w:rPr>
        <w:drawing>
          <wp:anchor distT="0" distB="0" distL="114300" distR="114300" simplePos="0" relativeHeight="251741184" behindDoc="1" locked="1" layoutInCell="1" allowOverlap="1" wp14:anchorId="67CB43DC" wp14:editId="762E47A1">
            <wp:simplePos x="0" y="0"/>
            <wp:positionH relativeFrom="page">
              <wp:posOffset>3810</wp:posOffset>
            </wp:positionH>
            <wp:positionV relativeFrom="page">
              <wp:posOffset>33020</wp:posOffset>
            </wp:positionV>
            <wp:extent cx="7559675" cy="2519680"/>
            <wp:effectExtent l="0" t="0" r="0" b="0"/>
            <wp:wrapNone/>
            <wp:docPr id="159" name="Picture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a:extLst>
                        <a:ext uri="{C183D7F6-B498-43B3-948B-1728B52AA6E4}">
                          <adec:decorative xmlns:adec="http://schemas.microsoft.com/office/drawing/2017/decorative" val="1"/>
                        </a:ext>
                      </a:extLst>
                    </pic:cNvPr>
                    <pic:cNvPicPr/>
                  </pic:nvPicPr>
                  <pic:blipFill>
                    <a:blip r:embed="rId10" cstate="print">
                      <a:duotone>
                        <a:prstClr val="black"/>
                        <a:srgbClr val="007C89">
                          <a:tint val="45000"/>
                          <a:satMod val="400000"/>
                        </a:srgbClr>
                      </a:duotone>
                      <a:extLst>
                        <a:ext uri="{BEBA8EAE-BF5A-486C-A8C5-ECC9F3942E4B}">
                          <a14:imgProps xmlns:a14="http://schemas.microsoft.com/office/drawing/2010/main">
                            <a14:imgLayer r:embed="rId11">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7559675" cy="2519680"/>
                    </a:xfrm>
                    <a:prstGeom prst="rect">
                      <a:avLst/>
                    </a:prstGeom>
                    <a:ln>
                      <a:noFill/>
                    </a:ln>
                  </pic:spPr>
                </pic:pic>
              </a:graphicData>
            </a:graphic>
            <wp14:sizeRelH relativeFrom="margin">
              <wp14:pctWidth>0</wp14:pctWidth>
            </wp14:sizeRelH>
            <wp14:sizeRelV relativeFrom="margin">
              <wp14:pctHeight>0</wp14:pctHeight>
            </wp14:sizeRelV>
          </wp:anchor>
        </w:drawing>
      </w:r>
      <w:r w:rsidR="003C1C81" w:rsidRPr="00060D11">
        <w:rPr>
          <w:b/>
          <w:bCs/>
          <w:color w:val="44546A" w:themeColor="text2"/>
          <w:sz w:val="38"/>
          <w:szCs w:val="38"/>
          <w:lang w:val="en-GB"/>
        </w:rPr>
        <w:t>I</w:t>
      </w:r>
      <w:r w:rsidRPr="00060D11">
        <w:rPr>
          <w:b/>
          <w:bCs/>
          <w:color w:val="44546A" w:themeColor="text2"/>
          <w:lang w:val="en-GB"/>
        </w:rPr>
        <w:t>.</w:t>
      </w:r>
      <w:r w:rsidRPr="00060D11">
        <w:rPr>
          <w:b/>
          <w:bCs/>
          <w:color w:val="44546A" w:themeColor="text2"/>
          <w:lang w:val="en-GB"/>
        </w:rPr>
        <w:tab/>
      </w:r>
      <w:r w:rsidRPr="00060D11">
        <w:rPr>
          <w:b/>
          <w:bCs/>
          <w:color w:val="44546A" w:themeColor="text2"/>
          <w:sz w:val="38"/>
          <w:szCs w:val="38"/>
          <w:lang w:val="en-GB"/>
        </w:rPr>
        <w:t>RISK MANAGEMENT AND SAFEGUARDS</w:t>
      </w:r>
      <w:bookmarkEnd w:id="72"/>
    </w:p>
    <w:p w14:paraId="6F7BEE81" w14:textId="77777777" w:rsidR="001F26A6" w:rsidRPr="00060D11" w:rsidRDefault="001F26A6" w:rsidP="001F26A6"/>
    <w:p w14:paraId="0079C6F3" w14:textId="77777777" w:rsidR="001F26A6" w:rsidRPr="00060D11" w:rsidRDefault="001F26A6" w:rsidP="001F26A6"/>
    <w:p w14:paraId="5AD203F6" w14:textId="77777777" w:rsidR="001F26A6" w:rsidRPr="00060D11" w:rsidRDefault="001F26A6" w:rsidP="001F26A6"/>
    <w:p w14:paraId="74D14B3E" w14:textId="77777777" w:rsidR="001F26A6" w:rsidRPr="00060D11" w:rsidRDefault="001F26A6" w:rsidP="001F26A6"/>
    <w:p w14:paraId="70032477" w14:textId="77777777" w:rsidR="00765166" w:rsidRPr="00060D11" w:rsidRDefault="00765166" w:rsidP="00765166">
      <w:pPr>
        <w:spacing w:after="120" w:line="276" w:lineRule="auto"/>
      </w:pPr>
    </w:p>
    <w:p w14:paraId="3DFE597D" w14:textId="77777777" w:rsidR="00765166" w:rsidRPr="00060D11" w:rsidRDefault="00765166" w:rsidP="00765166">
      <w:pPr>
        <w:spacing w:after="120" w:line="276" w:lineRule="auto"/>
      </w:pPr>
    </w:p>
    <w:p w14:paraId="1C40757F" w14:textId="311CEEB5" w:rsidR="001F26A6" w:rsidRPr="00060D11" w:rsidRDefault="001F26A6" w:rsidP="004E780D">
      <w:pPr>
        <w:spacing w:after="120" w:line="276" w:lineRule="auto"/>
      </w:pPr>
      <w:r w:rsidRPr="00060D11">
        <w:t>In accordance with DFAT aid risk management policies and requirements, a risk assessment has been carried out as part of the design process. The completed risk and safeguard screening tool is attached as Appendix I. The overall risk rating at design is assessed as ‘Medium’.</w:t>
      </w:r>
      <w:r w:rsidR="00BC1D62" w:rsidRPr="00060D11">
        <w:t xml:space="preserve"> Some of the </w:t>
      </w:r>
      <w:r w:rsidR="00032632" w:rsidRPr="00060D11">
        <w:t xml:space="preserve">risks currently rated as high </w:t>
      </w:r>
      <w:r w:rsidR="00601DB6" w:rsidRPr="00060D11">
        <w:t xml:space="preserve">and perceived by </w:t>
      </w:r>
      <w:r w:rsidR="00DF4EE8" w:rsidRPr="00060D11">
        <w:t xml:space="preserve">DFAT as of most concern </w:t>
      </w:r>
      <w:r w:rsidR="00032632" w:rsidRPr="00060D11">
        <w:t xml:space="preserve">are </w:t>
      </w:r>
      <w:r w:rsidR="00413D5A" w:rsidRPr="00060D11">
        <w:t xml:space="preserve">discussed below, </w:t>
      </w:r>
      <w:r w:rsidR="00997F6A" w:rsidRPr="00060D11">
        <w:t xml:space="preserve">along </w:t>
      </w:r>
      <w:r w:rsidR="00DE0F6D" w:rsidRPr="00060D11">
        <w:t>with</w:t>
      </w:r>
      <w:r w:rsidR="00413D5A" w:rsidRPr="00060D11">
        <w:t xml:space="preserve"> proposed treatments that will </w:t>
      </w:r>
      <w:r w:rsidR="00DC034D" w:rsidRPr="00060D11">
        <w:t xml:space="preserve">lower </w:t>
      </w:r>
      <w:r w:rsidR="006B5820" w:rsidRPr="00060D11">
        <w:t xml:space="preserve">risk </w:t>
      </w:r>
      <w:r w:rsidR="00DC034D" w:rsidRPr="00060D11">
        <w:t>ratings to low or medium</w:t>
      </w:r>
      <w:r w:rsidR="00997F6A" w:rsidRPr="00060D11">
        <w:t xml:space="preserve">. </w:t>
      </w:r>
    </w:p>
    <w:p w14:paraId="123C6CF0" w14:textId="0346D4C5" w:rsidR="00AE793A" w:rsidRPr="00060D11" w:rsidRDefault="007F5B04" w:rsidP="004E780D">
      <w:pPr>
        <w:spacing w:after="120" w:line="276" w:lineRule="auto"/>
      </w:pPr>
      <w:r w:rsidRPr="00060D11">
        <w:rPr>
          <w:b/>
          <w:bCs/>
        </w:rPr>
        <w:t>Resources, Management and Planning:</w:t>
      </w:r>
      <w:r w:rsidR="00FC49D0" w:rsidRPr="00060D11">
        <w:rPr>
          <w:b/>
          <w:bCs/>
        </w:rPr>
        <w:t xml:space="preserve"> </w:t>
      </w:r>
      <w:r w:rsidR="00FC49D0" w:rsidRPr="00060D11">
        <w:t xml:space="preserve">There is a risk that </w:t>
      </w:r>
      <w:r w:rsidR="001D2284" w:rsidRPr="00060D11">
        <w:t>due to a range of issues including a protracted COVID-19 crisis</w:t>
      </w:r>
      <w:r w:rsidR="009E7B61" w:rsidRPr="00060D11">
        <w:rPr>
          <w:b/>
          <w:bCs/>
        </w:rPr>
        <w:t xml:space="preserve">, </w:t>
      </w:r>
      <w:r w:rsidR="00E25B41" w:rsidRPr="00060D11">
        <w:t xml:space="preserve">PNG’s </w:t>
      </w:r>
      <w:r w:rsidR="00183829" w:rsidRPr="00060D11">
        <w:t>f</w:t>
      </w:r>
      <w:r w:rsidR="00E25B41" w:rsidRPr="00060D11">
        <w:t xml:space="preserve">iscal </w:t>
      </w:r>
      <w:r w:rsidR="00183829" w:rsidRPr="00060D11">
        <w:t>d</w:t>
      </w:r>
      <w:r w:rsidR="00E25B41" w:rsidRPr="00060D11">
        <w:t xml:space="preserve">eficit will continue to worsen, </w:t>
      </w:r>
      <w:r w:rsidR="0010035B" w:rsidRPr="00060D11">
        <w:t xml:space="preserve">reducing the ability of GoPNG to fund education services. </w:t>
      </w:r>
      <w:r w:rsidR="00A06836" w:rsidRPr="00060D11">
        <w:t xml:space="preserve">This will impact on </w:t>
      </w:r>
      <w:r w:rsidR="00D400D8" w:rsidRPr="00060D11">
        <w:t>interventions</w:t>
      </w:r>
      <w:r w:rsidR="0036571B" w:rsidRPr="00060D11">
        <w:t xml:space="preserve"> but also threaten </w:t>
      </w:r>
      <w:r w:rsidR="00D400D8" w:rsidRPr="00060D11">
        <w:t xml:space="preserve">the </w:t>
      </w:r>
      <w:r w:rsidR="00E83E53" w:rsidRPr="00060D11">
        <w:t>longer-term</w:t>
      </w:r>
      <w:r w:rsidR="0036571B" w:rsidRPr="00060D11">
        <w:t xml:space="preserve"> sustainability of PIE outcomes. </w:t>
      </w:r>
      <w:r w:rsidR="005F65B7" w:rsidRPr="00060D11">
        <w:t xml:space="preserve">Australia has already provided budget support </w:t>
      </w:r>
      <w:r w:rsidR="00F21A71" w:rsidRPr="00060D11">
        <w:t xml:space="preserve">in 2021 </w:t>
      </w:r>
      <w:r w:rsidR="005F65B7" w:rsidRPr="00060D11">
        <w:t xml:space="preserve">to help mitigate this risk and enable </w:t>
      </w:r>
      <w:r w:rsidR="00FA0F3F" w:rsidRPr="00060D11">
        <w:t xml:space="preserve">the Government’s Tuition Fee Subsidy to roll out </w:t>
      </w:r>
      <w:r w:rsidR="009E7B61" w:rsidRPr="00060D11">
        <w:t xml:space="preserve">to schools. However, </w:t>
      </w:r>
      <w:r w:rsidR="000B16AB" w:rsidRPr="00060D11">
        <w:t>DFAT</w:t>
      </w:r>
      <w:r w:rsidR="00F027A7" w:rsidRPr="00060D11">
        <w:t xml:space="preserve"> will be required to </w:t>
      </w:r>
      <w:r w:rsidR="00E104D9" w:rsidRPr="00060D11">
        <w:t xml:space="preserve">engage in policy dialogue </w:t>
      </w:r>
      <w:r w:rsidR="000B16AB" w:rsidRPr="00060D11">
        <w:t>with</w:t>
      </w:r>
      <w:r w:rsidR="00F027A7" w:rsidRPr="00060D11">
        <w:t xml:space="preserve"> GoPNG </w:t>
      </w:r>
      <w:r w:rsidR="00F75381" w:rsidRPr="00060D11">
        <w:t>to</w:t>
      </w:r>
      <w:r w:rsidR="007C4CFB" w:rsidRPr="00060D11">
        <w:t xml:space="preserve"> </w:t>
      </w:r>
      <w:r w:rsidR="00121B3B" w:rsidRPr="00060D11">
        <w:t>advocate for</w:t>
      </w:r>
      <w:r w:rsidR="00F20B09" w:rsidRPr="00060D11">
        <w:t>,</w:t>
      </w:r>
      <w:r w:rsidR="00F75381" w:rsidRPr="00060D11">
        <w:t xml:space="preserve"> </w:t>
      </w:r>
      <w:r w:rsidR="003473F0" w:rsidRPr="00060D11">
        <w:t xml:space="preserve">at </w:t>
      </w:r>
      <w:r w:rsidR="00AE6D8B" w:rsidRPr="00060D11">
        <w:t>minimu</w:t>
      </w:r>
      <w:r w:rsidR="00F75381" w:rsidRPr="00060D11">
        <w:t>m</w:t>
      </w:r>
      <w:r w:rsidR="00A9668F" w:rsidRPr="00060D11">
        <w:t>,</w:t>
      </w:r>
      <w:r w:rsidR="00AE6D8B" w:rsidRPr="00060D11">
        <w:t xml:space="preserve"> </w:t>
      </w:r>
      <w:r w:rsidR="007C4CFB" w:rsidRPr="00060D11">
        <w:t xml:space="preserve">the current level of resourcing </w:t>
      </w:r>
      <w:r w:rsidR="00F75381" w:rsidRPr="00060D11">
        <w:t xml:space="preserve">for education </w:t>
      </w:r>
      <w:r w:rsidR="00D72294" w:rsidRPr="00060D11">
        <w:t>to be</w:t>
      </w:r>
      <w:r w:rsidR="00F75381" w:rsidRPr="00060D11">
        <w:t xml:space="preserve"> preserved</w:t>
      </w:r>
      <w:r w:rsidR="003A6FA4" w:rsidRPr="00060D11">
        <w:t xml:space="preserve"> and</w:t>
      </w:r>
      <w:r w:rsidR="000B16AB" w:rsidRPr="00060D11">
        <w:t xml:space="preserve"> th</w:t>
      </w:r>
      <w:r w:rsidR="002104EE" w:rsidRPr="00060D11">
        <w:t>rough technical assistance, the</w:t>
      </w:r>
      <w:r w:rsidR="000B16AB" w:rsidRPr="00060D11">
        <w:t xml:space="preserve"> </w:t>
      </w:r>
      <w:r w:rsidR="005662DB" w:rsidRPr="00060D11">
        <w:t>managing contractor</w:t>
      </w:r>
      <w:r w:rsidR="000B16AB" w:rsidRPr="00060D11">
        <w:t xml:space="preserve"> will need to support</w:t>
      </w:r>
      <w:r w:rsidR="003A6FA4" w:rsidRPr="00060D11">
        <w:t xml:space="preserve"> </w:t>
      </w:r>
      <w:r w:rsidR="00050642" w:rsidRPr="00060D11">
        <w:t xml:space="preserve">public financial management to </w:t>
      </w:r>
      <w:r w:rsidR="00F202E4" w:rsidRPr="00060D11">
        <w:t xml:space="preserve">address </w:t>
      </w:r>
      <w:r w:rsidR="003A6FA4" w:rsidRPr="00060D11">
        <w:t>system blockages</w:t>
      </w:r>
      <w:r w:rsidR="002E085D" w:rsidRPr="00060D11">
        <w:t xml:space="preserve"> </w:t>
      </w:r>
      <w:r w:rsidR="005D7697" w:rsidRPr="00060D11">
        <w:t>-</w:t>
      </w:r>
      <w:r w:rsidR="003A6FA4" w:rsidRPr="00060D11">
        <w:t xml:space="preserve"> so </w:t>
      </w:r>
      <w:r w:rsidR="0053138B" w:rsidRPr="00060D11">
        <w:t xml:space="preserve">available </w:t>
      </w:r>
      <w:r w:rsidR="003A6FA4" w:rsidRPr="00060D11">
        <w:t>funds can be</w:t>
      </w:r>
      <w:r w:rsidR="007C4CFB" w:rsidRPr="00060D11">
        <w:t xml:space="preserve"> used </w:t>
      </w:r>
      <w:r w:rsidR="00D72294" w:rsidRPr="00060D11">
        <w:t xml:space="preserve">as </w:t>
      </w:r>
      <w:r w:rsidR="007C4CFB" w:rsidRPr="00060D11">
        <w:t>efficiently and effectively</w:t>
      </w:r>
      <w:r w:rsidR="004B3364" w:rsidRPr="00060D11">
        <w:t xml:space="preserve"> as possible</w:t>
      </w:r>
      <w:r w:rsidR="007C4CFB" w:rsidRPr="00060D11">
        <w:t xml:space="preserve">. </w:t>
      </w:r>
    </w:p>
    <w:p w14:paraId="6FE8593C" w14:textId="5E42DE23" w:rsidR="001F26A6" w:rsidRPr="00060D11" w:rsidRDefault="001F26A6" w:rsidP="004E780D">
      <w:pPr>
        <w:spacing w:after="120" w:line="276" w:lineRule="auto"/>
      </w:pPr>
      <w:r w:rsidRPr="00060D11">
        <w:rPr>
          <w:b/>
          <w:bCs/>
        </w:rPr>
        <w:t xml:space="preserve">Operating Environment: </w:t>
      </w:r>
      <w:r w:rsidR="001E0630" w:rsidRPr="00060D11">
        <w:t xml:space="preserve">PNG is prone to natural disasters and tribal unrest in the </w:t>
      </w:r>
      <w:r w:rsidR="005701B5" w:rsidRPr="00060D11">
        <w:t>h</w:t>
      </w:r>
      <w:r w:rsidR="001E0630" w:rsidRPr="00060D11">
        <w:t>ighlands</w:t>
      </w:r>
      <w:r w:rsidR="00E82C57" w:rsidRPr="00060D11">
        <w:t xml:space="preserve">. </w:t>
      </w:r>
      <w:r w:rsidR="00090DB9" w:rsidRPr="00060D11">
        <w:t xml:space="preserve">These operating risks are heighted </w:t>
      </w:r>
      <w:r w:rsidR="00E82C57" w:rsidRPr="00060D11">
        <w:t>with</w:t>
      </w:r>
      <w:r w:rsidRPr="00060D11">
        <w:t xml:space="preserve"> the potential impact of the further spread of COVID-19</w:t>
      </w:r>
      <w:r w:rsidR="00E50B79" w:rsidRPr="00060D11">
        <w:t xml:space="preserve"> (or other </w:t>
      </w:r>
      <w:r w:rsidR="00B55453" w:rsidRPr="00060D11">
        <w:t>disease outbreaks)</w:t>
      </w:r>
      <w:r w:rsidRPr="00060D11">
        <w:t xml:space="preserve"> </w:t>
      </w:r>
      <w:r w:rsidR="00B20A30" w:rsidRPr="00060D11">
        <w:t xml:space="preserve">resulting in </w:t>
      </w:r>
      <w:r w:rsidR="003226CF" w:rsidRPr="00060D11">
        <w:t>the disruption to education service delivery.</w:t>
      </w:r>
      <w:r w:rsidRPr="00060D11">
        <w:t xml:space="preserve"> AHC </w:t>
      </w:r>
      <w:r w:rsidR="003226CF" w:rsidRPr="00060D11">
        <w:t xml:space="preserve">will monitor these risks </w:t>
      </w:r>
      <w:r w:rsidRPr="00060D11">
        <w:t xml:space="preserve">as part of standard </w:t>
      </w:r>
      <w:r w:rsidR="002E085D" w:rsidRPr="00060D11">
        <w:t>p</w:t>
      </w:r>
      <w:r w:rsidRPr="00060D11">
        <w:t xml:space="preserve">ost risk management processes. The </w:t>
      </w:r>
      <w:r w:rsidR="005662DB" w:rsidRPr="00060D11">
        <w:t>managing contractor</w:t>
      </w:r>
      <w:r w:rsidRPr="00060D11">
        <w:t xml:space="preserve"> will also put in place a Security Plan that </w:t>
      </w:r>
      <w:r w:rsidR="00506A1C" w:rsidRPr="00060D11">
        <w:t>provides for business continuity</w:t>
      </w:r>
      <w:r w:rsidR="00E50B79" w:rsidRPr="00060D11">
        <w:t xml:space="preserve"> through </w:t>
      </w:r>
      <w:r w:rsidRPr="00060D11">
        <w:t>both COVID-19 preparedness and mitigation measures and operational responses to unforeseen natural disasters or unrest.</w:t>
      </w:r>
    </w:p>
    <w:p w14:paraId="6A16E43E" w14:textId="0668B0E3" w:rsidR="00871522" w:rsidRPr="00060D11" w:rsidRDefault="00F71366" w:rsidP="004E780D">
      <w:pPr>
        <w:spacing w:after="120" w:line="276" w:lineRule="auto"/>
      </w:pPr>
      <w:r w:rsidRPr="00060D11">
        <w:rPr>
          <w:b/>
          <w:bCs/>
        </w:rPr>
        <w:t>Fiduciary Risk:</w:t>
      </w:r>
      <w:r w:rsidRPr="00060D11">
        <w:t xml:space="preserve"> </w:t>
      </w:r>
      <w:r w:rsidR="0005662D" w:rsidRPr="00060D11">
        <w:t>PIE</w:t>
      </w:r>
      <w:r w:rsidR="00871522" w:rsidRPr="00060D11">
        <w:t xml:space="preserve"> will </w:t>
      </w:r>
      <w:r w:rsidR="0005662D" w:rsidRPr="00060D11">
        <w:t>be working with local partners to achieve</w:t>
      </w:r>
      <w:r w:rsidR="003373C4" w:rsidRPr="00060D11">
        <w:t xml:space="preserve"> its outcomes. This will involve </w:t>
      </w:r>
      <w:r w:rsidR="00871522" w:rsidRPr="00060D11">
        <w:t xml:space="preserve">entering into legally binding service agreements, providing partnership grants to other organisations, including </w:t>
      </w:r>
      <w:r w:rsidR="00B03472" w:rsidRPr="00060D11">
        <w:t>civil society</w:t>
      </w:r>
      <w:r w:rsidR="00871522" w:rsidRPr="00060D11">
        <w:t xml:space="preserve"> organisations, </w:t>
      </w:r>
      <w:r w:rsidR="00FA362B" w:rsidRPr="00060D11">
        <w:t>teachers</w:t>
      </w:r>
      <w:r w:rsidR="000B0336" w:rsidRPr="00060D11">
        <w:t>’</w:t>
      </w:r>
      <w:r w:rsidR="00FA362B" w:rsidRPr="00060D11">
        <w:t xml:space="preserve"> colleges</w:t>
      </w:r>
      <w:r w:rsidR="00871522" w:rsidRPr="00060D11">
        <w:t xml:space="preserve"> and potentially other implementing partners. The </w:t>
      </w:r>
      <w:r w:rsidR="005662DB" w:rsidRPr="00060D11">
        <w:t>managing contractor</w:t>
      </w:r>
      <w:r w:rsidR="00871522" w:rsidRPr="00060D11">
        <w:t xml:space="preserve"> will </w:t>
      </w:r>
      <w:r w:rsidR="00FA362B" w:rsidRPr="00060D11">
        <w:t>ensure</w:t>
      </w:r>
      <w:r w:rsidR="00871522" w:rsidRPr="00060D11">
        <w:t xml:space="preserve"> due diligence assessments are completed</w:t>
      </w:r>
      <w:r w:rsidR="00FA362B" w:rsidRPr="00060D11">
        <w:t xml:space="preserve"> and </w:t>
      </w:r>
      <w:r w:rsidR="00D61B6F" w:rsidRPr="00060D11">
        <w:t xml:space="preserve">provide </w:t>
      </w:r>
      <w:r w:rsidR="0039380B" w:rsidRPr="00060D11">
        <w:t xml:space="preserve">fraud and procurement </w:t>
      </w:r>
      <w:r w:rsidR="00D61B6F" w:rsidRPr="00060D11">
        <w:t xml:space="preserve">training to all </w:t>
      </w:r>
      <w:r w:rsidR="00DD1181" w:rsidRPr="00060D11">
        <w:t xml:space="preserve">program staff and </w:t>
      </w:r>
      <w:r w:rsidR="00D61B6F" w:rsidRPr="00060D11">
        <w:t>partners</w:t>
      </w:r>
      <w:r w:rsidR="0039380B" w:rsidRPr="00060D11">
        <w:t xml:space="preserve">. Regular spot checks and </w:t>
      </w:r>
      <w:r w:rsidR="002107A7" w:rsidRPr="00060D11">
        <w:t>formal audits will ensure any fraud</w:t>
      </w:r>
      <w:r w:rsidR="00C63241" w:rsidRPr="00060D11">
        <w:t>ul</w:t>
      </w:r>
      <w:r w:rsidR="002107A7" w:rsidRPr="00060D11">
        <w:t xml:space="preserve">ent activities are </w:t>
      </w:r>
      <w:r w:rsidR="00350114" w:rsidRPr="00060D11">
        <w:t>highlighted</w:t>
      </w:r>
      <w:r w:rsidR="00F41E6D" w:rsidRPr="00060D11">
        <w:t xml:space="preserve"> early</w:t>
      </w:r>
      <w:r w:rsidR="00350114" w:rsidRPr="00060D11">
        <w:t xml:space="preserve">. Any issues will be raised with DFAT as </w:t>
      </w:r>
      <w:r w:rsidR="00125CFD" w:rsidRPr="00060D11">
        <w:t>soon as possible</w:t>
      </w:r>
      <w:r w:rsidR="00C63241" w:rsidRPr="00060D11">
        <w:t xml:space="preserve"> </w:t>
      </w:r>
      <w:r w:rsidR="00125CFD" w:rsidRPr="00060D11">
        <w:t xml:space="preserve">with regular updates </w:t>
      </w:r>
      <w:r w:rsidR="00182CA8" w:rsidRPr="00060D11">
        <w:t xml:space="preserve">on action taken </w:t>
      </w:r>
      <w:r w:rsidR="00125CFD" w:rsidRPr="00060D11">
        <w:t>provided as</w:t>
      </w:r>
      <w:r w:rsidR="00C63241" w:rsidRPr="00060D11">
        <w:t xml:space="preserve"> part of monthly management meetings.</w:t>
      </w:r>
    </w:p>
    <w:p w14:paraId="2E34020F" w14:textId="73AE0A30" w:rsidR="006561AD" w:rsidRPr="00060D11" w:rsidRDefault="000654BA" w:rsidP="004E780D">
      <w:pPr>
        <w:spacing w:after="120" w:line="276" w:lineRule="auto"/>
      </w:pPr>
      <w:r w:rsidRPr="00060D11">
        <w:rPr>
          <w:b/>
          <w:bCs/>
        </w:rPr>
        <w:t>Environmental and Social Safeguards:</w:t>
      </w:r>
      <w:r w:rsidRPr="00060D11">
        <w:t xml:space="preserve"> </w:t>
      </w:r>
      <w:r w:rsidR="0034012E" w:rsidRPr="00060D11">
        <w:t xml:space="preserve">Child protection risks are high. Activities supported through </w:t>
      </w:r>
      <w:r w:rsidRPr="00060D11">
        <w:t>PIE</w:t>
      </w:r>
      <w:r w:rsidR="0034012E" w:rsidRPr="00060D11">
        <w:t xml:space="preserve"> will be working to help improve the education opportunities available to </w:t>
      </w:r>
      <w:r w:rsidR="00F74BF9" w:rsidRPr="00060D11">
        <w:t xml:space="preserve">young </w:t>
      </w:r>
      <w:r w:rsidR="00286A7B" w:rsidRPr="00060D11">
        <w:t>boys and girls</w:t>
      </w:r>
      <w:r w:rsidR="0034012E" w:rsidRPr="00060D11">
        <w:t xml:space="preserve">, including children with disability. Accordingly, DFAT, through the </w:t>
      </w:r>
      <w:r w:rsidR="005662DB" w:rsidRPr="00060D11">
        <w:t>managing contractor</w:t>
      </w:r>
      <w:r w:rsidR="0034012E" w:rsidRPr="00060D11">
        <w:t xml:space="preserve">, will be responsible for ensuring that </w:t>
      </w:r>
      <w:r w:rsidR="00F74BF9" w:rsidRPr="00060D11">
        <w:t xml:space="preserve">program staff and </w:t>
      </w:r>
      <w:r w:rsidR="0034012E" w:rsidRPr="00060D11">
        <w:t xml:space="preserve">all implementing partners understand and adhere to DFAT’s safeguard policies, including on Child Protection and </w:t>
      </w:r>
      <w:r w:rsidR="0079053E" w:rsidRPr="00060D11">
        <w:t>PSEAH</w:t>
      </w:r>
      <w:r w:rsidR="0034012E" w:rsidRPr="00060D11">
        <w:t>. It will also be necessary to ensure that minority groups (e.g.</w:t>
      </w:r>
      <w:r w:rsidR="00800056" w:rsidRPr="00060D11">
        <w:t>,</w:t>
      </w:r>
      <w:r w:rsidR="0034012E" w:rsidRPr="00060D11">
        <w:t xml:space="preserve"> language minorities) are not excluded </w:t>
      </w:r>
      <w:r w:rsidR="008E6410" w:rsidRPr="00060D11">
        <w:t>from PIE</w:t>
      </w:r>
      <w:r w:rsidR="0034012E" w:rsidRPr="00060D11">
        <w:t xml:space="preserve"> activities. Risk assessments and management measures </w:t>
      </w:r>
      <w:r w:rsidR="008E6410" w:rsidRPr="00060D11">
        <w:t xml:space="preserve">will be </w:t>
      </w:r>
      <w:r w:rsidR="00872E3C" w:rsidRPr="00060D11">
        <w:t xml:space="preserve">put in place </w:t>
      </w:r>
      <w:r w:rsidR="00BA2CAF" w:rsidRPr="00060D11">
        <w:t>and</w:t>
      </w:r>
      <w:r w:rsidR="00872E3C" w:rsidRPr="00060D11">
        <w:t xml:space="preserve"> DFAT</w:t>
      </w:r>
      <w:r w:rsidR="006C534A" w:rsidRPr="00060D11">
        <w:t>’s</w:t>
      </w:r>
      <w:r w:rsidR="00872E3C" w:rsidRPr="00060D11">
        <w:t xml:space="preserve"> minimum standards </w:t>
      </w:r>
      <w:r w:rsidR="00D15187" w:rsidRPr="00060D11">
        <w:t>implemented</w:t>
      </w:r>
      <w:r w:rsidR="007D2CBC" w:rsidRPr="00060D11">
        <w:t xml:space="preserve"> </w:t>
      </w:r>
      <w:r w:rsidR="00D15187" w:rsidRPr="00060D11">
        <w:t>across the</w:t>
      </w:r>
      <w:r w:rsidR="007D2CBC" w:rsidRPr="00060D11">
        <w:t xml:space="preserve"> program</w:t>
      </w:r>
      <w:r w:rsidR="00224742" w:rsidRPr="00060D11">
        <w:t xml:space="preserve"> an</w:t>
      </w:r>
      <w:r w:rsidR="006F41E5" w:rsidRPr="00060D11">
        <w:t>d</w:t>
      </w:r>
      <w:r w:rsidR="00224742" w:rsidRPr="00060D11">
        <w:t xml:space="preserve"> monitored on a regular basis</w:t>
      </w:r>
      <w:r w:rsidR="00BA2CAF" w:rsidRPr="00060D11">
        <w:t xml:space="preserve">. </w:t>
      </w:r>
    </w:p>
    <w:sectPr w:rsidR="006561AD" w:rsidRPr="00060D11" w:rsidSect="008F18F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AB428" w14:textId="77777777" w:rsidR="00F96637" w:rsidRDefault="00F96637" w:rsidP="001F26A6">
      <w:r>
        <w:separator/>
      </w:r>
    </w:p>
  </w:endnote>
  <w:endnote w:type="continuationSeparator" w:id="0">
    <w:p w14:paraId="3C0FA76F" w14:textId="77777777" w:rsidR="00F96637" w:rsidRDefault="00F96637" w:rsidP="001F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Roboto Condensed">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1878720"/>
      <w:docPartObj>
        <w:docPartGallery w:val="Page Numbers (Bottom of Page)"/>
        <w:docPartUnique/>
      </w:docPartObj>
    </w:sdtPr>
    <w:sdtEndPr>
      <w:rPr>
        <w:rStyle w:val="PageNumber"/>
      </w:rPr>
    </w:sdtEndPr>
    <w:sdtContent>
      <w:p w14:paraId="44661062" w14:textId="77777777" w:rsidR="00F96637" w:rsidRDefault="00F96637" w:rsidP="006561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8F4A9B" w14:textId="77777777" w:rsidR="00F96637" w:rsidRDefault="00F96637" w:rsidP="006561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4461626"/>
      <w:docPartObj>
        <w:docPartGallery w:val="Page Numbers (Bottom of Page)"/>
        <w:docPartUnique/>
      </w:docPartObj>
    </w:sdtPr>
    <w:sdtEndPr>
      <w:rPr>
        <w:rStyle w:val="PageNumber"/>
      </w:rPr>
    </w:sdtEndPr>
    <w:sdtContent>
      <w:p w14:paraId="2B434D3F" w14:textId="77777777" w:rsidR="00F96637" w:rsidRDefault="00F96637" w:rsidP="006561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F73AA9" w14:textId="77777777" w:rsidR="00F96637" w:rsidRDefault="00F96637" w:rsidP="006561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FA2C9" w14:textId="77777777" w:rsidR="00F96637" w:rsidRDefault="00F96637" w:rsidP="001F26A6">
      <w:r>
        <w:separator/>
      </w:r>
    </w:p>
  </w:footnote>
  <w:footnote w:type="continuationSeparator" w:id="0">
    <w:p w14:paraId="31E8B797" w14:textId="77777777" w:rsidR="00F96637" w:rsidRDefault="00F96637" w:rsidP="001F26A6">
      <w:r>
        <w:continuationSeparator/>
      </w:r>
    </w:p>
  </w:footnote>
  <w:footnote w:id="1">
    <w:p w14:paraId="3C25C951" w14:textId="1FA5E3F6" w:rsidR="00F96637" w:rsidRPr="00F86A95" w:rsidRDefault="00F96637" w:rsidP="00163FDD">
      <w:pPr>
        <w:pStyle w:val="FootnoteText"/>
        <w:rPr>
          <w:lang w:val="en-AU"/>
        </w:rPr>
      </w:pPr>
      <w:r>
        <w:rPr>
          <w:rStyle w:val="FootnoteReference"/>
        </w:rPr>
        <w:footnoteRef/>
      </w:r>
      <w:r>
        <w:t xml:space="preserve"> </w:t>
      </w:r>
      <w:r w:rsidRPr="00F86A95">
        <w:rPr>
          <w:rFonts w:cstheme="minorHAnsi"/>
          <w:sz w:val="16"/>
          <w:szCs w:val="16"/>
        </w:rPr>
        <w:t xml:space="preserve">Recent </w:t>
      </w:r>
      <w:r>
        <w:rPr>
          <w:rFonts w:cstheme="minorHAnsi"/>
          <w:sz w:val="16"/>
          <w:szCs w:val="16"/>
        </w:rPr>
        <w:t xml:space="preserve">public </w:t>
      </w:r>
      <w:r w:rsidRPr="00F86A95">
        <w:rPr>
          <w:rFonts w:cstheme="minorHAnsi"/>
          <w:sz w:val="16"/>
          <w:szCs w:val="16"/>
        </w:rPr>
        <w:t>announcements indicate a</w:t>
      </w:r>
      <w:r w:rsidR="00D02290">
        <w:rPr>
          <w:rFonts w:cstheme="minorHAnsi"/>
          <w:sz w:val="16"/>
          <w:szCs w:val="16"/>
        </w:rPr>
        <w:t xml:space="preserve"> possible</w:t>
      </w:r>
      <w:r w:rsidRPr="00F86A95">
        <w:rPr>
          <w:rFonts w:cstheme="minorHAnsi"/>
          <w:sz w:val="16"/>
          <w:szCs w:val="16"/>
        </w:rPr>
        <w:t xml:space="preserve"> return to tuition fee-free education in 2022, </w:t>
      </w:r>
    </w:p>
  </w:footnote>
  <w:footnote w:id="2">
    <w:p w14:paraId="10A8FFB8" w14:textId="77777777" w:rsidR="00F96637" w:rsidRPr="004E780D" w:rsidRDefault="00F96637" w:rsidP="00163FDD">
      <w:pPr>
        <w:pStyle w:val="FootnoteText"/>
        <w:rPr>
          <w:sz w:val="16"/>
          <w:szCs w:val="16"/>
          <w:lang w:val="en-AU"/>
        </w:rPr>
      </w:pPr>
      <w:r w:rsidRPr="004E780D">
        <w:rPr>
          <w:rStyle w:val="FootnoteReference"/>
          <w:sz w:val="16"/>
          <w:szCs w:val="16"/>
        </w:rPr>
        <w:footnoteRef/>
      </w:r>
      <w:r w:rsidRPr="004E780D">
        <w:rPr>
          <w:sz w:val="16"/>
          <w:szCs w:val="16"/>
        </w:rPr>
        <w:t xml:space="preserve"> World Bank Group – PNG Economic Update January 2021 </w:t>
      </w:r>
      <w:r w:rsidRPr="004E780D">
        <w:rPr>
          <w:i/>
          <w:iCs/>
          <w:sz w:val="16"/>
          <w:szCs w:val="16"/>
        </w:rPr>
        <w:t>Dealing with a Triple Crisis</w:t>
      </w:r>
    </w:p>
  </w:footnote>
  <w:footnote w:id="3">
    <w:p w14:paraId="3E6700C6" w14:textId="77777777" w:rsidR="00F96637" w:rsidRPr="0021747F" w:rsidRDefault="00F96637" w:rsidP="00163FDD">
      <w:pPr>
        <w:pStyle w:val="FootnoteText"/>
        <w:rPr>
          <w:sz w:val="16"/>
          <w:szCs w:val="16"/>
          <w:lang w:val="en-AU"/>
        </w:rPr>
      </w:pPr>
      <w:r w:rsidRPr="0021747F">
        <w:rPr>
          <w:rStyle w:val="FootnoteReference"/>
          <w:sz w:val="16"/>
          <w:szCs w:val="16"/>
        </w:rPr>
        <w:footnoteRef/>
      </w:r>
      <w:r w:rsidRPr="0021747F">
        <w:rPr>
          <w:sz w:val="16"/>
          <w:szCs w:val="16"/>
        </w:rPr>
        <w:t xml:space="preserve"> Economic modelling by the Australian National University in 2016 has estimated that additional education sector funding of almost A$1 billion per year would be needed to service PNG’s education needs adequately through to 2030.</w:t>
      </w:r>
    </w:p>
  </w:footnote>
  <w:footnote w:id="4">
    <w:p w14:paraId="5128C009" w14:textId="5056DD33" w:rsidR="00F96637" w:rsidRPr="00D45E7E" w:rsidRDefault="00F96637" w:rsidP="00163FDD">
      <w:pPr>
        <w:pStyle w:val="FootnoteText"/>
        <w:rPr>
          <w:sz w:val="16"/>
          <w:szCs w:val="16"/>
          <w:lang w:val="en-AU"/>
        </w:rPr>
      </w:pPr>
      <w:r w:rsidRPr="00D45E7E">
        <w:rPr>
          <w:rStyle w:val="FootnoteReference"/>
          <w:sz w:val="16"/>
          <w:szCs w:val="16"/>
        </w:rPr>
        <w:footnoteRef/>
      </w:r>
      <w:r w:rsidRPr="00D45E7E">
        <w:rPr>
          <w:sz w:val="16"/>
          <w:szCs w:val="16"/>
        </w:rPr>
        <w:t xml:space="preserve"> CPP support has facilitated the recent establishment of the National Churches Education Council, which gives the churches education authorities representation at the National Education Board (NEB) and will give representation to </w:t>
      </w:r>
      <w:proofErr w:type="spellStart"/>
      <w:r w:rsidRPr="00D45E7E">
        <w:rPr>
          <w:sz w:val="16"/>
          <w:szCs w:val="16"/>
        </w:rPr>
        <w:t>NDoE</w:t>
      </w:r>
      <w:proofErr w:type="spellEnd"/>
      <w:r w:rsidRPr="00D45E7E">
        <w:rPr>
          <w:sz w:val="16"/>
          <w:szCs w:val="16"/>
        </w:rPr>
        <w:t xml:space="preserve"> Top Management Team (TMT).</w:t>
      </w:r>
    </w:p>
  </w:footnote>
  <w:footnote w:id="5">
    <w:p w14:paraId="235BE9AB" w14:textId="131CB4CD" w:rsidR="00F96637" w:rsidRPr="00477C43" w:rsidRDefault="00F96637" w:rsidP="00163FDD">
      <w:pPr>
        <w:pStyle w:val="FootnoteText"/>
        <w:rPr>
          <w:lang w:val="en-AU"/>
        </w:rPr>
      </w:pPr>
      <w:r w:rsidRPr="00D45E7E">
        <w:rPr>
          <w:rStyle w:val="FootnoteReference"/>
          <w:sz w:val="16"/>
          <w:szCs w:val="16"/>
        </w:rPr>
        <w:footnoteRef/>
      </w:r>
      <w:r w:rsidRPr="00D45E7E">
        <w:rPr>
          <w:sz w:val="16"/>
          <w:szCs w:val="16"/>
        </w:rPr>
        <w:t xml:space="preserve"> PNG allocates around 17% of its budget spend to education (WB Economic Update, Triple Crisis Report, p.38). This equates to around K3</w:t>
      </w:r>
      <w:r>
        <w:rPr>
          <w:sz w:val="16"/>
          <w:szCs w:val="16"/>
        </w:rPr>
        <w:t>.</w:t>
      </w:r>
      <w:r w:rsidRPr="00D45E7E">
        <w:rPr>
          <w:sz w:val="16"/>
          <w:szCs w:val="16"/>
        </w:rPr>
        <w:t>3</w:t>
      </w:r>
      <w:r>
        <w:rPr>
          <w:sz w:val="16"/>
          <w:szCs w:val="16"/>
        </w:rPr>
        <w:t xml:space="preserve"> billion</w:t>
      </w:r>
      <w:r w:rsidRPr="00D45E7E">
        <w:rPr>
          <w:sz w:val="16"/>
          <w:szCs w:val="16"/>
        </w:rPr>
        <w:t xml:space="preserve"> p</w:t>
      </w:r>
      <w:r>
        <w:rPr>
          <w:sz w:val="16"/>
          <w:szCs w:val="16"/>
        </w:rPr>
        <w:t>er annum</w:t>
      </w:r>
      <w:r w:rsidRPr="00D45E7E">
        <w:rPr>
          <w:sz w:val="16"/>
          <w:szCs w:val="16"/>
        </w:rPr>
        <w:t>, while the PIE budget is around K24</w:t>
      </w:r>
      <w:r>
        <w:rPr>
          <w:sz w:val="16"/>
          <w:szCs w:val="16"/>
        </w:rPr>
        <w:t xml:space="preserve"> </w:t>
      </w:r>
      <w:r w:rsidRPr="00D45E7E">
        <w:rPr>
          <w:sz w:val="16"/>
          <w:szCs w:val="16"/>
        </w:rPr>
        <w:t>m</w:t>
      </w:r>
      <w:r>
        <w:rPr>
          <w:sz w:val="16"/>
          <w:szCs w:val="16"/>
        </w:rPr>
        <w:t>illion</w:t>
      </w:r>
      <w:r w:rsidRPr="00D45E7E">
        <w:rPr>
          <w:sz w:val="16"/>
          <w:szCs w:val="16"/>
        </w:rPr>
        <w:t xml:space="preserve"> </w:t>
      </w:r>
      <w:r>
        <w:rPr>
          <w:sz w:val="16"/>
          <w:szCs w:val="16"/>
        </w:rPr>
        <w:t xml:space="preserve">per </w:t>
      </w:r>
      <w:r w:rsidRPr="00D45E7E">
        <w:rPr>
          <w:sz w:val="16"/>
          <w:szCs w:val="16"/>
        </w:rPr>
        <w:t>a</w:t>
      </w:r>
      <w:r>
        <w:rPr>
          <w:sz w:val="16"/>
          <w:szCs w:val="16"/>
        </w:rPr>
        <w:t>nnum</w:t>
      </w:r>
      <w:r w:rsidRPr="00D45E7E">
        <w:rPr>
          <w:sz w:val="16"/>
          <w:szCs w:val="16"/>
        </w:rPr>
        <w:t>.</w:t>
      </w:r>
    </w:p>
  </w:footnote>
  <w:footnote w:id="6">
    <w:p w14:paraId="03828E63" w14:textId="79711806" w:rsidR="00F96637" w:rsidRPr="004E780D" w:rsidRDefault="00F96637" w:rsidP="001F26A6">
      <w:pPr>
        <w:pStyle w:val="FootnoteText"/>
        <w:rPr>
          <w:sz w:val="16"/>
          <w:szCs w:val="16"/>
          <w:lang w:val="en-AU"/>
        </w:rPr>
      </w:pPr>
      <w:r w:rsidRPr="004E780D">
        <w:rPr>
          <w:rStyle w:val="FootnoteReference"/>
          <w:sz w:val="16"/>
          <w:szCs w:val="16"/>
        </w:rPr>
        <w:footnoteRef/>
      </w:r>
      <w:r w:rsidRPr="004E780D">
        <w:rPr>
          <w:sz w:val="16"/>
          <w:szCs w:val="16"/>
        </w:rPr>
        <w:t xml:space="preserve"> GoPNG Universal Basic Education Plan 2010-2019 </w:t>
      </w:r>
      <w:r w:rsidRPr="004E780D">
        <w:rPr>
          <w:i/>
          <w:iCs/>
          <w:sz w:val="16"/>
          <w:szCs w:val="16"/>
        </w:rPr>
        <w:t>Achieving Universal Education for a Better Future</w:t>
      </w:r>
      <w:r w:rsidRPr="004E780D">
        <w:rPr>
          <w:sz w:val="16"/>
          <w:szCs w:val="16"/>
        </w:rPr>
        <w:t xml:space="preserve"> and </w:t>
      </w:r>
      <w:r>
        <w:rPr>
          <w:sz w:val="16"/>
          <w:szCs w:val="16"/>
        </w:rPr>
        <w:t xml:space="preserve">the </w:t>
      </w:r>
      <w:r w:rsidRPr="004E780D">
        <w:rPr>
          <w:sz w:val="16"/>
          <w:szCs w:val="16"/>
        </w:rPr>
        <w:t>National Education Plan 2020-2029</w:t>
      </w:r>
      <w:r w:rsidRPr="004E780D">
        <w:rPr>
          <w:sz w:val="16"/>
          <w:szCs w:val="16"/>
          <w:lang w:val="en-AU" w:eastAsia="en-AU"/>
        </w:rPr>
        <w:t xml:space="preserve"> </w:t>
      </w:r>
      <w:r w:rsidRPr="004E780D">
        <w:rPr>
          <w:i/>
          <w:iCs/>
          <w:sz w:val="16"/>
          <w:szCs w:val="16"/>
          <w:lang w:val="en-AU" w:eastAsia="en-AU"/>
        </w:rPr>
        <w:t>Achieve Quality Education for All: leaving no one behind</w:t>
      </w:r>
      <w:r w:rsidRPr="004E780D">
        <w:rPr>
          <w:sz w:val="16"/>
          <w:szCs w:val="16"/>
          <w:lang w:val="en-AU" w:eastAsia="en-AU"/>
        </w:rPr>
        <w:t>.</w:t>
      </w:r>
    </w:p>
  </w:footnote>
  <w:footnote w:id="7">
    <w:p w14:paraId="429D1BD8" w14:textId="77777777" w:rsidR="00F96637" w:rsidRPr="008A4576" w:rsidRDefault="00F96637" w:rsidP="001F26A6">
      <w:pPr>
        <w:pStyle w:val="FootnoteText"/>
        <w:rPr>
          <w:sz w:val="18"/>
          <w:szCs w:val="18"/>
          <w:lang w:val="en-AU"/>
        </w:rPr>
      </w:pPr>
      <w:r w:rsidRPr="004E780D">
        <w:rPr>
          <w:rStyle w:val="FootnoteReference"/>
          <w:sz w:val="16"/>
          <w:szCs w:val="16"/>
        </w:rPr>
        <w:footnoteRef/>
      </w:r>
      <w:r w:rsidRPr="004E780D">
        <w:rPr>
          <w:sz w:val="16"/>
          <w:szCs w:val="16"/>
        </w:rPr>
        <w:t xml:space="preserve"> </w:t>
      </w:r>
      <w:r w:rsidRPr="004E780D">
        <w:rPr>
          <w:sz w:val="16"/>
          <w:szCs w:val="16"/>
          <w:lang w:val="en-AU"/>
        </w:rPr>
        <w:t>Discussions with NDoE personnel during the design process indicate that there may have been a sampling bias in the administration of the 2018 PILNA as students in more accessible, more urbanised schools were assessed.</w:t>
      </w:r>
    </w:p>
  </w:footnote>
  <w:footnote w:id="8">
    <w:p w14:paraId="5CF75BCA" w14:textId="2B137267" w:rsidR="00F96637" w:rsidRPr="00EA550A" w:rsidRDefault="00F96637">
      <w:pPr>
        <w:pStyle w:val="FootnoteText"/>
        <w:rPr>
          <w:sz w:val="16"/>
          <w:szCs w:val="16"/>
          <w:lang w:val="en-AU"/>
        </w:rPr>
      </w:pPr>
      <w:r w:rsidRPr="00EA550A">
        <w:rPr>
          <w:rStyle w:val="FootnoteReference"/>
          <w:sz w:val="16"/>
          <w:szCs w:val="16"/>
        </w:rPr>
        <w:footnoteRef/>
      </w:r>
      <w:r w:rsidRPr="00EA550A">
        <w:rPr>
          <w:sz w:val="16"/>
          <w:szCs w:val="16"/>
        </w:rPr>
        <w:t xml:space="preserve"> The World Bank estimates total education sector budget allocation around 17% p.a. </w:t>
      </w:r>
      <w:hyperlink r:id="rId1" w:history="1">
        <w:r w:rsidRPr="00EA550A">
          <w:rPr>
            <w:rStyle w:val="Hyperlink"/>
            <w:sz w:val="16"/>
            <w:szCs w:val="16"/>
          </w:rPr>
          <w:t>https://www.worldbank.org/en/country/png/publication/papua-new-guinea-dealing-with-a-triple-crisis</w:t>
        </w:r>
      </w:hyperlink>
      <w:r w:rsidRPr="00EA550A">
        <w:rPr>
          <w:sz w:val="16"/>
          <w:szCs w:val="16"/>
        </w:rPr>
        <w:t>. Explanation for these lower percentages are provided in Vol2 Appendix A, which looks at budgets of the two PNG Departments responsible for education.</w:t>
      </w:r>
    </w:p>
  </w:footnote>
  <w:footnote w:id="9">
    <w:p w14:paraId="28BAAD5A" w14:textId="1A647E2C" w:rsidR="00F96637" w:rsidRPr="00EA550A" w:rsidRDefault="00F96637">
      <w:pPr>
        <w:pStyle w:val="FootnoteText"/>
        <w:rPr>
          <w:sz w:val="16"/>
          <w:szCs w:val="16"/>
          <w:lang w:val="en-AU"/>
        </w:rPr>
      </w:pPr>
      <w:r w:rsidRPr="00EA550A">
        <w:rPr>
          <w:rStyle w:val="FootnoteReference"/>
          <w:sz w:val="16"/>
          <w:szCs w:val="16"/>
        </w:rPr>
        <w:footnoteRef/>
      </w:r>
      <w:r w:rsidRPr="00EA550A">
        <w:rPr>
          <w:sz w:val="16"/>
          <w:szCs w:val="16"/>
        </w:rPr>
        <w:t xml:space="preserve"> During the year, proposed budget allocations may be revised to reflect changes in government expenditure priorities or to reflect information that indicates a change in the budget allocation is required due to under or over-expenditures.</w:t>
      </w:r>
    </w:p>
  </w:footnote>
  <w:footnote w:id="10">
    <w:p w14:paraId="2083CED9" w14:textId="77777777" w:rsidR="00F96637" w:rsidRPr="0021747F" w:rsidRDefault="00F96637" w:rsidP="001F26A6">
      <w:pPr>
        <w:pStyle w:val="FootnoteText"/>
        <w:rPr>
          <w:sz w:val="16"/>
          <w:szCs w:val="16"/>
          <w:lang w:val="en-AU"/>
        </w:rPr>
      </w:pPr>
      <w:r w:rsidRPr="00EA550A">
        <w:rPr>
          <w:rStyle w:val="FootnoteReference"/>
          <w:sz w:val="16"/>
          <w:szCs w:val="16"/>
        </w:rPr>
        <w:footnoteRef/>
      </w:r>
      <w:r w:rsidRPr="00EA550A">
        <w:rPr>
          <w:sz w:val="16"/>
          <w:szCs w:val="16"/>
        </w:rPr>
        <w:t xml:space="preserve"> </w:t>
      </w:r>
      <w:r w:rsidRPr="00EA550A">
        <w:rPr>
          <w:sz w:val="16"/>
          <w:szCs w:val="16"/>
          <w:lang w:val="en-AU"/>
        </w:rPr>
        <w:t xml:space="preserve">Honga, Thomson. </w:t>
      </w:r>
      <w:r w:rsidRPr="00EA550A">
        <w:rPr>
          <w:i/>
          <w:iCs/>
          <w:sz w:val="16"/>
          <w:szCs w:val="16"/>
          <w:lang w:val="en-AU"/>
        </w:rPr>
        <w:t xml:space="preserve">Benefits of The Tuition Fee Free Policy as Perceived by Port Moresby Residents, </w:t>
      </w:r>
      <w:r w:rsidRPr="00EA550A">
        <w:rPr>
          <w:sz w:val="16"/>
          <w:szCs w:val="16"/>
          <w:lang w:val="en-AU"/>
        </w:rPr>
        <w:t>Spotlight, Volume 13; Issue 13, July 2020, PNG National Research Institute.</w:t>
      </w:r>
    </w:p>
  </w:footnote>
  <w:footnote w:id="11">
    <w:p w14:paraId="7BA31712" w14:textId="77777777" w:rsidR="00F96637" w:rsidRPr="0021747F" w:rsidRDefault="00F96637" w:rsidP="001F26A6">
      <w:pPr>
        <w:pStyle w:val="FootnoteText"/>
        <w:rPr>
          <w:sz w:val="16"/>
          <w:szCs w:val="16"/>
          <w:lang w:val="en-AU"/>
        </w:rPr>
      </w:pPr>
      <w:r w:rsidRPr="0021747F">
        <w:rPr>
          <w:rStyle w:val="FootnoteReference"/>
          <w:sz w:val="16"/>
          <w:szCs w:val="16"/>
        </w:rPr>
        <w:footnoteRef/>
      </w:r>
      <w:r w:rsidRPr="0021747F">
        <w:rPr>
          <w:sz w:val="16"/>
          <w:szCs w:val="16"/>
        </w:rPr>
        <w:t xml:space="preserve"> </w:t>
      </w:r>
      <w:r w:rsidRPr="0021747F">
        <w:rPr>
          <w:sz w:val="16"/>
          <w:szCs w:val="16"/>
          <w:lang w:val="en-AU"/>
        </w:rPr>
        <w:t>Papua New Guinea Covid-19 Development Response Plan, Partnerships for Recovery: Australia’s COVID-19 Development Response, Australian Government, October 2020.</w:t>
      </w:r>
    </w:p>
  </w:footnote>
  <w:footnote w:id="12">
    <w:p w14:paraId="3AB90F3E" w14:textId="77777777" w:rsidR="00F96637" w:rsidRPr="0021747F" w:rsidRDefault="00F96637" w:rsidP="001F26A6">
      <w:pPr>
        <w:pStyle w:val="FootnoteText"/>
        <w:rPr>
          <w:sz w:val="16"/>
          <w:szCs w:val="16"/>
          <w:lang w:val="en-AU"/>
        </w:rPr>
      </w:pPr>
      <w:r w:rsidRPr="0021747F">
        <w:rPr>
          <w:rStyle w:val="FootnoteReference"/>
          <w:sz w:val="16"/>
          <w:szCs w:val="16"/>
        </w:rPr>
        <w:footnoteRef/>
      </w:r>
      <w:r w:rsidRPr="0021747F">
        <w:rPr>
          <w:sz w:val="16"/>
          <w:szCs w:val="16"/>
        </w:rPr>
        <w:t xml:space="preserve"> </w:t>
      </w:r>
      <w:r w:rsidRPr="0021747F">
        <w:rPr>
          <w:sz w:val="16"/>
          <w:szCs w:val="16"/>
          <w:lang w:val="en-AU"/>
        </w:rPr>
        <w:t>Outcomes-Based Education (OBE) was the curriculum approach introduced in the 1980 and received considerable criticism for its perceived or real failures to improve the quality of educational outcomes in PNG. In 2012, with the election of a new government and review of the OBE, introduction of the Standards-Based Curriculum (SBC) has been progressively introduced with curriculum materials being prepared and distributed and teacher training taking place since 2016.</w:t>
      </w:r>
    </w:p>
  </w:footnote>
  <w:footnote w:id="13">
    <w:p w14:paraId="688A812E" w14:textId="77777777" w:rsidR="00F96637" w:rsidRPr="0021747F" w:rsidRDefault="00F96637" w:rsidP="001F26A6">
      <w:pPr>
        <w:pStyle w:val="FootnoteText"/>
        <w:rPr>
          <w:sz w:val="16"/>
          <w:szCs w:val="16"/>
          <w:lang w:val="en-AU"/>
        </w:rPr>
      </w:pPr>
      <w:r w:rsidRPr="0021747F">
        <w:rPr>
          <w:rStyle w:val="FootnoteReference"/>
          <w:sz w:val="16"/>
          <w:szCs w:val="16"/>
        </w:rPr>
        <w:footnoteRef/>
      </w:r>
      <w:r w:rsidRPr="0021747F">
        <w:rPr>
          <w:sz w:val="16"/>
          <w:szCs w:val="16"/>
        </w:rPr>
        <w:t xml:space="preserve"> </w:t>
      </w:r>
      <w:r w:rsidRPr="0021747F">
        <w:rPr>
          <w:sz w:val="16"/>
          <w:szCs w:val="16"/>
          <w:lang w:val="en-AU"/>
        </w:rPr>
        <w:t>Scripted lessons are highly structured and often have specific time allotments and specific periods for the lesson to be taught. These lessons often provide word-for-word ‘scripts’ to guide the teacher on what to do and to say.</w:t>
      </w:r>
    </w:p>
  </w:footnote>
  <w:footnote w:id="14">
    <w:p w14:paraId="248AC2BD" w14:textId="77777777" w:rsidR="00F96637" w:rsidRPr="00FD2A8F" w:rsidRDefault="00F96637" w:rsidP="001F26A6">
      <w:pPr>
        <w:pStyle w:val="FootnoteText"/>
        <w:rPr>
          <w:sz w:val="18"/>
          <w:szCs w:val="18"/>
          <w:lang w:val="en-AU"/>
        </w:rPr>
      </w:pPr>
      <w:r w:rsidRPr="0021747F">
        <w:rPr>
          <w:rStyle w:val="FootnoteReference"/>
          <w:sz w:val="16"/>
          <w:szCs w:val="16"/>
        </w:rPr>
        <w:footnoteRef/>
      </w:r>
      <w:r w:rsidRPr="0021747F">
        <w:rPr>
          <w:sz w:val="16"/>
          <w:szCs w:val="16"/>
        </w:rPr>
        <w:t xml:space="preserve"> </w:t>
      </w:r>
      <w:r w:rsidRPr="0021747F">
        <w:rPr>
          <w:sz w:val="16"/>
          <w:szCs w:val="16"/>
          <w:lang w:val="en-AU"/>
        </w:rPr>
        <w:t>Information provided from five provinces during the design process indicated that in the more remote locations schools had yet to receive SBC curriculum resources and teachers had not yet been trained to use the SBC resources.</w:t>
      </w:r>
    </w:p>
  </w:footnote>
  <w:footnote w:id="15">
    <w:p w14:paraId="7A5D9E41" w14:textId="77777777" w:rsidR="00F96637" w:rsidRPr="0021747F" w:rsidRDefault="00F96637" w:rsidP="001F26A6">
      <w:pPr>
        <w:pStyle w:val="FootnoteText"/>
        <w:rPr>
          <w:sz w:val="16"/>
          <w:szCs w:val="16"/>
          <w:lang w:val="en-AU"/>
        </w:rPr>
      </w:pPr>
      <w:r w:rsidRPr="0021747F">
        <w:rPr>
          <w:rStyle w:val="FootnoteReference"/>
          <w:sz w:val="16"/>
          <w:szCs w:val="16"/>
        </w:rPr>
        <w:footnoteRef/>
      </w:r>
      <w:r w:rsidRPr="0021747F">
        <w:rPr>
          <w:sz w:val="16"/>
          <w:szCs w:val="16"/>
        </w:rPr>
        <w:t xml:space="preserve"> </w:t>
      </w:r>
      <w:r w:rsidRPr="0021747F">
        <w:rPr>
          <w:sz w:val="16"/>
          <w:szCs w:val="16"/>
          <w:lang w:val="en-AU"/>
        </w:rPr>
        <w:t>Preliminary findings of the Capacity Needs Assessment of the Primary Teacher Colleges.  Department of Higher Education, Research, Science and Technology. October 2019.</w:t>
      </w:r>
    </w:p>
  </w:footnote>
  <w:footnote w:id="16">
    <w:p w14:paraId="748D1C65" w14:textId="77777777" w:rsidR="00F96637" w:rsidRPr="0021747F" w:rsidRDefault="00F96637" w:rsidP="001F26A6">
      <w:pPr>
        <w:pStyle w:val="FootnoteText"/>
        <w:rPr>
          <w:sz w:val="16"/>
          <w:szCs w:val="16"/>
          <w:lang w:val="en-AU"/>
        </w:rPr>
      </w:pPr>
      <w:r w:rsidRPr="0021747F">
        <w:rPr>
          <w:rStyle w:val="FootnoteReference"/>
          <w:sz w:val="16"/>
          <w:szCs w:val="16"/>
        </w:rPr>
        <w:footnoteRef/>
      </w:r>
      <w:r w:rsidRPr="0021747F">
        <w:rPr>
          <w:sz w:val="16"/>
          <w:szCs w:val="16"/>
        </w:rPr>
        <w:t xml:space="preserve"> </w:t>
      </w:r>
      <w:r w:rsidRPr="0021747F">
        <w:rPr>
          <w:i/>
          <w:iCs/>
          <w:sz w:val="16"/>
          <w:szCs w:val="16"/>
        </w:rPr>
        <w:t>Go Long Ples: Reducing inequality in education funding</w:t>
      </w:r>
      <w:r w:rsidRPr="0021747F">
        <w:rPr>
          <w:sz w:val="16"/>
          <w:szCs w:val="16"/>
        </w:rPr>
        <w:t>. A study by the National Economic &amp; Fiscal Commission in partnership with the National Department of Education. 2014.</w:t>
      </w:r>
    </w:p>
  </w:footnote>
  <w:footnote w:id="17">
    <w:p w14:paraId="64874766" w14:textId="77777777" w:rsidR="00F96637" w:rsidRPr="000948EA" w:rsidRDefault="00F96637" w:rsidP="001F26A6">
      <w:pPr>
        <w:pStyle w:val="FootnoteText"/>
        <w:rPr>
          <w:sz w:val="18"/>
          <w:szCs w:val="18"/>
          <w:lang w:val="en-AU"/>
        </w:rPr>
      </w:pPr>
      <w:r w:rsidRPr="0021747F">
        <w:rPr>
          <w:rStyle w:val="FootnoteReference"/>
          <w:sz w:val="16"/>
          <w:szCs w:val="16"/>
        </w:rPr>
        <w:footnoteRef/>
      </w:r>
      <w:r w:rsidRPr="0021747F">
        <w:rPr>
          <w:sz w:val="16"/>
          <w:szCs w:val="16"/>
        </w:rPr>
        <w:t xml:space="preserve"> </w:t>
      </w:r>
      <w:r w:rsidRPr="0021747F">
        <w:rPr>
          <w:sz w:val="16"/>
          <w:szCs w:val="16"/>
          <w:lang w:val="en-AU"/>
        </w:rPr>
        <w:t>Mada, Eli.</w:t>
      </w:r>
      <w:r w:rsidRPr="0021747F">
        <w:rPr>
          <w:sz w:val="16"/>
          <w:szCs w:val="16"/>
        </w:rPr>
        <w:t xml:space="preserve"> </w:t>
      </w:r>
      <w:r w:rsidRPr="0021747F">
        <w:rPr>
          <w:i/>
          <w:iCs/>
          <w:sz w:val="16"/>
          <w:szCs w:val="16"/>
        </w:rPr>
        <w:t>Analysis - PNG Local Government arrangements according to Bailey’s Principles</w:t>
      </w:r>
      <w:r w:rsidRPr="0021747F">
        <w:rPr>
          <w:sz w:val="16"/>
          <w:szCs w:val="16"/>
        </w:rPr>
        <w:t>, Victoria University of Wellington (2014).</w:t>
      </w:r>
    </w:p>
  </w:footnote>
  <w:footnote w:id="18">
    <w:p w14:paraId="34CB05DF" w14:textId="77777777" w:rsidR="00F96637" w:rsidRPr="0021747F" w:rsidRDefault="00F96637" w:rsidP="001F26A6">
      <w:pPr>
        <w:pStyle w:val="FootnoteText"/>
        <w:rPr>
          <w:sz w:val="16"/>
          <w:szCs w:val="16"/>
          <w:lang w:val="en-AU"/>
        </w:rPr>
      </w:pPr>
      <w:r w:rsidRPr="0021747F">
        <w:rPr>
          <w:rStyle w:val="FootnoteReference"/>
          <w:sz w:val="16"/>
          <w:szCs w:val="16"/>
        </w:rPr>
        <w:footnoteRef/>
      </w:r>
      <w:r w:rsidRPr="0021747F">
        <w:rPr>
          <w:sz w:val="16"/>
          <w:szCs w:val="16"/>
        </w:rPr>
        <w:t xml:space="preserve"> Constitution – National Churches Education Council December 2020 pg. 5</w:t>
      </w:r>
    </w:p>
  </w:footnote>
  <w:footnote w:id="19">
    <w:p w14:paraId="6BAD127A" w14:textId="77777777" w:rsidR="00F96637" w:rsidRPr="0021747F" w:rsidRDefault="00F96637" w:rsidP="001F26A6">
      <w:pPr>
        <w:pStyle w:val="FootnoteText"/>
        <w:rPr>
          <w:sz w:val="16"/>
          <w:szCs w:val="16"/>
          <w:lang w:val="en-AU"/>
        </w:rPr>
      </w:pPr>
      <w:r w:rsidRPr="0021747F">
        <w:rPr>
          <w:rStyle w:val="FootnoteReference"/>
          <w:sz w:val="16"/>
          <w:szCs w:val="16"/>
        </w:rPr>
        <w:footnoteRef/>
      </w:r>
      <w:r w:rsidRPr="0021747F">
        <w:rPr>
          <w:sz w:val="16"/>
          <w:szCs w:val="16"/>
        </w:rPr>
        <w:t xml:space="preserve"> </w:t>
      </w:r>
      <w:r w:rsidRPr="0021747F">
        <w:rPr>
          <w:sz w:val="16"/>
          <w:szCs w:val="16"/>
          <w:lang w:val="en-AU"/>
        </w:rPr>
        <w:t xml:space="preserve">Kopel, Elizabeth. </w:t>
      </w:r>
      <w:r w:rsidRPr="0021747F">
        <w:rPr>
          <w:i/>
          <w:iCs/>
          <w:sz w:val="16"/>
          <w:szCs w:val="16"/>
          <w:lang w:val="en-AU"/>
        </w:rPr>
        <w:t>The Impact of Covid-19 on Livelihoods in the Informal Economy in Papua New Guinea.</w:t>
      </w:r>
      <w:r w:rsidRPr="0021747F">
        <w:rPr>
          <w:sz w:val="16"/>
          <w:szCs w:val="16"/>
          <w:lang w:val="en-AU"/>
        </w:rPr>
        <w:t xml:space="preserve"> Spotlight, Volume 13; Issue 4, May 2020, PNG National Research Institute. </w:t>
      </w:r>
      <w:r w:rsidRPr="0021747F">
        <w:rPr>
          <w:i/>
          <w:iCs/>
          <w:sz w:val="16"/>
          <w:szCs w:val="16"/>
          <w:lang w:val="en-AU"/>
        </w:rPr>
        <w:t>The return of shell money: PNG revives old ways after Covid’s blow to the economy,</w:t>
      </w:r>
      <w:r w:rsidRPr="0021747F">
        <w:rPr>
          <w:sz w:val="16"/>
          <w:szCs w:val="16"/>
          <w:lang w:val="en-AU"/>
        </w:rPr>
        <w:t xml:space="preserve"> The Guardian, 21 August 2020.</w:t>
      </w:r>
    </w:p>
  </w:footnote>
  <w:footnote w:id="20">
    <w:p w14:paraId="69AAC3AF" w14:textId="6C711220" w:rsidR="00F96637" w:rsidRPr="0021747F" w:rsidRDefault="00F96637" w:rsidP="001F26A6">
      <w:pPr>
        <w:pStyle w:val="FootnoteText"/>
        <w:rPr>
          <w:sz w:val="16"/>
          <w:szCs w:val="16"/>
          <w:lang w:val="en-AU"/>
        </w:rPr>
      </w:pPr>
      <w:r w:rsidRPr="0021747F">
        <w:rPr>
          <w:rStyle w:val="FootnoteReference"/>
          <w:sz w:val="16"/>
          <w:szCs w:val="16"/>
        </w:rPr>
        <w:footnoteRef/>
      </w:r>
      <w:r w:rsidRPr="0021747F">
        <w:rPr>
          <w:sz w:val="16"/>
          <w:szCs w:val="16"/>
        </w:rPr>
        <w:t xml:space="preserve"> </w:t>
      </w:r>
      <w:r w:rsidRPr="0021747F">
        <w:rPr>
          <w:sz w:val="16"/>
          <w:szCs w:val="16"/>
          <w:lang w:val="en-AU"/>
        </w:rPr>
        <w:t>The annual education statistical bulletin which shows enrolment data has not been published since the 2018 school year.</w:t>
      </w:r>
    </w:p>
  </w:footnote>
  <w:footnote w:id="21">
    <w:p w14:paraId="57220A08" w14:textId="77777777" w:rsidR="00F96637" w:rsidRPr="0021747F" w:rsidRDefault="00F96637" w:rsidP="001F26A6">
      <w:pPr>
        <w:pStyle w:val="FootnoteText"/>
        <w:rPr>
          <w:sz w:val="16"/>
          <w:szCs w:val="16"/>
        </w:rPr>
      </w:pPr>
      <w:r w:rsidRPr="0021747F">
        <w:rPr>
          <w:rStyle w:val="FootnoteReference"/>
          <w:sz w:val="16"/>
          <w:szCs w:val="16"/>
        </w:rPr>
        <w:footnoteRef/>
      </w:r>
      <w:r w:rsidRPr="0021747F">
        <w:rPr>
          <w:sz w:val="16"/>
          <w:szCs w:val="16"/>
        </w:rPr>
        <w:t xml:space="preserve"> García, Emma, and Elaine Weiss. </w:t>
      </w:r>
      <w:hyperlink r:id="rId2" w:history="1">
        <w:r w:rsidRPr="0021747F">
          <w:rPr>
            <w:i/>
            <w:iCs/>
            <w:sz w:val="16"/>
            <w:szCs w:val="16"/>
          </w:rPr>
          <w:t>Education Inequalities at the School Starting Gate: Gaps, Trends, and Strategies to Address Them</w:t>
        </w:r>
      </w:hyperlink>
      <w:r w:rsidRPr="0021747F">
        <w:rPr>
          <w:sz w:val="16"/>
          <w:szCs w:val="16"/>
        </w:rPr>
        <w:t>. Economic Policy Institute, September 2017</w:t>
      </w:r>
    </w:p>
  </w:footnote>
  <w:footnote w:id="22">
    <w:p w14:paraId="4FE7BF9A" w14:textId="77777777" w:rsidR="00F96637" w:rsidRPr="00D45E7E" w:rsidRDefault="00F96637" w:rsidP="001F26A6">
      <w:pPr>
        <w:pStyle w:val="FootnoteText"/>
        <w:rPr>
          <w:sz w:val="18"/>
          <w:szCs w:val="18"/>
          <w:lang w:val="en-AU"/>
        </w:rPr>
      </w:pPr>
      <w:r w:rsidRPr="0021747F">
        <w:rPr>
          <w:rStyle w:val="FootnoteReference"/>
          <w:sz w:val="16"/>
          <w:szCs w:val="16"/>
        </w:rPr>
        <w:footnoteRef/>
      </w:r>
      <w:r w:rsidRPr="0021747F">
        <w:rPr>
          <w:sz w:val="16"/>
          <w:szCs w:val="16"/>
        </w:rPr>
        <w:t xml:space="preserve"> </w:t>
      </w:r>
      <w:r w:rsidRPr="0021747F">
        <w:rPr>
          <w:sz w:val="16"/>
          <w:szCs w:val="16"/>
          <w:lang w:val="en-AU"/>
        </w:rPr>
        <w:t xml:space="preserve">Boin, A.; Ekengren, M. and Rhinhard, M. </w:t>
      </w:r>
      <w:r w:rsidRPr="0021747F">
        <w:rPr>
          <w:i/>
          <w:iCs/>
          <w:sz w:val="16"/>
          <w:szCs w:val="16"/>
          <w:lang w:val="en-AU"/>
        </w:rPr>
        <w:t>Hiding in Plain Sight: Conceptualizing the Creeping Crises</w:t>
      </w:r>
      <w:r w:rsidRPr="0021747F">
        <w:rPr>
          <w:sz w:val="16"/>
          <w:szCs w:val="16"/>
          <w:lang w:val="en-AU"/>
        </w:rPr>
        <w:t>. Risks, Hazards and Crisis in Public Policy. 12 April 2020</w:t>
      </w:r>
    </w:p>
  </w:footnote>
  <w:footnote w:id="23">
    <w:p w14:paraId="08AE69F7" w14:textId="77777777" w:rsidR="00F96637" w:rsidRPr="0021747F" w:rsidRDefault="00F96637" w:rsidP="001F26A6">
      <w:pPr>
        <w:pStyle w:val="FootnoteText"/>
        <w:rPr>
          <w:sz w:val="16"/>
          <w:szCs w:val="16"/>
          <w:lang w:val="en-AU"/>
        </w:rPr>
      </w:pPr>
      <w:r w:rsidRPr="0021747F">
        <w:rPr>
          <w:rStyle w:val="FootnoteReference"/>
          <w:sz w:val="16"/>
          <w:szCs w:val="16"/>
        </w:rPr>
        <w:footnoteRef/>
      </w:r>
      <w:r w:rsidRPr="0021747F">
        <w:rPr>
          <w:sz w:val="16"/>
          <w:szCs w:val="16"/>
        </w:rPr>
        <w:t xml:space="preserve"> George Psacharopoulos &amp; Harry Anthony Patrinos </w:t>
      </w:r>
      <w:r w:rsidRPr="0021747F">
        <w:rPr>
          <w:i/>
          <w:iCs/>
          <w:sz w:val="16"/>
          <w:szCs w:val="16"/>
        </w:rPr>
        <w:t>Returns to investment in education: a decennial review of the global Literature</w:t>
      </w:r>
      <w:r w:rsidRPr="0021747F">
        <w:rPr>
          <w:sz w:val="16"/>
          <w:szCs w:val="16"/>
        </w:rPr>
        <w:t xml:space="preserve">, Education Economics, 26:5, 445-458 (2018); </w:t>
      </w:r>
      <w:r w:rsidRPr="0021747F">
        <w:rPr>
          <w:i/>
          <w:iCs/>
          <w:sz w:val="16"/>
          <w:szCs w:val="16"/>
        </w:rPr>
        <w:t>The Investment Case for Education and Equity</w:t>
      </w:r>
      <w:r w:rsidRPr="0021747F">
        <w:rPr>
          <w:sz w:val="16"/>
          <w:szCs w:val="16"/>
        </w:rPr>
        <w:t xml:space="preserve"> UNICEF (January 2015); </w:t>
      </w:r>
      <w:r w:rsidRPr="0021747F">
        <w:rPr>
          <w:i/>
          <w:iCs/>
          <w:sz w:val="16"/>
          <w:szCs w:val="16"/>
        </w:rPr>
        <w:t>Financing Education – Investments and Returns Analysis of the World Education Indicators</w:t>
      </w:r>
      <w:r w:rsidRPr="0021747F">
        <w:rPr>
          <w:sz w:val="16"/>
          <w:szCs w:val="16"/>
        </w:rPr>
        <w:t xml:space="preserve"> </w:t>
      </w:r>
      <w:r w:rsidRPr="0021747F">
        <w:rPr>
          <w:i/>
          <w:iCs/>
          <w:sz w:val="16"/>
          <w:szCs w:val="16"/>
        </w:rPr>
        <w:t>2002 Edition</w:t>
      </w:r>
      <w:r w:rsidRPr="0021747F">
        <w:rPr>
          <w:sz w:val="16"/>
          <w:szCs w:val="16"/>
        </w:rPr>
        <w:t>, UNESCO Institute for Statistics and OECD (2003).</w:t>
      </w:r>
    </w:p>
  </w:footnote>
  <w:footnote w:id="24">
    <w:p w14:paraId="26F01D5A" w14:textId="3ECBAEEB" w:rsidR="00F96637" w:rsidRPr="0021747F" w:rsidRDefault="00F96637">
      <w:pPr>
        <w:pStyle w:val="FootnoteText"/>
        <w:rPr>
          <w:sz w:val="16"/>
          <w:szCs w:val="16"/>
          <w:lang w:val="en-AU"/>
        </w:rPr>
      </w:pPr>
      <w:r w:rsidRPr="0021747F">
        <w:rPr>
          <w:rStyle w:val="FootnoteReference"/>
          <w:sz w:val="16"/>
          <w:szCs w:val="16"/>
        </w:rPr>
        <w:footnoteRef/>
      </w:r>
      <w:r w:rsidRPr="0021747F">
        <w:rPr>
          <w:sz w:val="16"/>
          <w:szCs w:val="16"/>
        </w:rPr>
        <w:t xml:space="preserve"> World Bank Group – PNG Economic Update January 2021 </w:t>
      </w:r>
      <w:r w:rsidRPr="0021747F">
        <w:rPr>
          <w:i/>
          <w:iCs/>
          <w:sz w:val="16"/>
          <w:szCs w:val="16"/>
        </w:rPr>
        <w:t xml:space="preserve">Dealing with a Triple Crisis, </w:t>
      </w:r>
      <w:r w:rsidRPr="0021747F">
        <w:rPr>
          <w:sz w:val="16"/>
          <w:szCs w:val="16"/>
        </w:rPr>
        <w:t>also recommends the highest</w:t>
      </w:r>
      <w:r w:rsidRPr="0021747F">
        <w:rPr>
          <w:i/>
          <w:iCs/>
          <w:sz w:val="16"/>
          <w:szCs w:val="16"/>
        </w:rPr>
        <w:t xml:space="preserve"> </w:t>
      </w:r>
      <w:r w:rsidRPr="0021747F">
        <w:rPr>
          <w:sz w:val="16"/>
          <w:szCs w:val="16"/>
        </w:rPr>
        <w:t>priority should be placed on protecting and strengthening the local partnerships between state and non-state actors that underpin school governance and accountability.</w:t>
      </w:r>
    </w:p>
  </w:footnote>
  <w:footnote w:id="25">
    <w:p w14:paraId="0A37428E" w14:textId="0DF3EF6F" w:rsidR="00F96637" w:rsidRPr="0021747F" w:rsidRDefault="00F96637" w:rsidP="00477C43">
      <w:pPr>
        <w:rPr>
          <w:i/>
          <w:iCs/>
          <w:color w:val="auto"/>
          <w:sz w:val="16"/>
          <w:szCs w:val="16"/>
          <w:lang w:val="en-AU"/>
        </w:rPr>
      </w:pPr>
      <w:r w:rsidRPr="0021747F">
        <w:rPr>
          <w:rStyle w:val="FootnoteReference"/>
          <w:sz w:val="16"/>
          <w:szCs w:val="16"/>
        </w:rPr>
        <w:footnoteRef/>
      </w:r>
      <w:r w:rsidRPr="0021747F">
        <w:rPr>
          <w:sz w:val="16"/>
          <w:szCs w:val="16"/>
        </w:rPr>
        <w:t xml:space="preserve"> </w:t>
      </w:r>
      <w:r w:rsidRPr="0021747F">
        <w:rPr>
          <w:sz w:val="16"/>
          <w:szCs w:val="16"/>
          <w:lang w:val="en-AU"/>
        </w:rPr>
        <w:t xml:space="preserve">DFAT, 2018, </w:t>
      </w:r>
      <w:hyperlink r:id="rId3" w:tgtFrame="_blank" w:history="1">
        <w:r w:rsidRPr="0021747F">
          <w:rPr>
            <w:rStyle w:val="Hyperlink"/>
            <w:rFonts w:ascii="Calibri" w:hAnsi="Calibri"/>
            <w:i/>
            <w:iCs/>
            <w:color w:val="1155CC"/>
            <w:sz w:val="16"/>
            <w:szCs w:val="16"/>
            <w:shd w:val="clear" w:color="auto" w:fill="FFFFFF"/>
          </w:rPr>
          <w:t>What Works Best in Education for Development: A Super Synthesis of the Evidence</w:t>
        </w:r>
      </w:hyperlink>
    </w:p>
  </w:footnote>
  <w:footnote w:id="26">
    <w:p w14:paraId="2623D53D" w14:textId="77777777" w:rsidR="00F96637" w:rsidRPr="00CB7CB5" w:rsidRDefault="00F96637" w:rsidP="001F26A6">
      <w:pPr>
        <w:pStyle w:val="FootnoteText"/>
        <w:rPr>
          <w:sz w:val="16"/>
          <w:szCs w:val="16"/>
          <w:lang w:val="en-AU"/>
        </w:rPr>
      </w:pPr>
      <w:r w:rsidRPr="00CB7CB5">
        <w:rPr>
          <w:rStyle w:val="FootnoteReference"/>
          <w:sz w:val="16"/>
          <w:szCs w:val="16"/>
        </w:rPr>
        <w:footnoteRef/>
      </w:r>
      <w:r w:rsidRPr="00CB7CB5">
        <w:rPr>
          <w:sz w:val="16"/>
          <w:szCs w:val="16"/>
        </w:rPr>
        <w:t xml:space="preserve"> Education In Developing Countries: What Policies And Programmes Affect Learning And Time In School? Expert Group for Development Assistance Analysis, Swedish International Development Agency 2016 - Amy Damon, Paul Glewwe, Suzanne Wisniewski, Bixuan Sun</w:t>
      </w:r>
    </w:p>
  </w:footnote>
  <w:footnote w:id="27">
    <w:p w14:paraId="47B85AF4" w14:textId="77777777" w:rsidR="00F96637" w:rsidRPr="00CB7CB5" w:rsidRDefault="00F96637" w:rsidP="001F26A6">
      <w:pPr>
        <w:pStyle w:val="FootnoteText"/>
        <w:rPr>
          <w:sz w:val="16"/>
          <w:szCs w:val="16"/>
          <w:lang w:val="en-AU"/>
        </w:rPr>
      </w:pPr>
      <w:r w:rsidRPr="00CB7CB5">
        <w:rPr>
          <w:rStyle w:val="FootnoteReference"/>
          <w:sz w:val="16"/>
          <w:szCs w:val="16"/>
        </w:rPr>
        <w:footnoteRef/>
      </w:r>
      <w:r w:rsidRPr="00CB7CB5">
        <w:rPr>
          <w:sz w:val="16"/>
          <w:szCs w:val="16"/>
        </w:rPr>
        <w:t xml:space="preserve"> Improving Educational Outcomes in Developing Countries: Lessons from Rigorous Impact Evaluations Alejandro J. Ganimian and Richard J. Murnane NBER Working Paper No. 20284 July 2014, Revised February 2016</w:t>
      </w:r>
    </w:p>
  </w:footnote>
  <w:footnote w:id="28">
    <w:p w14:paraId="06861BA9" w14:textId="77777777" w:rsidR="00F96637" w:rsidRPr="00CB7CB5" w:rsidRDefault="00F96637" w:rsidP="001F26A6">
      <w:pPr>
        <w:rPr>
          <w:sz w:val="16"/>
          <w:szCs w:val="16"/>
        </w:rPr>
      </w:pPr>
      <w:r w:rsidRPr="00CB7CB5">
        <w:rPr>
          <w:rStyle w:val="FootnoteReference"/>
          <w:sz w:val="16"/>
          <w:szCs w:val="16"/>
        </w:rPr>
        <w:footnoteRef/>
      </w:r>
      <w:r w:rsidRPr="00CB7CB5">
        <w:rPr>
          <w:sz w:val="16"/>
          <w:szCs w:val="16"/>
        </w:rPr>
        <w:t xml:space="preserve"> Snilstveit, B, Stevenson, J, Phillips, D, Vojtkova, M, Gallagher, E, Schmidt, T, Jobse, H, Geelen, M, Pastorello, M, and Eyers, J, 2015. Interventions for improving learning outcomes and access to education in low- and middle- income countries: a systematic review, 3ie Systematic Review 24. London: International Initiative for Impact Evaluation (3ie).</w:t>
      </w:r>
    </w:p>
  </w:footnote>
  <w:footnote w:id="29">
    <w:p w14:paraId="61DFCDC7" w14:textId="77777777" w:rsidR="00F96637" w:rsidRPr="00CB7CB5" w:rsidRDefault="00F96637" w:rsidP="001F26A6">
      <w:pPr>
        <w:shd w:val="clear" w:color="auto" w:fill="FFFFFF"/>
        <w:rPr>
          <w:sz w:val="16"/>
          <w:szCs w:val="16"/>
        </w:rPr>
      </w:pPr>
      <w:r w:rsidRPr="00CB7CB5">
        <w:rPr>
          <w:rStyle w:val="FootnoteReference"/>
          <w:sz w:val="16"/>
          <w:szCs w:val="16"/>
        </w:rPr>
        <w:footnoteRef/>
      </w:r>
      <w:r w:rsidRPr="00CB7CB5">
        <w:rPr>
          <w:sz w:val="16"/>
          <w:szCs w:val="16"/>
        </w:rPr>
        <w:t xml:space="preserve"> Campbell Systematic Review 2013:08 ‘Relative Effectiveness of Conditional and Unconditional Cash Transfers for Schooling Outcomes in Developing Countries: A Systematic Review’ (DOI: 10.4073/csr.2013.8) by Sarah Baird, Francisco H. G. Ferreira, Berk Özler, and Michael Woolcock.</w:t>
      </w:r>
    </w:p>
  </w:footnote>
  <w:footnote w:id="30">
    <w:p w14:paraId="61E62BA6" w14:textId="77777777" w:rsidR="00F96637" w:rsidRPr="00CB7CB5" w:rsidRDefault="00F96637" w:rsidP="001F26A6">
      <w:pPr>
        <w:pStyle w:val="FootnoteText"/>
        <w:rPr>
          <w:sz w:val="16"/>
          <w:szCs w:val="16"/>
          <w:lang w:val="en-AU"/>
        </w:rPr>
      </w:pPr>
      <w:r w:rsidRPr="00CB7CB5">
        <w:rPr>
          <w:rStyle w:val="FootnoteReference"/>
          <w:sz w:val="16"/>
          <w:szCs w:val="16"/>
        </w:rPr>
        <w:footnoteRef/>
      </w:r>
      <w:r w:rsidRPr="00CB7CB5">
        <w:rPr>
          <w:sz w:val="16"/>
          <w:szCs w:val="16"/>
        </w:rPr>
        <w:t xml:space="preserve"> Carr-Hill R, Rolleston C, Schendel R. The effects of school-based decision making on educational outcomes in low - and middle-income contexts: a systematic review, Campbell Systematic Reviews 2016:9</w:t>
      </w:r>
    </w:p>
  </w:footnote>
  <w:footnote w:id="31">
    <w:p w14:paraId="56256FC5" w14:textId="77777777" w:rsidR="00F96637" w:rsidRPr="009D7D04" w:rsidRDefault="00F96637" w:rsidP="001F26A6">
      <w:pPr>
        <w:shd w:val="clear" w:color="auto" w:fill="FFFFFF"/>
        <w:rPr>
          <w:sz w:val="18"/>
          <w:szCs w:val="18"/>
        </w:rPr>
      </w:pPr>
      <w:r w:rsidRPr="00CB7CB5">
        <w:rPr>
          <w:rStyle w:val="FootnoteReference"/>
          <w:sz w:val="16"/>
          <w:szCs w:val="16"/>
        </w:rPr>
        <w:footnoteRef/>
      </w:r>
      <w:r w:rsidRPr="00CB7CB5">
        <w:rPr>
          <w:sz w:val="16"/>
          <w:szCs w:val="16"/>
        </w:rPr>
        <w:t xml:space="preserve"> Waddington H, Sonnenfeld A, Finetti J, Gaarder M, John D, Stevenson J. Citizen engagement in public services in low‐ and middle‐income countries: a mixed‐methods systematic review of participation, inclusion, transparency and accountability (PITA) initiatives. Campbell Systematic Reviews. 2019;15:e1025.</w:t>
      </w:r>
    </w:p>
  </w:footnote>
  <w:footnote w:id="32">
    <w:p w14:paraId="753DCB0E" w14:textId="77777777" w:rsidR="00F96637" w:rsidRPr="00CB7CB5" w:rsidRDefault="00F96637" w:rsidP="001F26A6">
      <w:pPr>
        <w:pStyle w:val="FootnoteText"/>
        <w:rPr>
          <w:sz w:val="16"/>
          <w:szCs w:val="16"/>
          <w:lang w:val="en-AU"/>
        </w:rPr>
      </w:pPr>
      <w:r w:rsidRPr="00CB7CB5">
        <w:rPr>
          <w:rStyle w:val="FootnoteReference"/>
          <w:sz w:val="16"/>
          <w:szCs w:val="16"/>
        </w:rPr>
        <w:footnoteRef/>
      </w:r>
      <w:r w:rsidRPr="00CB7CB5">
        <w:rPr>
          <w:sz w:val="16"/>
          <w:szCs w:val="16"/>
        </w:rPr>
        <w:t xml:space="preserve"> Investing in Teachers is Investing in Learning: A prerequisite for the transformative power of education. EFA Global Monitoring Team. 2015.</w:t>
      </w:r>
    </w:p>
  </w:footnote>
  <w:footnote w:id="33">
    <w:p w14:paraId="5EA3C6E7" w14:textId="77777777" w:rsidR="00F96637" w:rsidRPr="00CB7CB5" w:rsidRDefault="00F96637" w:rsidP="001F26A6">
      <w:pPr>
        <w:pStyle w:val="FootnoteText"/>
        <w:rPr>
          <w:sz w:val="16"/>
          <w:szCs w:val="16"/>
          <w:lang w:val="en-AU"/>
        </w:rPr>
      </w:pPr>
      <w:r w:rsidRPr="00CB7CB5">
        <w:rPr>
          <w:rStyle w:val="FootnoteReference"/>
          <w:sz w:val="16"/>
          <w:szCs w:val="16"/>
        </w:rPr>
        <w:footnoteRef/>
      </w:r>
      <w:r w:rsidRPr="00CB7CB5">
        <w:rPr>
          <w:sz w:val="16"/>
          <w:szCs w:val="16"/>
        </w:rPr>
        <w:t xml:space="preserve"> E Hanushek &amp; S Rivkin, 2010; E Hanushek, J Kain, D O’Brien &amp; S Rivkin 2005; J Rockoff 2004; W Sanders &amp; J Rivers 1996, cited in: World Bank, System Approach for Better Education Results (SABER): What matters most in teacher policies? A framework paper, 2013, p. 5; OECD, Teachers matter. Attracting, developing and retaining effective teachers, 2005 cited in: ODE, Supporting Teacher Development: Literature Review, 2015, p.8 – cited in ‘Investing in Teachers’ DFAT 2015.</w:t>
      </w:r>
    </w:p>
  </w:footnote>
  <w:footnote w:id="34">
    <w:p w14:paraId="4C127EA2" w14:textId="77777777" w:rsidR="00F96637" w:rsidRPr="00CB7CB5" w:rsidRDefault="00F96637" w:rsidP="001F26A6">
      <w:pPr>
        <w:pStyle w:val="FootnoteText"/>
        <w:rPr>
          <w:sz w:val="16"/>
          <w:szCs w:val="16"/>
          <w:lang w:val="en-AU"/>
        </w:rPr>
      </w:pPr>
      <w:r w:rsidRPr="00CB7CB5">
        <w:rPr>
          <w:rStyle w:val="FootnoteReference"/>
          <w:sz w:val="16"/>
          <w:szCs w:val="16"/>
        </w:rPr>
        <w:footnoteRef/>
      </w:r>
      <w:r w:rsidRPr="00CB7CB5">
        <w:rPr>
          <w:sz w:val="16"/>
          <w:szCs w:val="16"/>
        </w:rPr>
        <w:t xml:space="preserve"> </w:t>
      </w:r>
      <w:r w:rsidRPr="00CB7CB5">
        <w:rPr>
          <w:sz w:val="16"/>
          <w:szCs w:val="16"/>
          <w:lang w:val="en-AU"/>
        </w:rPr>
        <w:t>Betielle T. and Evans D. Successful Teachers: Successful Students – Recruiting and Supporting Society’s Most Crucial Profession. 2019. World Bank Group.</w:t>
      </w:r>
    </w:p>
  </w:footnote>
  <w:footnote w:id="35">
    <w:p w14:paraId="7C90EA35" w14:textId="77777777" w:rsidR="00F96637" w:rsidRPr="00CB7CB5" w:rsidRDefault="00F96637" w:rsidP="001F26A6">
      <w:pPr>
        <w:pStyle w:val="FootnoteText"/>
        <w:rPr>
          <w:sz w:val="16"/>
          <w:szCs w:val="16"/>
          <w:lang w:val="en-AU"/>
        </w:rPr>
      </w:pPr>
      <w:r w:rsidRPr="00CB7CB5">
        <w:rPr>
          <w:rStyle w:val="FootnoteReference"/>
          <w:sz w:val="16"/>
          <w:szCs w:val="16"/>
        </w:rPr>
        <w:footnoteRef/>
      </w:r>
      <w:r w:rsidRPr="00CB7CB5">
        <w:rPr>
          <w:sz w:val="16"/>
          <w:szCs w:val="16"/>
        </w:rPr>
        <w:t xml:space="preserve"> The work of the World Bank’s ‘System Approach for Better Education Results (SABER)’ developed the ‘Framework for Effective Teaching’.</w:t>
      </w:r>
    </w:p>
  </w:footnote>
  <w:footnote w:id="36">
    <w:p w14:paraId="5E75FFE5" w14:textId="77777777" w:rsidR="00F96637" w:rsidRPr="00CB7CB5" w:rsidRDefault="00F96637" w:rsidP="001F26A6">
      <w:pPr>
        <w:pStyle w:val="FootnoteText"/>
        <w:rPr>
          <w:sz w:val="16"/>
          <w:szCs w:val="16"/>
          <w:lang w:val="en-AU"/>
        </w:rPr>
      </w:pPr>
      <w:r w:rsidRPr="00CB7CB5">
        <w:rPr>
          <w:rStyle w:val="FootnoteReference"/>
          <w:sz w:val="16"/>
          <w:szCs w:val="16"/>
        </w:rPr>
        <w:footnoteRef/>
      </w:r>
      <w:r w:rsidRPr="00CB7CB5">
        <w:rPr>
          <w:sz w:val="16"/>
          <w:szCs w:val="16"/>
        </w:rPr>
        <w:t xml:space="preserve"> </w:t>
      </w:r>
      <w:r w:rsidRPr="00CB7CB5">
        <w:rPr>
          <w:sz w:val="16"/>
          <w:szCs w:val="16"/>
          <w:lang w:val="en-AU"/>
        </w:rPr>
        <w:t>Investing in Teachers. 2015. Office of Development Effectiveness. DFAT. Commonwealth of Australia.</w:t>
      </w:r>
    </w:p>
  </w:footnote>
  <w:footnote w:id="37">
    <w:p w14:paraId="2C01DFA5" w14:textId="59022A15" w:rsidR="00F96637" w:rsidRPr="00CB7CB5" w:rsidRDefault="00F96637">
      <w:pPr>
        <w:pStyle w:val="FootnoteText"/>
        <w:rPr>
          <w:sz w:val="16"/>
          <w:szCs w:val="16"/>
          <w:lang w:val="en-AU"/>
        </w:rPr>
      </w:pPr>
      <w:r w:rsidRPr="00CB7CB5">
        <w:rPr>
          <w:rStyle w:val="FootnoteReference"/>
          <w:sz w:val="16"/>
          <w:szCs w:val="16"/>
        </w:rPr>
        <w:footnoteRef/>
      </w:r>
      <w:r w:rsidRPr="00CB7CB5">
        <w:rPr>
          <w:sz w:val="16"/>
          <w:szCs w:val="16"/>
        </w:rPr>
        <w:t xml:space="preserve"> </w:t>
      </w:r>
      <w:r w:rsidRPr="00CB7CB5">
        <w:rPr>
          <w:sz w:val="16"/>
          <w:szCs w:val="16"/>
          <w:lang w:val="en-AU"/>
        </w:rPr>
        <w:t>https://www.dfat.gov.au/about-us/publications/Pages/education-analytics-services-teacher-development-multi-year-studies-conceptual-framework</w:t>
      </w:r>
    </w:p>
  </w:footnote>
  <w:footnote w:id="38">
    <w:p w14:paraId="6FE6CBC8" w14:textId="77777777" w:rsidR="00F96637" w:rsidRPr="00CB7CB5" w:rsidRDefault="00F96637" w:rsidP="001F26A6">
      <w:pPr>
        <w:pStyle w:val="FootnoteText"/>
        <w:rPr>
          <w:sz w:val="16"/>
          <w:szCs w:val="16"/>
          <w:lang w:val="en-AU"/>
        </w:rPr>
      </w:pPr>
      <w:r w:rsidRPr="00CB7CB5">
        <w:rPr>
          <w:rStyle w:val="FootnoteReference"/>
          <w:sz w:val="16"/>
          <w:szCs w:val="16"/>
        </w:rPr>
        <w:footnoteRef/>
      </w:r>
      <w:r w:rsidRPr="00CB7CB5">
        <w:rPr>
          <w:sz w:val="16"/>
          <w:szCs w:val="16"/>
        </w:rPr>
        <w:t xml:space="preserve"> Kraft, Matthew A., David Blazar, and Dylan Hogan. 2018. “The Effect of Teacher Coaching on Instruction and Achievement: A Meta-Analysis of the Causal Evidence.” Review of Educational Research 88 (4): 547–88. https://doi.org/10.3102/0034654318759268</w:t>
      </w:r>
    </w:p>
  </w:footnote>
  <w:footnote w:id="39">
    <w:p w14:paraId="2A8C96F5" w14:textId="424AB2ED" w:rsidR="00F96637" w:rsidRPr="00A81477" w:rsidRDefault="00F96637">
      <w:pPr>
        <w:pStyle w:val="FootnoteText"/>
        <w:rPr>
          <w:lang w:val="en-AU"/>
        </w:rPr>
      </w:pPr>
      <w:r w:rsidRPr="00CB7CB5">
        <w:rPr>
          <w:rStyle w:val="FootnoteReference"/>
          <w:sz w:val="16"/>
          <w:szCs w:val="16"/>
        </w:rPr>
        <w:footnoteRef/>
      </w:r>
      <w:r w:rsidRPr="00CB7CB5">
        <w:rPr>
          <w:sz w:val="16"/>
          <w:szCs w:val="16"/>
        </w:rPr>
        <w:t xml:space="preserve"> Adapted from: Teskey, G. 2019, Capacity Development and Statebuilding: Reflections and Lessons and DFAT, 2020., Supporting Partner Capacity: A Guidance Note</w:t>
      </w:r>
      <w:r w:rsidRPr="00A81477">
        <w:rPr>
          <w:sz w:val="18"/>
          <w:szCs w:val="18"/>
        </w:rPr>
        <w:t xml:space="preserve"> </w:t>
      </w:r>
    </w:p>
  </w:footnote>
  <w:footnote w:id="40">
    <w:p w14:paraId="404531FF" w14:textId="2969B651" w:rsidR="00F96637" w:rsidRPr="00CB7CB5" w:rsidRDefault="00F96637" w:rsidP="0063781F">
      <w:pPr>
        <w:pStyle w:val="FootnoteText"/>
        <w:rPr>
          <w:rFonts w:ascii="Cambria" w:hAnsi="Cambria"/>
          <w:sz w:val="16"/>
          <w:szCs w:val="16"/>
          <w:lang w:val="en-AU" w:eastAsia="en-GB"/>
        </w:rPr>
      </w:pPr>
      <w:r w:rsidRPr="00CB7CB5">
        <w:rPr>
          <w:rStyle w:val="FootnoteReference"/>
          <w:sz w:val="16"/>
          <w:szCs w:val="16"/>
        </w:rPr>
        <w:footnoteRef/>
      </w:r>
      <w:r w:rsidRPr="00CB7CB5">
        <w:rPr>
          <w:sz w:val="16"/>
          <w:szCs w:val="16"/>
        </w:rPr>
        <w:t xml:space="preserve"> Siemsen, E., Roth, A.V. &amp; Balasubramanian, S. (2008), How motivation, opportunity, and ability drive knowledge sharing: The constraining-factor model, Journal of Operations Management, Volume 26, Issue 3,</w:t>
      </w:r>
    </w:p>
  </w:footnote>
  <w:footnote w:id="41">
    <w:p w14:paraId="1EACC8CB" w14:textId="623EA6EF" w:rsidR="00F96637" w:rsidRPr="00CB7CB5" w:rsidRDefault="00F96637">
      <w:pPr>
        <w:pStyle w:val="FootnoteText"/>
        <w:rPr>
          <w:sz w:val="16"/>
          <w:szCs w:val="16"/>
          <w:lang w:val="en-AU"/>
        </w:rPr>
      </w:pPr>
      <w:r w:rsidRPr="00CB7CB5">
        <w:rPr>
          <w:rStyle w:val="FootnoteReference"/>
          <w:sz w:val="16"/>
          <w:szCs w:val="16"/>
        </w:rPr>
        <w:footnoteRef/>
      </w:r>
      <w:r w:rsidRPr="00CB7CB5">
        <w:rPr>
          <w:sz w:val="16"/>
          <w:szCs w:val="16"/>
        </w:rPr>
        <w:t xml:space="preserve"> DFAT, 2020., Supporting Partner Capacity: A Guidance Note</w:t>
      </w:r>
    </w:p>
  </w:footnote>
  <w:footnote w:id="42">
    <w:p w14:paraId="244C1BAD" w14:textId="77777777" w:rsidR="00F96637" w:rsidRPr="005C2D2C" w:rsidRDefault="00F96637" w:rsidP="001F26A6">
      <w:pPr>
        <w:pStyle w:val="FootnoteText"/>
        <w:rPr>
          <w:sz w:val="18"/>
          <w:szCs w:val="18"/>
          <w:lang w:val="en-AU"/>
        </w:rPr>
      </w:pPr>
      <w:r w:rsidRPr="00CB7CB5">
        <w:rPr>
          <w:rStyle w:val="FootnoteReference"/>
          <w:sz w:val="16"/>
          <w:szCs w:val="16"/>
        </w:rPr>
        <w:footnoteRef/>
      </w:r>
      <w:r w:rsidRPr="00CB7CB5">
        <w:rPr>
          <w:sz w:val="16"/>
          <w:szCs w:val="16"/>
        </w:rPr>
        <w:t xml:space="preserve"> Education Systems in Action: Transforming Data into Education Policy Implementation. SABER. World Bank Group. 2019.</w:t>
      </w:r>
    </w:p>
  </w:footnote>
  <w:footnote w:id="43">
    <w:p w14:paraId="16CE7E29" w14:textId="77777777" w:rsidR="00F96637" w:rsidRPr="004E780D" w:rsidRDefault="00F96637" w:rsidP="001F26A6">
      <w:pPr>
        <w:pStyle w:val="FootnoteText"/>
        <w:rPr>
          <w:sz w:val="16"/>
          <w:szCs w:val="16"/>
          <w:lang w:val="en-AU"/>
        </w:rPr>
      </w:pPr>
      <w:r w:rsidRPr="004E780D">
        <w:rPr>
          <w:rStyle w:val="FootnoteReference"/>
          <w:sz w:val="16"/>
          <w:szCs w:val="16"/>
        </w:rPr>
        <w:footnoteRef/>
      </w:r>
      <w:r w:rsidRPr="004E780D">
        <w:rPr>
          <w:sz w:val="16"/>
          <w:szCs w:val="16"/>
        </w:rPr>
        <w:t xml:space="preserve"> </w:t>
      </w:r>
      <w:r w:rsidRPr="004E780D">
        <w:rPr>
          <w:sz w:val="16"/>
          <w:szCs w:val="16"/>
          <w:lang w:val="en-AU"/>
        </w:rPr>
        <w:t>Sustainable Development Goal 4</w:t>
      </w:r>
    </w:p>
  </w:footnote>
  <w:footnote w:id="44">
    <w:p w14:paraId="0ACABB39" w14:textId="77777777" w:rsidR="00F96637" w:rsidRPr="004E780D" w:rsidRDefault="00F96637" w:rsidP="001F26A6">
      <w:pPr>
        <w:pStyle w:val="FootnoteText"/>
        <w:rPr>
          <w:sz w:val="16"/>
          <w:szCs w:val="16"/>
          <w:lang w:val="en-AU"/>
        </w:rPr>
      </w:pPr>
      <w:r w:rsidRPr="004E780D">
        <w:rPr>
          <w:rStyle w:val="FootnoteReference"/>
          <w:sz w:val="16"/>
          <w:szCs w:val="16"/>
        </w:rPr>
        <w:footnoteRef/>
      </w:r>
      <w:r w:rsidRPr="004E780D">
        <w:rPr>
          <w:sz w:val="16"/>
          <w:szCs w:val="16"/>
        </w:rPr>
        <w:t xml:space="preserve"> </w:t>
      </w:r>
      <w:r w:rsidRPr="004E780D">
        <w:rPr>
          <w:sz w:val="16"/>
          <w:szCs w:val="16"/>
          <w:lang w:val="en-AU"/>
        </w:rPr>
        <w:t>Partnerships for Recovery – Australia’s COVID-19 Response pg. 11</w:t>
      </w:r>
    </w:p>
  </w:footnote>
  <w:footnote w:id="45">
    <w:p w14:paraId="1E7D2265" w14:textId="77777777" w:rsidR="00F96637" w:rsidRPr="004E780D" w:rsidRDefault="00F96637" w:rsidP="001F26A6">
      <w:pPr>
        <w:pStyle w:val="FootnoteText"/>
        <w:rPr>
          <w:sz w:val="16"/>
          <w:szCs w:val="16"/>
          <w:lang w:val="en-AU"/>
        </w:rPr>
      </w:pPr>
      <w:r w:rsidRPr="004E780D">
        <w:rPr>
          <w:rStyle w:val="FootnoteReference"/>
          <w:sz w:val="16"/>
          <w:szCs w:val="16"/>
        </w:rPr>
        <w:footnoteRef/>
      </w:r>
      <w:r w:rsidRPr="004E780D">
        <w:rPr>
          <w:sz w:val="16"/>
          <w:szCs w:val="16"/>
        </w:rPr>
        <w:t xml:space="preserve"> </w:t>
      </w:r>
      <w:r w:rsidRPr="004E780D">
        <w:rPr>
          <w:sz w:val="16"/>
          <w:szCs w:val="16"/>
          <w:lang w:val="en-AU"/>
        </w:rPr>
        <w:t>Bank of Papua New Guinea</w:t>
      </w:r>
    </w:p>
  </w:footnote>
  <w:footnote w:id="46">
    <w:p w14:paraId="419D485F" w14:textId="77777777" w:rsidR="00F96637" w:rsidRPr="004E780D" w:rsidRDefault="00F96637" w:rsidP="001F26A6">
      <w:pPr>
        <w:pStyle w:val="FootnoteText"/>
        <w:rPr>
          <w:sz w:val="16"/>
          <w:szCs w:val="16"/>
        </w:rPr>
      </w:pPr>
      <w:r w:rsidRPr="004E780D">
        <w:rPr>
          <w:rStyle w:val="FootnoteReference"/>
          <w:sz w:val="16"/>
          <w:szCs w:val="16"/>
        </w:rPr>
        <w:footnoteRef/>
      </w:r>
      <w:r w:rsidRPr="004E780D">
        <w:rPr>
          <w:sz w:val="16"/>
          <w:szCs w:val="16"/>
        </w:rPr>
        <w:t xml:space="preserve"> tradingeconomics.com/papua-new-guinea/government-budget</w:t>
      </w:r>
    </w:p>
  </w:footnote>
  <w:footnote w:id="47">
    <w:p w14:paraId="49EE2985" w14:textId="77777777" w:rsidR="00F96637" w:rsidRPr="004E780D" w:rsidRDefault="00F96637" w:rsidP="001F26A6">
      <w:pPr>
        <w:pStyle w:val="FootnoteText"/>
        <w:rPr>
          <w:sz w:val="16"/>
          <w:szCs w:val="16"/>
          <w:lang w:val="en-AU"/>
        </w:rPr>
      </w:pPr>
      <w:r w:rsidRPr="004E780D">
        <w:rPr>
          <w:rStyle w:val="FootnoteReference"/>
          <w:sz w:val="16"/>
          <w:szCs w:val="16"/>
        </w:rPr>
        <w:footnoteRef/>
      </w:r>
      <w:r w:rsidRPr="004E780D">
        <w:rPr>
          <w:sz w:val="16"/>
          <w:szCs w:val="16"/>
        </w:rPr>
        <w:t xml:space="preserve"> </w:t>
      </w:r>
      <w:r w:rsidRPr="004E780D">
        <w:rPr>
          <w:sz w:val="16"/>
          <w:szCs w:val="16"/>
          <w:lang w:val="en-AU"/>
        </w:rPr>
        <w:t xml:space="preserve">Papua New Guinea Economic Update </w:t>
      </w:r>
      <w:r w:rsidRPr="004E780D">
        <w:rPr>
          <w:i/>
          <w:iCs/>
          <w:sz w:val="16"/>
          <w:szCs w:val="16"/>
          <w:lang w:val="en-AU"/>
        </w:rPr>
        <w:t xml:space="preserve">In the Time of COVID-19: From Relief to Recovery </w:t>
      </w:r>
      <w:r w:rsidRPr="004E780D">
        <w:rPr>
          <w:sz w:val="16"/>
          <w:szCs w:val="16"/>
          <w:lang w:val="en-AU"/>
        </w:rPr>
        <w:t>July, 2020</w:t>
      </w:r>
    </w:p>
  </w:footnote>
  <w:footnote w:id="48">
    <w:p w14:paraId="50BBB852" w14:textId="77777777" w:rsidR="00F96637" w:rsidRPr="00095D80" w:rsidRDefault="00F96637" w:rsidP="001F26A6">
      <w:pPr>
        <w:pStyle w:val="FootnoteText"/>
        <w:rPr>
          <w:sz w:val="18"/>
          <w:szCs w:val="18"/>
          <w:lang w:val="en-AU"/>
        </w:rPr>
      </w:pPr>
      <w:r w:rsidRPr="004E780D">
        <w:rPr>
          <w:rStyle w:val="FootnoteReference"/>
          <w:sz w:val="16"/>
          <w:szCs w:val="16"/>
        </w:rPr>
        <w:footnoteRef/>
      </w:r>
      <w:r w:rsidRPr="004E780D">
        <w:rPr>
          <w:sz w:val="16"/>
          <w:szCs w:val="16"/>
        </w:rPr>
        <w:t xml:space="preserve"> Joint World Bank-IMF Debt Sustainability analysis June 2020</w:t>
      </w:r>
    </w:p>
  </w:footnote>
  <w:footnote w:id="49">
    <w:p w14:paraId="4C9AF5EF" w14:textId="77777777" w:rsidR="00F96637" w:rsidRPr="004E780D" w:rsidRDefault="00F96637" w:rsidP="001F26A6">
      <w:pPr>
        <w:pStyle w:val="FootnoteText"/>
        <w:rPr>
          <w:sz w:val="16"/>
          <w:szCs w:val="16"/>
          <w:lang w:val="en-AU"/>
        </w:rPr>
      </w:pPr>
      <w:r w:rsidRPr="004E780D">
        <w:rPr>
          <w:rStyle w:val="FootnoteReference"/>
          <w:sz w:val="16"/>
          <w:szCs w:val="16"/>
        </w:rPr>
        <w:footnoteRef/>
      </w:r>
      <w:r w:rsidRPr="004E780D">
        <w:rPr>
          <w:sz w:val="16"/>
          <w:szCs w:val="16"/>
        </w:rPr>
        <w:t xml:space="preserve"> </w:t>
      </w:r>
      <w:r w:rsidRPr="004E780D">
        <w:rPr>
          <w:i/>
          <w:iCs/>
          <w:sz w:val="16"/>
          <w:szCs w:val="16"/>
        </w:rPr>
        <w:t xml:space="preserve">PNG COVID-19 Response Plan, </w:t>
      </w:r>
      <w:r w:rsidRPr="004E780D">
        <w:rPr>
          <w:sz w:val="16"/>
          <w:szCs w:val="16"/>
        </w:rPr>
        <w:t xml:space="preserve">Australian High Commission, Port Moresby, </w:t>
      </w:r>
      <w:r w:rsidRPr="004E780D">
        <w:rPr>
          <w:sz w:val="16"/>
          <w:szCs w:val="16"/>
          <w:lang w:val="en-AU"/>
        </w:rPr>
        <w:t>October 2020</w:t>
      </w:r>
    </w:p>
  </w:footnote>
  <w:footnote w:id="50">
    <w:p w14:paraId="6AFC73F7" w14:textId="77777777" w:rsidR="00F96637" w:rsidRPr="008D1FC5" w:rsidRDefault="00F96637" w:rsidP="001F26A6">
      <w:pPr>
        <w:pStyle w:val="FootnoteText"/>
        <w:rPr>
          <w:sz w:val="18"/>
          <w:szCs w:val="18"/>
          <w:lang w:val="en-AU"/>
        </w:rPr>
      </w:pPr>
      <w:r w:rsidRPr="004E780D">
        <w:rPr>
          <w:rStyle w:val="FootnoteReference"/>
          <w:sz w:val="16"/>
          <w:szCs w:val="16"/>
        </w:rPr>
        <w:footnoteRef/>
      </w:r>
      <w:r w:rsidRPr="004E780D">
        <w:rPr>
          <w:sz w:val="16"/>
          <w:szCs w:val="16"/>
        </w:rPr>
        <w:t xml:space="preserve"> </w:t>
      </w:r>
      <w:r w:rsidRPr="004E780D">
        <w:rPr>
          <w:sz w:val="16"/>
          <w:szCs w:val="16"/>
          <w:lang w:val="en-AU"/>
        </w:rPr>
        <w:t>Refer IDD Volume 2 – Appendix A</w:t>
      </w:r>
    </w:p>
  </w:footnote>
  <w:footnote w:id="51">
    <w:p w14:paraId="71F9B20E" w14:textId="77777777" w:rsidR="00F96637" w:rsidRPr="004E780D" w:rsidRDefault="00F96637" w:rsidP="001F26A6">
      <w:pPr>
        <w:pStyle w:val="FootnoteText"/>
        <w:rPr>
          <w:sz w:val="16"/>
          <w:szCs w:val="16"/>
          <w:lang w:val="en-AU"/>
        </w:rPr>
      </w:pPr>
      <w:r w:rsidRPr="004E780D">
        <w:rPr>
          <w:rStyle w:val="FootnoteReference"/>
          <w:sz w:val="16"/>
          <w:szCs w:val="16"/>
        </w:rPr>
        <w:footnoteRef/>
      </w:r>
      <w:r w:rsidRPr="004E780D">
        <w:rPr>
          <w:sz w:val="16"/>
          <w:szCs w:val="16"/>
        </w:rPr>
        <w:t xml:space="preserve"> </w:t>
      </w:r>
      <w:r w:rsidRPr="004E780D">
        <w:rPr>
          <w:sz w:val="16"/>
          <w:szCs w:val="16"/>
          <w:lang w:val="en-AU"/>
        </w:rPr>
        <w:t>Church Education Council Constitution 2020</w:t>
      </w:r>
      <w:r w:rsidRPr="004E780D">
        <w:rPr>
          <w:color w:val="FF0000"/>
          <w:sz w:val="16"/>
          <w:szCs w:val="16"/>
          <w:lang w:val="en-AU"/>
        </w:rPr>
        <w:t xml:space="preserve"> </w:t>
      </w:r>
      <w:r w:rsidRPr="004E780D">
        <w:rPr>
          <w:sz w:val="16"/>
          <w:szCs w:val="16"/>
          <w:lang w:val="en-AU"/>
        </w:rPr>
        <w:t>pg. 4</w:t>
      </w:r>
    </w:p>
  </w:footnote>
  <w:footnote w:id="52">
    <w:p w14:paraId="1330AF83" w14:textId="77777777" w:rsidR="00F96637" w:rsidRPr="004E780D" w:rsidRDefault="00F96637" w:rsidP="001F26A6">
      <w:pPr>
        <w:pStyle w:val="FootnoteText"/>
        <w:rPr>
          <w:sz w:val="16"/>
          <w:szCs w:val="16"/>
          <w:lang w:val="en-AU"/>
        </w:rPr>
      </w:pPr>
      <w:r w:rsidRPr="004E780D">
        <w:rPr>
          <w:rStyle w:val="FootnoteReference"/>
          <w:sz w:val="16"/>
          <w:szCs w:val="16"/>
        </w:rPr>
        <w:footnoteRef/>
      </w:r>
      <w:r w:rsidRPr="004E780D">
        <w:rPr>
          <w:sz w:val="16"/>
          <w:szCs w:val="16"/>
        </w:rPr>
        <w:t xml:space="preserve"> UN Convention on the Elimination of Discrimination against Women, Beijing Declaration and Platform for Action, UN Millennium Declaration.</w:t>
      </w:r>
    </w:p>
  </w:footnote>
  <w:footnote w:id="53">
    <w:p w14:paraId="4DC9E1C5" w14:textId="77777777" w:rsidR="00F96637" w:rsidRPr="004E780D" w:rsidRDefault="00F96637" w:rsidP="001F26A6">
      <w:pPr>
        <w:pStyle w:val="FootnoteText"/>
        <w:rPr>
          <w:sz w:val="16"/>
          <w:szCs w:val="16"/>
          <w:lang w:val="en-AU"/>
        </w:rPr>
      </w:pPr>
      <w:r w:rsidRPr="004E780D">
        <w:rPr>
          <w:rStyle w:val="FootnoteReference"/>
          <w:sz w:val="16"/>
          <w:szCs w:val="16"/>
        </w:rPr>
        <w:footnoteRef/>
      </w:r>
      <w:r w:rsidRPr="004E780D">
        <w:rPr>
          <w:sz w:val="16"/>
          <w:szCs w:val="16"/>
        </w:rPr>
        <w:t xml:space="preserve"> National Constitution, Council of Women Act 2013), </w:t>
      </w:r>
      <w:r w:rsidRPr="004E780D">
        <w:rPr>
          <w:sz w:val="16"/>
          <w:szCs w:val="16"/>
          <w:lang w:val="en-AU"/>
        </w:rPr>
        <w:t>Sexual Offences and Crimes Against Children Act (2002); Children Protection Act (2009; Family Protection Bill (passed 2013 but not implemented); National Women’s Policy, Gender Equity and Social Inclusion Policy.</w:t>
      </w:r>
    </w:p>
  </w:footnote>
  <w:footnote w:id="54">
    <w:p w14:paraId="54E730B6" w14:textId="77777777" w:rsidR="00F96637" w:rsidRPr="00391C72" w:rsidRDefault="00F96637" w:rsidP="001F26A6">
      <w:pPr>
        <w:pStyle w:val="FootnoteText"/>
        <w:rPr>
          <w:lang w:val="en-AU"/>
        </w:rPr>
      </w:pPr>
      <w:r w:rsidRPr="004E780D">
        <w:rPr>
          <w:rStyle w:val="FootnoteReference"/>
          <w:sz w:val="16"/>
          <w:szCs w:val="16"/>
        </w:rPr>
        <w:footnoteRef/>
      </w:r>
      <w:r w:rsidRPr="004E780D">
        <w:rPr>
          <w:sz w:val="16"/>
          <w:szCs w:val="16"/>
        </w:rPr>
        <w:t xml:space="preserve"> PNG </w:t>
      </w:r>
      <w:r w:rsidRPr="004E780D">
        <w:rPr>
          <w:sz w:val="16"/>
          <w:szCs w:val="16"/>
          <w:lang w:val="en-AU"/>
        </w:rPr>
        <w:t>National Education Plan 2020-2029</w:t>
      </w:r>
    </w:p>
  </w:footnote>
  <w:footnote w:id="55">
    <w:p w14:paraId="44449068" w14:textId="77777777" w:rsidR="00F96637" w:rsidRPr="004E780D" w:rsidRDefault="00F96637" w:rsidP="001F26A6">
      <w:pPr>
        <w:pStyle w:val="Heading1"/>
        <w:spacing w:before="0"/>
        <w:rPr>
          <w:rFonts w:asciiTheme="minorHAnsi" w:hAnsiTheme="minorHAnsi" w:cstheme="minorHAnsi"/>
          <w:color w:val="44546A" w:themeColor="text2"/>
          <w:sz w:val="16"/>
          <w:szCs w:val="16"/>
        </w:rPr>
      </w:pPr>
      <w:r w:rsidRPr="004E780D">
        <w:rPr>
          <w:rStyle w:val="FootnoteReference"/>
          <w:rFonts w:asciiTheme="minorHAnsi" w:hAnsiTheme="minorHAnsi" w:cstheme="minorHAnsi"/>
          <w:sz w:val="16"/>
          <w:szCs w:val="16"/>
        </w:rPr>
        <w:footnoteRef/>
      </w:r>
      <w:r w:rsidRPr="004E780D">
        <w:rPr>
          <w:rFonts w:asciiTheme="minorHAnsi" w:hAnsiTheme="minorHAnsi" w:cstheme="minorHAnsi"/>
          <w:sz w:val="16"/>
          <w:szCs w:val="16"/>
        </w:rPr>
        <w:t xml:space="preserve"> </w:t>
      </w:r>
      <w:r w:rsidRPr="004E780D">
        <w:rPr>
          <w:rFonts w:asciiTheme="minorHAnsi" w:hAnsiTheme="minorHAnsi" w:cstheme="minorHAnsi"/>
          <w:color w:val="44546A" w:themeColor="text2"/>
          <w:sz w:val="16"/>
          <w:szCs w:val="16"/>
        </w:rPr>
        <w:t>Comprehensive Strategic and Economic Partnership – Australia and PNG – 5</w:t>
      </w:r>
      <w:r w:rsidRPr="004E780D">
        <w:rPr>
          <w:rFonts w:asciiTheme="minorHAnsi" w:hAnsiTheme="minorHAnsi" w:cstheme="minorHAnsi"/>
          <w:color w:val="44546A" w:themeColor="text2"/>
          <w:sz w:val="16"/>
          <w:szCs w:val="16"/>
          <w:vertAlign w:val="superscript"/>
        </w:rPr>
        <w:t>th</w:t>
      </w:r>
      <w:r w:rsidRPr="004E780D">
        <w:rPr>
          <w:rFonts w:asciiTheme="minorHAnsi" w:hAnsiTheme="minorHAnsi" w:cstheme="minorHAnsi"/>
          <w:color w:val="44546A" w:themeColor="text2"/>
          <w:sz w:val="16"/>
          <w:szCs w:val="16"/>
        </w:rPr>
        <w:t xml:space="preserve"> August, 2020</w:t>
      </w:r>
    </w:p>
  </w:footnote>
  <w:footnote w:id="56">
    <w:p w14:paraId="1564BAE7" w14:textId="77777777" w:rsidR="00F96637" w:rsidRPr="00B878EB" w:rsidRDefault="00F96637" w:rsidP="001F26A6">
      <w:pPr>
        <w:pStyle w:val="FootnoteText"/>
        <w:rPr>
          <w:rFonts w:cstheme="minorHAnsi"/>
          <w:sz w:val="18"/>
          <w:szCs w:val="18"/>
        </w:rPr>
      </w:pPr>
      <w:r w:rsidRPr="004E780D">
        <w:rPr>
          <w:rStyle w:val="FootnoteReference"/>
          <w:rFonts w:cstheme="minorHAnsi"/>
          <w:sz w:val="16"/>
          <w:szCs w:val="16"/>
        </w:rPr>
        <w:footnoteRef/>
      </w:r>
      <w:r w:rsidRPr="004E780D">
        <w:rPr>
          <w:rFonts w:cstheme="minorHAnsi"/>
          <w:sz w:val="16"/>
          <w:szCs w:val="16"/>
        </w:rPr>
        <w:t xml:space="preserve"> Refer Section H. Budget and resources</w:t>
      </w:r>
    </w:p>
  </w:footnote>
  <w:footnote w:id="57">
    <w:p w14:paraId="5462F095" w14:textId="77777777" w:rsidR="00F96637" w:rsidRPr="00391C72" w:rsidRDefault="00F96637" w:rsidP="001F26A6">
      <w:pPr>
        <w:pStyle w:val="FootnoteText"/>
        <w:rPr>
          <w:lang w:val="en-AU"/>
        </w:rPr>
      </w:pPr>
      <w:r w:rsidRPr="004E780D">
        <w:rPr>
          <w:rStyle w:val="FootnoteReference"/>
          <w:sz w:val="16"/>
          <w:szCs w:val="16"/>
        </w:rPr>
        <w:footnoteRef/>
      </w:r>
      <w:r w:rsidRPr="004E780D">
        <w:rPr>
          <w:sz w:val="16"/>
          <w:szCs w:val="16"/>
        </w:rPr>
        <w:t xml:space="preserve"> https://devpolicy.org/better-monitoring-needed-to-transform-slush-funds-into-development-funds-in-png-20200922/</w:t>
      </w:r>
    </w:p>
  </w:footnote>
  <w:footnote w:id="58">
    <w:p w14:paraId="72B45499" w14:textId="77777777" w:rsidR="00F96637" w:rsidRPr="00A95555" w:rsidRDefault="00F96637" w:rsidP="001F26A6">
      <w:pPr>
        <w:pStyle w:val="FootnoteText"/>
        <w:rPr>
          <w:sz w:val="18"/>
          <w:szCs w:val="18"/>
        </w:rPr>
      </w:pPr>
      <w:r w:rsidRPr="004E780D">
        <w:rPr>
          <w:rStyle w:val="FootnoteReference"/>
          <w:sz w:val="16"/>
          <w:szCs w:val="16"/>
        </w:rPr>
        <w:footnoteRef/>
      </w:r>
      <w:r w:rsidRPr="004E780D">
        <w:rPr>
          <w:sz w:val="16"/>
          <w:szCs w:val="16"/>
        </w:rPr>
        <w:t xml:space="preserve"> The NDoE Census was not completed in 2020 due to COVID-19 constraints.</w:t>
      </w:r>
    </w:p>
  </w:footnote>
  <w:footnote w:id="59">
    <w:p w14:paraId="0B1E74EF" w14:textId="03C5CC77" w:rsidR="00F96637" w:rsidRPr="004E780D" w:rsidRDefault="00F96637" w:rsidP="001F26A6">
      <w:pPr>
        <w:pStyle w:val="FootnoteText"/>
        <w:rPr>
          <w:sz w:val="16"/>
          <w:szCs w:val="16"/>
        </w:rPr>
      </w:pPr>
      <w:r w:rsidRPr="004E780D">
        <w:rPr>
          <w:rStyle w:val="FootnoteReference"/>
          <w:sz w:val="16"/>
          <w:szCs w:val="16"/>
        </w:rPr>
        <w:footnoteRef/>
      </w:r>
      <w:r w:rsidRPr="004E780D">
        <w:rPr>
          <w:sz w:val="16"/>
          <w:szCs w:val="16"/>
        </w:rPr>
        <w:t xml:space="preserve"> DFAT, 2022, PNG COVID-19-Response Plan </w:t>
      </w:r>
    </w:p>
  </w:footnote>
  <w:footnote w:id="60">
    <w:p w14:paraId="2A78B856" w14:textId="40D4A09E" w:rsidR="00F96637" w:rsidRPr="004E780D" w:rsidRDefault="00F96637" w:rsidP="001F26A6">
      <w:pPr>
        <w:pStyle w:val="FootnoteText"/>
        <w:rPr>
          <w:sz w:val="16"/>
          <w:szCs w:val="16"/>
        </w:rPr>
      </w:pPr>
      <w:r w:rsidRPr="004E780D">
        <w:rPr>
          <w:rStyle w:val="FootnoteReference"/>
          <w:sz w:val="16"/>
          <w:szCs w:val="16"/>
        </w:rPr>
        <w:footnoteRef/>
      </w:r>
      <w:r w:rsidRPr="004E780D">
        <w:rPr>
          <w:sz w:val="16"/>
          <w:szCs w:val="16"/>
        </w:rPr>
        <w:t xml:space="preserve"> Socio-Economic Impact Assessment of COVID-19 on Papua New Guinea March 2020 pg. 30</w:t>
      </w:r>
    </w:p>
  </w:footnote>
  <w:footnote w:id="61">
    <w:p w14:paraId="744487F7" w14:textId="77777777" w:rsidR="00F96637" w:rsidRPr="004E780D" w:rsidRDefault="00F96637" w:rsidP="001F26A6">
      <w:pPr>
        <w:pStyle w:val="FootnoteText"/>
        <w:rPr>
          <w:sz w:val="16"/>
          <w:szCs w:val="16"/>
        </w:rPr>
      </w:pPr>
      <w:r w:rsidRPr="004E780D">
        <w:rPr>
          <w:rStyle w:val="FootnoteReference"/>
          <w:sz w:val="16"/>
          <w:szCs w:val="16"/>
        </w:rPr>
        <w:footnoteRef/>
      </w:r>
      <w:r w:rsidRPr="004E780D">
        <w:rPr>
          <w:sz w:val="16"/>
          <w:szCs w:val="16"/>
        </w:rPr>
        <w:t xml:space="preserve"> Save the Children Fund PNG presentation to the World Bank- Cash &amp; Voucher Assistance Preparedness March 2021 pg. 5</w:t>
      </w:r>
    </w:p>
  </w:footnote>
  <w:footnote w:id="62">
    <w:p w14:paraId="04210EF0" w14:textId="77777777" w:rsidR="00F96637" w:rsidRPr="004E780D" w:rsidRDefault="00F96637" w:rsidP="001F26A6">
      <w:pPr>
        <w:pStyle w:val="FootnoteText"/>
        <w:rPr>
          <w:sz w:val="16"/>
          <w:szCs w:val="16"/>
        </w:rPr>
      </w:pPr>
      <w:r w:rsidRPr="004E780D">
        <w:rPr>
          <w:rStyle w:val="FootnoteReference"/>
          <w:sz w:val="16"/>
          <w:szCs w:val="16"/>
        </w:rPr>
        <w:footnoteRef/>
      </w:r>
      <w:r w:rsidRPr="004E780D">
        <w:rPr>
          <w:sz w:val="16"/>
          <w:szCs w:val="16"/>
        </w:rPr>
        <w:t xml:space="preserve"> World Bank Group – PNG Economic Update January 2021 </w:t>
      </w:r>
      <w:r w:rsidRPr="004E780D">
        <w:rPr>
          <w:i/>
          <w:iCs/>
          <w:sz w:val="16"/>
          <w:szCs w:val="16"/>
        </w:rPr>
        <w:t>Dealing with a Triple Crisis pg. 44</w:t>
      </w:r>
      <w:r w:rsidRPr="004E780D">
        <w:rPr>
          <w:sz w:val="16"/>
          <w:szCs w:val="16"/>
        </w:rPr>
        <w:t xml:space="preserve"> </w:t>
      </w:r>
    </w:p>
  </w:footnote>
  <w:footnote w:id="63">
    <w:p w14:paraId="0346B893" w14:textId="77777777" w:rsidR="00F96637" w:rsidRPr="004E780D" w:rsidRDefault="00F96637" w:rsidP="001F26A6">
      <w:pPr>
        <w:rPr>
          <w:sz w:val="16"/>
          <w:szCs w:val="16"/>
        </w:rPr>
      </w:pPr>
      <w:r w:rsidRPr="004E780D">
        <w:rPr>
          <w:rStyle w:val="FootnoteReference"/>
          <w:sz w:val="16"/>
          <w:szCs w:val="16"/>
        </w:rPr>
        <w:footnoteRef/>
      </w:r>
      <w:r w:rsidRPr="004E780D">
        <w:rPr>
          <w:sz w:val="16"/>
          <w:szCs w:val="16"/>
        </w:rPr>
        <w:t xml:space="preserve"> Snilstveit, B, Stevenson, J, Phillips, D, Vojtkova, M, Gallagher, E, Schmidt, T, Jobse, H, Geelen, M, Pastorello, M, and Eyers, J, 2015. Interventions for improving learning outcomes and access to education in low- and middle- income countries: a systematic review, 3ie Systematic Review 24. London: International Initiative for Impact Evaluation (3ie).</w:t>
      </w:r>
    </w:p>
  </w:footnote>
  <w:footnote w:id="64">
    <w:p w14:paraId="4B239966" w14:textId="57841C63" w:rsidR="00F96637" w:rsidRPr="004E780D" w:rsidRDefault="00F96637" w:rsidP="001F26A6">
      <w:pPr>
        <w:pStyle w:val="FootnoteText"/>
        <w:rPr>
          <w:sz w:val="16"/>
          <w:szCs w:val="16"/>
        </w:rPr>
      </w:pPr>
      <w:r w:rsidRPr="004E780D">
        <w:rPr>
          <w:rStyle w:val="FootnoteReference"/>
          <w:sz w:val="16"/>
          <w:szCs w:val="16"/>
        </w:rPr>
        <w:footnoteRef/>
      </w:r>
      <w:r w:rsidRPr="004E780D">
        <w:rPr>
          <w:sz w:val="16"/>
          <w:szCs w:val="16"/>
        </w:rPr>
        <w:t xml:space="preserve"> </w:t>
      </w:r>
      <w:r w:rsidRPr="004E780D">
        <w:rPr>
          <w:i/>
          <w:iCs/>
          <w:sz w:val="16"/>
          <w:szCs w:val="16"/>
        </w:rPr>
        <w:t xml:space="preserve">Gender and Education Assessment, Papua New Guinea: A review of the literature on girls and education. </w:t>
      </w:r>
      <w:r w:rsidRPr="004E780D">
        <w:rPr>
          <w:sz w:val="16"/>
          <w:szCs w:val="16"/>
        </w:rPr>
        <w:t>Dr Jan Edwards on behalf of the Education Capacity Development Facility July 2015 pg. 13 and pg. 24</w:t>
      </w:r>
    </w:p>
  </w:footnote>
  <w:footnote w:id="65">
    <w:p w14:paraId="2FC0A82A" w14:textId="0791C2DE" w:rsidR="00F96637" w:rsidRPr="004E780D" w:rsidRDefault="00F96637" w:rsidP="001F26A6">
      <w:pPr>
        <w:pStyle w:val="FootnoteText"/>
        <w:rPr>
          <w:sz w:val="16"/>
          <w:szCs w:val="16"/>
          <w:lang w:val="en-AU"/>
        </w:rPr>
      </w:pPr>
      <w:r w:rsidRPr="004E780D">
        <w:rPr>
          <w:rStyle w:val="FootnoteReference"/>
          <w:sz w:val="16"/>
          <w:szCs w:val="16"/>
        </w:rPr>
        <w:footnoteRef/>
      </w:r>
      <w:r w:rsidRPr="004E780D">
        <w:rPr>
          <w:sz w:val="16"/>
          <w:szCs w:val="16"/>
        </w:rPr>
        <w:t xml:space="preserve"> </w:t>
      </w:r>
      <w:r w:rsidRPr="004E780D">
        <w:rPr>
          <w:sz w:val="16"/>
          <w:szCs w:val="16"/>
          <w:lang w:val="en-AU"/>
        </w:rPr>
        <w:t>This is the by-line to the National Education Plan 2020-2029.</w:t>
      </w:r>
    </w:p>
  </w:footnote>
  <w:footnote w:id="66">
    <w:p w14:paraId="0D001007" w14:textId="1068BBC5" w:rsidR="00F96637" w:rsidRPr="00391C72" w:rsidRDefault="00F96637" w:rsidP="001F26A6">
      <w:pPr>
        <w:pStyle w:val="FootnoteText"/>
        <w:rPr>
          <w:lang w:val="en-AU"/>
        </w:rPr>
      </w:pPr>
      <w:r w:rsidRPr="004E780D">
        <w:rPr>
          <w:rStyle w:val="FootnoteReference"/>
          <w:sz w:val="16"/>
          <w:szCs w:val="16"/>
        </w:rPr>
        <w:footnoteRef/>
      </w:r>
      <w:r w:rsidRPr="004E780D">
        <w:rPr>
          <w:sz w:val="16"/>
          <w:szCs w:val="16"/>
        </w:rPr>
        <w:t xml:space="preserve"> Effective starting with the 2021 school year, parents are required to pay 32 percent of the tuition for primary school attendance. This equates to 113 Kina - based on exchange rates at the time of design of 1 Kina = 0.37 AUD, this is 41.81 AUD. However, tuition is only one cost faced by a family in sending their child to school – other costs include transportation, meals, clothing, supplies and additional fees imposed by the school. This does not include additional costs for children with disabilities. It is suggested that the funding could also serve as a form of subsidy to address other</w:t>
      </w:r>
      <w:r w:rsidRPr="00C2574B">
        <w:rPr>
          <w:sz w:val="18"/>
          <w:szCs w:val="18"/>
        </w:rPr>
        <w:t xml:space="preserve"> </w:t>
      </w:r>
      <w:r w:rsidRPr="004E780D">
        <w:rPr>
          <w:sz w:val="16"/>
          <w:szCs w:val="16"/>
        </w:rPr>
        <w:t>education related costs. A minimal calculation of 100 AUD per child was used to estimate the total fund allocation. At 100 AUD per child, 10,000 children per year could be assisted to attend school and would serve as rigorous demonstration of the effect of this form of intervention.  For Enga and Sandaun combined, the number of children who do not continue to Grade 4 after enrolling in Preparatory is estimated at 22,000. This does not include the number of children in the two provinces who never enrolled in the first place.</w:t>
      </w:r>
    </w:p>
  </w:footnote>
  <w:footnote w:id="67">
    <w:p w14:paraId="56739BEE" w14:textId="77777777" w:rsidR="00F96637" w:rsidRPr="004E780D" w:rsidRDefault="00F96637" w:rsidP="001F26A6">
      <w:pPr>
        <w:pStyle w:val="FootnoteText"/>
        <w:rPr>
          <w:sz w:val="16"/>
          <w:szCs w:val="16"/>
          <w:lang w:val="en-AU"/>
        </w:rPr>
      </w:pPr>
      <w:r w:rsidRPr="004E780D">
        <w:rPr>
          <w:rStyle w:val="FootnoteReference"/>
          <w:sz w:val="16"/>
          <w:szCs w:val="16"/>
        </w:rPr>
        <w:footnoteRef/>
      </w:r>
      <w:r w:rsidRPr="004E780D">
        <w:rPr>
          <w:sz w:val="16"/>
          <w:szCs w:val="16"/>
        </w:rPr>
        <w:t xml:space="preserve"> For Enga and Sandaun, the estimated number of teachers that are not qualified is close to 1,000.</w:t>
      </w:r>
    </w:p>
  </w:footnote>
  <w:footnote w:id="68">
    <w:p w14:paraId="2C31ECED" w14:textId="7E412672" w:rsidR="00F96637" w:rsidRPr="00391C72" w:rsidRDefault="00F96637" w:rsidP="001F26A6">
      <w:pPr>
        <w:pStyle w:val="FootnoteText"/>
        <w:rPr>
          <w:lang w:val="en-AU"/>
        </w:rPr>
      </w:pPr>
      <w:r w:rsidRPr="004E780D">
        <w:rPr>
          <w:rStyle w:val="FootnoteReference"/>
          <w:sz w:val="16"/>
          <w:szCs w:val="16"/>
        </w:rPr>
        <w:footnoteRef/>
      </w:r>
      <w:r w:rsidRPr="004E780D">
        <w:rPr>
          <w:sz w:val="16"/>
          <w:szCs w:val="16"/>
        </w:rPr>
        <w:t xml:space="preserve"> Given the low levels of education among elementary teachers, </w:t>
      </w:r>
      <w:r>
        <w:rPr>
          <w:sz w:val="16"/>
          <w:szCs w:val="16"/>
          <w:lang w:val="en-AU"/>
        </w:rPr>
        <w:t xml:space="preserve">PIE support should focus on an approach </w:t>
      </w:r>
      <w:r w:rsidRPr="004E780D">
        <w:rPr>
          <w:sz w:val="16"/>
          <w:szCs w:val="16"/>
          <w:lang w:val="en-AU"/>
        </w:rPr>
        <w:t>that directly addresses student learning</w:t>
      </w:r>
      <w:r>
        <w:rPr>
          <w:sz w:val="16"/>
          <w:szCs w:val="16"/>
          <w:lang w:val="en-AU"/>
        </w:rPr>
        <w:t xml:space="preserve"> (rather than credentials led)</w:t>
      </w:r>
      <w:r w:rsidRPr="004E780D">
        <w:rPr>
          <w:sz w:val="16"/>
          <w:szCs w:val="16"/>
          <w:lang w:val="en-AU"/>
        </w:rPr>
        <w:t xml:space="preserve">, working with the teaching body that exists and drawing on proven models in similar contexts such as </w:t>
      </w:r>
      <w:r w:rsidRPr="004E780D">
        <w:rPr>
          <w:sz w:val="16"/>
          <w:szCs w:val="16"/>
        </w:rPr>
        <w:t>BRAC model which provides structured (not scripted) learning plans tailored to young children, coupled with ongoing, and intensive teacher support by well-trained mentors</w:t>
      </w:r>
      <w:r w:rsidRPr="004E780D">
        <w:rPr>
          <w:rFonts w:cs="Arial"/>
          <w:color w:val="auto"/>
          <w:sz w:val="16"/>
          <w:szCs w:val="16"/>
        </w:rPr>
        <w:t>.</w:t>
      </w:r>
    </w:p>
  </w:footnote>
  <w:footnote w:id="69">
    <w:p w14:paraId="7BCB95C7" w14:textId="0132DBC4" w:rsidR="00F96637" w:rsidRPr="004E780D" w:rsidRDefault="00F96637" w:rsidP="00736D3C">
      <w:pPr>
        <w:rPr>
          <w:rFonts w:ascii="Times New Roman" w:eastAsia="Times New Roman" w:hAnsi="Times New Roman" w:cs="Times New Roman"/>
          <w:color w:val="auto"/>
          <w:sz w:val="16"/>
          <w:szCs w:val="16"/>
          <w:lang w:val="en-AU" w:eastAsia="en-GB"/>
        </w:rPr>
      </w:pPr>
      <w:r w:rsidRPr="004E780D">
        <w:rPr>
          <w:rStyle w:val="FootnoteReference"/>
          <w:sz w:val="16"/>
          <w:szCs w:val="16"/>
        </w:rPr>
        <w:footnoteRef/>
      </w:r>
      <w:r w:rsidRPr="004E780D">
        <w:rPr>
          <w:sz w:val="16"/>
          <w:szCs w:val="16"/>
        </w:rPr>
        <w:t xml:space="preserve"> </w:t>
      </w:r>
      <w:r w:rsidRPr="004E780D">
        <w:rPr>
          <w:sz w:val="16"/>
          <w:szCs w:val="16"/>
          <w:lang w:val="en-AU"/>
        </w:rPr>
        <w:t>T</w:t>
      </w:r>
      <w:r w:rsidRPr="004E780D">
        <w:rPr>
          <w:rFonts w:ascii="Calibri" w:eastAsia="Calibri" w:hAnsi="Calibri" w:cs="Calibri"/>
          <w:sz w:val="16"/>
          <w:szCs w:val="16"/>
          <w:lang w:val="en-US"/>
        </w:rPr>
        <w:t xml:space="preserve">he Research on Improving Systems of Education (RISE) Programme is a global research </w:t>
      </w:r>
      <w:r w:rsidRPr="00341DF0">
        <w:rPr>
          <w:rFonts w:ascii="Calibri" w:eastAsia="Calibri" w:hAnsi="Calibri" w:cs="Calibri"/>
          <w:sz w:val="16"/>
          <w:szCs w:val="16"/>
        </w:rPr>
        <w:t>endeavour</w:t>
      </w:r>
      <w:r w:rsidRPr="004E780D">
        <w:rPr>
          <w:rFonts w:ascii="Calibri" w:eastAsia="Calibri" w:hAnsi="Calibri" w:cs="Calibri"/>
          <w:sz w:val="16"/>
          <w:szCs w:val="16"/>
          <w:lang w:val="en-US"/>
        </w:rPr>
        <w:t xml:space="preserve"> that seeks to understand how education systems in developing countries can overcome the learning crisis. The </w:t>
      </w:r>
      <w:hyperlink r:id="rId4" w:history="1">
        <w:r w:rsidRPr="004E780D">
          <w:rPr>
            <w:rStyle w:val="Hyperlink"/>
            <w:rFonts w:ascii="Calibri" w:eastAsia="Calibri" w:hAnsi="Calibri" w:cs="Calibri"/>
            <w:sz w:val="16"/>
            <w:szCs w:val="16"/>
            <w:lang w:val="en-US"/>
          </w:rPr>
          <w:t>ALIGNS Insight Note</w:t>
        </w:r>
      </w:hyperlink>
      <w:r w:rsidRPr="004E780D">
        <w:rPr>
          <w:rFonts w:ascii="Calibri" w:eastAsia="Calibri" w:hAnsi="Calibri" w:cs="Calibri"/>
          <w:sz w:val="16"/>
          <w:szCs w:val="16"/>
          <w:lang w:val="en-US"/>
        </w:rPr>
        <w:t xml:space="preserve"> presents a set of principles shared by varied approaches that have all succeeded in improving foundational learning in developing countries. </w:t>
      </w:r>
    </w:p>
  </w:footnote>
  <w:footnote w:id="70">
    <w:p w14:paraId="5B644140" w14:textId="1B9396FA" w:rsidR="00F96637" w:rsidRPr="00477C43" w:rsidRDefault="00F96637" w:rsidP="002D3F42">
      <w:pPr>
        <w:tabs>
          <w:tab w:val="left" w:pos="227"/>
        </w:tabs>
        <w:rPr>
          <w:lang w:val="en-AU"/>
        </w:rPr>
      </w:pPr>
      <w:r>
        <w:rPr>
          <w:rStyle w:val="FootnoteReference"/>
        </w:rPr>
        <w:footnoteRef/>
      </w:r>
      <w:r>
        <w:t xml:space="preserve"> </w:t>
      </w:r>
      <w:r>
        <w:rPr>
          <w:rFonts w:ascii="Calibri" w:eastAsia="Calibri" w:hAnsi="Calibri" w:cs="Calibri"/>
          <w:sz w:val="16"/>
          <w:szCs w:val="16"/>
          <w:lang w:val="en-US"/>
        </w:rPr>
        <w:t>T</w:t>
      </w:r>
      <w:r w:rsidRPr="00477C43">
        <w:rPr>
          <w:rFonts w:ascii="Calibri" w:eastAsia="Calibri" w:hAnsi="Calibri" w:cs="Calibri"/>
          <w:sz w:val="16"/>
          <w:szCs w:val="16"/>
          <w:lang w:val="en-US"/>
        </w:rPr>
        <w:t xml:space="preserve">here are </w:t>
      </w:r>
      <w:r>
        <w:rPr>
          <w:rFonts w:ascii="Calibri" w:eastAsia="Calibri" w:hAnsi="Calibri" w:cs="Calibri"/>
          <w:sz w:val="16"/>
          <w:szCs w:val="16"/>
          <w:lang w:val="en-US"/>
        </w:rPr>
        <w:t xml:space="preserve">proven, low-cost </w:t>
      </w:r>
      <w:r w:rsidRPr="00477C43">
        <w:rPr>
          <w:rFonts w:ascii="Calibri" w:eastAsia="Calibri" w:hAnsi="Calibri" w:cs="Calibri"/>
          <w:sz w:val="16"/>
          <w:szCs w:val="16"/>
          <w:lang w:val="en-US"/>
        </w:rPr>
        <w:t xml:space="preserve">methods that </w:t>
      </w:r>
      <w:r>
        <w:rPr>
          <w:rFonts w:ascii="Calibri" w:eastAsia="Calibri" w:hAnsi="Calibri" w:cs="Calibri"/>
          <w:sz w:val="16"/>
          <w:szCs w:val="16"/>
          <w:lang w:val="en-US"/>
        </w:rPr>
        <w:t>are relatively simple to administer that could be</w:t>
      </w:r>
      <w:r w:rsidRPr="00477C43">
        <w:rPr>
          <w:rFonts w:ascii="Calibri" w:eastAsia="Calibri" w:hAnsi="Calibri" w:cs="Calibri"/>
          <w:sz w:val="16"/>
          <w:szCs w:val="16"/>
          <w:lang w:val="en-US"/>
        </w:rPr>
        <w:t xml:space="preserve"> </w:t>
      </w:r>
      <w:r>
        <w:rPr>
          <w:rFonts w:ascii="Calibri" w:eastAsia="Calibri" w:hAnsi="Calibri" w:cs="Calibri"/>
          <w:sz w:val="16"/>
          <w:szCs w:val="16"/>
          <w:lang w:val="en-US"/>
        </w:rPr>
        <w:t>used by PIE</w:t>
      </w:r>
      <w:r w:rsidRPr="00477C43">
        <w:rPr>
          <w:rFonts w:ascii="Calibri" w:eastAsia="Calibri" w:hAnsi="Calibri" w:cs="Calibri"/>
          <w:sz w:val="16"/>
          <w:szCs w:val="16"/>
          <w:lang w:val="en-US"/>
        </w:rPr>
        <w:t xml:space="preserve"> (e.g., citizen-led, household-based assessment initiatives convened by the </w:t>
      </w:r>
      <w:hyperlink r:id="rId5" w:history="1">
        <w:r w:rsidRPr="00477C43">
          <w:rPr>
            <w:rFonts w:ascii="Calibri" w:eastAsia="Calibri" w:hAnsi="Calibri" w:cs="Calibri"/>
            <w:sz w:val="16"/>
            <w:szCs w:val="16"/>
            <w:lang w:val="en-US"/>
          </w:rPr>
          <w:t>PAL Network</w:t>
        </w:r>
      </w:hyperlink>
      <w:r w:rsidRPr="00477C43">
        <w:rPr>
          <w:rFonts w:ascii="Calibri" w:eastAsia="Calibri" w:hAnsi="Calibri" w:cs="Calibri"/>
          <w:sz w:val="16"/>
          <w:szCs w:val="16"/>
          <w:lang w:val="en-US"/>
        </w:rPr>
        <w:t>), and DFAT’s partnership with ACER (the GEM Centre) could be leveraged.</w:t>
      </w:r>
      <w:r>
        <w:rPr>
          <w:color w:val="auto"/>
          <w:szCs w:val="20"/>
        </w:rPr>
        <w:t xml:space="preserve">   </w:t>
      </w:r>
    </w:p>
  </w:footnote>
  <w:footnote w:id="71">
    <w:p w14:paraId="7C1932D5" w14:textId="3153106C" w:rsidR="00F96637" w:rsidRPr="002D3F42" w:rsidRDefault="00F96637" w:rsidP="002D3F42">
      <w:pPr>
        <w:pStyle w:val="Heading5"/>
        <w:shd w:val="clear" w:color="auto" w:fill="FFFFFF"/>
        <w:spacing w:before="75" w:after="150"/>
        <w:rPr>
          <w:rFonts w:ascii="Roboto Condensed" w:hAnsi="Roboto Condensed"/>
          <w:color w:val="1C75BC"/>
          <w:sz w:val="21"/>
          <w:szCs w:val="21"/>
          <w:lang w:val="en-AU"/>
        </w:rPr>
      </w:pPr>
      <w:r>
        <w:rPr>
          <w:rStyle w:val="FootnoteReference"/>
        </w:rPr>
        <w:footnoteRef/>
      </w:r>
      <w:r>
        <w:t xml:space="preserve"> </w:t>
      </w:r>
      <w:r w:rsidRPr="002D3F42">
        <w:rPr>
          <w:rFonts w:ascii="Calibri" w:eastAsia="Calibri" w:hAnsi="Calibri" w:cs="Calibri"/>
          <w:color w:val="44546A" w:themeColor="text2"/>
          <w:sz w:val="16"/>
          <w:szCs w:val="16"/>
          <w:lang w:val="en-US"/>
        </w:rPr>
        <w:t>SDG Target 4.1: By 2030, ensure that all girls and boys complete free, equitable and quality primary and secondary education leading to relevant and effective learning outcomes</w:t>
      </w:r>
      <w:r>
        <w:rPr>
          <w:rFonts w:ascii="Calibri" w:eastAsia="Calibri" w:hAnsi="Calibri" w:cs="Calibri"/>
          <w:color w:val="44546A" w:themeColor="text2"/>
          <w:sz w:val="16"/>
          <w:szCs w:val="16"/>
          <w:lang w:val="en-US"/>
        </w:rPr>
        <w:t xml:space="preserve">. </w:t>
      </w:r>
      <w:r w:rsidRPr="002D3F42">
        <w:rPr>
          <w:rFonts w:ascii="Calibri" w:eastAsia="Calibri" w:hAnsi="Calibri" w:cs="Calibri"/>
          <w:color w:val="44546A" w:themeColor="text2"/>
          <w:sz w:val="16"/>
          <w:szCs w:val="16"/>
          <w:lang w:val="en-US"/>
        </w:rPr>
        <w:t>Indicator 4.1.1: Proportion of children and young people (a) in grades 2/3; achieving at least a minimum proficiency level in (i) reading and (ii) mathematics, by sex</w:t>
      </w:r>
    </w:p>
  </w:footnote>
  <w:footnote w:id="72">
    <w:p w14:paraId="125B166B" w14:textId="77777777" w:rsidR="00F96637" w:rsidRPr="004E780D" w:rsidRDefault="00F96637" w:rsidP="001F26A6">
      <w:pPr>
        <w:pStyle w:val="FootnoteText"/>
        <w:rPr>
          <w:sz w:val="16"/>
          <w:szCs w:val="16"/>
        </w:rPr>
      </w:pPr>
      <w:r w:rsidRPr="004E780D">
        <w:rPr>
          <w:rStyle w:val="FootnoteReference"/>
          <w:sz w:val="16"/>
          <w:szCs w:val="16"/>
        </w:rPr>
        <w:footnoteRef/>
      </w:r>
      <w:r w:rsidRPr="004E780D">
        <w:rPr>
          <w:sz w:val="16"/>
          <w:szCs w:val="16"/>
        </w:rPr>
        <w:t xml:space="preserve"> ‘Determination Assigning Service Delivery Functions and Responsibilities to Provincial and Local-Level Governments 2009 Provincial Local Level Services Monitoring Authority on the decision of the National Executive Council</w:t>
      </w:r>
    </w:p>
  </w:footnote>
  <w:footnote w:id="73">
    <w:p w14:paraId="4B77C3F0" w14:textId="77777777" w:rsidR="00F96637" w:rsidRPr="004E780D" w:rsidRDefault="00F96637" w:rsidP="001F26A6">
      <w:pPr>
        <w:pStyle w:val="FootnoteText"/>
        <w:rPr>
          <w:sz w:val="16"/>
          <w:szCs w:val="16"/>
          <w:lang w:val="en-AU"/>
        </w:rPr>
      </w:pPr>
      <w:r w:rsidRPr="004E780D">
        <w:rPr>
          <w:rStyle w:val="FootnoteReference"/>
          <w:sz w:val="16"/>
          <w:szCs w:val="16"/>
        </w:rPr>
        <w:footnoteRef/>
      </w:r>
      <w:r w:rsidRPr="004E780D">
        <w:rPr>
          <w:sz w:val="16"/>
          <w:szCs w:val="16"/>
        </w:rPr>
        <w:t xml:space="preserve"> </w:t>
      </w:r>
      <w:r w:rsidRPr="004E780D">
        <w:rPr>
          <w:sz w:val="16"/>
          <w:szCs w:val="16"/>
          <w:lang w:val="en-AU"/>
        </w:rPr>
        <w:t>See DFAT Guidance Note on Capacity Development</w:t>
      </w:r>
    </w:p>
  </w:footnote>
  <w:footnote w:id="74">
    <w:p w14:paraId="36BE29ED" w14:textId="54BCCF4A" w:rsidR="00F96637" w:rsidRPr="00477C43" w:rsidRDefault="00F96637" w:rsidP="00477C43">
      <w:pPr>
        <w:rPr>
          <w:rFonts w:ascii="Times New Roman" w:eastAsia="Times New Roman" w:hAnsi="Times New Roman" w:cs="Times New Roman"/>
          <w:color w:val="auto"/>
          <w:sz w:val="24"/>
          <w:szCs w:val="24"/>
          <w:lang w:val="en-AU" w:eastAsia="en-GB"/>
        </w:rPr>
      </w:pPr>
      <w:r w:rsidRPr="00D45E7E">
        <w:rPr>
          <w:rStyle w:val="FootnoteReference"/>
          <w:color w:val="000000" w:themeColor="text1"/>
        </w:rPr>
        <w:footnoteRef/>
      </w:r>
      <w:r w:rsidRPr="00D45E7E">
        <w:rPr>
          <w:color w:val="000000" w:themeColor="text1"/>
        </w:rPr>
        <w:t xml:space="preserve"> </w:t>
      </w:r>
      <w:r w:rsidRPr="00D45E7E">
        <w:rPr>
          <w:rFonts w:ascii="Arial" w:eastAsia="Times New Roman" w:hAnsi="Arial" w:cs="Arial"/>
          <w:color w:val="000000" w:themeColor="text1"/>
          <w:sz w:val="16"/>
          <w:szCs w:val="16"/>
          <w:shd w:val="clear" w:color="auto" w:fill="FFFFFF"/>
          <w:lang w:val="en-AU" w:eastAsia="en-GB"/>
        </w:rPr>
        <w:t>600 classrooms, 340 houses for teachers and 420 ablution facilities across 15 provinces</w:t>
      </w:r>
      <w:r>
        <w:rPr>
          <w:rFonts w:ascii="Arial" w:eastAsia="Times New Roman" w:hAnsi="Arial" w:cs="Arial"/>
          <w:color w:val="000000" w:themeColor="text1"/>
          <w:sz w:val="16"/>
          <w:szCs w:val="16"/>
          <w:shd w:val="clear" w:color="auto" w:fill="FFFFFF"/>
          <w:lang w:val="en-AU" w:eastAsia="en-GB"/>
        </w:rPr>
        <w:t xml:space="preserve"> during 2011-2016.</w:t>
      </w:r>
    </w:p>
  </w:footnote>
  <w:footnote w:id="75">
    <w:p w14:paraId="7D357775" w14:textId="77777777" w:rsidR="00F96637" w:rsidRPr="000B0336" w:rsidRDefault="00F96637" w:rsidP="000B0336">
      <w:pPr>
        <w:rPr>
          <w:rFonts w:ascii="Times New Roman" w:eastAsia="Times New Roman" w:hAnsi="Times New Roman" w:cs="Times New Roman"/>
          <w:color w:val="auto"/>
          <w:sz w:val="24"/>
          <w:szCs w:val="24"/>
          <w:lang w:val="en-AU" w:eastAsia="en-GB"/>
        </w:rPr>
      </w:pPr>
      <w:r>
        <w:rPr>
          <w:rStyle w:val="FootnoteReference"/>
        </w:rPr>
        <w:footnoteRef/>
      </w:r>
      <w:r>
        <w:t xml:space="preserve"> </w:t>
      </w:r>
      <w:r w:rsidRPr="00D45E7E">
        <w:rPr>
          <w:rFonts w:ascii="Arial" w:eastAsia="Times New Roman" w:hAnsi="Arial" w:cs="Arial"/>
          <w:color w:val="auto"/>
          <w:sz w:val="16"/>
          <w:szCs w:val="16"/>
          <w:shd w:val="clear" w:color="auto" w:fill="FFFFFF"/>
          <w:lang w:val="en-AU" w:eastAsia="en-GB"/>
        </w:rPr>
        <w:t>Heckman, J. (2011) The Economics of Inequality: The Value of Early Childhood Education. American Educator, 35, 31-47</w:t>
      </w:r>
    </w:p>
    <w:p w14:paraId="0A65D3D9" w14:textId="0734AE81" w:rsidR="00F96637" w:rsidRPr="00477C43" w:rsidRDefault="00F96637">
      <w:pPr>
        <w:pStyle w:val="FootnoteText"/>
        <w:rPr>
          <w:lang w:val="en-AU"/>
        </w:rPr>
      </w:pPr>
    </w:p>
  </w:footnote>
  <w:footnote w:id="76">
    <w:p w14:paraId="4CA4A973" w14:textId="77777777" w:rsidR="00F96637" w:rsidRPr="00584BFE" w:rsidRDefault="00F96637" w:rsidP="001F26A6">
      <w:pPr>
        <w:pStyle w:val="FootnoteText"/>
        <w:rPr>
          <w:sz w:val="18"/>
          <w:szCs w:val="18"/>
        </w:rPr>
      </w:pPr>
      <w:r w:rsidRPr="009600FF">
        <w:rPr>
          <w:rStyle w:val="FootnoteReference"/>
          <w:sz w:val="18"/>
          <w:szCs w:val="18"/>
        </w:rPr>
        <w:footnoteRef/>
      </w:r>
      <w:r w:rsidRPr="00584BFE">
        <w:rPr>
          <w:sz w:val="18"/>
          <w:szCs w:val="18"/>
        </w:rPr>
        <w:t xml:space="preserve"> NEP pg. 103</w:t>
      </w:r>
    </w:p>
  </w:footnote>
  <w:footnote w:id="77">
    <w:p w14:paraId="640583C1" w14:textId="77777777" w:rsidR="00F96637" w:rsidRPr="00584BFE" w:rsidRDefault="00F96637" w:rsidP="001F26A6">
      <w:pPr>
        <w:pStyle w:val="FootnoteText"/>
        <w:rPr>
          <w:sz w:val="18"/>
          <w:szCs w:val="18"/>
        </w:rPr>
      </w:pPr>
      <w:r w:rsidRPr="009600FF">
        <w:rPr>
          <w:rStyle w:val="FootnoteReference"/>
          <w:sz w:val="18"/>
          <w:szCs w:val="18"/>
        </w:rPr>
        <w:footnoteRef/>
      </w:r>
      <w:r w:rsidRPr="00584BFE">
        <w:rPr>
          <w:sz w:val="18"/>
          <w:szCs w:val="18"/>
        </w:rPr>
        <w:t xml:space="preserve"> </w:t>
      </w:r>
      <w:r w:rsidRPr="00584BFE">
        <w:rPr>
          <w:i/>
          <w:iCs/>
          <w:sz w:val="18"/>
          <w:szCs w:val="18"/>
        </w:rPr>
        <w:t>Ibid</w:t>
      </w:r>
      <w:r w:rsidRPr="00584BFE">
        <w:rPr>
          <w:sz w:val="18"/>
          <w:szCs w:val="18"/>
        </w:rPr>
        <w:t xml:space="preserve"> pg. 103</w:t>
      </w:r>
    </w:p>
  </w:footnote>
  <w:footnote w:id="78">
    <w:p w14:paraId="429C814B" w14:textId="77777777" w:rsidR="00F96637" w:rsidRPr="00584BFE" w:rsidRDefault="00F96637" w:rsidP="001F26A6">
      <w:pPr>
        <w:pStyle w:val="FootnoteText"/>
        <w:rPr>
          <w:sz w:val="16"/>
          <w:szCs w:val="16"/>
        </w:rPr>
      </w:pPr>
      <w:r w:rsidRPr="00D01451">
        <w:rPr>
          <w:rStyle w:val="FootnoteReference"/>
          <w:sz w:val="16"/>
          <w:szCs w:val="16"/>
        </w:rPr>
        <w:footnoteRef/>
      </w:r>
      <w:r w:rsidRPr="00584BFE">
        <w:rPr>
          <w:sz w:val="16"/>
          <w:szCs w:val="16"/>
        </w:rPr>
        <w:t xml:space="preserve"> http://dfat.gov.au/about-us/publications/Pages/dfat-monitoring-and-evaluation-standards.aspx</w:t>
      </w:r>
    </w:p>
  </w:footnote>
  <w:footnote w:id="79">
    <w:p w14:paraId="79792D24" w14:textId="274E94D0" w:rsidR="00F96637" w:rsidRPr="00BF2DA0" w:rsidRDefault="00F96637">
      <w:pPr>
        <w:pStyle w:val="FootnoteText"/>
        <w:rPr>
          <w:lang w:val="en-AU"/>
        </w:rPr>
      </w:pPr>
      <w:r>
        <w:rPr>
          <w:rStyle w:val="FootnoteReference"/>
        </w:rPr>
        <w:footnoteRef/>
      </w:r>
      <w:r>
        <w:t xml:space="preserve"> </w:t>
      </w:r>
      <w:r w:rsidRPr="00D95A5C">
        <w:rPr>
          <w:sz w:val="16"/>
          <w:szCs w:val="16"/>
        </w:rPr>
        <w:t xml:space="preserve">Low cost and simple diagnostics such as the </w:t>
      </w:r>
      <w:hyperlink r:id="rId6" w:history="1">
        <w:r w:rsidRPr="00D95A5C">
          <w:rPr>
            <w:rStyle w:val="Hyperlink"/>
            <w:sz w:val="16"/>
            <w:szCs w:val="16"/>
          </w:rPr>
          <w:t>ASER reading and math testing tool</w:t>
        </w:r>
      </w:hyperlink>
      <w:r w:rsidRPr="00D95A5C">
        <w:rPr>
          <w:sz w:val="16"/>
          <w:szCs w:val="16"/>
        </w:rPr>
        <w:t xml:space="preserve"> could be used to provide a baseline of student learning in classes where teachers are receiving an intervention.</w:t>
      </w:r>
      <w:r w:rsidRPr="00411CAC">
        <w:t xml:space="preserve"> </w:t>
      </w:r>
      <w:r w:rsidRPr="00411CAC">
        <w:rPr>
          <w:sz w:val="16"/>
          <w:szCs w:val="16"/>
        </w:rPr>
        <w:t>http://www.asercentre.org/p/50.html</w:t>
      </w:r>
    </w:p>
  </w:footnote>
  <w:footnote w:id="80">
    <w:p w14:paraId="0918EF98" w14:textId="77777777" w:rsidR="00F96637" w:rsidRPr="00735477" w:rsidRDefault="00F96637" w:rsidP="001F26A6">
      <w:pPr>
        <w:pStyle w:val="FootnoteText"/>
        <w:rPr>
          <w:sz w:val="18"/>
          <w:szCs w:val="18"/>
          <w:lang w:val="en-AU"/>
        </w:rPr>
      </w:pPr>
      <w:r w:rsidRPr="00735477">
        <w:rPr>
          <w:rStyle w:val="FootnoteReference"/>
          <w:sz w:val="18"/>
          <w:szCs w:val="18"/>
        </w:rPr>
        <w:footnoteRef/>
      </w:r>
      <w:r w:rsidRPr="00735477">
        <w:rPr>
          <w:sz w:val="18"/>
          <w:szCs w:val="18"/>
        </w:rPr>
        <w:t xml:space="preserve"> UN Convention on the Elimination of Discrimination against Women, Beijing Declaration and Platform for Action, UN Millennium Declaration.</w:t>
      </w:r>
    </w:p>
  </w:footnote>
  <w:footnote w:id="81">
    <w:p w14:paraId="1CAC496D" w14:textId="1CF83E99" w:rsidR="00F96637" w:rsidRPr="00735477" w:rsidRDefault="00F96637" w:rsidP="001F26A6">
      <w:pPr>
        <w:pStyle w:val="FootnoteText"/>
        <w:ind w:left="284" w:hanging="284"/>
        <w:rPr>
          <w:sz w:val="18"/>
          <w:szCs w:val="18"/>
        </w:rPr>
      </w:pPr>
      <w:r w:rsidRPr="00735477">
        <w:rPr>
          <w:rStyle w:val="FootnoteReference"/>
          <w:sz w:val="18"/>
          <w:szCs w:val="18"/>
        </w:rPr>
        <w:footnoteRef/>
      </w:r>
      <w:r w:rsidRPr="00735477">
        <w:rPr>
          <w:sz w:val="18"/>
          <w:szCs w:val="18"/>
        </w:rPr>
        <w:t xml:space="preserve"> For example, PNG submitted its first, second and third reports to </w:t>
      </w:r>
      <w:r w:rsidRPr="00735477">
        <w:rPr>
          <w:sz w:val="18"/>
          <w:szCs w:val="18"/>
          <w:lang w:val="en-US"/>
        </w:rPr>
        <w:t xml:space="preserve">the </w:t>
      </w:r>
      <w:r w:rsidRPr="00735477">
        <w:rPr>
          <w:i/>
          <w:iCs/>
          <w:sz w:val="18"/>
          <w:szCs w:val="18"/>
          <w:lang w:val="en-US"/>
        </w:rPr>
        <w:t>Convention on the Elimination of All Forms of</w:t>
      </w:r>
      <w:r>
        <w:rPr>
          <w:i/>
          <w:iCs/>
          <w:sz w:val="18"/>
          <w:szCs w:val="18"/>
          <w:lang w:val="en-US"/>
        </w:rPr>
        <w:t xml:space="preserve"> </w:t>
      </w:r>
      <w:r w:rsidRPr="00735477">
        <w:rPr>
          <w:i/>
          <w:iCs/>
          <w:sz w:val="18"/>
          <w:szCs w:val="18"/>
          <w:lang w:val="en-US"/>
        </w:rPr>
        <w:t>Discrimination Against Women</w:t>
      </w:r>
      <w:r w:rsidRPr="00735477">
        <w:rPr>
          <w:sz w:val="18"/>
          <w:szCs w:val="18"/>
        </w:rPr>
        <w:t xml:space="preserve"> in 2010, seventeen years after the due date.</w:t>
      </w:r>
    </w:p>
  </w:footnote>
  <w:footnote w:id="82">
    <w:p w14:paraId="18899EB6" w14:textId="77777777" w:rsidR="00F96637" w:rsidRPr="00735477" w:rsidRDefault="00F96637" w:rsidP="001F26A6">
      <w:pPr>
        <w:pStyle w:val="FootnoteText"/>
        <w:rPr>
          <w:sz w:val="18"/>
          <w:szCs w:val="18"/>
          <w:lang w:val="en-AU"/>
        </w:rPr>
      </w:pPr>
      <w:r w:rsidRPr="00735477">
        <w:rPr>
          <w:rStyle w:val="FootnoteReference"/>
          <w:sz w:val="18"/>
          <w:szCs w:val="18"/>
        </w:rPr>
        <w:footnoteRef/>
      </w:r>
      <w:r w:rsidRPr="00735477">
        <w:rPr>
          <w:sz w:val="18"/>
          <w:szCs w:val="18"/>
        </w:rPr>
        <w:t xml:space="preserve"> National Constitution, Council of Women Act 2013), </w:t>
      </w:r>
      <w:r w:rsidRPr="00735477">
        <w:rPr>
          <w:sz w:val="18"/>
          <w:szCs w:val="18"/>
          <w:lang w:val="en-AU"/>
        </w:rPr>
        <w:t>Sexual Offences and Crimes Against Children Act (2002); Children Protection Act (2009; Family Protection Bill (passed 2013 but not implemented); National Women’s Policy, Gender Equity and Social Inclusion Policy.</w:t>
      </w:r>
    </w:p>
  </w:footnote>
  <w:footnote w:id="83">
    <w:p w14:paraId="729A63DC" w14:textId="77777777" w:rsidR="00F96637" w:rsidRPr="00735477" w:rsidRDefault="00F96637" w:rsidP="001F26A6">
      <w:pPr>
        <w:pStyle w:val="FootnoteText"/>
        <w:rPr>
          <w:sz w:val="18"/>
          <w:szCs w:val="18"/>
        </w:rPr>
      </w:pPr>
      <w:r w:rsidRPr="00735477">
        <w:rPr>
          <w:rStyle w:val="FootnoteReference"/>
          <w:sz w:val="18"/>
          <w:szCs w:val="18"/>
        </w:rPr>
        <w:footnoteRef/>
      </w:r>
      <w:r w:rsidRPr="00735477">
        <w:rPr>
          <w:sz w:val="18"/>
          <w:szCs w:val="18"/>
        </w:rPr>
        <w:t xml:space="preserve"> Jyoti Tuladhar (2015) National Department of Education Papua New Guinea, Gender Audit Report, p</w:t>
      </w:r>
      <w:r>
        <w:rPr>
          <w:sz w:val="18"/>
          <w:szCs w:val="18"/>
        </w:rPr>
        <w:t>p 6, 26,</w:t>
      </w:r>
      <w:r w:rsidRPr="00735477">
        <w:rPr>
          <w:sz w:val="18"/>
          <w:szCs w:val="18"/>
        </w:rPr>
        <w:t xml:space="preserve"> 44 and Jan Edwards (2015) </w:t>
      </w:r>
      <w:r w:rsidRPr="00735477">
        <w:rPr>
          <w:i/>
          <w:sz w:val="18"/>
          <w:szCs w:val="18"/>
        </w:rPr>
        <w:t>Final Aid Memoire – Gender and Education Assessment, Papua New Guinea, p7</w:t>
      </w:r>
    </w:p>
  </w:footnote>
  <w:footnote w:id="84">
    <w:p w14:paraId="27F5F485" w14:textId="77777777" w:rsidR="00F96637" w:rsidRPr="00735477" w:rsidRDefault="00F96637" w:rsidP="001F26A6">
      <w:pPr>
        <w:pStyle w:val="FootnoteText"/>
        <w:rPr>
          <w:sz w:val="18"/>
          <w:szCs w:val="18"/>
          <w:lang w:val="en-AU"/>
        </w:rPr>
      </w:pPr>
      <w:r w:rsidRPr="00735477">
        <w:rPr>
          <w:rStyle w:val="FootnoteReference"/>
          <w:sz w:val="18"/>
          <w:szCs w:val="18"/>
        </w:rPr>
        <w:footnoteRef/>
      </w:r>
      <w:r w:rsidRPr="00735477">
        <w:rPr>
          <w:sz w:val="18"/>
          <w:szCs w:val="18"/>
        </w:rPr>
        <w:t xml:space="preserve"> </w:t>
      </w:r>
      <w:r w:rsidRPr="00735477">
        <w:rPr>
          <w:rFonts w:cstheme="minorHAnsi"/>
          <w:sz w:val="18"/>
          <w:szCs w:val="18"/>
        </w:rPr>
        <w:t xml:space="preserve">This is the number of female children compared to the number of male children enrolled in school.  A number less than 1.00 indicates that more male children than female children are enrolled.  </w:t>
      </w:r>
    </w:p>
  </w:footnote>
  <w:footnote w:id="85">
    <w:p w14:paraId="21B26710" w14:textId="77777777" w:rsidR="00F96637" w:rsidRPr="005A6EEC" w:rsidRDefault="00F96637" w:rsidP="001F26A6">
      <w:pPr>
        <w:pStyle w:val="FootnoteText"/>
        <w:rPr>
          <w:sz w:val="18"/>
          <w:szCs w:val="18"/>
          <w:lang w:val="en-AU"/>
        </w:rPr>
      </w:pPr>
      <w:r w:rsidRPr="005A6EEC">
        <w:rPr>
          <w:rStyle w:val="FootnoteReference"/>
          <w:sz w:val="18"/>
          <w:szCs w:val="18"/>
        </w:rPr>
        <w:footnoteRef/>
      </w:r>
      <w:r w:rsidRPr="005A6EEC">
        <w:rPr>
          <w:sz w:val="18"/>
          <w:szCs w:val="18"/>
        </w:rPr>
        <w:t xml:space="preserve"> </w:t>
      </w:r>
      <w:r w:rsidRPr="005A6EEC">
        <w:rPr>
          <w:sz w:val="18"/>
          <w:szCs w:val="18"/>
          <w:lang w:val="en-AU"/>
        </w:rPr>
        <w:t>Expression of Interest to be a Demonstration Province to Improve Early Grade Learning – Sandaun Province, March 2-021</w:t>
      </w:r>
    </w:p>
  </w:footnote>
  <w:footnote w:id="86">
    <w:p w14:paraId="542894FF" w14:textId="77777777" w:rsidR="00F96637" w:rsidRPr="005A6EEC" w:rsidRDefault="00F96637" w:rsidP="001F26A6">
      <w:pPr>
        <w:pStyle w:val="FootnoteText"/>
        <w:rPr>
          <w:rFonts w:cstheme="minorHAnsi"/>
          <w:sz w:val="18"/>
          <w:szCs w:val="18"/>
          <w:lang w:val="en-AU"/>
        </w:rPr>
      </w:pPr>
      <w:r w:rsidRPr="005A6EEC">
        <w:rPr>
          <w:rStyle w:val="FootnoteReference"/>
          <w:sz w:val="18"/>
          <w:szCs w:val="18"/>
        </w:rPr>
        <w:footnoteRef/>
      </w:r>
      <w:r w:rsidRPr="005A6EEC">
        <w:rPr>
          <w:sz w:val="18"/>
          <w:szCs w:val="18"/>
        </w:rPr>
        <w:t xml:space="preserve"> </w:t>
      </w:r>
      <w:r w:rsidRPr="005A6EEC">
        <w:rPr>
          <w:rFonts w:cstheme="minorHAnsi"/>
          <w:sz w:val="18"/>
          <w:szCs w:val="18"/>
          <w:lang w:val="en-AU"/>
        </w:rPr>
        <w:t>Synthesis of existing gender literature and data on education in PNG; Education Capacity Development Facility, Port Moresby, PNG 2019</w:t>
      </w:r>
    </w:p>
  </w:footnote>
  <w:footnote w:id="87">
    <w:p w14:paraId="33E8DFB7" w14:textId="77777777" w:rsidR="00F96637" w:rsidRPr="005A6EEC" w:rsidRDefault="00F96637" w:rsidP="001F26A6">
      <w:pPr>
        <w:pStyle w:val="FootnoteText"/>
        <w:rPr>
          <w:rFonts w:cstheme="minorHAnsi"/>
          <w:sz w:val="18"/>
          <w:szCs w:val="18"/>
        </w:rPr>
      </w:pPr>
      <w:r w:rsidRPr="005A6EEC">
        <w:rPr>
          <w:rStyle w:val="FootnoteReference"/>
          <w:rFonts w:cstheme="minorHAnsi"/>
          <w:sz w:val="18"/>
          <w:szCs w:val="18"/>
        </w:rPr>
        <w:footnoteRef/>
      </w:r>
      <w:r w:rsidRPr="005A6EEC">
        <w:rPr>
          <w:rFonts w:cstheme="minorHAnsi"/>
          <w:sz w:val="18"/>
          <w:szCs w:val="18"/>
        </w:rPr>
        <w:t xml:space="preserve"> Ibid pg. 3 citing VSO PNG, (2016) </w:t>
      </w:r>
      <w:r w:rsidRPr="005A6EEC">
        <w:rPr>
          <w:rFonts w:cstheme="minorHAnsi"/>
          <w:i/>
          <w:sz w:val="18"/>
          <w:szCs w:val="18"/>
        </w:rPr>
        <w:t xml:space="preserve">Voluntary Services Overseas in PNG: Primary Teacher Training Gender Equity Assessment, Informing Policy Document, p5,12,22; </w:t>
      </w:r>
      <w:r w:rsidRPr="005A6EEC">
        <w:rPr>
          <w:rFonts w:cstheme="minorHAnsi"/>
          <w:sz w:val="18"/>
          <w:szCs w:val="18"/>
        </w:rPr>
        <w:t xml:space="preserve">Jan Edwards (2015) </w:t>
      </w:r>
      <w:r w:rsidRPr="005A6EEC">
        <w:rPr>
          <w:rFonts w:cstheme="minorHAnsi"/>
          <w:i/>
          <w:sz w:val="18"/>
          <w:szCs w:val="18"/>
        </w:rPr>
        <w:t>Gender and Education Assessment, Papua New Guinea: A review of the literature on girls and Education, p20;</w:t>
      </w:r>
      <w:r w:rsidRPr="005A6EEC">
        <w:rPr>
          <w:rFonts w:cstheme="minorHAnsi"/>
          <w:sz w:val="18"/>
          <w:szCs w:val="18"/>
        </w:rPr>
        <w:t xml:space="preserve"> Department of Education PNG (2016) </w:t>
      </w:r>
      <w:r w:rsidRPr="005A6EEC">
        <w:rPr>
          <w:rFonts w:cstheme="minorHAnsi"/>
          <w:i/>
          <w:sz w:val="18"/>
          <w:szCs w:val="18"/>
        </w:rPr>
        <w:t>Primary Teacher Training Gender Equity Assessment, p2</w:t>
      </w:r>
    </w:p>
  </w:footnote>
  <w:footnote w:id="88">
    <w:p w14:paraId="07DB4A99" w14:textId="77777777" w:rsidR="00F96637" w:rsidRPr="00660E61" w:rsidRDefault="00F96637" w:rsidP="001F26A6">
      <w:pPr>
        <w:pStyle w:val="FootnoteText"/>
        <w:rPr>
          <w:sz w:val="18"/>
          <w:szCs w:val="18"/>
          <w:lang w:val="en-AU"/>
        </w:rPr>
      </w:pPr>
      <w:r w:rsidRPr="00660E61">
        <w:rPr>
          <w:rStyle w:val="FootnoteReference"/>
          <w:sz w:val="18"/>
          <w:szCs w:val="18"/>
        </w:rPr>
        <w:footnoteRef/>
      </w:r>
      <w:r w:rsidRPr="00660E61">
        <w:rPr>
          <w:sz w:val="18"/>
          <w:szCs w:val="18"/>
        </w:rPr>
        <w:t xml:space="preserve"> OECD-DAC Network on Gender Equality (GenderNet) December 2016</w:t>
      </w:r>
    </w:p>
  </w:footnote>
  <w:footnote w:id="89">
    <w:p w14:paraId="02C97E44" w14:textId="77777777" w:rsidR="00F96637" w:rsidRPr="00660E61" w:rsidRDefault="00F96637" w:rsidP="001F26A6">
      <w:pPr>
        <w:pStyle w:val="FootnoteText"/>
        <w:rPr>
          <w:sz w:val="18"/>
          <w:szCs w:val="18"/>
          <w:lang w:val="en-AU"/>
        </w:rPr>
      </w:pPr>
      <w:r w:rsidRPr="00660E61">
        <w:rPr>
          <w:rStyle w:val="FootnoteReference"/>
          <w:sz w:val="18"/>
          <w:szCs w:val="18"/>
        </w:rPr>
        <w:footnoteRef/>
      </w:r>
      <w:r w:rsidRPr="00660E61">
        <w:rPr>
          <w:sz w:val="18"/>
          <w:szCs w:val="18"/>
        </w:rPr>
        <w:t xml:space="preserve"> PNG National Special Education Policy, </w:t>
      </w:r>
      <w:r w:rsidRPr="00660E61">
        <w:rPr>
          <w:sz w:val="18"/>
          <w:szCs w:val="18"/>
          <w:lang w:val="en-AU"/>
        </w:rPr>
        <w:t>NDOE 1993; updated 2003</w:t>
      </w:r>
    </w:p>
  </w:footnote>
  <w:footnote w:id="90">
    <w:p w14:paraId="06FDB067" w14:textId="77777777" w:rsidR="00F96637" w:rsidRPr="00660E61" w:rsidRDefault="00F96637" w:rsidP="001F26A6">
      <w:pPr>
        <w:pStyle w:val="FootnoteText"/>
        <w:rPr>
          <w:sz w:val="18"/>
          <w:szCs w:val="18"/>
          <w:lang w:val="en-AU"/>
        </w:rPr>
      </w:pPr>
      <w:r w:rsidRPr="00660E61">
        <w:rPr>
          <w:rStyle w:val="FootnoteReference"/>
          <w:sz w:val="18"/>
          <w:szCs w:val="18"/>
        </w:rPr>
        <w:footnoteRef/>
      </w:r>
      <w:r w:rsidRPr="00660E61">
        <w:rPr>
          <w:sz w:val="18"/>
          <w:szCs w:val="18"/>
        </w:rPr>
        <w:t xml:space="preserve"> </w:t>
      </w:r>
      <w:r w:rsidRPr="00660E61">
        <w:rPr>
          <w:i/>
          <w:iCs/>
          <w:sz w:val="18"/>
          <w:szCs w:val="18"/>
          <w:lang w:val="en-AU"/>
        </w:rPr>
        <w:t>Children With Disabilities Must Be Considered In Access To Education In PNG</w:t>
      </w:r>
      <w:r w:rsidRPr="00660E61">
        <w:rPr>
          <w:sz w:val="18"/>
          <w:szCs w:val="18"/>
          <w:lang w:val="en-AU"/>
        </w:rPr>
        <w:t xml:space="preserve"> – The National Research Institute PNG – Issues Paper 24 - January 2020 Jeremy Goro, Kilala Devette-Chee</w:t>
      </w:r>
    </w:p>
  </w:footnote>
  <w:footnote w:id="91">
    <w:p w14:paraId="4D650DA7" w14:textId="77777777" w:rsidR="00F96637" w:rsidRPr="00E55BE2" w:rsidRDefault="00F96637" w:rsidP="001F26A6">
      <w:pPr>
        <w:pStyle w:val="FootnoteText"/>
        <w:rPr>
          <w:sz w:val="18"/>
          <w:szCs w:val="18"/>
          <w:lang w:val="en-AU"/>
        </w:rPr>
      </w:pPr>
      <w:r w:rsidRPr="00E55BE2">
        <w:rPr>
          <w:rStyle w:val="FootnoteReference"/>
          <w:sz w:val="18"/>
          <w:szCs w:val="18"/>
        </w:rPr>
        <w:footnoteRef/>
      </w:r>
      <w:r w:rsidRPr="00E55BE2">
        <w:rPr>
          <w:sz w:val="18"/>
          <w:szCs w:val="18"/>
        </w:rPr>
        <w:t xml:space="preserve"> </w:t>
      </w:r>
      <w:r w:rsidRPr="00E55BE2">
        <w:rPr>
          <w:sz w:val="18"/>
          <w:szCs w:val="18"/>
          <w:lang w:val="en-AU"/>
        </w:rPr>
        <w:t>Independent Completion Report PMG Primary and Secondary Teacher Education Project (PASTEP) 1999-2004</w:t>
      </w:r>
    </w:p>
  </w:footnote>
  <w:footnote w:id="92">
    <w:p w14:paraId="38C98CE9" w14:textId="77777777" w:rsidR="00F96637" w:rsidRPr="00E55BE2" w:rsidRDefault="00F96637" w:rsidP="001F26A6">
      <w:pPr>
        <w:pStyle w:val="FootnoteText"/>
        <w:rPr>
          <w:sz w:val="18"/>
          <w:szCs w:val="18"/>
          <w:lang w:val="en-AU"/>
        </w:rPr>
      </w:pPr>
      <w:r w:rsidRPr="00E55BE2">
        <w:rPr>
          <w:rStyle w:val="FootnoteReference"/>
          <w:sz w:val="18"/>
          <w:szCs w:val="18"/>
        </w:rPr>
        <w:footnoteRef/>
      </w:r>
      <w:r w:rsidRPr="00E55BE2">
        <w:rPr>
          <w:sz w:val="18"/>
          <w:szCs w:val="18"/>
        </w:rPr>
        <w:t xml:space="preserve"> </w:t>
      </w:r>
      <w:r w:rsidRPr="00E55BE2">
        <w:rPr>
          <w:i/>
          <w:iCs/>
          <w:sz w:val="18"/>
          <w:szCs w:val="18"/>
          <w:lang w:val="en-AU"/>
        </w:rPr>
        <w:t xml:space="preserve">Status of Inclusive Education in Papua New Guinea’ </w:t>
      </w:r>
      <w:r w:rsidRPr="00E55BE2">
        <w:rPr>
          <w:sz w:val="18"/>
          <w:szCs w:val="18"/>
          <w:lang w:val="en-AU"/>
        </w:rPr>
        <w:t>The National Research Institute PNG Volume 13, Issue 1 January 2020 Jeremy Goro</w:t>
      </w:r>
    </w:p>
  </w:footnote>
  <w:footnote w:id="93">
    <w:p w14:paraId="272F9B9D" w14:textId="0813A2C1" w:rsidR="00F96637" w:rsidRPr="00CB5660" w:rsidRDefault="00F96637" w:rsidP="001F26A6">
      <w:pPr>
        <w:pStyle w:val="FootnoteText"/>
        <w:rPr>
          <w:sz w:val="18"/>
          <w:szCs w:val="18"/>
          <w:lang w:val="en-AU"/>
        </w:rPr>
      </w:pPr>
      <w:r w:rsidRPr="00CB5660">
        <w:rPr>
          <w:rStyle w:val="FootnoteReference"/>
          <w:sz w:val="18"/>
          <w:szCs w:val="18"/>
        </w:rPr>
        <w:footnoteRef/>
      </w:r>
      <w:r w:rsidRPr="00CB5660">
        <w:rPr>
          <w:sz w:val="18"/>
          <w:szCs w:val="18"/>
        </w:rPr>
        <w:t xml:space="preserve"> Evaluation of Education Opportunities for All PNG Children – Prepared for the Australian High Commission, Port Moresby by Human Development Monitoring and Evaluation Services October 2020 pg.2</w:t>
      </w:r>
    </w:p>
  </w:footnote>
  <w:footnote w:id="94">
    <w:p w14:paraId="6871AF1F" w14:textId="061BE750" w:rsidR="00F96637" w:rsidRPr="009444C6" w:rsidRDefault="00F96637" w:rsidP="001F26A6">
      <w:pPr>
        <w:pStyle w:val="FootnoteText"/>
        <w:rPr>
          <w:sz w:val="18"/>
          <w:szCs w:val="18"/>
          <w:lang w:val="en-AU"/>
        </w:rPr>
      </w:pPr>
      <w:r w:rsidRPr="009444C6">
        <w:rPr>
          <w:rStyle w:val="FootnoteReference"/>
          <w:sz w:val="18"/>
          <w:szCs w:val="18"/>
        </w:rPr>
        <w:footnoteRef/>
      </w:r>
      <w:r w:rsidRPr="009444C6">
        <w:rPr>
          <w:sz w:val="18"/>
          <w:szCs w:val="18"/>
        </w:rPr>
        <w:t xml:space="preserve"> PNG Partnership Fund (PPF) Education Grants Mid-Term Review prepared by the Human Development Monitoring and Evaluat</w:t>
      </w:r>
      <w:r>
        <w:rPr>
          <w:sz w:val="18"/>
          <w:szCs w:val="18"/>
        </w:rPr>
        <w:t>i</w:t>
      </w:r>
      <w:r w:rsidRPr="009444C6">
        <w:rPr>
          <w:sz w:val="18"/>
          <w:szCs w:val="18"/>
        </w:rPr>
        <w:t>on Services for the Australian High Commission, Port Moresby 3 June 2020 pg. 14</w:t>
      </w:r>
    </w:p>
  </w:footnote>
  <w:footnote w:id="95">
    <w:p w14:paraId="00CB1937" w14:textId="40922965" w:rsidR="00F96637" w:rsidRPr="00F841F0" w:rsidRDefault="00F96637">
      <w:pPr>
        <w:pStyle w:val="FootnoteText"/>
        <w:rPr>
          <w:sz w:val="18"/>
          <w:szCs w:val="18"/>
          <w:lang w:val="en-AU"/>
        </w:rPr>
      </w:pPr>
      <w:r w:rsidRPr="00F841F0">
        <w:rPr>
          <w:rStyle w:val="FootnoteReference"/>
          <w:sz w:val="18"/>
          <w:szCs w:val="18"/>
        </w:rPr>
        <w:footnoteRef/>
      </w:r>
      <w:r w:rsidRPr="00F841F0">
        <w:rPr>
          <w:sz w:val="18"/>
          <w:szCs w:val="18"/>
        </w:rPr>
        <w:t xml:space="preserve"> These positions are indicative only and it will be up to the managing contractor to resource the program as needed to achieve the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6FF25" w14:textId="77777777" w:rsidR="00F96637" w:rsidRDefault="00F96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93AEF" w14:textId="0C2396A1" w:rsidR="00F96637" w:rsidRPr="00695D96" w:rsidRDefault="00F96637" w:rsidP="00695D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F2B9" w14:textId="77777777" w:rsidR="00F96637" w:rsidRDefault="00F96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2F7A"/>
    <w:multiLevelType w:val="hybridMultilevel"/>
    <w:tmpl w:val="E2685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519DB"/>
    <w:multiLevelType w:val="hybridMultilevel"/>
    <w:tmpl w:val="4CCC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774C4"/>
    <w:multiLevelType w:val="multilevel"/>
    <w:tmpl w:val="81F28A86"/>
    <w:lvl w:ilvl="0">
      <w:start w:val="1"/>
      <w:numFmt w:val="decimal"/>
      <w:lvlText w:val="%1."/>
      <w:lvlJc w:val="left"/>
      <w:pPr>
        <w:ind w:left="786" w:hanging="360"/>
      </w:pPr>
      <w:rPr>
        <w:rFonts w:asciiTheme="minorHAnsi" w:eastAsia="Calibri" w:hAnsiTheme="minorHAnsi" w:cstheme="minorHAnsi" w:hint="default"/>
        <w:color w:val="44546A" w:themeColor="text2"/>
      </w:rPr>
    </w:lvl>
    <w:lvl w:ilvl="1">
      <w:start w:val="1"/>
      <w:numFmt w:val="decimal"/>
      <w:isLgl/>
      <w:lvlText w:val="%1.%2"/>
      <w:lvlJc w:val="left"/>
      <w:pPr>
        <w:ind w:left="1146" w:hanging="720"/>
      </w:pPr>
      <w:rPr>
        <w:rFonts w:asciiTheme="minorHAnsi" w:eastAsiaTheme="minorHAnsi" w:hAnsiTheme="minorHAnsi" w:cstheme="minorBidi" w:hint="default"/>
      </w:rPr>
    </w:lvl>
    <w:lvl w:ilvl="2">
      <w:start w:val="1"/>
      <w:numFmt w:val="decimal"/>
      <w:isLgl/>
      <w:lvlText w:val="%1.%2.%3"/>
      <w:lvlJc w:val="left"/>
      <w:pPr>
        <w:ind w:left="1146" w:hanging="720"/>
      </w:pPr>
      <w:rPr>
        <w:rFonts w:asciiTheme="minorHAnsi" w:eastAsiaTheme="minorHAnsi" w:hAnsiTheme="minorHAnsi" w:cstheme="minorBidi" w:hint="default"/>
      </w:rPr>
    </w:lvl>
    <w:lvl w:ilvl="3">
      <w:start w:val="1"/>
      <w:numFmt w:val="decimal"/>
      <w:isLgl/>
      <w:lvlText w:val="%1.%2.%3.%4"/>
      <w:lvlJc w:val="left"/>
      <w:pPr>
        <w:ind w:left="1146" w:hanging="720"/>
      </w:pPr>
      <w:rPr>
        <w:rFonts w:asciiTheme="minorHAnsi" w:eastAsiaTheme="minorHAnsi" w:hAnsiTheme="minorHAnsi" w:cstheme="minorBidi" w:hint="default"/>
      </w:rPr>
    </w:lvl>
    <w:lvl w:ilvl="4">
      <w:start w:val="1"/>
      <w:numFmt w:val="decimal"/>
      <w:isLgl/>
      <w:lvlText w:val="%1.%2.%3.%4.%5"/>
      <w:lvlJc w:val="left"/>
      <w:pPr>
        <w:ind w:left="1506" w:hanging="1080"/>
      </w:pPr>
      <w:rPr>
        <w:rFonts w:asciiTheme="minorHAnsi" w:eastAsiaTheme="minorHAnsi" w:hAnsiTheme="minorHAnsi" w:cstheme="minorBidi" w:hint="default"/>
      </w:rPr>
    </w:lvl>
    <w:lvl w:ilvl="5">
      <w:start w:val="1"/>
      <w:numFmt w:val="decimal"/>
      <w:isLgl/>
      <w:lvlText w:val="%1.%2.%3.%4.%5.%6"/>
      <w:lvlJc w:val="left"/>
      <w:pPr>
        <w:ind w:left="1506" w:hanging="1080"/>
      </w:pPr>
      <w:rPr>
        <w:rFonts w:asciiTheme="minorHAnsi" w:eastAsiaTheme="minorHAnsi" w:hAnsiTheme="minorHAnsi" w:cstheme="minorBidi" w:hint="default"/>
      </w:rPr>
    </w:lvl>
    <w:lvl w:ilvl="6">
      <w:start w:val="1"/>
      <w:numFmt w:val="decimal"/>
      <w:isLgl/>
      <w:lvlText w:val="%1.%2.%3.%4.%5.%6.%7"/>
      <w:lvlJc w:val="left"/>
      <w:pPr>
        <w:ind w:left="1866" w:hanging="1440"/>
      </w:pPr>
      <w:rPr>
        <w:rFonts w:asciiTheme="minorHAnsi" w:eastAsiaTheme="minorHAnsi" w:hAnsiTheme="minorHAnsi" w:cstheme="minorBidi" w:hint="default"/>
      </w:rPr>
    </w:lvl>
    <w:lvl w:ilvl="7">
      <w:start w:val="1"/>
      <w:numFmt w:val="decimal"/>
      <w:isLgl/>
      <w:lvlText w:val="%1.%2.%3.%4.%5.%6.%7.%8"/>
      <w:lvlJc w:val="left"/>
      <w:pPr>
        <w:ind w:left="1866" w:hanging="1440"/>
      </w:pPr>
      <w:rPr>
        <w:rFonts w:asciiTheme="minorHAnsi" w:eastAsiaTheme="minorHAnsi" w:hAnsiTheme="minorHAnsi" w:cstheme="minorBidi" w:hint="default"/>
      </w:rPr>
    </w:lvl>
    <w:lvl w:ilvl="8">
      <w:start w:val="1"/>
      <w:numFmt w:val="decimal"/>
      <w:isLgl/>
      <w:lvlText w:val="%1.%2.%3.%4.%5.%6.%7.%8.%9"/>
      <w:lvlJc w:val="left"/>
      <w:pPr>
        <w:ind w:left="1866" w:hanging="1440"/>
      </w:pPr>
      <w:rPr>
        <w:rFonts w:asciiTheme="minorHAnsi" w:eastAsiaTheme="minorHAnsi" w:hAnsiTheme="minorHAnsi" w:cstheme="minorBidi" w:hint="default"/>
      </w:rPr>
    </w:lvl>
  </w:abstractNum>
  <w:abstractNum w:abstractNumId="3" w15:restartNumberingAfterBreak="0">
    <w:nsid w:val="090A7543"/>
    <w:multiLevelType w:val="hybridMultilevel"/>
    <w:tmpl w:val="DE562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41FCD"/>
    <w:multiLevelType w:val="hybridMultilevel"/>
    <w:tmpl w:val="5D8065B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43C719E"/>
    <w:multiLevelType w:val="hybridMultilevel"/>
    <w:tmpl w:val="1B422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26063"/>
    <w:multiLevelType w:val="hybridMultilevel"/>
    <w:tmpl w:val="F4F64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F34E40"/>
    <w:multiLevelType w:val="hybridMultilevel"/>
    <w:tmpl w:val="7B108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FE74D8"/>
    <w:multiLevelType w:val="hybridMultilevel"/>
    <w:tmpl w:val="C902C7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EBB194D"/>
    <w:multiLevelType w:val="hybridMultilevel"/>
    <w:tmpl w:val="8E385D1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1B3154"/>
    <w:multiLevelType w:val="hybridMultilevel"/>
    <w:tmpl w:val="E0384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CF1883"/>
    <w:multiLevelType w:val="hybridMultilevel"/>
    <w:tmpl w:val="0F5C969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62C2812"/>
    <w:multiLevelType w:val="multilevel"/>
    <w:tmpl w:val="CBB8E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A1326"/>
    <w:multiLevelType w:val="multilevel"/>
    <w:tmpl w:val="906CE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D3C15"/>
    <w:multiLevelType w:val="hybridMultilevel"/>
    <w:tmpl w:val="6D66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B7E1A"/>
    <w:multiLevelType w:val="hybridMultilevel"/>
    <w:tmpl w:val="1DDE427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07C5457"/>
    <w:multiLevelType w:val="hybridMultilevel"/>
    <w:tmpl w:val="96D29304"/>
    <w:lvl w:ilvl="0" w:tplc="5DE462D0">
      <w:start w:val="1"/>
      <w:numFmt w:val="lowerLetter"/>
      <w:lvlText w:val="%1."/>
      <w:lvlJc w:val="left"/>
      <w:pPr>
        <w:ind w:left="9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714F0"/>
    <w:multiLevelType w:val="hybridMultilevel"/>
    <w:tmpl w:val="EF1A53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2017E83"/>
    <w:multiLevelType w:val="hybridMultilevel"/>
    <w:tmpl w:val="D39ED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6511EE"/>
    <w:multiLevelType w:val="hybridMultilevel"/>
    <w:tmpl w:val="FC2A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C7516"/>
    <w:multiLevelType w:val="hybridMultilevel"/>
    <w:tmpl w:val="5A0869FA"/>
    <w:lvl w:ilvl="0" w:tplc="28F4A2B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7922D50"/>
    <w:multiLevelType w:val="hybridMultilevel"/>
    <w:tmpl w:val="5C2C8E10"/>
    <w:lvl w:ilvl="0" w:tplc="8BBAC424">
      <w:start w:val="1"/>
      <w:numFmt w:val="bullet"/>
      <w:lvlText w:val=""/>
      <w:lvlJc w:val="left"/>
      <w:pPr>
        <w:ind w:left="360" w:hanging="360"/>
      </w:pPr>
      <w:rPr>
        <w:rFonts w:ascii="Symbol" w:hAnsi="Symbol" w:hint="default"/>
        <w:color w:val="44546A"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C7F122A"/>
    <w:multiLevelType w:val="hybridMultilevel"/>
    <w:tmpl w:val="1C6CA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AA1F15"/>
    <w:multiLevelType w:val="hybridMultilevel"/>
    <w:tmpl w:val="274E4A00"/>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747168"/>
    <w:multiLevelType w:val="hybridMultilevel"/>
    <w:tmpl w:val="ADAE88D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120041"/>
    <w:multiLevelType w:val="hybridMultilevel"/>
    <w:tmpl w:val="C902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9819FE"/>
    <w:multiLevelType w:val="hybridMultilevel"/>
    <w:tmpl w:val="949ED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6DF0C04"/>
    <w:multiLevelType w:val="hybridMultilevel"/>
    <w:tmpl w:val="E146CDA2"/>
    <w:lvl w:ilvl="0" w:tplc="FA065FFC">
      <w:start w:val="1"/>
      <w:numFmt w:val="decimal"/>
      <w:lvlText w:val="%1."/>
      <w:lvlJc w:val="left"/>
      <w:pPr>
        <w:ind w:left="502" w:hanging="360"/>
      </w:pPr>
      <w:rPr>
        <w:rFonts w:hint="default"/>
        <w:b w:val="0"/>
        <w:i w:val="0"/>
        <w:sz w:val="22"/>
        <w:szCs w:val="32"/>
      </w:rPr>
    </w:lvl>
    <w:lvl w:ilvl="1" w:tplc="0C090019">
      <w:start w:val="1"/>
      <w:numFmt w:val="lowerLetter"/>
      <w:lvlText w:val="%2."/>
      <w:lvlJc w:val="left"/>
      <w:pPr>
        <w:ind w:left="2771"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9" w15:restartNumberingAfterBreak="0">
    <w:nsid w:val="47A12312"/>
    <w:multiLevelType w:val="hybridMultilevel"/>
    <w:tmpl w:val="2B92FCAA"/>
    <w:lvl w:ilvl="0" w:tplc="45728B88">
      <w:start w:val="1"/>
      <w:numFmt w:val="lowerLetter"/>
      <w:lvlText w:val="%1)"/>
      <w:lvlJc w:val="left"/>
      <w:pPr>
        <w:ind w:left="360" w:hanging="360"/>
      </w:pPr>
      <w:rPr>
        <w:rFonts w:ascii="Calibri" w:eastAsia="Calibri" w:hAnsi="Calibri" w:cs="Calibri" w:hint="default"/>
        <w:w w:val="99"/>
        <w:sz w:val="20"/>
        <w:szCs w:val="20"/>
        <w:lang w:val="en-US" w:eastAsia="en-US" w:bidi="en-U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8534C4F"/>
    <w:multiLevelType w:val="hybridMultilevel"/>
    <w:tmpl w:val="873A1F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160D80"/>
    <w:multiLevelType w:val="hybridMultilevel"/>
    <w:tmpl w:val="106EB86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2" w15:restartNumberingAfterBreak="0">
    <w:nsid w:val="4958024F"/>
    <w:multiLevelType w:val="hybridMultilevel"/>
    <w:tmpl w:val="924849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A1D7FC9"/>
    <w:multiLevelType w:val="hybridMultilevel"/>
    <w:tmpl w:val="40AEA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C53EC3"/>
    <w:multiLevelType w:val="multilevel"/>
    <w:tmpl w:val="1F94F010"/>
    <w:lvl w:ilvl="0">
      <w:start w:val="1"/>
      <w:numFmt w:val="decimal"/>
      <w:lvlText w:val="%1."/>
      <w:lvlJc w:val="left"/>
      <w:pPr>
        <w:ind w:left="765" w:hanging="360"/>
      </w:pPr>
      <w:rPr>
        <w:rFonts w:hint="default"/>
      </w:rPr>
    </w:lvl>
    <w:lvl w:ilvl="1">
      <w:start w:val="1"/>
      <w:numFmt w:val="decimal"/>
      <w:isLgl/>
      <w:lvlText w:val="%1.%2"/>
      <w:lvlJc w:val="left"/>
      <w:pPr>
        <w:ind w:left="765" w:hanging="360"/>
      </w:pPr>
      <w:rPr>
        <w:rFonts w:hint="default"/>
        <w:sz w:val="22"/>
      </w:rPr>
    </w:lvl>
    <w:lvl w:ilvl="2">
      <w:start w:val="1"/>
      <w:numFmt w:val="decimal"/>
      <w:isLgl/>
      <w:lvlText w:val="%1.%2.%3"/>
      <w:lvlJc w:val="left"/>
      <w:pPr>
        <w:ind w:left="1125" w:hanging="720"/>
      </w:pPr>
      <w:rPr>
        <w:rFonts w:hint="default"/>
        <w:sz w:val="22"/>
      </w:rPr>
    </w:lvl>
    <w:lvl w:ilvl="3">
      <w:start w:val="1"/>
      <w:numFmt w:val="decimal"/>
      <w:isLgl/>
      <w:lvlText w:val="%1.%2.%3.%4"/>
      <w:lvlJc w:val="left"/>
      <w:pPr>
        <w:ind w:left="1125" w:hanging="720"/>
      </w:pPr>
      <w:rPr>
        <w:rFonts w:hint="default"/>
        <w:sz w:val="22"/>
      </w:rPr>
    </w:lvl>
    <w:lvl w:ilvl="4">
      <w:start w:val="1"/>
      <w:numFmt w:val="decimal"/>
      <w:isLgl/>
      <w:lvlText w:val="%1.%2.%3.%4.%5"/>
      <w:lvlJc w:val="left"/>
      <w:pPr>
        <w:ind w:left="1125" w:hanging="720"/>
      </w:pPr>
      <w:rPr>
        <w:rFonts w:hint="default"/>
        <w:sz w:val="22"/>
      </w:rPr>
    </w:lvl>
    <w:lvl w:ilvl="5">
      <w:start w:val="1"/>
      <w:numFmt w:val="decimal"/>
      <w:isLgl/>
      <w:lvlText w:val="%1.%2.%3.%4.%5.%6"/>
      <w:lvlJc w:val="left"/>
      <w:pPr>
        <w:ind w:left="1485" w:hanging="1080"/>
      </w:pPr>
      <w:rPr>
        <w:rFonts w:hint="default"/>
        <w:sz w:val="22"/>
      </w:rPr>
    </w:lvl>
    <w:lvl w:ilvl="6">
      <w:start w:val="1"/>
      <w:numFmt w:val="decimal"/>
      <w:isLgl/>
      <w:lvlText w:val="%1.%2.%3.%4.%5.%6.%7"/>
      <w:lvlJc w:val="left"/>
      <w:pPr>
        <w:ind w:left="1485" w:hanging="1080"/>
      </w:pPr>
      <w:rPr>
        <w:rFonts w:hint="default"/>
        <w:sz w:val="22"/>
      </w:rPr>
    </w:lvl>
    <w:lvl w:ilvl="7">
      <w:start w:val="1"/>
      <w:numFmt w:val="decimal"/>
      <w:isLgl/>
      <w:lvlText w:val="%1.%2.%3.%4.%5.%6.%7.%8"/>
      <w:lvlJc w:val="left"/>
      <w:pPr>
        <w:ind w:left="1845" w:hanging="1440"/>
      </w:pPr>
      <w:rPr>
        <w:rFonts w:hint="default"/>
        <w:sz w:val="22"/>
      </w:rPr>
    </w:lvl>
    <w:lvl w:ilvl="8">
      <w:start w:val="1"/>
      <w:numFmt w:val="decimal"/>
      <w:isLgl/>
      <w:lvlText w:val="%1.%2.%3.%4.%5.%6.%7.%8.%9"/>
      <w:lvlJc w:val="left"/>
      <w:pPr>
        <w:ind w:left="1845" w:hanging="1440"/>
      </w:pPr>
      <w:rPr>
        <w:rFonts w:hint="default"/>
        <w:sz w:val="22"/>
      </w:rPr>
    </w:lvl>
  </w:abstractNum>
  <w:abstractNum w:abstractNumId="35" w15:restartNumberingAfterBreak="0">
    <w:nsid w:val="4BEE3F92"/>
    <w:multiLevelType w:val="hybridMultilevel"/>
    <w:tmpl w:val="0044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EC2959"/>
    <w:multiLevelType w:val="multilevel"/>
    <w:tmpl w:val="CF0E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E43F78"/>
    <w:multiLevelType w:val="hybridMultilevel"/>
    <w:tmpl w:val="41A6F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3330572"/>
    <w:multiLevelType w:val="hybridMultilevel"/>
    <w:tmpl w:val="355C9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F40817"/>
    <w:multiLevelType w:val="hybridMultilevel"/>
    <w:tmpl w:val="10A01F6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0" w15:restartNumberingAfterBreak="0">
    <w:nsid w:val="5513773E"/>
    <w:multiLevelType w:val="multilevel"/>
    <w:tmpl w:val="A1E8A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1E05A9"/>
    <w:multiLevelType w:val="multilevel"/>
    <w:tmpl w:val="8A80E6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57186B2B"/>
    <w:multiLevelType w:val="hybridMultilevel"/>
    <w:tmpl w:val="30D6C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7C30A8"/>
    <w:multiLevelType w:val="hybridMultilevel"/>
    <w:tmpl w:val="D58E22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E4A7BFC"/>
    <w:multiLevelType w:val="multilevel"/>
    <w:tmpl w:val="7914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855415"/>
    <w:multiLevelType w:val="hybridMultilevel"/>
    <w:tmpl w:val="C3DA08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15:restartNumberingAfterBreak="0">
    <w:nsid w:val="62F938A5"/>
    <w:multiLevelType w:val="hybridMultilevel"/>
    <w:tmpl w:val="9F784E74"/>
    <w:lvl w:ilvl="0" w:tplc="2EC8374A">
      <w:start w:val="1"/>
      <w:numFmt w:val="bullet"/>
      <w:lvlText w:val="•"/>
      <w:lvlJc w:val="left"/>
      <w:pPr>
        <w:tabs>
          <w:tab w:val="num" w:pos="720"/>
        </w:tabs>
        <w:ind w:left="720" w:hanging="360"/>
      </w:pPr>
      <w:rPr>
        <w:rFonts w:ascii="Arial" w:hAnsi="Arial" w:hint="default"/>
      </w:rPr>
    </w:lvl>
    <w:lvl w:ilvl="1" w:tplc="5FAE2F4C" w:tentative="1">
      <w:start w:val="1"/>
      <w:numFmt w:val="bullet"/>
      <w:lvlText w:val="•"/>
      <w:lvlJc w:val="left"/>
      <w:pPr>
        <w:tabs>
          <w:tab w:val="num" w:pos="1440"/>
        </w:tabs>
        <w:ind w:left="1440" w:hanging="360"/>
      </w:pPr>
      <w:rPr>
        <w:rFonts w:ascii="Arial" w:hAnsi="Arial" w:hint="default"/>
      </w:rPr>
    </w:lvl>
    <w:lvl w:ilvl="2" w:tplc="BB763756" w:tentative="1">
      <w:start w:val="1"/>
      <w:numFmt w:val="bullet"/>
      <w:lvlText w:val="•"/>
      <w:lvlJc w:val="left"/>
      <w:pPr>
        <w:tabs>
          <w:tab w:val="num" w:pos="2160"/>
        </w:tabs>
        <w:ind w:left="2160" w:hanging="360"/>
      </w:pPr>
      <w:rPr>
        <w:rFonts w:ascii="Arial" w:hAnsi="Arial" w:hint="default"/>
      </w:rPr>
    </w:lvl>
    <w:lvl w:ilvl="3" w:tplc="70469BF2" w:tentative="1">
      <w:start w:val="1"/>
      <w:numFmt w:val="bullet"/>
      <w:lvlText w:val="•"/>
      <w:lvlJc w:val="left"/>
      <w:pPr>
        <w:tabs>
          <w:tab w:val="num" w:pos="2880"/>
        </w:tabs>
        <w:ind w:left="2880" w:hanging="360"/>
      </w:pPr>
      <w:rPr>
        <w:rFonts w:ascii="Arial" w:hAnsi="Arial" w:hint="default"/>
      </w:rPr>
    </w:lvl>
    <w:lvl w:ilvl="4" w:tplc="06EAA984" w:tentative="1">
      <w:start w:val="1"/>
      <w:numFmt w:val="bullet"/>
      <w:lvlText w:val="•"/>
      <w:lvlJc w:val="left"/>
      <w:pPr>
        <w:tabs>
          <w:tab w:val="num" w:pos="3600"/>
        </w:tabs>
        <w:ind w:left="3600" w:hanging="360"/>
      </w:pPr>
      <w:rPr>
        <w:rFonts w:ascii="Arial" w:hAnsi="Arial" w:hint="default"/>
      </w:rPr>
    </w:lvl>
    <w:lvl w:ilvl="5" w:tplc="CC62461E" w:tentative="1">
      <w:start w:val="1"/>
      <w:numFmt w:val="bullet"/>
      <w:lvlText w:val="•"/>
      <w:lvlJc w:val="left"/>
      <w:pPr>
        <w:tabs>
          <w:tab w:val="num" w:pos="4320"/>
        </w:tabs>
        <w:ind w:left="4320" w:hanging="360"/>
      </w:pPr>
      <w:rPr>
        <w:rFonts w:ascii="Arial" w:hAnsi="Arial" w:hint="default"/>
      </w:rPr>
    </w:lvl>
    <w:lvl w:ilvl="6" w:tplc="6C42935C" w:tentative="1">
      <w:start w:val="1"/>
      <w:numFmt w:val="bullet"/>
      <w:lvlText w:val="•"/>
      <w:lvlJc w:val="left"/>
      <w:pPr>
        <w:tabs>
          <w:tab w:val="num" w:pos="5040"/>
        </w:tabs>
        <w:ind w:left="5040" w:hanging="360"/>
      </w:pPr>
      <w:rPr>
        <w:rFonts w:ascii="Arial" w:hAnsi="Arial" w:hint="default"/>
      </w:rPr>
    </w:lvl>
    <w:lvl w:ilvl="7" w:tplc="B914C462" w:tentative="1">
      <w:start w:val="1"/>
      <w:numFmt w:val="bullet"/>
      <w:lvlText w:val="•"/>
      <w:lvlJc w:val="left"/>
      <w:pPr>
        <w:tabs>
          <w:tab w:val="num" w:pos="5760"/>
        </w:tabs>
        <w:ind w:left="5760" w:hanging="360"/>
      </w:pPr>
      <w:rPr>
        <w:rFonts w:ascii="Arial" w:hAnsi="Arial" w:hint="default"/>
      </w:rPr>
    </w:lvl>
    <w:lvl w:ilvl="8" w:tplc="793C95E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3103679"/>
    <w:multiLevelType w:val="hybridMultilevel"/>
    <w:tmpl w:val="A76A305C"/>
    <w:lvl w:ilvl="0" w:tplc="8DF0D792">
      <w:start w:val="1"/>
      <w:numFmt w:val="upp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8" w15:restartNumberingAfterBreak="0">
    <w:nsid w:val="63517079"/>
    <w:multiLevelType w:val="hybridMultilevel"/>
    <w:tmpl w:val="38242F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142A8D"/>
    <w:multiLevelType w:val="hybridMultilevel"/>
    <w:tmpl w:val="296A545A"/>
    <w:lvl w:ilvl="0" w:tplc="71E6EEFE">
      <w:start w:val="1"/>
      <w:numFmt w:val="bullet"/>
      <w:lvlText w:val="•"/>
      <w:lvlJc w:val="left"/>
      <w:pPr>
        <w:tabs>
          <w:tab w:val="num" w:pos="720"/>
        </w:tabs>
        <w:ind w:left="720" w:hanging="360"/>
      </w:pPr>
      <w:rPr>
        <w:rFonts w:ascii="Arial" w:hAnsi="Arial" w:hint="default"/>
      </w:rPr>
    </w:lvl>
    <w:lvl w:ilvl="1" w:tplc="31D29A52" w:tentative="1">
      <w:start w:val="1"/>
      <w:numFmt w:val="bullet"/>
      <w:lvlText w:val="•"/>
      <w:lvlJc w:val="left"/>
      <w:pPr>
        <w:tabs>
          <w:tab w:val="num" w:pos="1440"/>
        </w:tabs>
        <w:ind w:left="1440" w:hanging="360"/>
      </w:pPr>
      <w:rPr>
        <w:rFonts w:ascii="Arial" w:hAnsi="Arial" w:hint="default"/>
      </w:rPr>
    </w:lvl>
    <w:lvl w:ilvl="2" w:tplc="C0E22A28" w:tentative="1">
      <w:start w:val="1"/>
      <w:numFmt w:val="bullet"/>
      <w:lvlText w:val="•"/>
      <w:lvlJc w:val="left"/>
      <w:pPr>
        <w:tabs>
          <w:tab w:val="num" w:pos="2160"/>
        </w:tabs>
        <w:ind w:left="2160" w:hanging="360"/>
      </w:pPr>
      <w:rPr>
        <w:rFonts w:ascii="Arial" w:hAnsi="Arial" w:hint="default"/>
      </w:rPr>
    </w:lvl>
    <w:lvl w:ilvl="3" w:tplc="8B024EDA" w:tentative="1">
      <w:start w:val="1"/>
      <w:numFmt w:val="bullet"/>
      <w:lvlText w:val="•"/>
      <w:lvlJc w:val="left"/>
      <w:pPr>
        <w:tabs>
          <w:tab w:val="num" w:pos="2880"/>
        </w:tabs>
        <w:ind w:left="2880" w:hanging="360"/>
      </w:pPr>
      <w:rPr>
        <w:rFonts w:ascii="Arial" w:hAnsi="Arial" w:hint="default"/>
      </w:rPr>
    </w:lvl>
    <w:lvl w:ilvl="4" w:tplc="52DE63CE" w:tentative="1">
      <w:start w:val="1"/>
      <w:numFmt w:val="bullet"/>
      <w:lvlText w:val="•"/>
      <w:lvlJc w:val="left"/>
      <w:pPr>
        <w:tabs>
          <w:tab w:val="num" w:pos="3600"/>
        </w:tabs>
        <w:ind w:left="3600" w:hanging="360"/>
      </w:pPr>
      <w:rPr>
        <w:rFonts w:ascii="Arial" w:hAnsi="Arial" w:hint="default"/>
      </w:rPr>
    </w:lvl>
    <w:lvl w:ilvl="5" w:tplc="326E0F1E" w:tentative="1">
      <w:start w:val="1"/>
      <w:numFmt w:val="bullet"/>
      <w:lvlText w:val="•"/>
      <w:lvlJc w:val="left"/>
      <w:pPr>
        <w:tabs>
          <w:tab w:val="num" w:pos="4320"/>
        </w:tabs>
        <w:ind w:left="4320" w:hanging="360"/>
      </w:pPr>
      <w:rPr>
        <w:rFonts w:ascii="Arial" w:hAnsi="Arial" w:hint="default"/>
      </w:rPr>
    </w:lvl>
    <w:lvl w:ilvl="6" w:tplc="6A0017E6" w:tentative="1">
      <w:start w:val="1"/>
      <w:numFmt w:val="bullet"/>
      <w:lvlText w:val="•"/>
      <w:lvlJc w:val="left"/>
      <w:pPr>
        <w:tabs>
          <w:tab w:val="num" w:pos="5040"/>
        </w:tabs>
        <w:ind w:left="5040" w:hanging="360"/>
      </w:pPr>
      <w:rPr>
        <w:rFonts w:ascii="Arial" w:hAnsi="Arial" w:hint="default"/>
      </w:rPr>
    </w:lvl>
    <w:lvl w:ilvl="7" w:tplc="25605B76" w:tentative="1">
      <w:start w:val="1"/>
      <w:numFmt w:val="bullet"/>
      <w:lvlText w:val="•"/>
      <w:lvlJc w:val="left"/>
      <w:pPr>
        <w:tabs>
          <w:tab w:val="num" w:pos="5760"/>
        </w:tabs>
        <w:ind w:left="5760" w:hanging="360"/>
      </w:pPr>
      <w:rPr>
        <w:rFonts w:ascii="Arial" w:hAnsi="Arial" w:hint="default"/>
      </w:rPr>
    </w:lvl>
    <w:lvl w:ilvl="8" w:tplc="38B4CF4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436304B"/>
    <w:multiLevelType w:val="hybridMultilevel"/>
    <w:tmpl w:val="CAE4208C"/>
    <w:lvl w:ilvl="0" w:tplc="0C090001">
      <w:start w:val="1"/>
      <w:numFmt w:val="bullet"/>
      <w:lvlText w:val=""/>
      <w:lvlJc w:val="left"/>
      <w:pPr>
        <w:ind w:left="1788" w:hanging="360"/>
      </w:pPr>
      <w:rPr>
        <w:rFonts w:ascii="Symbol" w:hAnsi="Symbol" w:hint="default"/>
      </w:rPr>
    </w:lvl>
    <w:lvl w:ilvl="1" w:tplc="0C090003" w:tentative="1">
      <w:start w:val="1"/>
      <w:numFmt w:val="bullet"/>
      <w:lvlText w:val="o"/>
      <w:lvlJc w:val="left"/>
      <w:pPr>
        <w:ind w:left="2508" w:hanging="360"/>
      </w:pPr>
      <w:rPr>
        <w:rFonts w:ascii="Courier New" w:hAnsi="Courier New" w:cs="Courier New" w:hint="default"/>
      </w:rPr>
    </w:lvl>
    <w:lvl w:ilvl="2" w:tplc="0C090005" w:tentative="1">
      <w:start w:val="1"/>
      <w:numFmt w:val="bullet"/>
      <w:lvlText w:val=""/>
      <w:lvlJc w:val="left"/>
      <w:pPr>
        <w:ind w:left="3228" w:hanging="360"/>
      </w:pPr>
      <w:rPr>
        <w:rFonts w:ascii="Wingdings" w:hAnsi="Wingdings" w:hint="default"/>
      </w:rPr>
    </w:lvl>
    <w:lvl w:ilvl="3" w:tplc="0C090001" w:tentative="1">
      <w:start w:val="1"/>
      <w:numFmt w:val="bullet"/>
      <w:lvlText w:val=""/>
      <w:lvlJc w:val="left"/>
      <w:pPr>
        <w:ind w:left="3948" w:hanging="360"/>
      </w:pPr>
      <w:rPr>
        <w:rFonts w:ascii="Symbol" w:hAnsi="Symbol" w:hint="default"/>
      </w:rPr>
    </w:lvl>
    <w:lvl w:ilvl="4" w:tplc="0C090003" w:tentative="1">
      <w:start w:val="1"/>
      <w:numFmt w:val="bullet"/>
      <w:lvlText w:val="o"/>
      <w:lvlJc w:val="left"/>
      <w:pPr>
        <w:ind w:left="4668" w:hanging="360"/>
      </w:pPr>
      <w:rPr>
        <w:rFonts w:ascii="Courier New" w:hAnsi="Courier New" w:cs="Courier New" w:hint="default"/>
      </w:rPr>
    </w:lvl>
    <w:lvl w:ilvl="5" w:tplc="0C090005" w:tentative="1">
      <w:start w:val="1"/>
      <w:numFmt w:val="bullet"/>
      <w:lvlText w:val=""/>
      <w:lvlJc w:val="left"/>
      <w:pPr>
        <w:ind w:left="5388" w:hanging="360"/>
      </w:pPr>
      <w:rPr>
        <w:rFonts w:ascii="Wingdings" w:hAnsi="Wingdings" w:hint="default"/>
      </w:rPr>
    </w:lvl>
    <w:lvl w:ilvl="6" w:tplc="0C090001" w:tentative="1">
      <w:start w:val="1"/>
      <w:numFmt w:val="bullet"/>
      <w:lvlText w:val=""/>
      <w:lvlJc w:val="left"/>
      <w:pPr>
        <w:ind w:left="6108" w:hanging="360"/>
      </w:pPr>
      <w:rPr>
        <w:rFonts w:ascii="Symbol" w:hAnsi="Symbol" w:hint="default"/>
      </w:rPr>
    </w:lvl>
    <w:lvl w:ilvl="7" w:tplc="0C090003" w:tentative="1">
      <w:start w:val="1"/>
      <w:numFmt w:val="bullet"/>
      <w:lvlText w:val="o"/>
      <w:lvlJc w:val="left"/>
      <w:pPr>
        <w:ind w:left="6828" w:hanging="360"/>
      </w:pPr>
      <w:rPr>
        <w:rFonts w:ascii="Courier New" w:hAnsi="Courier New" w:cs="Courier New" w:hint="default"/>
      </w:rPr>
    </w:lvl>
    <w:lvl w:ilvl="8" w:tplc="0C090005" w:tentative="1">
      <w:start w:val="1"/>
      <w:numFmt w:val="bullet"/>
      <w:lvlText w:val=""/>
      <w:lvlJc w:val="left"/>
      <w:pPr>
        <w:ind w:left="7548" w:hanging="360"/>
      </w:pPr>
      <w:rPr>
        <w:rFonts w:ascii="Wingdings" w:hAnsi="Wingdings" w:hint="default"/>
      </w:rPr>
    </w:lvl>
  </w:abstractNum>
  <w:abstractNum w:abstractNumId="51" w15:restartNumberingAfterBreak="0">
    <w:nsid w:val="66DE3037"/>
    <w:multiLevelType w:val="hybridMultilevel"/>
    <w:tmpl w:val="D584A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7B972B3"/>
    <w:multiLevelType w:val="hybridMultilevel"/>
    <w:tmpl w:val="04F4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7616CA"/>
    <w:multiLevelType w:val="multilevel"/>
    <w:tmpl w:val="DFEE6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AC835E1"/>
    <w:multiLevelType w:val="multilevel"/>
    <w:tmpl w:val="801AD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6A77E7"/>
    <w:multiLevelType w:val="hybridMultilevel"/>
    <w:tmpl w:val="46E89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D4F4BDE"/>
    <w:multiLevelType w:val="hybridMultilevel"/>
    <w:tmpl w:val="16BC75C8"/>
    <w:lvl w:ilvl="0" w:tplc="9FB6A1DC">
      <w:start w:val="1"/>
      <w:numFmt w:val="bullet"/>
      <w:lvlText w:val=""/>
      <w:lvlJc w:val="left"/>
      <w:pPr>
        <w:ind w:left="1440" w:hanging="360"/>
      </w:pPr>
      <w:rPr>
        <w:rFonts w:ascii="Symbol" w:hAnsi="Symbol" w:hint="default"/>
        <w:b/>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6FB3652F"/>
    <w:multiLevelType w:val="hybridMultilevel"/>
    <w:tmpl w:val="3072D344"/>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58" w15:restartNumberingAfterBreak="0">
    <w:nsid w:val="6FF26E5C"/>
    <w:multiLevelType w:val="hybridMultilevel"/>
    <w:tmpl w:val="FC46AA8A"/>
    <w:lvl w:ilvl="0" w:tplc="0F3CBD64">
      <w:start w:val="1"/>
      <w:numFmt w:val="bullet"/>
      <w:lvlText w:val="•"/>
      <w:lvlJc w:val="left"/>
      <w:pPr>
        <w:tabs>
          <w:tab w:val="num" w:pos="720"/>
        </w:tabs>
        <w:ind w:left="720" w:hanging="360"/>
      </w:pPr>
      <w:rPr>
        <w:rFonts w:ascii="Arial" w:hAnsi="Arial" w:hint="default"/>
      </w:rPr>
    </w:lvl>
    <w:lvl w:ilvl="1" w:tplc="39C6BB78" w:tentative="1">
      <w:start w:val="1"/>
      <w:numFmt w:val="bullet"/>
      <w:lvlText w:val="•"/>
      <w:lvlJc w:val="left"/>
      <w:pPr>
        <w:tabs>
          <w:tab w:val="num" w:pos="1440"/>
        </w:tabs>
        <w:ind w:left="1440" w:hanging="360"/>
      </w:pPr>
      <w:rPr>
        <w:rFonts w:ascii="Arial" w:hAnsi="Arial" w:hint="default"/>
      </w:rPr>
    </w:lvl>
    <w:lvl w:ilvl="2" w:tplc="678E2A06" w:tentative="1">
      <w:start w:val="1"/>
      <w:numFmt w:val="bullet"/>
      <w:lvlText w:val="•"/>
      <w:lvlJc w:val="left"/>
      <w:pPr>
        <w:tabs>
          <w:tab w:val="num" w:pos="2160"/>
        </w:tabs>
        <w:ind w:left="2160" w:hanging="360"/>
      </w:pPr>
      <w:rPr>
        <w:rFonts w:ascii="Arial" w:hAnsi="Arial" w:hint="default"/>
      </w:rPr>
    </w:lvl>
    <w:lvl w:ilvl="3" w:tplc="7A5226E8" w:tentative="1">
      <w:start w:val="1"/>
      <w:numFmt w:val="bullet"/>
      <w:lvlText w:val="•"/>
      <w:lvlJc w:val="left"/>
      <w:pPr>
        <w:tabs>
          <w:tab w:val="num" w:pos="2880"/>
        </w:tabs>
        <w:ind w:left="2880" w:hanging="360"/>
      </w:pPr>
      <w:rPr>
        <w:rFonts w:ascii="Arial" w:hAnsi="Arial" w:hint="default"/>
      </w:rPr>
    </w:lvl>
    <w:lvl w:ilvl="4" w:tplc="09D69ED2" w:tentative="1">
      <w:start w:val="1"/>
      <w:numFmt w:val="bullet"/>
      <w:lvlText w:val="•"/>
      <w:lvlJc w:val="left"/>
      <w:pPr>
        <w:tabs>
          <w:tab w:val="num" w:pos="3600"/>
        </w:tabs>
        <w:ind w:left="3600" w:hanging="360"/>
      </w:pPr>
      <w:rPr>
        <w:rFonts w:ascii="Arial" w:hAnsi="Arial" w:hint="default"/>
      </w:rPr>
    </w:lvl>
    <w:lvl w:ilvl="5" w:tplc="79A06DBE" w:tentative="1">
      <w:start w:val="1"/>
      <w:numFmt w:val="bullet"/>
      <w:lvlText w:val="•"/>
      <w:lvlJc w:val="left"/>
      <w:pPr>
        <w:tabs>
          <w:tab w:val="num" w:pos="4320"/>
        </w:tabs>
        <w:ind w:left="4320" w:hanging="360"/>
      </w:pPr>
      <w:rPr>
        <w:rFonts w:ascii="Arial" w:hAnsi="Arial" w:hint="default"/>
      </w:rPr>
    </w:lvl>
    <w:lvl w:ilvl="6" w:tplc="84486330" w:tentative="1">
      <w:start w:val="1"/>
      <w:numFmt w:val="bullet"/>
      <w:lvlText w:val="•"/>
      <w:lvlJc w:val="left"/>
      <w:pPr>
        <w:tabs>
          <w:tab w:val="num" w:pos="5040"/>
        </w:tabs>
        <w:ind w:left="5040" w:hanging="360"/>
      </w:pPr>
      <w:rPr>
        <w:rFonts w:ascii="Arial" w:hAnsi="Arial" w:hint="default"/>
      </w:rPr>
    </w:lvl>
    <w:lvl w:ilvl="7" w:tplc="A7AE4F38" w:tentative="1">
      <w:start w:val="1"/>
      <w:numFmt w:val="bullet"/>
      <w:lvlText w:val="•"/>
      <w:lvlJc w:val="left"/>
      <w:pPr>
        <w:tabs>
          <w:tab w:val="num" w:pos="5760"/>
        </w:tabs>
        <w:ind w:left="5760" w:hanging="360"/>
      </w:pPr>
      <w:rPr>
        <w:rFonts w:ascii="Arial" w:hAnsi="Arial" w:hint="default"/>
      </w:rPr>
    </w:lvl>
    <w:lvl w:ilvl="8" w:tplc="779C39F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1DC673C"/>
    <w:multiLevelType w:val="hybridMultilevel"/>
    <w:tmpl w:val="6C5EA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1DD0C73"/>
    <w:multiLevelType w:val="hybridMultilevel"/>
    <w:tmpl w:val="7832BA12"/>
    <w:lvl w:ilvl="0" w:tplc="E2A67FB8">
      <w:start w:val="1"/>
      <w:numFmt w:val="bullet"/>
      <w:lvlText w:val="•"/>
      <w:lvlJc w:val="left"/>
      <w:pPr>
        <w:tabs>
          <w:tab w:val="num" w:pos="720"/>
        </w:tabs>
        <w:ind w:left="720" w:hanging="360"/>
      </w:pPr>
      <w:rPr>
        <w:rFonts w:ascii="Arial" w:hAnsi="Arial" w:hint="default"/>
      </w:rPr>
    </w:lvl>
    <w:lvl w:ilvl="1" w:tplc="579212FA" w:tentative="1">
      <w:start w:val="1"/>
      <w:numFmt w:val="bullet"/>
      <w:lvlText w:val="•"/>
      <w:lvlJc w:val="left"/>
      <w:pPr>
        <w:tabs>
          <w:tab w:val="num" w:pos="1440"/>
        </w:tabs>
        <w:ind w:left="1440" w:hanging="360"/>
      </w:pPr>
      <w:rPr>
        <w:rFonts w:ascii="Arial" w:hAnsi="Arial" w:hint="default"/>
      </w:rPr>
    </w:lvl>
    <w:lvl w:ilvl="2" w:tplc="66B6D328" w:tentative="1">
      <w:start w:val="1"/>
      <w:numFmt w:val="bullet"/>
      <w:lvlText w:val="•"/>
      <w:lvlJc w:val="left"/>
      <w:pPr>
        <w:tabs>
          <w:tab w:val="num" w:pos="2160"/>
        </w:tabs>
        <w:ind w:left="2160" w:hanging="360"/>
      </w:pPr>
      <w:rPr>
        <w:rFonts w:ascii="Arial" w:hAnsi="Arial" w:hint="default"/>
      </w:rPr>
    </w:lvl>
    <w:lvl w:ilvl="3" w:tplc="4008C2DC" w:tentative="1">
      <w:start w:val="1"/>
      <w:numFmt w:val="bullet"/>
      <w:lvlText w:val="•"/>
      <w:lvlJc w:val="left"/>
      <w:pPr>
        <w:tabs>
          <w:tab w:val="num" w:pos="2880"/>
        </w:tabs>
        <w:ind w:left="2880" w:hanging="360"/>
      </w:pPr>
      <w:rPr>
        <w:rFonts w:ascii="Arial" w:hAnsi="Arial" w:hint="default"/>
      </w:rPr>
    </w:lvl>
    <w:lvl w:ilvl="4" w:tplc="091A98F8" w:tentative="1">
      <w:start w:val="1"/>
      <w:numFmt w:val="bullet"/>
      <w:lvlText w:val="•"/>
      <w:lvlJc w:val="left"/>
      <w:pPr>
        <w:tabs>
          <w:tab w:val="num" w:pos="3600"/>
        </w:tabs>
        <w:ind w:left="3600" w:hanging="360"/>
      </w:pPr>
      <w:rPr>
        <w:rFonts w:ascii="Arial" w:hAnsi="Arial" w:hint="default"/>
      </w:rPr>
    </w:lvl>
    <w:lvl w:ilvl="5" w:tplc="DB608EA6" w:tentative="1">
      <w:start w:val="1"/>
      <w:numFmt w:val="bullet"/>
      <w:lvlText w:val="•"/>
      <w:lvlJc w:val="left"/>
      <w:pPr>
        <w:tabs>
          <w:tab w:val="num" w:pos="4320"/>
        </w:tabs>
        <w:ind w:left="4320" w:hanging="360"/>
      </w:pPr>
      <w:rPr>
        <w:rFonts w:ascii="Arial" w:hAnsi="Arial" w:hint="default"/>
      </w:rPr>
    </w:lvl>
    <w:lvl w:ilvl="6" w:tplc="F6C68F6E" w:tentative="1">
      <w:start w:val="1"/>
      <w:numFmt w:val="bullet"/>
      <w:lvlText w:val="•"/>
      <w:lvlJc w:val="left"/>
      <w:pPr>
        <w:tabs>
          <w:tab w:val="num" w:pos="5040"/>
        </w:tabs>
        <w:ind w:left="5040" w:hanging="360"/>
      </w:pPr>
      <w:rPr>
        <w:rFonts w:ascii="Arial" w:hAnsi="Arial" w:hint="default"/>
      </w:rPr>
    </w:lvl>
    <w:lvl w:ilvl="7" w:tplc="F7B43E08" w:tentative="1">
      <w:start w:val="1"/>
      <w:numFmt w:val="bullet"/>
      <w:lvlText w:val="•"/>
      <w:lvlJc w:val="left"/>
      <w:pPr>
        <w:tabs>
          <w:tab w:val="num" w:pos="5760"/>
        </w:tabs>
        <w:ind w:left="5760" w:hanging="360"/>
      </w:pPr>
      <w:rPr>
        <w:rFonts w:ascii="Arial" w:hAnsi="Arial" w:hint="default"/>
      </w:rPr>
    </w:lvl>
    <w:lvl w:ilvl="8" w:tplc="21448D38"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8BD41AA"/>
    <w:multiLevelType w:val="hybridMultilevel"/>
    <w:tmpl w:val="CA4656F8"/>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62" w15:restartNumberingAfterBreak="0">
    <w:nsid w:val="7A0F7577"/>
    <w:multiLevelType w:val="hybridMultilevel"/>
    <w:tmpl w:val="49C44484"/>
    <w:lvl w:ilvl="0" w:tplc="FA065FFC">
      <w:start w:val="1"/>
      <w:numFmt w:val="decimal"/>
      <w:lvlText w:val="%1."/>
      <w:lvlJc w:val="left"/>
      <w:pPr>
        <w:ind w:left="360" w:hanging="360"/>
      </w:pPr>
      <w:rPr>
        <w:rFonts w:hint="default"/>
        <w:b w:val="0"/>
        <w:i w:val="0"/>
        <w:sz w:val="2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A2F2CBA"/>
    <w:multiLevelType w:val="hybridMultilevel"/>
    <w:tmpl w:val="EE9204E2"/>
    <w:lvl w:ilvl="0" w:tplc="0C090015">
      <w:start w:val="6"/>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AFD0994"/>
    <w:multiLevelType w:val="hybridMultilevel"/>
    <w:tmpl w:val="BE344F60"/>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5" w15:restartNumberingAfterBreak="0">
    <w:nsid w:val="7B3B6921"/>
    <w:multiLevelType w:val="hybridMultilevel"/>
    <w:tmpl w:val="E83E34CA"/>
    <w:lvl w:ilvl="0" w:tplc="60E48312">
      <w:start w:val="1"/>
      <w:numFmt w:val="decimal"/>
      <w:lvlText w:val="%1."/>
      <w:lvlJc w:val="left"/>
      <w:pPr>
        <w:ind w:left="1080" w:hanging="360"/>
      </w:pPr>
      <w:rPr>
        <w:rFonts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7D7C4DD7"/>
    <w:multiLevelType w:val="hybridMultilevel"/>
    <w:tmpl w:val="CF3A863E"/>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300" w:hanging="360"/>
      </w:pPr>
      <w:rPr>
        <w:rFonts w:ascii="Courier New" w:hAnsi="Courier New" w:cs="Courier New" w:hint="default"/>
      </w:rPr>
    </w:lvl>
    <w:lvl w:ilvl="2" w:tplc="0C090005" w:tentative="1">
      <w:start w:val="1"/>
      <w:numFmt w:val="bullet"/>
      <w:lvlText w:val=""/>
      <w:lvlJc w:val="left"/>
      <w:pPr>
        <w:ind w:left="1020" w:hanging="360"/>
      </w:pPr>
      <w:rPr>
        <w:rFonts w:ascii="Wingdings" w:hAnsi="Wingdings" w:hint="default"/>
      </w:rPr>
    </w:lvl>
    <w:lvl w:ilvl="3" w:tplc="0C090001" w:tentative="1">
      <w:start w:val="1"/>
      <w:numFmt w:val="bullet"/>
      <w:lvlText w:val=""/>
      <w:lvlJc w:val="left"/>
      <w:pPr>
        <w:ind w:left="1740" w:hanging="360"/>
      </w:pPr>
      <w:rPr>
        <w:rFonts w:ascii="Symbol" w:hAnsi="Symbol" w:hint="default"/>
      </w:rPr>
    </w:lvl>
    <w:lvl w:ilvl="4" w:tplc="0C090003" w:tentative="1">
      <w:start w:val="1"/>
      <w:numFmt w:val="bullet"/>
      <w:lvlText w:val="o"/>
      <w:lvlJc w:val="left"/>
      <w:pPr>
        <w:ind w:left="2460" w:hanging="360"/>
      </w:pPr>
      <w:rPr>
        <w:rFonts w:ascii="Courier New" w:hAnsi="Courier New" w:cs="Courier New" w:hint="default"/>
      </w:rPr>
    </w:lvl>
    <w:lvl w:ilvl="5" w:tplc="0C090005" w:tentative="1">
      <w:start w:val="1"/>
      <w:numFmt w:val="bullet"/>
      <w:lvlText w:val=""/>
      <w:lvlJc w:val="left"/>
      <w:pPr>
        <w:ind w:left="3180" w:hanging="360"/>
      </w:pPr>
      <w:rPr>
        <w:rFonts w:ascii="Wingdings" w:hAnsi="Wingdings" w:hint="default"/>
      </w:rPr>
    </w:lvl>
    <w:lvl w:ilvl="6" w:tplc="0C090001" w:tentative="1">
      <w:start w:val="1"/>
      <w:numFmt w:val="bullet"/>
      <w:lvlText w:val=""/>
      <w:lvlJc w:val="left"/>
      <w:pPr>
        <w:ind w:left="3900" w:hanging="360"/>
      </w:pPr>
      <w:rPr>
        <w:rFonts w:ascii="Symbol" w:hAnsi="Symbol" w:hint="default"/>
      </w:rPr>
    </w:lvl>
    <w:lvl w:ilvl="7" w:tplc="0C090003" w:tentative="1">
      <w:start w:val="1"/>
      <w:numFmt w:val="bullet"/>
      <w:lvlText w:val="o"/>
      <w:lvlJc w:val="left"/>
      <w:pPr>
        <w:ind w:left="4620" w:hanging="360"/>
      </w:pPr>
      <w:rPr>
        <w:rFonts w:ascii="Courier New" w:hAnsi="Courier New" w:cs="Courier New" w:hint="default"/>
      </w:rPr>
    </w:lvl>
    <w:lvl w:ilvl="8" w:tplc="0C090005" w:tentative="1">
      <w:start w:val="1"/>
      <w:numFmt w:val="bullet"/>
      <w:lvlText w:val=""/>
      <w:lvlJc w:val="left"/>
      <w:pPr>
        <w:ind w:left="5340" w:hanging="360"/>
      </w:pPr>
      <w:rPr>
        <w:rFonts w:ascii="Wingdings" w:hAnsi="Wingdings" w:hint="default"/>
      </w:rPr>
    </w:lvl>
  </w:abstractNum>
  <w:abstractNum w:abstractNumId="67" w15:restartNumberingAfterBreak="0">
    <w:nsid w:val="7F5A77D3"/>
    <w:multiLevelType w:val="hybridMultilevel"/>
    <w:tmpl w:val="47A4F1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8"/>
  </w:num>
  <w:num w:numId="2">
    <w:abstractNumId w:val="45"/>
  </w:num>
  <w:num w:numId="3">
    <w:abstractNumId w:val="64"/>
  </w:num>
  <w:num w:numId="4">
    <w:abstractNumId w:val="15"/>
  </w:num>
  <w:num w:numId="5">
    <w:abstractNumId w:val="16"/>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2978" w:hanging="567"/>
        </w:pPr>
        <w:rPr>
          <w:rFonts w:hint="default"/>
        </w:rPr>
      </w:lvl>
    </w:lvlOverride>
    <w:lvlOverride w:ilvl="2">
      <w:lvl w:ilvl="2">
        <w:start w:val="1"/>
        <w:numFmt w:val="decimal"/>
        <w:pStyle w:val="Heading3Numbered"/>
        <w:lvlText w:val="%1.%2.%3"/>
        <w:lvlJc w:val="left"/>
        <w:pPr>
          <w:ind w:left="3011" w:hanging="851"/>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left"/>
        <w:pPr>
          <w:ind w:left="5040" w:hanging="36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left"/>
        <w:pPr>
          <w:ind w:left="6120" w:hanging="360"/>
        </w:pPr>
        <w:rPr>
          <w:rFonts w:hint="default"/>
        </w:rPr>
      </w:lvl>
    </w:lvlOverride>
  </w:num>
  <w:num w:numId="6">
    <w:abstractNumId w:val="19"/>
  </w:num>
  <w:num w:numId="7">
    <w:abstractNumId w:val="17"/>
  </w:num>
  <w:num w:numId="8">
    <w:abstractNumId w:val="1"/>
  </w:num>
  <w:num w:numId="9">
    <w:abstractNumId w:val="30"/>
  </w:num>
  <w:num w:numId="10">
    <w:abstractNumId w:val="20"/>
  </w:num>
  <w:num w:numId="11">
    <w:abstractNumId w:val="11"/>
  </w:num>
  <w:num w:numId="12">
    <w:abstractNumId w:val="57"/>
  </w:num>
  <w:num w:numId="13">
    <w:abstractNumId w:val="52"/>
  </w:num>
  <w:num w:numId="14">
    <w:abstractNumId w:val="23"/>
  </w:num>
  <w:num w:numId="15">
    <w:abstractNumId w:val="31"/>
  </w:num>
  <w:num w:numId="16">
    <w:abstractNumId w:val="51"/>
  </w:num>
  <w:num w:numId="17">
    <w:abstractNumId w:val="37"/>
  </w:num>
  <w:num w:numId="18">
    <w:abstractNumId w:val="10"/>
  </w:num>
  <w:num w:numId="19">
    <w:abstractNumId w:val="59"/>
  </w:num>
  <w:num w:numId="20">
    <w:abstractNumId w:val="33"/>
  </w:num>
  <w:num w:numId="21">
    <w:abstractNumId w:val="4"/>
  </w:num>
  <w:num w:numId="22">
    <w:abstractNumId w:val="9"/>
  </w:num>
  <w:num w:numId="23">
    <w:abstractNumId w:val="25"/>
  </w:num>
  <w:num w:numId="24">
    <w:abstractNumId w:val="58"/>
  </w:num>
  <w:num w:numId="25">
    <w:abstractNumId w:val="49"/>
  </w:num>
  <w:num w:numId="26">
    <w:abstractNumId w:val="46"/>
  </w:num>
  <w:num w:numId="27">
    <w:abstractNumId w:val="60"/>
  </w:num>
  <w:num w:numId="28">
    <w:abstractNumId w:val="48"/>
  </w:num>
  <w:num w:numId="29">
    <w:abstractNumId w:val="0"/>
  </w:num>
  <w:num w:numId="30">
    <w:abstractNumId w:val="29"/>
  </w:num>
  <w:num w:numId="31">
    <w:abstractNumId w:val="21"/>
  </w:num>
  <w:num w:numId="32">
    <w:abstractNumId w:val="35"/>
  </w:num>
  <w:num w:numId="33">
    <w:abstractNumId w:val="66"/>
  </w:num>
  <w:num w:numId="34">
    <w:abstractNumId w:val="61"/>
  </w:num>
  <w:num w:numId="35">
    <w:abstractNumId w:val="39"/>
  </w:num>
  <w:num w:numId="36">
    <w:abstractNumId w:val="56"/>
  </w:num>
  <w:num w:numId="37">
    <w:abstractNumId w:val="65"/>
  </w:num>
  <w:num w:numId="38">
    <w:abstractNumId w:val="6"/>
  </w:num>
  <w:num w:numId="39">
    <w:abstractNumId w:val="3"/>
  </w:num>
  <w:num w:numId="40">
    <w:abstractNumId w:val="8"/>
  </w:num>
  <w:num w:numId="41">
    <w:abstractNumId w:val="42"/>
  </w:num>
  <w:num w:numId="42">
    <w:abstractNumId w:val="27"/>
  </w:num>
  <w:num w:numId="43">
    <w:abstractNumId w:val="55"/>
  </w:num>
  <w:num w:numId="44">
    <w:abstractNumId w:val="28"/>
  </w:num>
  <w:num w:numId="45">
    <w:abstractNumId w:val="62"/>
  </w:num>
  <w:num w:numId="46">
    <w:abstractNumId w:val="22"/>
  </w:num>
  <w:num w:numId="47">
    <w:abstractNumId w:val="32"/>
  </w:num>
  <w:num w:numId="48">
    <w:abstractNumId w:val="24"/>
  </w:num>
  <w:num w:numId="49">
    <w:abstractNumId w:val="34"/>
  </w:num>
  <w:num w:numId="50">
    <w:abstractNumId w:val="67"/>
  </w:num>
  <w:num w:numId="51">
    <w:abstractNumId w:val="18"/>
  </w:num>
  <w:num w:numId="52">
    <w:abstractNumId w:val="2"/>
  </w:num>
  <w:num w:numId="53">
    <w:abstractNumId w:val="50"/>
  </w:num>
  <w:num w:numId="54">
    <w:abstractNumId w:val="63"/>
  </w:num>
  <w:num w:numId="55">
    <w:abstractNumId w:val="5"/>
  </w:num>
  <w:num w:numId="56">
    <w:abstractNumId w:val="16"/>
  </w:num>
  <w:num w:numId="57">
    <w:abstractNumId w:val="53"/>
  </w:num>
  <w:num w:numId="58">
    <w:abstractNumId w:val="13"/>
  </w:num>
  <w:num w:numId="59">
    <w:abstractNumId w:val="40"/>
  </w:num>
  <w:num w:numId="60">
    <w:abstractNumId w:val="12"/>
  </w:num>
  <w:num w:numId="61">
    <w:abstractNumId w:val="54"/>
  </w:num>
  <w:num w:numId="62">
    <w:abstractNumId w:val="14"/>
  </w:num>
  <w:num w:numId="63">
    <w:abstractNumId w:val="26"/>
  </w:num>
  <w:num w:numId="64">
    <w:abstractNumId w:val="41"/>
  </w:num>
  <w:num w:numId="65">
    <w:abstractNumId w:val="36"/>
  </w:num>
  <w:num w:numId="66">
    <w:abstractNumId w:val="43"/>
  </w:num>
  <w:num w:numId="67">
    <w:abstractNumId w:val="7"/>
  </w:num>
  <w:num w:numId="68">
    <w:abstractNumId w:val="44"/>
  </w:num>
  <w:num w:numId="69">
    <w:abstractNumId w:val="47"/>
  </w:num>
  <w:num w:numId="70">
    <w:abstractNumId w:val="16"/>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2978" w:hanging="567"/>
        </w:pPr>
        <w:rPr>
          <w:rFonts w:hint="default"/>
        </w:rPr>
      </w:lvl>
    </w:lvlOverride>
    <w:lvlOverride w:ilvl="2">
      <w:lvl w:ilvl="2">
        <w:start w:val="1"/>
        <w:numFmt w:val="decimal"/>
        <w:pStyle w:val="Heading3Numbered"/>
        <w:lvlText w:val="%1.%2.%3"/>
        <w:lvlJc w:val="left"/>
        <w:pPr>
          <w:ind w:left="3011" w:hanging="851"/>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left"/>
        <w:pPr>
          <w:ind w:left="5040" w:hanging="36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left"/>
        <w:pPr>
          <w:ind w:left="6120" w:hanging="360"/>
        </w:pPr>
        <w:rPr>
          <w:rFonts w:hint="default"/>
        </w:rPr>
      </w:lvl>
    </w:lvlOverride>
  </w:num>
  <w:num w:numId="71">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A6"/>
    <w:rsid w:val="000005BE"/>
    <w:rsid w:val="00001F32"/>
    <w:rsid w:val="000028E0"/>
    <w:rsid w:val="00002BDA"/>
    <w:rsid w:val="00007EC2"/>
    <w:rsid w:val="000108B2"/>
    <w:rsid w:val="00010A82"/>
    <w:rsid w:val="000124B1"/>
    <w:rsid w:val="000132AC"/>
    <w:rsid w:val="00017091"/>
    <w:rsid w:val="00023BC8"/>
    <w:rsid w:val="00025854"/>
    <w:rsid w:val="000264A1"/>
    <w:rsid w:val="00026CD9"/>
    <w:rsid w:val="0002748F"/>
    <w:rsid w:val="00031C7E"/>
    <w:rsid w:val="00032632"/>
    <w:rsid w:val="000337D4"/>
    <w:rsid w:val="000351CD"/>
    <w:rsid w:val="00037B1C"/>
    <w:rsid w:val="00043740"/>
    <w:rsid w:val="0004441D"/>
    <w:rsid w:val="00044521"/>
    <w:rsid w:val="0004485E"/>
    <w:rsid w:val="0004524D"/>
    <w:rsid w:val="00046F4F"/>
    <w:rsid w:val="00050642"/>
    <w:rsid w:val="00050BC2"/>
    <w:rsid w:val="000527CF"/>
    <w:rsid w:val="00052FC0"/>
    <w:rsid w:val="000544E3"/>
    <w:rsid w:val="00055DCA"/>
    <w:rsid w:val="0005662D"/>
    <w:rsid w:val="000566F7"/>
    <w:rsid w:val="00056E40"/>
    <w:rsid w:val="00060D11"/>
    <w:rsid w:val="00060E54"/>
    <w:rsid w:val="0006139E"/>
    <w:rsid w:val="0006202B"/>
    <w:rsid w:val="000654BA"/>
    <w:rsid w:val="000710EA"/>
    <w:rsid w:val="00075814"/>
    <w:rsid w:val="000820A8"/>
    <w:rsid w:val="00082E4C"/>
    <w:rsid w:val="00083135"/>
    <w:rsid w:val="00084813"/>
    <w:rsid w:val="00090DB9"/>
    <w:rsid w:val="00095D6B"/>
    <w:rsid w:val="000A13AD"/>
    <w:rsid w:val="000A1DC8"/>
    <w:rsid w:val="000A38A7"/>
    <w:rsid w:val="000B0336"/>
    <w:rsid w:val="000B15B2"/>
    <w:rsid w:val="000B16AB"/>
    <w:rsid w:val="000B2A53"/>
    <w:rsid w:val="000B58E0"/>
    <w:rsid w:val="000B7FDD"/>
    <w:rsid w:val="000C20AE"/>
    <w:rsid w:val="000C2D28"/>
    <w:rsid w:val="000C38D5"/>
    <w:rsid w:val="000C3CD1"/>
    <w:rsid w:val="000C715F"/>
    <w:rsid w:val="000D1012"/>
    <w:rsid w:val="000D1567"/>
    <w:rsid w:val="000D2ACD"/>
    <w:rsid w:val="000D2B00"/>
    <w:rsid w:val="000E0216"/>
    <w:rsid w:val="000E0B89"/>
    <w:rsid w:val="000E15E5"/>
    <w:rsid w:val="000F71C9"/>
    <w:rsid w:val="0010035B"/>
    <w:rsid w:val="001006F6"/>
    <w:rsid w:val="00100EE0"/>
    <w:rsid w:val="00102C96"/>
    <w:rsid w:val="001058AA"/>
    <w:rsid w:val="00110029"/>
    <w:rsid w:val="00111ED5"/>
    <w:rsid w:val="00113CFE"/>
    <w:rsid w:val="00116050"/>
    <w:rsid w:val="00121B3B"/>
    <w:rsid w:val="00122BD2"/>
    <w:rsid w:val="00125535"/>
    <w:rsid w:val="00125CFD"/>
    <w:rsid w:val="001264F2"/>
    <w:rsid w:val="001336D5"/>
    <w:rsid w:val="00136242"/>
    <w:rsid w:val="00141B37"/>
    <w:rsid w:val="00142593"/>
    <w:rsid w:val="00143BAA"/>
    <w:rsid w:val="00144CA6"/>
    <w:rsid w:val="00145131"/>
    <w:rsid w:val="001460B8"/>
    <w:rsid w:val="00146D28"/>
    <w:rsid w:val="00147E11"/>
    <w:rsid w:val="0015103A"/>
    <w:rsid w:val="0015221C"/>
    <w:rsid w:val="00153146"/>
    <w:rsid w:val="001536F1"/>
    <w:rsid w:val="00154EDD"/>
    <w:rsid w:val="001557B9"/>
    <w:rsid w:val="00157FF9"/>
    <w:rsid w:val="00160196"/>
    <w:rsid w:val="001613E2"/>
    <w:rsid w:val="0016310D"/>
    <w:rsid w:val="00163FDD"/>
    <w:rsid w:val="00164F6A"/>
    <w:rsid w:val="00165503"/>
    <w:rsid w:val="00165849"/>
    <w:rsid w:val="00165A5C"/>
    <w:rsid w:val="00180F01"/>
    <w:rsid w:val="00182CA8"/>
    <w:rsid w:val="00183829"/>
    <w:rsid w:val="0018427B"/>
    <w:rsid w:val="00186B2A"/>
    <w:rsid w:val="001873D5"/>
    <w:rsid w:val="00190793"/>
    <w:rsid w:val="00191FB4"/>
    <w:rsid w:val="001A123D"/>
    <w:rsid w:val="001A1CE6"/>
    <w:rsid w:val="001A1D13"/>
    <w:rsid w:val="001A4C79"/>
    <w:rsid w:val="001A5AAD"/>
    <w:rsid w:val="001A5DC3"/>
    <w:rsid w:val="001B113B"/>
    <w:rsid w:val="001B3673"/>
    <w:rsid w:val="001B3FD7"/>
    <w:rsid w:val="001B78A5"/>
    <w:rsid w:val="001C257C"/>
    <w:rsid w:val="001C7C13"/>
    <w:rsid w:val="001D0BF1"/>
    <w:rsid w:val="001D2284"/>
    <w:rsid w:val="001E0630"/>
    <w:rsid w:val="001E19A6"/>
    <w:rsid w:val="001E2A58"/>
    <w:rsid w:val="001E59FF"/>
    <w:rsid w:val="001F059B"/>
    <w:rsid w:val="001F26A6"/>
    <w:rsid w:val="001F2B9A"/>
    <w:rsid w:val="001F583C"/>
    <w:rsid w:val="001F5ADA"/>
    <w:rsid w:val="002007EB"/>
    <w:rsid w:val="00202EF9"/>
    <w:rsid w:val="00205948"/>
    <w:rsid w:val="002062EB"/>
    <w:rsid w:val="00207718"/>
    <w:rsid w:val="00207FCF"/>
    <w:rsid w:val="002104EE"/>
    <w:rsid w:val="002107A7"/>
    <w:rsid w:val="002137DE"/>
    <w:rsid w:val="002141D8"/>
    <w:rsid w:val="00216EFC"/>
    <w:rsid w:val="002172A8"/>
    <w:rsid w:val="00217442"/>
    <w:rsid w:val="0021747F"/>
    <w:rsid w:val="00222D7E"/>
    <w:rsid w:val="0022413B"/>
    <w:rsid w:val="00224742"/>
    <w:rsid w:val="002255F5"/>
    <w:rsid w:val="002262CC"/>
    <w:rsid w:val="00227767"/>
    <w:rsid w:val="00232121"/>
    <w:rsid w:val="002324F3"/>
    <w:rsid w:val="00232860"/>
    <w:rsid w:val="002355C7"/>
    <w:rsid w:val="002428CE"/>
    <w:rsid w:val="002500E9"/>
    <w:rsid w:val="002508AB"/>
    <w:rsid w:val="00254C60"/>
    <w:rsid w:val="0025591E"/>
    <w:rsid w:val="00255D3D"/>
    <w:rsid w:val="00256573"/>
    <w:rsid w:val="00262B4A"/>
    <w:rsid w:val="00262DC7"/>
    <w:rsid w:val="0026361C"/>
    <w:rsid w:val="002649A9"/>
    <w:rsid w:val="00265468"/>
    <w:rsid w:val="00270385"/>
    <w:rsid w:val="00270BDC"/>
    <w:rsid w:val="002755D0"/>
    <w:rsid w:val="002806F8"/>
    <w:rsid w:val="00281F1A"/>
    <w:rsid w:val="00283069"/>
    <w:rsid w:val="00286A7B"/>
    <w:rsid w:val="00295F49"/>
    <w:rsid w:val="00296D45"/>
    <w:rsid w:val="00297D6D"/>
    <w:rsid w:val="002A256B"/>
    <w:rsid w:val="002B0396"/>
    <w:rsid w:val="002B0F9C"/>
    <w:rsid w:val="002B7832"/>
    <w:rsid w:val="002C25E3"/>
    <w:rsid w:val="002D1955"/>
    <w:rsid w:val="002D3F42"/>
    <w:rsid w:val="002D4903"/>
    <w:rsid w:val="002D4C75"/>
    <w:rsid w:val="002D50E1"/>
    <w:rsid w:val="002D6220"/>
    <w:rsid w:val="002D6E05"/>
    <w:rsid w:val="002E085D"/>
    <w:rsid w:val="002E1246"/>
    <w:rsid w:val="002E30DC"/>
    <w:rsid w:val="002E388A"/>
    <w:rsid w:val="002E5893"/>
    <w:rsid w:val="002E7992"/>
    <w:rsid w:val="002F01D9"/>
    <w:rsid w:val="002F44CC"/>
    <w:rsid w:val="002F681A"/>
    <w:rsid w:val="002F727C"/>
    <w:rsid w:val="00304146"/>
    <w:rsid w:val="00304611"/>
    <w:rsid w:val="0030469A"/>
    <w:rsid w:val="00306E23"/>
    <w:rsid w:val="00312182"/>
    <w:rsid w:val="00312B6F"/>
    <w:rsid w:val="00313783"/>
    <w:rsid w:val="00314DEF"/>
    <w:rsid w:val="00314F7D"/>
    <w:rsid w:val="003165B8"/>
    <w:rsid w:val="00317743"/>
    <w:rsid w:val="00317DC0"/>
    <w:rsid w:val="003226CF"/>
    <w:rsid w:val="003373C4"/>
    <w:rsid w:val="0034012E"/>
    <w:rsid w:val="00341DF0"/>
    <w:rsid w:val="003473F0"/>
    <w:rsid w:val="00350114"/>
    <w:rsid w:val="00351171"/>
    <w:rsid w:val="00354155"/>
    <w:rsid w:val="00356A93"/>
    <w:rsid w:val="0035777A"/>
    <w:rsid w:val="00363B65"/>
    <w:rsid w:val="003643D6"/>
    <w:rsid w:val="003656D3"/>
    <w:rsid w:val="0036571B"/>
    <w:rsid w:val="00365D42"/>
    <w:rsid w:val="003750BB"/>
    <w:rsid w:val="003762FA"/>
    <w:rsid w:val="003802A6"/>
    <w:rsid w:val="00384D81"/>
    <w:rsid w:val="00386169"/>
    <w:rsid w:val="00387D46"/>
    <w:rsid w:val="00387E6B"/>
    <w:rsid w:val="00390766"/>
    <w:rsid w:val="0039354A"/>
    <w:rsid w:val="0039380B"/>
    <w:rsid w:val="003954ED"/>
    <w:rsid w:val="00395D82"/>
    <w:rsid w:val="003961B2"/>
    <w:rsid w:val="0039667A"/>
    <w:rsid w:val="0039694A"/>
    <w:rsid w:val="00396EA3"/>
    <w:rsid w:val="00397A8F"/>
    <w:rsid w:val="003A1EAE"/>
    <w:rsid w:val="003A6FA4"/>
    <w:rsid w:val="003B2CFC"/>
    <w:rsid w:val="003B43EA"/>
    <w:rsid w:val="003C046D"/>
    <w:rsid w:val="003C05F4"/>
    <w:rsid w:val="003C1C81"/>
    <w:rsid w:val="003C1E71"/>
    <w:rsid w:val="003C20E8"/>
    <w:rsid w:val="003C6C36"/>
    <w:rsid w:val="003D02FA"/>
    <w:rsid w:val="003D4118"/>
    <w:rsid w:val="003D6233"/>
    <w:rsid w:val="003D6969"/>
    <w:rsid w:val="003E3ABB"/>
    <w:rsid w:val="003E5E8E"/>
    <w:rsid w:val="003F0061"/>
    <w:rsid w:val="003F1B2F"/>
    <w:rsid w:val="003F4838"/>
    <w:rsid w:val="004000C6"/>
    <w:rsid w:val="00406A49"/>
    <w:rsid w:val="00411731"/>
    <w:rsid w:val="00411CAC"/>
    <w:rsid w:val="00413D5A"/>
    <w:rsid w:val="00414D99"/>
    <w:rsid w:val="004208FB"/>
    <w:rsid w:val="0042165D"/>
    <w:rsid w:val="0042190C"/>
    <w:rsid w:val="004225CA"/>
    <w:rsid w:val="004234E5"/>
    <w:rsid w:val="00430B6D"/>
    <w:rsid w:val="00435CB8"/>
    <w:rsid w:val="00436F70"/>
    <w:rsid w:val="00440F9E"/>
    <w:rsid w:val="00443561"/>
    <w:rsid w:val="00444839"/>
    <w:rsid w:val="00446FFE"/>
    <w:rsid w:val="00451BF6"/>
    <w:rsid w:val="00452410"/>
    <w:rsid w:val="00456B4B"/>
    <w:rsid w:val="004603E9"/>
    <w:rsid w:val="0046423A"/>
    <w:rsid w:val="00470457"/>
    <w:rsid w:val="00471BEA"/>
    <w:rsid w:val="004727E4"/>
    <w:rsid w:val="00472E80"/>
    <w:rsid w:val="0047489C"/>
    <w:rsid w:val="00476CBB"/>
    <w:rsid w:val="00477C12"/>
    <w:rsid w:val="00477C43"/>
    <w:rsid w:val="00481962"/>
    <w:rsid w:val="0048280D"/>
    <w:rsid w:val="00483701"/>
    <w:rsid w:val="00485B8B"/>
    <w:rsid w:val="00486911"/>
    <w:rsid w:val="00490714"/>
    <w:rsid w:val="004928B6"/>
    <w:rsid w:val="004931D6"/>
    <w:rsid w:val="00495E9B"/>
    <w:rsid w:val="004A2989"/>
    <w:rsid w:val="004A3B22"/>
    <w:rsid w:val="004B0ACF"/>
    <w:rsid w:val="004B3364"/>
    <w:rsid w:val="004C0B99"/>
    <w:rsid w:val="004C4109"/>
    <w:rsid w:val="004C5306"/>
    <w:rsid w:val="004C5F3E"/>
    <w:rsid w:val="004C66AE"/>
    <w:rsid w:val="004D1516"/>
    <w:rsid w:val="004D1D68"/>
    <w:rsid w:val="004D2C1B"/>
    <w:rsid w:val="004D3BCE"/>
    <w:rsid w:val="004D4274"/>
    <w:rsid w:val="004D7D77"/>
    <w:rsid w:val="004D7FD1"/>
    <w:rsid w:val="004E1B9C"/>
    <w:rsid w:val="004E2E55"/>
    <w:rsid w:val="004E780D"/>
    <w:rsid w:val="004F023E"/>
    <w:rsid w:val="004F0E45"/>
    <w:rsid w:val="004F1B7A"/>
    <w:rsid w:val="004F62A5"/>
    <w:rsid w:val="004F6873"/>
    <w:rsid w:val="00500A2F"/>
    <w:rsid w:val="0050465E"/>
    <w:rsid w:val="0050520E"/>
    <w:rsid w:val="00505274"/>
    <w:rsid w:val="00506A1C"/>
    <w:rsid w:val="005117DA"/>
    <w:rsid w:val="00512242"/>
    <w:rsid w:val="005152EB"/>
    <w:rsid w:val="005164C0"/>
    <w:rsid w:val="005210D0"/>
    <w:rsid w:val="00525EAC"/>
    <w:rsid w:val="00530E98"/>
    <w:rsid w:val="0053138B"/>
    <w:rsid w:val="005327F8"/>
    <w:rsid w:val="005419E0"/>
    <w:rsid w:val="00541A28"/>
    <w:rsid w:val="005433E0"/>
    <w:rsid w:val="005456FB"/>
    <w:rsid w:val="00547ACD"/>
    <w:rsid w:val="00551955"/>
    <w:rsid w:val="00555F86"/>
    <w:rsid w:val="005601CA"/>
    <w:rsid w:val="005645AD"/>
    <w:rsid w:val="00564817"/>
    <w:rsid w:val="005662DB"/>
    <w:rsid w:val="00566809"/>
    <w:rsid w:val="0056702F"/>
    <w:rsid w:val="00567DFA"/>
    <w:rsid w:val="005701B5"/>
    <w:rsid w:val="00571745"/>
    <w:rsid w:val="00571E78"/>
    <w:rsid w:val="0057275A"/>
    <w:rsid w:val="005728FE"/>
    <w:rsid w:val="00574D7E"/>
    <w:rsid w:val="0057756A"/>
    <w:rsid w:val="00582E96"/>
    <w:rsid w:val="00584BFE"/>
    <w:rsid w:val="00585C21"/>
    <w:rsid w:val="005929A9"/>
    <w:rsid w:val="00593BA4"/>
    <w:rsid w:val="00595BD6"/>
    <w:rsid w:val="00596B8B"/>
    <w:rsid w:val="005A16A9"/>
    <w:rsid w:val="005A2CF4"/>
    <w:rsid w:val="005A342E"/>
    <w:rsid w:val="005A3460"/>
    <w:rsid w:val="005A4FFB"/>
    <w:rsid w:val="005B0B9F"/>
    <w:rsid w:val="005B32D8"/>
    <w:rsid w:val="005B3459"/>
    <w:rsid w:val="005B664D"/>
    <w:rsid w:val="005B78C7"/>
    <w:rsid w:val="005C0060"/>
    <w:rsid w:val="005C0189"/>
    <w:rsid w:val="005C1A04"/>
    <w:rsid w:val="005C5139"/>
    <w:rsid w:val="005C6A54"/>
    <w:rsid w:val="005D09C3"/>
    <w:rsid w:val="005D14B5"/>
    <w:rsid w:val="005D3D4E"/>
    <w:rsid w:val="005D65BC"/>
    <w:rsid w:val="005D683D"/>
    <w:rsid w:val="005D7697"/>
    <w:rsid w:val="005E085E"/>
    <w:rsid w:val="005E478F"/>
    <w:rsid w:val="005E560D"/>
    <w:rsid w:val="005E7BD3"/>
    <w:rsid w:val="005F58DC"/>
    <w:rsid w:val="005F65B7"/>
    <w:rsid w:val="0060184D"/>
    <w:rsid w:val="00601DB6"/>
    <w:rsid w:val="006076B1"/>
    <w:rsid w:val="00610282"/>
    <w:rsid w:val="00611706"/>
    <w:rsid w:val="0061257D"/>
    <w:rsid w:val="00617D33"/>
    <w:rsid w:val="00626F4D"/>
    <w:rsid w:val="006273BF"/>
    <w:rsid w:val="00630493"/>
    <w:rsid w:val="00632283"/>
    <w:rsid w:val="006373E7"/>
    <w:rsid w:val="006377CA"/>
    <w:rsid w:val="0063781F"/>
    <w:rsid w:val="00640EB2"/>
    <w:rsid w:val="00642BD9"/>
    <w:rsid w:val="0064352A"/>
    <w:rsid w:val="00644169"/>
    <w:rsid w:val="0065302B"/>
    <w:rsid w:val="0065531B"/>
    <w:rsid w:val="00655F59"/>
    <w:rsid w:val="006561AD"/>
    <w:rsid w:val="006600D6"/>
    <w:rsid w:val="00662C8F"/>
    <w:rsid w:val="00662FF2"/>
    <w:rsid w:val="00663AC0"/>
    <w:rsid w:val="006714E4"/>
    <w:rsid w:val="00674836"/>
    <w:rsid w:val="00674FA5"/>
    <w:rsid w:val="00677E92"/>
    <w:rsid w:val="00683617"/>
    <w:rsid w:val="0068409C"/>
    <w:rsid w:val="00686208"/>
    <w:rsid w:val="00687156"/>
    <w:rsid w:val="00690685"/>
    <w:rsid w:val="00692AFF"/>
    <w:rsid w:val="00694525"/>
    <w:rsid w:val="006951DC"/>
    <w:rsid w:val="00695D96"/>
    <w:rsid w:val="006A0FF7"/>
    <w:rsid w:val="006A36A1"/>
    <w:rsid w:val="006A67FA"/>
    <w:rsid w:val="006A6EAA"/>
    <w:rsid w:val="006A7183"/>
    <w:rsid w:val="006B00D0"/>
    <w:rsid w:val="006B1A91"/>
    <w:rsid w:val="006B1B56"/>
    <w:rsid w:val="006B5820"/>
    <w:rsid w:val="006B7335"/>
    <w:rsid w:val="006C32D5"/>
    <w:rsid w:val="006C3F92"/>
    <w:rsid w:val="006C534A"/>
    <w:rsid w:val="006C78B2"/>
    <w:rsid w:val="006D0553"/>
    <w:rsid w:val="006E04E3"/>
    <w:rsid w:val="006E397F"/>
    <w:rsid w:val="006F0AC1"/>
    <w:rsid w:val="006F246A"/>
    <w:rsid w:val="006F41E5"/>
    <w:rsid w:val="006F5B8E"/>
    <w:rsid w:val="006F5C4A"/>
    <w:rsid w:val="006F65F7"/>
    <w:rsid w:val="007007C8"/>
    <w:rsid w:val="007126D4"/>
    <w:rsid w:val="00716139"/>
    <w:rsid w:val="0071625D"/>
    <w:rsid w:val="00726D9A"/>
    <w:rsid w:val="00727F1B"/>
    <w:rsid w:val="00730840"/>
    <w:rsid w:val="00735473"/>
    <w:rsid w:val="00735CCD"/>
    <w:rsid w:val="00736250"/>
    <w:rsid w:val="00736BF5"/>
    <w:rsid w:val="00736D3C"/>
    <w:rsid w:val="007400CA"/>
    <w:rsid w:val="00742565"/>
    <w:rsid w:val="00742D30"/>
    <w:rsid w:val="007512A3"/>
    <w:rsid w:val="00751ADA"/>
    <w:rsid w:val="007544C4"/>
    <w:rsid w:val="00755914"/>
    <w:rsid w:val="00761726"/>
    <w:rsid w:val="0076417A"/>
    <w:rsid w:val="00765166"/>
    <w:rsid w:val="007655D0"/>
    <w:rsid w:val="0076671E"/>
    <w:rsid w:val="007732EF"/>
    <w:rsid w:val="00773A6C"/>
    <w:rsid w:val="00773C12"/>
    <w:rsid w:val="007749D0"/>
    <w:rsid w:val="00775595"/>
    <w:rsid w:val="00784471"/>
    <w:rsid w:val="007868E4"/>
    <w:rsid w:val="00787C58"/>
    <w:rsid w:val="0079053E"/>
    <w:rsid w:val="00791095"/>
    <w:rsid w:val="007957DE"/>
    <w:rsid w:val="007A0781"/>
    <w:rsid w:val="007A2CD5"/>
    <w:rsid w:val="007A3538"/>
    <w:rsid w:val="007A5C80"/>
    <w:rsid w:val="007A77AF"/>
    <w:rsid w:val="007B005B"/>
    <w:rsid w:val="007B05B0"/>
    <w:rsid w:val="007B6491"/>
    <w:rsid w:val="007B7B37"/>
    <w:rsid w:val="007C2C57"/>
    <w:rsid w:val="007C4777"/>
    <w:rsid w:val="007C4CFB"/>
    <w:rsid w:val="007C61BF"/>
    <w:rsid w:val="007D0F63"/>
    <w:rsid w:val="007D2CBC"/>
    <w:rsid w:val="007D3BC5"/>
    <w:rsid w:val="007D43AC"/>
    <w:rsid w:val="007D4626"/>
    <w:rsid w:val="007D565C"/>
    <w:rsid w:val="007D5ACD"/>
    <w:rsid w:val="007E040A"/>
    <w:rsid w:val="007E2DF3"/>
    <w:rsid w:val="007E51FB"/>
    <w:rsid w:val="007E68BB"/>
    <w:rsid w:val="007F1959"/>
    <w:rsid w:val="007F4F43"/>
    <w:rsid w:val="007F53EA"/>
    <w:rsid w:val="007F5B04"/>
    <w:rsid w:val="00800056"/>
    <w:rsid w:val="00805849"/>
    <w:rsid w:val="00811D1E"/>
    <w:rsid w:val="00811E45"/>
    <w:rsid w:val="00811F92"/>
    <w:rsid w:val="00816273"/>
    <w:rsid w:val="008216BA"/>
    <w:rsid w:val="008217F0"/>
    <w:rsid w:val="00826C8E"/>
    <w:rsid w:val="008315A7"/>
    <w:rsid w:val="008321AD"/>
    <w:rsid w:val="00832226"/>
    <w:rsid w:val="00832382"/>
    <w:rsid w:val="00832B17"/>
    <w:rsid w:val="00835C42"/>
    <w:rsid w:val="0083758F"/>
    <w:rsid w:val="008403A0"/>
    <w:rsid w:val="00842253"/>
    <w:rsid w:val="00843630"/>
    <w:rsid w:val="008439E5"/>
    <w:rsid w:val="0084593C"/>
    <w:rsid w:val="008463E2"/>
    <w:rsid w:val="00846719"/>
    <w:rsid w:val="00847669"/>
    <w:rsid w:val="0084789F"/>
    <w:rsid w:val="00850E5B"/>
    <w:rsid w:val="008523DF"/>
    <w:rsid w:val="008548C6"/>
    <w:rsid w:val="00854D56"/>
    <w:rsid w:val="00856863"/>
    <w:rsid w:val="008604BB"/>
    <w:rsid w:val="00862589"/>
    <w:rsid w:val="00863016"/>
    <w:rsid w:val="00865EC9"/>
    <w:rsid w:val="008675E2"/>
    <w:rsid w:val="00870D19"/>
    <w:rsid w:val="00871522"/>
    <w:rsid w:val="00871CDF"/>
    <w:rsid w:val="00872E3C"/>
    <w:rsid w:val="00873547"/>
    <w:rsid w:val="00876E93"/>
    <w:rsid w:val="00877256"/>
    <w:rsid w:val="008806DE"/>
    <w:rsid w:val="0088165C"/>
    <w:rsid w:val="00885958"/>
    <w:rsid w:val="0088670F"/>
    <w:rsid w:val="00893997"/>
    <w:rsid w:val="00894A5B"/>
    <w:rsid w:val="008A1524"/>
    <w:rsid w:val="008A5B34"/>
    <w:rsid w:val="008B099B"/>
    <w:rsid w:val="008B2017"/>
    <w:rsid w:val="008B2575"/>
    <w:rsid w:val="008B3A50"/>
    <w:rsid w:val="008B54F7"/>
    <w:rsid w:val="008B6846"/>
    <w:rsid w:val="008B6CD4"/>
    <w:rsid w:val="008B733E"/>
    <w:rsid w:val="008C035E"/>
    <w:rsid w:val="008C362C"/>
    <w:rsid w:val="008C681A"/>
    <w:rsid w:val="008C791D"/>
    <w:rsid w:val="008D2F7D"/>
    <w:rsid w:val="008D615F"/>
    <w:rsid w:val="008D6E5F"/>
    <w:rsid w:val="008E6410"/>
    <w:rsid w:val="008E657C"/>
    <w:rsid w:val="008E7094"/>
    <w:rsid w:val="008F020F"/>
    <w:rsid w:val="008F171B"/>
    <w:rsid w:val="008F18F7"/>
    <w:rsid w:val="008F4B5B"/>
    <w:rsid w:val="008F4F38"/>
    <w:rsid w:val="008F52AC"/>
    <w:rsid w:val="008F7535"/>
    <w:rsid w:val="009006BC"/>
    <w:rsid w:val="009114DA"/>
    <w:rsid w:val="00920962"/>
    <w:rsid w:val="009213CD"/>
    <w:rsid w:val="009252DA"/>
    <w:rsid w:val="009254C1"/>
    <w:rsid w:val="0092611B"/>
    <w:rsid w:val="00930287"/>
    <w:rsid w:val="0093061E"/>
    <w:rsid w:val="0093217B"/>
    <w:rsid w:val="00932696"/>
    <w:rsid w:val="00935BB2"/>
    <w:rsid w:val="0093798E"/>
    <w:rsid w:val="00941BB1"/>
    <w:rsid w:val="00942DB8"/>
    <w:rsid w:val="00946ECA"/>
    <w:rsid w:val="00951C16"/>
    <w:rsid w:val="0095652F"/>
    <w:rsid w:val="009633EE"/>
    <w:rsid w:val="009669E7"/>
    <w:rsid w:val="00966BC0"/>
    <w:rsid w:val="00974E2E"/>
    <w:rsid w:val="009765B8"/>
    <w:rsid w:val="00976D6B"/>
    <w:rsid w:val="009779F4"/>
    <w:rsid w:val="00982272"/>
    <w:rsid w:val="00984569"/>
    <w:rsid w:val="009872B8"/>
    <w:rsid w:val="00995E9C"/>
    <w:rsid w:val="00997F6A"/>
    <w:rsid w:val="009A1BEA"/>
    <w:rsid w:val="009A2C1C"/>
    <w:rsid w:val="009A408D"/>
    <w:rsid w:val="009A5D30"/>
    <w:rsid w:val="009B340B"/>
    <w:rsid w:val="009B4124"/>
    <w:rsid w:val="009C273E"/>
    <w:rsid w:val="009C4CEB"/>
    <w:rsid w:val="009C5A58"/>
    <w:rsid w:val="009D2D12"/>
    <w:rsid w:val="009D6B09"/>
    <w:rsid w:val="009D7357"/>
    <w:rsid w:val="009E30A3"/>
    <w:rsid w:val="009E3FC7"/>
    <w:rsid w:val="009E546D"/>
    <w:rsid w:val="009E6C68"/>
    <w:rsid w:val="009E79E3"/>
    <w:rsid w:val="009E7B61"/>
    <w:rsid w:val="009F0918"/>
    <w:rsid w:val="009F0C05"/>
    <w:rsid w:val="009F4C75"/>
    <w:rsid w:val="00A0220A"/>
    <w:rsid w:val="00A02ACE"/>
    <w:rsid w:val="00A03D8B"/>
    <w:rsid w:val="00A04C75"/>
    <w:rsid w:val="00A054E5"/>
    <w:rsid w:val="00A05E99"/>
    <w:rsid w:val="00A06836"/>
    <w:rsid w:val="00A10763"/>
    <w:rsid w:val="00A12DE1"/>
    <w:rsid w:val="00A15506"/>
    <w:rsid w:val="00A15A41"/>
    <w:rsid w:val="00A15CE7"/>
    <w:rsid w:val="00A21B71"/>
    <w:rsid w:val="00A223EC"/>
    <w:rsid w:val="00A22A25"/>
    <w:rsid w:val="00A35F00"/>
    <w:rsid w:val="00A37BC1"/>
    <w:rsid w:val="00A40A2B"/>
    <w:rsid w:val="00A40FD0"/>
    <w:rsid w:val="00A44ACA"/>
    <w:rsid w:val="00A44DFF"/>
    <w:rsid w:val="00A4626F"/>
    <w:rsid w:val="00A4705D"/>
    <w:rsid w:val="00A555D2"/>
    <w:rsid w:val="00A559E4"/>
    <w:rsid w:val="00A606D1"/>
    <w:rsid w:val="00A62CB7"/>
    <w:rsid w:val="00A66088"/>
    <w:rsid w:val="00A6703A"/>
    <w:rsid w:val="00A70519"/>
    <w:rsid w:val="00A728D2"/>
    <w:rsid w:val="00A72D22"/>
    <w:rsid w:val="00A73F55"/>
    <w:rsid w:val="00A768EA"/>
    <w:rsid w:val="00A812DE"/>
    <w:rsid w:val="00A81477"/>
    <w:rsid w:val="00A81568"/>
    <w:rsid w:val="00A826E0"/>
    <w:rsid w:val="00A84D27"/>
    <w:rsid w:val="00A8665F"/>
    <w:rsid w:val="00A8698C"/>
    <w:rsid w:val="00A90813"/>
    <w:rsid w:val="00A932F2"/>
    <w:rsid w:val="00A93314"/>
    <w:rsid w:val="00A9401B"/>
    <w:rsid w:val="00A9668F"/>
    <w:rsid w:val="00A96E2A"/>
    <w:rsid w:val="00AB0AA9"/>
    <w:rsid w:val="00AB1BCB"/>
    <w:rsid w:val="00AB3309"/>
    <w:rsid w:val="00AB3B05"/>
    <w:rsid w:val="00AB56C9"/>
    <w:rsid w:val="00AC33F3"/>
    <w:rsid w:val="00AC4BB7"/>
    <w:rsid w:val="00AC5587"/>
    <w:rsid w:val="00AC5AF7"/>
    <w:rsid w:val="00AC5D0E"/>
    <w:rsid w:val="00AC6481"/>
    <w:rsid w:val="00AD2914"/>
    <w:rsid w:val="00AE1667"/>
    <w:rsid w:val="00AE6D8B"/>
    <w:rsid w:val="00AE77F6"/>
    <w:rsid w:val="00AE793A"/>
    <w:rsid w:val="00AF2146"/>
    <w:rsid w:val="00AF34D0"/>
    <w:rsid w:val="00AF420E"/>
    <w:rsid w:val="00AF428E"/>
    <w:rsid w:val="00AF5891"/>
    <w:rsid w:val="00B021AF"/>
    <w:rsid w:val="00B03472"/>
    <w:rsid w:val="00B04512"/>
    <w:rsid w:val="00B04A1C"/>
    <w:rsid w:val="00B07C12"/>
    <w:rsid w:val="00B14DAC"/>
    <w:rsid w:val="00B163E6"/>
    <w:rsid w:val="00B164D0"/>
    <w:rsid w:val="00B20A30"/>
    <w:rsid w:val="00B2327D"/>
    <w:rsid w:val="00B23944"/>
    <w:rsid w:val="00B23F78"/>
    <w:rsid w:val="00B2485B"/>
    <w:rsid w:val="00B25A89"/>
    <w:rsid w:val="00B26604"/>
    <w:rsid w:val="00B27DEA"/>
    <w:rsid w:val="00B30ED1"/>
    <w:rsid w:val="00B31573"/>
    <w:rsid w:val="00B373AF"/>
    <w:rsid w:val="00B37C00"/>
    <w:rsid w:val="00B37D74"/>
    <w:rsid w:val="00B52187"/>
    <w:rsid w:val="00B52F80"/>
    <w:rsid w:val="00B54F17"/>
    <w:rsid w:val="00B55453"/>
    <w:rsid w:val="00B674BD"/>
    <w:rsid w:val="00B76040"/>
    <w:rsid w:val="00B766C9"/>
    <w:rsid w:val="00B76E25"/>
    <w:rsid w:val="00B7741B"/>
    <w:rsid w:val="00B84011"/>
    <w:rsid w:val="00B85F67"/>
    <w:rsid w:val="00B860FF"/>
    <w:rsid w:val="00B8628D"/>
    <w:rsid w:val="00B874D9"/>
    <w:rsid w:val="00B9038E"/>
    <w:rsid w:val="00B96393"/>
    <w:rsid w:val="00B9647D"/>
    <w:rsid w:val="00BA2CAF"/>
    <w:rsid w:val="00BA636B"/>
    <w:rsid w:val="00BB465D"/>
    <w:rsid w:val="00BB4CF3"/>
    <w:rsid w:val="00BB6626"/>
    <w:rsid w:val="00BC048F"/>
    <w:rsid w:val="00BC1D62"/>
    <w:rsid w:val="00BC533B"/>
    <w:rsid w:val="00BC5C8A"/>
    <w:rsid w:val="00BC69A0"/>
    <w:rsid w:val="00BC7903"/>
    <w:rsid w:val="00BD0208"/>
    <w:rsid w:val="00BD172D"/>
    <w:rsid w:val="00BD32AF"/>
    <w:rsid w:val="00BD7AAC"/>
    <w:rsid w:val="00BF04AD"/>
    <w:rsid w:val="00BF1B95"/>
    <w:rsid w:val="00BF2DA0"/>
    <w:rsid w:val="00BF78F4"/>
    <w:rsid w:val="00C0095C"/>
    <w:rsid w:val="00C011A3"/>
    <w:rsid w:val="00C01867"/>
    <w:rsid w:val="00C01BB9"/>
    <w:rsid w:val="00C03AD1"/>
    <w:rsid w:val="00C03C9C"/>
    <w:rsid w:val="00C04736"/>
    <w:rsid w:val="00C04BC8"/>
    <w:rsid w:val="00C050E4"/>
    <w:rsid w:val="00C05B8C"/>
    <w:rsid w:val="00C06536"/>
    <w:rsid w:val="00C1177C"/>
    <w:rsid w:val="00C12780"/>
    <w:rsid w:val="00C130BC"/>
    <w:rsid w:val="00C149FA"/>
    <w:rsid w:val="00C17F8B"/>
    <w:rsid w:val="00C21E45"/>
    <w:rsid w:val="00C2289F"/>
    <w:rsid w:val="00C228E7"/>
    <w:rsid w:val="00C314EE"/>
    <w:rsid w:val="00C3155E"/>
    <w:rsid w:val="00C3285E"/>
    <w:rsid w:val="00C367A2"/>
    <w:rsid w:val="00C37188"/>
    <w:rsid w:val="00C457EB"/>
    <w:rsid w:val="00C47B69"/>
    <w:rsid w:val="00C47FB7"/>
    <w:rsid w:val="00C5136E"/>
    <w:rsid w:val="00C53FE6"/>
    <w:rsid w:val="00C61A92"/>
    <w:rsid w:val="00C63241"/>
    <w:rsid w:val="00C63AC6"/>
    <w:rsid w:val="00C70506"/>
    <w:rsid w:val="00C74DB8"/>
    <w:rsid w:val="00C77BD7"/>
    <w:rsid w:val="00C832DD"/>
    <w:rsid w:val="00C833C1"/>
    <w:rsid w:val="00C836F9"/>
    <w:rsid w:val="00C837D5"/>
    <w:rsid w:val="00C839BF"/>
    <w:rsid w:val="00C85287"/>
    <w:rsid w:val="00C913DB"/>
    <w:rsid w:val="00C91C7F"/>
    <w:rsid w:val="00C93DFF"/>
    <w:rsid w:val="00C9728A"/>
    <w:rsid w:val="00C9787C"/>
    <w:rsid w:val="00CA0476"/>
    <w:rsid w:val="00CA378D"/>
    <w:rsid w:val="00CB24F5"/>
    <w:rsid w:val="00CB2E94"/>
    <w:rsid w:val="00CB40AB"/>
    <w:rsid w:val="00CB66E3"/>
    <w:rsid w:val="00CB7CB5"/>
    <w:rsid w:val="00CC0A35"/>
    <w:rsid w:val="00CC40A3"/>
    <w:rsid w:val="00CC4787"/>
    <w:rsid w:val="00CC47FB"/>
    <w:rsid w:val="00CC5CE4"/>
    <w:rsid w:val="00CC67D2"/>
    <w:rsid w:val="00CD0895"/>
    <w:rsid w:val="00CD178F"/>
    <w:rsid w:val="00CD47D2"/>
    <w:rsid w:val="00CD6414"/>
    <w:rsid w:val="00CD729F"/>
    <w:rsid w:val="00CF27FA"/>
    <w:rsid w:val="00CF4004"/>
    <w:rsid w:val="00CF4FA8"/>
    <w:rsid w:val="00CF5D50"/>
    <w:rsid w:val="00D01A38"/>
    <w:rsid w:val="00D02290"/>
    <w:rsid w:val="00D02367"/>
    <w:rsid w:val="00D026B5"/>
    <w:rsid w:val="00D056DE"/>
    <w:rsid w:val="00D05E5A"/>
    <w:rsid w:val="00D06007"/>
    <w:rsid w:val="00D1152E"/>
    <w:rsid w:val="00D11A8F"/>
    <w:rsid w:val="00D15187"/>
    <w:rsid w:val="00D173CB"/>
    <w:rsid w:val="00D20F45"/>
    <w:rsid w:val="00D23718"/>
    <w:rsid w:val="00D33A36"/>
    <w:rsid w:val="00D400D8"/>
    <w:rsid w:val="00D40739"/>
    <w:rsid w:val="00D43336"/>
    <w:rsid w:val="00D4563C"/>
    <w:rsid w:val="00D45E7E"/>
    <w:rsid w:val="00D47BA3"/>
    <w:rsid w:val="00D52EF6"/>
    <w:rsid w:val="00D61B6F"/>
    <w:rsid w:val="00D63A4E"/>
    <w:rsid w:val="00D64C49"/>
    <w:rsid w:val="00D67970"/>
    <w:rsid w:val="00D71FC6"/>
    <w:rsid w:val="00D72294"/>
    <w:rsid w:val="00D76192"/>
    <w:rsid w:val="00D771A4"/>
    <w:rsid w:val="00D8520A"/>
    <w:rsid w:val="00D86DAF"/>
    <w:rsid w:val="00D9169C"/>
    <w:rsid w:val="00D91DFB"/>
    <w:rsid w:val="00D9476B"/>
    <w:rsid w:val="00D95A5C"/>
    <w:rsid w:val="00D97907"/>
    <w:rsid w:val="00DA2C7D"/>
    <w:rsid w:val="00DB2995"/>
    <w:rsid w:val="00DB4734"/>
    <w:rsid w:val="00DB6F2C"/>
    <w:rsid w:val="00DC034D"/>
    <w:rsid w:val="00DC2D76"/>
    <w:rsid w:val="00DC2ECD"/>
    <w:rsid w:val="00DC2F0D"/>
    <w:rsid w:val="00DC3642"/>
    <w:rsid w:val="00DC3F35"/>
    <w:rsid w:val="00DC3FF6"/>
    <w:rsid w:val="00DD1181"/>
    <w:rsid w:val="00DD16CB"/>
    <w:rsid w:val="00DD2188"/>
    <w:rsid w:val="00DD42E2"/>
    <w:rsid w:val="00DD5510"/>
    <w:rsid w:val="00DE0F6D"/>
    <w:rsid w:val="00DF32FC"/>
    <w:rsid w:val="00DF4EE8"/>
    <w:rsid w:val="00DF4F61"/>
    <w:rsid w:val="00E00FAD"/>
    <w:rsid w:val="00E01881"/>
    <w:rsid w:val="00E03662"/>
    <w:rsid w:val="00E0389F"/>
    <w:rsid w:val="00E045DD"/>
    <w:rsid w:val="00E054C8"/>
    <w:rsid w:val="00E104D9"/>
    <w:rsid w:val="00E10D41"/>
    <w:rsid w:val="00E154CD"/>
    <w:rsid w:val="00E22D59"/>
    <w:rsid w:val="00E240BB"/>
    <w:rsid w:val="00E2489B"/>
    <w:rsid w:val="00E25903"/>
    <w:rsid w:val="00E25B41"/>
    <w:rsid w:val="00E2763E"/>
    <w:rsid w:val="00E31D0C"/>
    <w:rsid w:val="00E33A71"/>
    <w:rsid w:val="00E34D88"/>
    <w:rsid w:val="00E36F4C"/>
    <w:rsid w:val="00E41276"/>
    <w:rsid w:val="00E42720"/>
    <w:rsid w:val="00E439E9"/>
    <w:rsid w:val="00E45D5A"/>
    <w:rsid w:val="00E4666C"/>
    <w:rsid w:val="00E47030"/>
    <w:rsid w:val="00E50B79"/>
    <w:rsid w:val="00E53DAC"/>
    <w:rsid w:val="00E53E9E"/>
    <w:rsid w:val="00E56BE0"/>
    <w:rsid w:val="00E5710A"/>
    <w:rsid w:val="00E60257"/>
    <w:rsid w:val="00E60271"/>
    <w:rsid w:val="00E604FA"/>
    <w:rsid w:val="00E650CB"/>
    <w:rsid w:val="00E655E5"/>
    <w:rsid w:val="00E66913"/>
    <w:rsid w:val="00E70D8B"/>
    <w:rsid w:val="00E73760"/>
    <w:rsid w:val="00E776EA"/>
    <w:rsid w:val="00E81028"/>
    <w:rsid w:val="00E8198C"/>
    <w:rsid w:val="00E82C57"/>
    <w:rsid w:val="00E82D6E"/>
    <w:rsid w:val="00E83E53"/>
    <w:rsid w:val="00E85498"/>
    <w:rsid w:val="00E9588D"/>
    <w:rsid w:val="00E95B44"/>
    <w:rsid w:val="00E97F2A"/>
    <w:rsid w:val="00EA550A"/>
    <w:rsid w:val="00EA60EA"/>
    <w:rsid w:val="00EB1CC8"/>
    <w:rsid w:val="00EB331D"/>
    <w:rsid w:val="00EB3CCF"/>
    <w:rsid w:val="00EB5EFE"/>
    <w:rsid w:val="00EB60EC"/>
    <w:rsid w:val="00EB7488"/>
    <w:rsid w:val="00EB7571"/>
    <w:rsid w:val="00EC2561"/>
    <w:rsid w:val="00EC48B0"/>
    <w:rsid w:val="00EC4934"/>
    <w:rsid w:val="00EC7DDE"/>
    <w:rsid w:val="00ED03F4"/>
    <w:rsid w:val="00ED68E9"/>
    <w:rsid w:val="00ED7256"/>
    <w:rsid w:val="00EE09EB"/>
    <w:rsid w:val="00EE1966"/>
    <w:rsid w:val="00EE2C6C"/>
    <w:rsid w:val="00EE4A6F"/>
    <w:rsid w:val="00EE5451"/>
    <w:rsid w:val="00EE56DF"/>
    <w:rsid w:val="00EE59C6"/>
    <w:rsid w:val="00EE7785"/>
    <w:rsid w:val="00EE7988"/>
    <w:rsid w:val="00EE79DC"/>
    <w:rsid w:val="00EE7D92"/>
    <w:rsid w:val="00EF13E1"/>
    <w:rsid w:val="00EF5045"/>
    <w:rsid w:val="00F027A7"/>
    <w:rsid w:val="00F100E5"/>
    <w:rsid w:val="00F106F4"/>
    <w:rsid w:val="00F10EFD"/>
    <w:rsid w:val="00F112B1"/>
    <w:rsid w:val="00F118A3"/>
    <w:rsid w:val="00F12118"/>
    <w:rsid w:val="00F12670"/>
    <w:rsid w:val="00F12B71"/>
    <w:rsid w:val="00F12E5F"/>
    <w:rsid w:val="00F14E8C"/>
    <w:rsid w:val="00F158B5"/>
    <w:rsid w:val="00F17466"/>
    <w:rsid w:val="00F202E4"/>
    <w:rsid w:val="00F20B09"/>
    <w:rsid w:val="00F21A71"/>
    <w:rsid w:val="00F31F28"/>
    <w:rsid w:val="00F327C3"/>
    <w:rsid w:val="00F34B28"/>
    <w:rsid w:val="00F40014"/>
    <w:rsid w:val="00F41E6D"/>
    <w:rsid w:val="00F43CF8"/>
    <w:rsid w:val="00F445B7"/>
    <w:rsid w:val="00F446FC"/>
    <w:rsid w:val="00F46754"/>
    <w:rsid w:val="00F51180"/>
    <w:rsid w:val="00F513F0"/>
    <w:rsid w:val="00F522FD"/>
    <w:rsid w:val="00F62C28"/>
    <w:rsid w:val="00F65FC4"/>
    <w:rsid w:val="00F67473"/>
    <w:rsid w:val="00F67DBD"/>
    <w:rsid w:val="00F71366"/>
    <w:rsid w:val="00F74BF9"/>
    <w:rsid w:val="00F75294"/>
    <w:rsid w:val="00F75381"/>
    <w:rsid w:val="00F8094A"/>
    <w:rsid w:val="00F81FB5"/>
    <w:rsid w:val="00F82F8B"/>
    <w:rsid w:val="00F841F0"/>
    <w:rsid w:val="00F85EDF"/>
    <w:rsid w:val="00F912EF"/>
    <w:rsid w:val="00F93708"/>
    <w:rsid w:val="00F93BB3"/>
    <w:rsid w:val="00F945F7"/>
    <w:rsid w:val="00F9529B"/>
    <w:rsid w:val="00F96637"/>
    <w:rsid w:val="00F96A89"/>
    <w:rsid w:val="00FA0F3F"/>
    <w:rsid w:val="00FA147D"/>
    <w:rsid w:val="00FA1D49"/>
    <w:rsid w:val="00FA3338"/>
    <w:rsid w:val="00FA347F"/>
    <w:rsid w:val="00FA362B"/>
    <w:rsid w:val="00FA37CE"/>
    <w:rsid w:val="00FA46CB"/>
    <w:rsid w:val="00FA53E7"/>
    <w:rsid w:val="00FA5B3E"/>
    <w:rsid w:val="00FA66DD"/>
    <w:rsid w:val="00FB11C3"/>
    <w:rsid w:val="00FB5364"/>
    <w:rsid w:val="00FB630A"/>
    <w:rsid w:val="00FB79F3"/>
    <w:rsid w:val="00FC4782"/>
    <w:rsid w:val="00FC49D0"/>
    <w:rsid w:val="00FC49D7"/>
    <w:rsid w:val="00FC4EFF"/>
    <w:rsid w:val="00FD4A74"/>
    <w:rsid w:val="00FD73CA"/>
    <w:rsid w:val="00FE12FC"/>
    <w:rsid w:val="00FE47FA"/>
    <w:rsid w:val="00FE5203"/>
    <w:rsid w:val="00FE63D9"/>
    <w:rsid w:val="00FF54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3F8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6A6"/>
    <w:rPr>
      <w:color w:val="44546A" w:themeColor="text2"/>
      <w:sz w:val="22"/>
      <w:szCs w:val="22"/>
      <w:lang w:val="en-GB"/>
    </w:rPr>
  </w:style>
  <w:style w:type="paragraph" w:styleId="Heading1">
    <w:name w:val="heading 1"/>
    <w:basedOn w:val="Normal"/>
    <w:next w:val="Normal"/>
    <w:link w:val="Heading1Char"/>
    <w:uiPriority w:val="1"/>
    <w:qFormat/>
    <w:rsid w:val="001F26A6"/>
    <w:pPr>
      <w:keepNext/>
      <w:keepLines/>
      <w:spacing w:before="240"/>
      <w:outlineLvl w:val="0"/>
    </w:pPr>
    <w:rPr>
      <w:rFonts w:asciiTheme="majorHAnsi" w:eastAsiaTheme="majorEastAsia" w:hAnsiTheme="majorHAnsi" w:cstheme="majorBidi"/>
      <w:color w:val="2F5496" w:themeColor="accent1" w:themeShade="BF"/>
      <w:sz w:val="32"/>
      <w:szCs w:val="32"/>
      <w:lang w:val="en-AU" w:eastAsia="en-AU"/>
    </w:rPr>
  </w:style>
  <w:style w:type="paragraph" w:styleId="Heading2">
    <w:name w:val="heading 2"/>
    <w:basedOn w:val="Normal"/>
    <w:next w:val="Normal"/>
    <w:link w:val="Heading2Char"/>
    <w:uiPriority w:val="9"/>
    <w:unhideWhenUsed/>
    <w:qFormat/>
    <w:rsid w:val="00C04736"/>
    <w:pPr>
      <w:keepNext/>
      <w:keepLines/>
      <w:spacing w:before="40" w:line="276" w:lineRule="auto"/>
      <w:outlineLvl w:val="1"/>
    </w:pPr>
    <w:rPr>
      <w:rFonts w:asciiTheme="majorHAnsi" w:eastAsiaTheme="majorEastAsia" w:hAnsiTheme="majorHAnsi" w:cstheme="majorHAnsi"/>
      <w:b/>
      <w:bCs/>
      <w:sz w:val="32"/>
      <w:szCs w:val="32"/>
      <w:lang w:eastAsia="en-AU"/>
    </w:rPr>
  </w:style>
  <w:style w:type="paragraph" w:styleId="Heading3">
    <w:name w:val="heading 3"/>
    <w:basedOn w:val="Normal"/>
    <w:next w:val="Normal"/>
    <w:link w:val="Heading3Char"/>
    <w:uiPriority w:val="9"/>
    <w:unhideWhenUsed/>
    <w:qFormat/>
    <w:rsid w:val="001F26A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DC2F0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A6"/>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rsid w:val="00C04736"/>
    <w:rPr>
      <w:rFonts w:asciiTheme="majorHAnsi" w:eastAsiaTheme="majorEastAsia" w:hAnsiTheme="majorHAnsi" w:cstheme="majorHAnsi"/>
      <w:b/>
      <w:bCs/>
      <w:color w:val="44546A" w:themeColor="text2"/>
      <w:sz w:val="32"/>
      <w:szCs w:val="32"/>
      <w:lang w:val="en-GB" w:eastAsia="en-AU"/>
    </w:rPr>
  </w:style>
  <w:style w:type="character" w:customStyle="1" w:styleId="Heading3Char">
    <w:name w:val="Heading 3 Char"/>
    <w:basedOn w:val="DefaultParagraphFont"/>
    <w:link w:val="Heading3"/>
    <w:uiPriority w:val="9"/>
    <w:rsid w:val="001F26A6"/>
    <w:rPr>
      <w:rFonts w:asciiTheme="majorHAnsi" w:eastAsiaTheme="majorEastAsia" w:hAnsiTheme="majorHAnsi" w:cstheme="majorBidi"/>
      <w:color w:val="1F3763" w:themeColor="accent1" w:themeShade="7F"/>
      <w:lang w:val="en-GB"/>
    </w:rPr>
  </w:style>
  <w:style w:type="paragraph" w:styleId="NoSpacing">
    <w:name w:val="No Spacing"/>
    <w:link w:val="NoSpacingChar"/>
    <w:uiPriority w:val="1"/>
    <w:qFormat/>
    <w:rsid w:val="001F26A6"/>
    <w:rPr>
      <w:rFonts w:eastAsiaTheme="minorEastAsia"/>
      <w:sz w:val="22"/>
      <w:szCs w:val="22"/>
      <w:lang w:val="en-US"/>
    </w:rPr>
  </w:style>
  <w:style w:type="character" w:customStyle="1" w:styleId="NoSpacingChar">
    <w:name w:val="No Spacing Char"/>
    <w:basedOn w:val="DefaultParagraphFont"/>
    <w:link w:val="NoSpacing"/>
    <w:uiPriority w:val="1"/>
    <w:rsid w:val="001F26A6"/>
    <w:rPr>
      <w:rFonts w:eastAsiaTheme="minorEastAsia"/>
      <w:sz w:val="22"/>
      <w:szCs w:val="22"/>
      <w:lang w:val="en-US"/>
    </w:rPr>
  </w:style>
  <w:style w:type="paragraph" w:styleId="Header">
    <w:name w:val="header"/>
    <w:basedOn w:val="Normal"/>
    <w:link w:val="HeaderChar"/>
    <w:uiPriority w:val="99"/>
    <w:unhideWhenUsed/>
    <w:rsid w:val="001F26A6"/>
    <w:pPr>
      <w:tabs>
        <w:tab w:val="center" w:pos="4513"/>
        <w:tab w:val="right" w:pos="9026"/>
      </w:tabs>
    </w:pPr>
  </w:style>
  <w:style w:type="character" w:customStyle="1" w:styleId="HeaderChar">
    <w:name w:val="Header Char"/>
    <w:basedOn w:val="DefaultParagraphFont"/>
    <w:link w:val="Header"/>
    <w:uiPriority w:val="99"/>
    <w:rsid w:val="001F26A6"/>
    <w:rPr>
      <w:color w:val="44546A" w:themeColor="text2"/>
      <w:sz w:val="22"/>
      <w:szCs w:val="22"/>
      <w:lang w:val="en-GB"/>
    </w:rPr>
  </w:style>
  <w:style w:type="paragraph" w:styleId="Footer">
    <w:name w:val="footer"/>
    <w:basedOn w:val="Normal"/>
    <w:link w:val="FooterChar"/>
    <w:uiPriority w:val="99"/>
    <w:unhideWhenUsed/>
    <w:rsid w:val="001F26A6"/>
    <w:pPr>
      <w:tabs>
        <w:tab w:val="center" w:pos="4513"/>
        <w:tab w:val="right" w:pos="9026"/>
      </w:tabs>
    </w:pPr>
  </w:style>
  <w:style w:type="character" w:customStyle="1" w:styleId="FooterChar">
    <w:name w:val="Footer Char"/>
    <w:basedOn w:val="DefaultParagraphFont"/>
    <w:link w:val="Footer"/>
    <w:uiPriority w:val="99"/>
    <w:rsid w:val="001F26A6"/>
    <w:rPr>
      <w:color w:val="44546A" w:themeColor="text2"/>
      <w:sz w:val="22"/>
      <w:szCs w:val="22"/>
      <w:lang w:val="en-GB"/>
    </w:rPr>
  </w:style>
  <w:style w:type="paragraph" w:styleId="TOC1">
    <w:name w:val="toc 1"/>
    <w:basedOn w:val="Normal"/>
    <w:next w:val="Normal"/>
    <w:autoRedefine/>
    <w:uiPriority w:val="39"/>
    <w:unhideWhenUsed/>
    <w:rsid w:val="00265468"/>
    <w:pPr>
      <w:tabs>
        <w:tab w:val="left" w:pos="440"/>
        <w:tab w:val="right" w:leader="dot" w:pos="9016"/>
      </w:tabs>
      <w:spacing w:after="100"/>
    </w:pPr>
    <w:rPr>
      <w:b/>
      <w:bCs/>
      <w:noProof/>
    </w:rPr>
  </w:style>
  <w:style w:type="character" w:styleId="Hyperlink">
    <w:name w:val="Hyperlink"/>
    <w:basedOn w:val="DefaultParagraphFont"/>
    <w:uiPriority w:val="99"/>
    <w:unhideWhenUsed/>
    <w:rsid w:val="001F26A6"/>
    <w:rPr>
      <w:color w:val="0563C1" w:themeColor="hyperlink"/>
      <w:u w:val="single"/>
    </w:rPr>
  </w:style>
  <w:style w:type="paragraph" w:styleId="TOC2">
    <w:name w:val="toc 2"/>
    <w:basedOn w:val="Normal"/>
    <w:next w:val="Normal"/>
    <w:autoRedefine/>
    <w:uiPriority w:val="39"/>
    <w:unhideWhenUsed/>
    <w:rsid w:val="001F26A6"/>
    <w:pPr>
      <w:spacing w:after="100"/>
      <w:ind w:left="220"/>
    </w:p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L2"/>
    <w:basedOn w:val="Normal"/>
    <w:link w:val="ListParagraphChar"/>
    <w:uiPriority w:val="34"/>
    <w:qFormat/>
    <w:rsid w:val="001F26A6"/>
    <w:pPr>
      <w:spacing w:line="230" w:lineRule="atLeast"/>
      <w:ind w:left="720"/>
      <w:contextualSpacing/>
    </w:pPr>
    <w:rPr>
      <w:sz w:val="19"/>
    </w:r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1F26A6"/>
    <w:rPr>
      <w:color w:val="44546A" w:themeColor="text2"/>
      <w:sz w:val="19"/>
      <w:szCs w:val="22"/>
      <w:lang w:val="en-GB"/>
    </w:rPr>
  </w:style>
  <w:style w:type="paragraph" w:styleId="FootnoteText">
    <w:name w:val="footnote text"/>
    <w:aliases w:val="Footnote,FOOTNOTES,fn,single space,Footnote Text 1,Footnote Text Char1,Footnote Text Char Char,Footnote Text Char Char Char,Char,ALTS FOOTNOTE,Fußnotentext arial,Footnote Text1 Char,Footnote Text2,ft,ADB,Footnote Text Char1 Char1,Geneva 9"/>
    <w:basedOn w:val="Normal"/>
    <w:link w:val="FootnoteTextChar"/>
    <w:uiPriority w:val="99"/>
    <w:unhideWhenUsed/>
    <w:qFormat/>
    <w:rsid w:val="001F26A6"/>
    <w:rPr>
      <w:sz w:val="20"/>
      <w:szCs w:val="20"/>
    </w:rPr>
  </w:style>
  <w:style w:type="character" w:customStyle="1" w:styleId="FootnoteTextChar">
    <w:name w:val="Footnote Text Char"/>
    <w:aliases w:val="Footnote Char,FOOTNOTES Char,fn Char,single space Char,Footnote Text 1 Char,Footnote Text Char1 Char,Footnote Text Char Char Char1,Footnote Text Char Char Char Char,Char Char,ALTS FOOTNOTE Char,Fußnotentext arial Char,ft Char,ADB Char"/>
    <w:basedOn w:val="DefaultParagraphFont"/>
    <w:link w:val="FootnoteText"/>
    <w:uiPriority w:val="99"/>
    <w:rsid w:val="001F26A6"/>
    <w:rPr>
      <w:color w:val="44546A" w:themeColor="text2"/>
      <w:sz w:val="20"/>
      <w:szCs w:val="20"/>
      <w:lang w:val="en-GB"/>
    </w:rPr>
  </w:style>
  <w:style w:type="character" w:styleId="FootnoteReference">
    <w:name w:val="footnote reference"/>
    <w:aliases w:val="Normal + Font:9 Point,Superscript 3 Point Times,Footnote Text PAPE Char,ftref,16 Point,Superscript 6 Point,BVI fnr,Знак сноски 1,(NECG) Footnote Reference,fr,Footnote + Arial,10 pt,Black,Fußnotenzeichen DISS,Ref,de nota al pie,SUPERS"/>
    <w:basedOn w:val="DefaultParagraphFont"/>
    <w:link w:val="FootnoteTextPAPE"/>
    <w:uiPriority w:val="99"/>
    <w:unhideWhenUsed/>
    <w:qFormat/>
    <w:rsid w:val="001F26A6"/>
    <w:rPr>
      <w:vertAlign w:val="superscript"/>
    </w:rPr>
  </w:style>
  <w:style w:type="paragraph" w:styleId="BodyText">
    <w:name w:val="Body Text"/>
    <w:basedOn w:val="Normal"/>
    <w:link w:val="BodyTextChar"/>
    <w:uiPriority w:val="1"/>
    <w:qFormat/>
    <w:rsid w:val="001F26A6"/>
    <w:pPr>
      <w:widowControl w:val="0"/>
      <w:autoSpaceDE w:val="0"/>
      <w:autoSpaceDN w:val="0"/>
      <w:ind w:left="299"/>
    </w:pPr>
    <w:rPr>
      <w:rFonts w:ascii="Calibri Light" w:eastAsia="Calibri Light" w:hAnsi="Calibri Light" w:cs="Calibri Light"/>
      <w:color w:val="auto"/>
      <w:lang w:val="en-US"/>
    </w:rPr>
  </w:style>
  <w:style w:type="character" w:customStyle="1" w:styleId="BodyTextChar">
    <w:name w:val="Body Text Char"/>
    <w:basedOn w:val="DefaultParagraphFont"/>
    <w:link w:val="BodyText"/>
    <w:uiPriority w:val="1"/>
    <w:rsid w:val="001F26A6"/>
    <w:rPr>
      <w:rFonts w:ascii="Calibri Light" w:eastAsia="Calibri Light" w:hAnsi="Calibri Light" w:cs="Calibri Light"/>
      <w:sz w:val="22"/>
      <w:szCs w:val="22"/>
      <w:lang w:val="en-US"/>
    </w:rPr>
  </w:style>
  <w:style w:type="character" w:styleId="Strong">
    <w:name w:val="Strong"/>
    <w:basedOn w:val="DefaultParagraphFont"/>
    <w:uiPriority w:val="22"/>
    <w:qFormat/>
    <w:rsid w:val="001F26A6"/>
    <w:rPr>
      <w:b/>
      <w:bCs/>
    </w:rPr>
  </w:style>
  <w:style w:type="table" w:styleId="TableGrid">
    <w:name w:val="Table Grid"/>
    <w:basedOn w:val="TableNormal"/>
    <w:uiPriority w:val="39"/>
    <w:rsid w:val="001F26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26A6"/>
    <w:pPr>
      <w:autoSpaceDE w:val="0"/>
      <w:autoSpaceDN w:val="0"/>
      <w:adjustRightInd w:val="0"/>
    </w:pPr>
    <w:rPr>
      <w:rFonts w:ascii="Arial" w:hAnsi="Arial" w:cs="Arial"/>
      <w:color w:val="000000"/>
    </w:rPr>
  </w:style>
  <w:style w:type="paragraph" w:customStyle="1" w:styleId="ydp9426add9yiv7419372286msonormal">
    <w:name w:val="ydp9426add9yiv7419372286msonormal"/>
    <w:basedOn w:val="Normal"/>
    <w:rsid w:val="001F26A6"/>
    <w:pPr>
      <w:spacing w:before="100" w:beforeAutospacing="1" w:after="100" w:afterAutospacing="1"/>
    </w:pPr>
    <w:rPr>
      <w:rFonts w:ascii="Calibri" w:hAnsi="Calibri" w:cs="Calibri"/>
      <w:color w:val="auto"/>
      <w:lang w:val="en-AU" w:eastAsia="en-AU"/>
    </w:rPr>
  </w:style>
  <w:style w:type="paragraph" w:styleId="ListBullet">
    <w:name w:val="List Bullet"/>
    <w:basedOn w:val="BodyText"/>
    <w:qFormat/>
    <w:rsid w:val="001F26A6"/>
    <w:pPr>
      <w:widowControl/>
      <w:autoSpaceDE/>
      <w:autoSpaceDN/>
      <w:spacing w:before="120" w:after="120" w:line="276" w:lineRule="auto"/>
      <w:ind w:left="0"/>
    </w:pPr>
    <w:rPr>
      <w:rFonts w:ascii="Franklin Gothic Book" w:eastAsia="Times New Roman" w:hAnsi="Franklin Gothic Book" w:cs="Times New Roman"/>
      <w:lang w:val="en-AU"/>
    </w:rPr>
  </w:style>
  <w:style w:type="character" w:styleId="BookTitle">
    <w:name w:val="Book Title"/>
    <w:basedOn w:val="DefaultParagraphFont"/>
    <w:uiPriority w:val="33"/>
    <w:qFormat/>
    <w:rsid w:val="001F26A6"/>
    <w:rPr>
      <w:b/>
      <w:bCs/>
      <w:smallCaps/>
      <w:spacing w:val="5"/>
    </w:rPr>
  </w:style>
  <w:style w:type="paragraph" w:styleId="NormalWeb">
    <w:name w:val="Normal (Web)"/>
    <w:basedOn w:val="Normal"/>
    <w:uiPriority w:val="99"/>
    <w:unhideWhenUsed/>
    <w:rsid w:val="001F26A6"/>
    <w:pPr>
      <w:spacing w:before="100" w:beforeAutospacing="1" w:after="100" w:afterAutospacing="1"/>
    </w:pPr>
    <w:rPr>
      <w:rFonts w:ascii="Times New Roman" w:eastAsia="Times New Roman" w:hAnsi="Times New Roman" w:cs="Times New Roman"/>
      <w:color w:val="auto"/>
      <w:sz w:val="24"/>
      <w:szCs w:val="24"/>
      <w:lang w:val="en-US"/>
    </w:rPr>
  </w:style>
  <w:style w:type="paragraph" w:customStyle="1" w:styleId="yiv2148787924msocommenttext">
    <w:name w:val="yiv2148787924msocommenttext"/>
    <w:basedOn w:val="Normal"/>
    <w:rsid w:val="001F26A6"/>
    <w:pPr>
      <w:spacing w:before="100" w:beforeAutospacing="1" w:after="100" w:afterAutospacing="1"/>
    </w:pPr>
    <w:rPr>
      <w:rFonts w:ascii="Times New Roman" w:eastAsia="Times New Roman" w:hAnsi="Times New Roman" w:cs="Times New Roman"/>
      <w:color w:val="auto"/>
      <w:sz w:val="24"/>
      <w:szCs w:val="24"/>
      <w:lang w:val="en-US"/>
    </w:rPr>
  </w:style>
  <w:style w:type="character" w:styleId="CommentReference">
    <w:name w:val="annotation reference"/>
    <w:basedOn w:val="DefaultParagraphFont"/>
    <w:uiPriority w:val="99"/>
    <w:semiHidden/>
    <w:unhideWhenUsed/>
    <w:rsid w:val="001F26A6"/>
    <w:rPr>
      <w:sz w:val="16"/>
      <w:szCs w:val="16"/>
    </w:rPr>
  </w:style>
  <w:style w:type="paragraph" w:styleId="CommentText">
    <w:name w:val="annotation text"/>
    <w:basedOn w:val="Normal"/>
    <w:link w:val="CommentTextChar"/>
    <w:uiPriority w:val="99"/>
    <w:unhideWhenUsed/>
    <w:rsid w:val="001F26A6"/>
    <w:rPr>
      <w:sz w:val="20"/>
      <w:szCs w:val="20"/>
    </w:rPr>
  </w:style>
  <w:style w:type="character" w:customStyle="1" w:styleId="CommentTextChar">
    <w:name w:val="Comment Text Char"/>
    <w:basedOn w:val="DefaultParagraphFont"/>
    <w:link w:val="CommentText"/>
    <w:uiPriority w:val="99"/>
    <w:rsid w:val="001F26A6"/>
    <w:rPr>
      <w:color w:val="44546A" w:themeColor="text2"/>
      <w:sz w:val="20"/>
      <w:szCs w:val="20"/>
      <w:lang w:val="en-GB"/>
    </w:rPr>
  </w:style>
  <w:style w:type="paragraph" w:styleId="EndnoteText">
    <w:name w:val="endnote text"/>
    <w:basedOn w:val="Normal"/>
    <w:link w:val="EndnoteTextChar"/>
    <w:uiPriority w:val="99"/>
    <w:unhideWhenUsed/>
    <w:rsid w:val="001F26A6"/>
    <w:rPr>
      <w:rFonts w:ascii="Calibri Light" w:hAnsi="Calibri Light" w:cs="Calibri Light"/>
      <w:color w:val="auto"/>
      <w:sz w:val="20"/>
      <w:szCs w:val="20"/>
      <w:lang w:val="en-AU"/>
    </w:rPr>
  </w:style>
  <w:style w:type="character" w:customStyle="1" w:styleId="EndnoteTextChar">
    <w:name w:val="Endnote Text Char"/>
    <w:basedOn w:val="DefaultParagraphFont"/>
    <w:link w:val="EndnoteText"/>
    <w:uiPriority w:val="99"/>
    <w:rsid w:val="001F26A6"/>
    <w:rPr>
      <w:rFonts w:ascii="Calibri Light" w:hAnsi="Calibri Light" w:cs="Calibri Light"/>
      <w:sz w:val="20"/>
      <w:szCs w:val="20"/>
    </w:rPr>
  </w:style>
  <w:style w:type="character" w:styleId="EndnoteReference">
    <w:name w:val="endnote reference"/>
    <w:basedOn w:val="DefaultParagraphFont"/>
    <w:uiPriority w:val="99"/>
    <w:semiHidden/>
    <w:unhideWhenUsed/>
    <w:rsid w:val="001F26A6"/>
    <w:rPr>
      <w:vertAlign w:val="superscript"/>
    </w:rPr>
  </w:style>
  <w:style w:type="paragraph" w:styleId="CommentSubject">
    <w:name w:val="annotation subject"/>
    <w:basedOn w:val="CommentText"/>
    <w:next w:val="CommentText"/>
    <w:link w:val="CommentSubjectChar"/>
    <w:uiPriority w:val="99"/>
    <w:semiHidden/>
    <w:unhideWhenUsed/>
    <w:rsid w:val="001F26A6"/>
    <w:rPr>
      <w:b/>
      <w:bCs/>
    </w:rPr>
  </w:style>
  <w:style w:type="character" w:customStyle="1" w:styleId="CommentSubjectChar">
    <w:name w:val="Comment Subject Char"/>
    <w:basedOn w:val="CommentTextChar"/>
    <w:link w:val="CommentSubject"/>
    <w:uiPriority w:val="99"/>
    <w:semiHidden/>
    <w:rsid w:val="001F26A6"/>
    <w:rPr>
      <w:b/>
      <w:bCs/>
      <w:color w:val="44546A" w:themeColor="text2"/>
      <w:sz w:val="20"/>
      <w:szCs w:val="20"/>
      <w:lang w:val="en-GB"/>
    </w:rPr>
  </w:style>
  <w:style w:type="paragraph" w:customStyle="1" w:styleId="FootnoteTextPAPE">
    <w:name w:val="Footnote Text PAPE"/>
    <w:basedOn w:val="Normal"/>
    <w:link w:val="FootnoteReference"/>
    <w:uiPriority w:val="99"/>
    <w:rsid w:val="001F26A6"/>
    <w:pPr>
      <w:spacing w:after="120"/>
    </w:pPr>
    <w:rPr>
      <w:color w:val="auto"/>
      <w:sz w:val="24"/>
      <w:szCs w:val="24"/>
      <w:vertAlign w:val="superscript"/>
      <w:lang w:val="en-AU"/>
    </w:rPr>
  </w:style>
  <w:style w:type="paragraph" w:customStyle="1" w:styleId="Heading1Numbered">
    <w:name w:val="Heading 1 Numbered"/>
    <w:basedOn w:val="Heading1"/>
    <w:next w:val="Normal"/>
    <w:qFormat/>
    <w:rsid w:val="001F26A6"/>
    <w:pPr>
      <w:numPr>
        <w:numId w:val="5"/>
      </w:numPr>
      <w:suppressAutoHyphens/>
      <w:spacing w:before="0" w:after="2400" w:line="380" w:lineRule="exact"/>
      <w:contextualSpacing/>
    </w:pPr>
    <w:rPr>
      <w:b/>
      <w:bCs/>
      <w:caps/>
      <w:color w:val="44546A" w:themeColor="text2"/>
      <w:sz w:val="38"/>
      <w:szCs w:val="28"/>
      <w:lang w:val="en-GB" w:eastAsia="en-US"/>
    </w:rPr>
  </w:style>
  <w:style w:type="paragraph" w:customStyle="1" w:styleId="Heading2Numbered">
    <w:name w:val="Heading 2 Numbered"/>
    <w:basedOn w:val="Heading2"/>
    <w:next w:val="Normal"/>
    <w:qFormat/>
    <w:rsid w:val="001F26A6"/>
    <w:pPr>
      <w:numPr>
        <w:ilvl w:val="1"/>
        <w:numId w:val="5"/>
      </w:numPr>
      <w:tabs>
        <w:tab w:val="num" w:pos="360"/>
      </w:tabs>
      <w:spacing w:before="480" w:after="60" w:line="380" w:lineRule="exact"/>
      <w:ind w:left="851" w:hanging="851"/>
      <w:contextualSpacing/>
    </w:pPr>
    <w:rPr>
      <w:bCs w:val="0"/>
      <w:caps/>
      <w:sz w:val="38"/>
    </w:rPr>
  </w:style>
  <w:style w:type="paragraph" w:customStyle="1" w:styleId="Heading3Numbered">
    <w:name w:val="Heading 3 Numbered"/>
    <w:basedOn w:val="Heading3"/>
    <w:next w:val="Normal"/>
    <w:qFormat/>
    <w:rsid w:val="001F26A6"/>
    <w:pPr>
      <w:numPr>
        <w:ilvl w:val="2"/>
        <w:numId w:val="5"/>
      </w:numPr>
      <w:tabs>
        <w:tab w:val="num" w:pos="360"/>
      </w:tabs>
      <w:spacing w:before="300" w:after="60" w:line="360" w:lineRule="atLeast"/>
      <w:ind w:left="1134" w:hanging="1134"/>
      <w:contextualSpacing/>
    </w:pPr>
    <w:rPr>
      <w:bCs/>
      <w:color w:val="44546A" w:themeColor="text2"/>
      <w:sz w:val="30"/>
      <w:szCs w:val="22"/>
    </w:rPr>
  </w:style>
  <w:style w:type="numbering" w:customStyle="1" w:styleId="HeadingsList">
    <w:name w:val="Headings List"/>
    <w:uiPriority w:val="99"/>
    <w:rsid w:val="001F26A6"/>
    <w:pPr>
      <w:numPr>
        <w:numId w:val="56"/>
      </w:numPr>
    </w:pPr>
  </w:style>
  <w:style w:type="character" w:styleId="UnresolvedMention">
    <w:name w:val="Unresolved Mention"/>
    <w:basedOn w:val="DefaultParagraphFont"/>
    <w:uiPriority w:val="99"/>
    <w:semiHidden/>
    <w:unhideWhenUsed/>
    <w:rsid w:val="001F26A6"/>
    <w:rPr>
      <w:color w:val="605E5C"/>
      <w:shd w:val="clear" w:color="auto" w:fill="E1DFDD"/>
    </w:rPr>
  </w:style>
  <w:style w:type="paragraph" w:styleId="BalloonText">
    <w:name w:val="Balloon Text"/>
    <w:basedOn w:val="Normal"/>
    <w:link w:val="BalloonTextChar"/>
    <w:uiPriority w:val="99"/>
    <w:semiHidden/>
    <w:unhideWhenUsed/>
    <w:rsid w:val="001F26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26A6"/>
    <w:rPr>
      <w:rFonts w:ascii="Times New Roman" w:hAnsi="Times New Roman" w:cs="Times New Roman"/>
      <w:color w:val="44546A" w:themeColor="text2"/>
      <w:sz w:val="18"/>
      <w:szCs w:val="18"/>
      <w:lang w:val="en-GB"/>
    </w:rPr>
  </w:style>
  <w:style w:type="paragraph" w:styleId="Revision">
    <w:name w:val="Revision"/>
    <w:hidden/>
    <w:uiPriority w:val="99"/>
    <w:semiHidden/>
    <w:rsid w:val="001F26A6"/>
    <w:rPr>
      <w:color w:val="44546A" w:themeColor="text2"/>
      <w:sz w:val="22"/>
      <w:szCs w:val="22"/>
      <w:lang w:val="en-GB"/>
    </w:rPr>
  </w:style>
  <w:style w:type="character" w:styleId="PageNumber">
    <w:name w:val="page number"/>
    <w:basedOn w:val="DefaultParagraphFont"/>
    <w:uiPriority w:val="99"/>
    <w:semiHidden/>
    <w:unhideWhenUsed/>
    <w:rsid w:val="001F26A6"/>
  </w:style>
  <w:style w:type="character" w:customStyle="1" w:styleId="m4173277756366121611normaltextrun">
    <w:name w:val="m_4173277756366121611normaltextrun"/>
    <w:basedOn w:val="DefaultParagraphFont"/>
    <w:rsid w:val="00E054C8"/>
  </w:style>
  <w:style w:type="paragraph" w:customStyle="1" w:styleId="m4173277756366121611msolistparagraph">
    <w:name w:val="m_4173277756366121611msolistparagraph"/>
    <w:basedOn w:val="Normal"/>
    <w:rsid w:val="00E054C8"/>
    <w:pPr>
      <w:spacing w:before="100" w:beforeAutospacing="1" w:after="100" w:afterAutospacing="1"/>
    </w:pPr>
    <w:rPr>
      <w:rFonts w:ascii="Times New Roman" w:eastAsia="Times New Roman" w:hAnsi="Times New Roman" w:cs="Times New Roman"/>
      <w:color w:val="auto"/>
      <w:sz w:val="24"/>
      <w:szCs w:val="24"/>
      <w:lang w:val="en-AU" w:eastAsia="en-GB"/>
    </w:rPr>
  </w:style>
  <w:style w:type="character" w:customStyle="1" w:styleId="m4173277756366121611msoendnotereference">
    <w:name w:val="m_4173277756366121611msoendnotereference"/>
    <w:basedOn w:val="DefaultParagraphFont"/>
    <w:rsid w:val="00E054C8"/>
  </w:style>
  <w:style w:type="paragraph" w:customStyle="1" w:styleId="m4173277756366121611msoendnotetext">
    <w:name w:val="m_4173277756366121611msoendnotetext"/>
    <w:basedOn w:val="Normal"/>
    <w:rsid w:val="005419E0"/>
    <w:pPr>
      <w:spacing w:before="100" w:beforeAutospacing="1" w:after="100" w:afterAutospacing="1"/>
    </w:pPr>
    <w:rPr>
      <w:rFonts w:ascii="Times New Roman" w:eastAsia="Times New Roman" w:hAnsi="Times New Roman" w:cs="Times New Roman"/>
      <w:color w:val="auto"/>
      <w:sz w:val="24"/>
      <w:szCs w:val="24"/>
      <w:lang w:val="en-AU" w:eastAsia="en-GB"/>
    </w:rPr>
  </w:style>
  <w:style w:type="character" w:styleId="FollowedHyperlink">
    <w:name w:val="FollowedHyperlink"/>
    <w:basedOn w:val="DefaultParagraphFont"/>
    <w:uiPriority w:val="99"/>
    <w:semiHidden/>
    <w:unhideWhenUsed/>
    <w:rsid w:val="004000C6"/>
    <w:rPr>
      <w:color w:val="954F72" w:themeColor="followedHyperlink"/>
      <w:u w:val="single"/>
    </w:rPr>
  </w:style>
  <w:style w:type="paragraph" w:styleId="Caption">
    <w:name w:val="caption"/>
    <w:basedOn w:val="Normal"/>
    <w:next w:val="Normal"/>
    <w:uiPriority w:val="35"/>
    <w:unhideWhenUsed/>
    <w:qFormat/>
    <w:rsid w:val="001A1D13"/>
    <w:pPr>
      <w:spacing w:before="240" w:after="180" w:line="240" w:lineRule="atLeast"/>
      <w:contextualSpacing/>
    </w:pPr>
    <w:rPr>
      <w:b/>
      <w:iCs/>
      <w:sz w:val="20"/>
      <w:szCs w:val="18"/>
    </w:rPr>
  </w:style>
  <w:style w:type="paragraph" w:customStyle="1" w:styleId="Box1Text">
    <w:name w:val="Box 1 Text"/>
    <w:basedOn w:val="Normal"/>
    <w:qFormat/>
    <w:rsid w:val="00870D19"/>
    <w:pPr>
      <w:pBdr>
        <w:top w:val="single" w:sz="4" w:space="14" w:color="4472C4" w:themeColor="accent1"/>
        <w:left w:val="single" w:sz="4" w:space="14" w:color="4472C4" w:themeColor="accent1"/>
        <w:bottom w:val="single" w:sz="4" w:space="14" w:color="4472C4" w:themeColor="accent1"/>
        <w:right w:val="single" w:sz="4" w:space="14" w:color="4472C4" w:themeColor="accent1"/>
      </w:pBdr>
      <w:shd w:val="clear" w:color="auto" w:fill="FFFFFF" w:themeFill="background1"/>
      <w:spacing w:before="180" w:after="80" w:line="240" w:lineRule="atLeast"/>
      <w:ind w:left="284" w:right="284"/>
    </w:pPr>
    <w:rPr>
      <w:sz w:val="20"/>
      <w:lang w:val="en-AU"/>
    </w:rPr>
  </w:style>
  <w:style w:type="paragraph" w:customStyle="1" w:styleId="m-1596800221906646178msolistparagraph">
    <w:name w:val="m_-1596800221906646178msolistparagraph"/>
    <w:basedOn w:val="Normal"/>
    <w:rsid w:val="00F446FC"/>
    <w:pPr>
      <w:spacing w:before="100" w:beforeAutospacing="1" w:after="100" w:afterAutospacing="1"/>
    </w:pPr>
    <w:rPr>
      <w:rFonts w:ascii="Times New Roman" w:eastAsia="Times New Roman" w:hAnsi="Times New Roman" w:cs="Times New Roman"/>
      <w:color w:val="auto"/>
      <w:sz w:val="24"/>
      <w:szCs w:val="24"/>
      <w:lang w:val="en-AU" w:eastAsia="en-GB"/>
    </w:rPr>
  </w:style>
  <w:style w:type="paragraph" w:customStyle="1" w:styleId="L3">
    <w:name w:val="L3"/>
    <w:basedOn w:val="BodyText"/>
    <w:link w:val="L3Char"/>
    <w:uiPriority w:val="1"/>
    <w:qFormat/>
    <w:rsid w:val="00262B4A"/>
    <w:pPr>
      <w:spacing w:before="6" w:after="240"/>
      <w:ind w:left="1468" w:hanging="668"/>
    </w:pPr>
    <w:rPr>
      <w:rFonts w:ascii="Times New Roman" w:eastAsia="Times New Roman" w:hAnsi="Times New Roman" w:cs="Times New Roman"/>
      <w:w w:val="105"/>
    </w:rPr>
  </w:style>
  <w:style w:type="paragraph" w:customStyle="1" w:styleId="Level4">
    <w:name w:val="Level 4"/>
    <w:basedOn w:val="L3"/>
    <w:uiPriority w:val="1"/>
    <w:qFormat/>
    <w:rsid w:val="00262B4A"/>
    <w:pPr>
      <w:ind w:left="2135"/>
    </w:pPr>
  </w:style>
  <w:style w:type="character" w:customStyle="1" w:styleId="L3Char">
    <w:name w:val="L3 Char"/>
    <w:basedOn w:val="BodyTextChar"/>
    <w:link w:val="L3"/>
    <w:uiPriority w:val="1"/>
    <w:rsid w:val="002137DE"/>
    <w:rPr>
      <w:rFonts w:ascii="Times New Roman" w:eastAsia="Times New Roman" w:hAnsi="Times New Roman" w:cs="Times New Roman"/>
      <w:w w:val="105"/>
      <w:sz w:val="22"/>
      <w:szCs w:val="22"/>
      <w:lang w:val="en-US"/>
    </w:rPr>
  </w:style>
  <w:style w:type="character" w:customStyle="1" w:styleId="Heading5Char">
    <w:name w:val="Heading 5 Char"/>
    <w:basedOn w:val="DefaultParagraphFont"/>
    <w:link w:val="Heading5"/>
    <w:uiPriority w:val="9"/>
    <w:rsid w:val="00DC2F0D"/>
    <w:rPr>
      <w:rFonts w:asciiTheme="majorHAnsi" w:eastAsiaTheme="majorEastAsia" w:hAnsiTheme="majorHAnsi" w:cstheme="majorBidi"/>
      <w:color w:val="2F5496" w:themeColor="accent1" w:themeShade="BF"/>
      <w:sz w:val="22"/>
      <w:szCs w:val="22"/>
      <w:lang w:val="en-GB"/>
    </w:rPr>
  </w:style>
  <w:style w:type="table" w:styleId="ListTable1Light">
    <w:name w:val="List Table 1 Light"/>
    <w:basedOn w:val="TableNormal"/>
    <w:uiPriority w:val="46"/>
    <w:rsid w:val="000005B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00742">
      <w:bodyDiv w:val="1"/>
      <w:marLeft w:val="0"/>
      <w:marRight w:val="0"/>
      <w:marTop w:val="0"/>
      <w:marBottom w:val="0"/>
      <w:divBdr>
        <w:top w:val="none" w:sz="0" w:space="0" w:color="auto"/>
        <w:left w:val="none" w:sz="0" w:space="0" w:color="auto"/>
        <w:bottom w:val="none" w:sz="0" w:space="0" w:color="auto"/>
        <w:right w:val="none" w:sz="0" w:space="0" w:color="auto"/>
      </w:divBdr>
    </w:div>
    <w:div w:id="300162271">
      <w:bodyDiv w:val="1"/>
      <w:marLeft w:val="0"/>
      <w:marRight w:val="0"/>
      <w:marTop w:val="0"/>
      <w:marBottom w:val="0"/>
      <w:divBdr>
        <w:top w:val="none" w:sz="0" w:space="0" w:color="auto"/>
        <w:left w:val="none" w:sz="0" w:space="0" w:color="auto"/>
        <w:bottom w:val="none" w:sz="0" w:space="0" w:color="auto"/>
        <w:right w:val="none" w:sz="0" w:space="0" w:color="auto"/>
      </w:divBdr>
    </w:div>
    <w:div w:id="514151356">
      <w:bodyDiv w:val="1"/>
      <w:marLeft w:val="0"/>
      <w:marRight w:val="0"/>
      <w:marTop w:val="0"/>
      <w:marBottom w:val="0"/>
      <w:divBdr>
        <w:top w:val="none" w:sz="0" w:space="0" w:color="auto"/>
        <w:left w:val="none" w:sz="0" w:space="0" w:color="auto"/>
        <w:bottom w:val="none" w:sz="0" w:space="0" w:color="auto"/>
        <w:right w:val="none" w:sz="0" w:space="0" w:color="auto"/>
      </w:divBdr>
    </w:div>
    <w:div w:id="716006059">
      <w:bodyDiv w:val="1"/>
      <w:marLeft w:val="0"/>
      <w:marRight w:val="0"/>
      <w:marTop w:val="0"/>
      <w:marBottom w:val="0"/>
      <w:divBdr>
        <w:top w:val="none" w:sz="0" w:space="0" w:color="auto"/>
        <w:left w:val="none" w:sz="0" w:space="0" w:color="auto"/>
        <w:bottom w:val="none" w:sz="0" w:space="0" w:color="auto"/>
        <w:right w:val="none" w:sz="0" w:space="0" w:color="auto"/>
      </w:divBdr>
    </w:div>
    <w:div w:id="837622216">
      <w:bodyDiv w:val="1"/>
      <w:marLeft w:val="0"/>
      <w:marRight w:val="0"/>
      <w:marTop w:val="0"/>
      <w:marBottom w:val="0"/>
      <w:divBdr>
        <w:top w:val="none" w:sz="0" w:space="0" w:color="auto"/>
        <w:left w:val="none" w:sz="0" w:space="0" w:color="auto"/>
        <w:bottom w:val="none" w:sz="0" w:space="0" w:color="auto"/>
        <w:right w:val="none" w:sz="0" w:space="0" w:color="auto"/>
      </w:divBdr>
    </w:div>
    <w:div w:id="880285041">
      <w:bodyDiv w:val="1"/>
      <w:marLeft w:val="0"/>
      <w:marRight w:val="0"/>
      <w:marTop w:val="0"/>
      <w:marBottom w:val="0"/>
      <w:divBdr>
        <w:top w:val="none" w:sz="0" w:space="0" w:color="auto"/>
        <w:left w:val="none" w:sz="0" w:space="0" w:color="auto"/>
        <w:bottom w:val="none" w:sz="0" w:space="0" w:color="auto"/>
        <w:right w:val="none" w:sz="0" w:space="0" w:color="auto"/>
      </w:divBdr>
    </w:div>
    <w:div w:id="957683434">
      <w:bodyDiv w:val="1"/>
      <w:marLeft w:val="0"/>
      <w:marRight w:val="0"/>
      <w:marTop w:val="0"/>
      <w:marBottom w:val="0"/>
      <w:divBdr>
        <w:top w:val="none" w:sz="0" w:space="0" w:color="auto"/>
        <w:left w:val="none" w:sz="0" w:space="0" w:color="auto"/>
        <w:bottom w:val="none" w:sz="0" w:space="0" w:color="auto"/>
        <w:right w:val="none" w:sz="0" w:space="0" w:color="auto"/>
      </w:divBdr>
    </w:div>
    <w:div w:id="1414861357">
      <w:bodyDiv w:val="1"/>
      <w:marLeft w:val="0"/>
      <w:marRight w:val="0"/>
      <w:marTop w:val="0"/>
      <w:marBottom w:val="0"/>
      <w:divBdr>
        <w:top w:val="none" w:sz="0" w:space="0" w:color="auto"/>
        <w:left w:val="none" w:sz="0" w:space="0" w:color="auto"/>
        <w:bottom w:val="none" w:sz="0" w:space="0" w:color="auto"/>
        <w:right w:val="none" w:sz="0" w:space="0" w:color="auto"/>
      </w:divBdr>
    </w:div>
    <w:div w:id="1632860566">
      <w:bodyDiv w:val="1"/>
      <w:marLeft w:val="0"/>
      <w:marRight w:val="0"/>
      <w:marTop w:val="0"/>
      <w:marBottom w:val="0"/>
      <w:divBdr>
        <w:top w:val="none" w:sz="0" w:space="0" w:color="auto"/>
        <w:left w:val="none" w:sz="0" w:space="0" w:color="auto"/>
        <w:bottom w:val="none" w:sz="0" w:space="0" w:color="auto"/>
        <w:right w:val="none" w:sz="0" w:space="0" w:color="auto"/>
      </w:divBdr>
      <w:divsChild>
        <w:div w:id="232081264">
          <w:marLeft w:val="0"/>
          <w:marRight w:val="0"/>
          <w:marTop w:val="0"/>
          <w:marBottom w:val="0"/>
          <w:divBdr>
            <w:top w:val="none" w:sz="0" w:space="0" w:color="auto"/>
            <w:left w:val="none" w:sz="0" w:space="0" w:color="auto"/>
            <w:bottom w:val="none" w:sz="0" w:space="0" w:color="auto"/>
            <w:right w:val="none" w:sz="0" w:space="0" w:color="auto"/>
          </w:divBdr>
        </w:div>
        <w:div w:id="342710838">
          <w:marLeft w:val="0"/>
          <w:marRight w:val="0"/>
          <w:marTop w:val="0"/>
          <w:marBottom w:val="0"/>
          <w:divBdr>
            <w:top w:val="none" w:sz="0" w:space="0" w:color="auto"/>
            <w:left w:val="none" w:sz="0" w:space="0" w:color="auto"/>
            <w:bottom w:val="none" w:sz="0" w:space="0" w:color="auto"/>
            <w:right w:val="none" w:sz="0" w:space="0" w:color="auto"/>
          </w:divBdr>
        </w:div>
        <w:div w:id="703988525">
          <w:marLeft w:val="0"/>
          <w:marRight w:val="0"/>
          <w:marTop w:val="0"/>
          <w:marBottom w:val="0"/>
          <w:divBdr>
            <w:top w:val="none" w:sz="0" w:space="0" w:color="auto"/>
            <w:left w:val="none" w:sz="0" w:space="0" w:color="auto"/>
            <w:bottom w:val="none" w:sz="0" w:space="0" w:color="auto"/>
            <w:right w:val="none" w:sz="0" w:space="0" w:color="auto"/>
          </w:divBdr>
        </w:div>
        <w:div w:id="829325034">
          <w:marLeft w:val="0"/>
          <w:marRight w:val="0"/>
          <w:marTop w:val="0"/>
          <w:marBottom w:val="0"/>
          <w:divBdr>
            <w:top w:val="none" w:sz="0" w:space="0" w:color="auto"/>
            <w:left w:val="none" w:sz="0" w:space="0" w:color="auto"/>
            <w:bottom w:val="none" w:sz="0" w:space="0" w:color="auto"/>
            <w:right w:val="none" w:sz="0" w:space="0" w:color="auto"/>
          </w:divBdr>
        </w:div>
        <w:div w:id="896017738">
          <w:marLeft w:val="0"/>
          <w:marRight w:val="0"/>
          <w:marTop w:val="0"/>
          <w:marBottom w:val="0"/>
          <w:divBdr>
            <w:top w:val="none" w:sz="0" w:space="0" w:color="auto"/>
            <w:left w:val="none" w:sz="0" w:space="0" w:color="auto"/>
            <w:bottom w:val="none" w:sz="0" w:space="0" w:color="auto"/>
            <w:right w:val="none" w:sz="0" w:space="0" w:color="auto"/>
          </w:divBdr>
        </w:div>
        <w:div w:id="1143738935">
          <w:marLeft w:val="0"/>
          <w:marRight w:val="0"/>
          <w:marTop w:val="0"/>
          <w:marBottom w:val="0"/>
          <w:divBdr>
            <w:top w:val="none" w:sz="0" w:space="0" w:color="auto"/>
            <w:left w:val="none" w:sz="0" w:space="0" w:color="auto"/>
            <w:bottom w:val="none" w:sz="0" w:space="0" w:color="auto"/>
            <w:right w:val="none" w:sz="0" w:space="0" w:color="auto"/>
          </w:divBdr>
        </w:div>
        <w:div w:id="1222907267">
          <w:marLeft w:val="0"/>
          <w:marRight w:val="0"/>
          <w:marTop w:val="0"/>
          <w:marBottom w:val="0"/>
          <w:divBdr>
            <w:top w:val="none" w:sz="0" w:space="0" w:color="auto"/>
            <w:left w:val="none" w:sz="0" w:space="0" w:color="auto"/>
            <w:bottom w:val="none" w:sz="0" w:space="0" w:color="auto"/>
            <w:right w:val="none" w:sz="0" w:space="0" w:color="auto"/>
          </w:divBdr>
        </w:div>
        <w:div w:id="1477524128">
          <w:marLeft w:val="0"/>
          <w:marRight w:val="0"/>
          <w:marTop w:val="0"/>
          <w:marBottom w:val="0"/>
          <w:divBdr>
            <w:top w:val="none" w:sz="0" w:space="0" w:color="auto"/>
            <w:left w:val="none" w:sz="0" w:space="0" w:color="auto"/>
            <w:bottom w:val="none" w:sz="0" w:space="0" w:color="auto"/>
            <w:right w:val="none" w:sz="0" w:space="0" w:color="auto"/>
          </w:divBdr>
        </w:div>
        <w:div w:id="1497576296">
          <w:marLeft w:val="0"/>
          <w:marRight w:val="0"/>
          <w:marTop w:val="0"/>
          <w:marBottom w:val="0"/>
          <w:divBdr>
            <w:top w:val="none" w:sz="0" w:space="0" w:color="auto"/>
            <w:left w:val="none" w:sz="0" w:space="0" w:color="auto"/>
            <w:bottom w:val="none" w:sz="0" w:space="0" w:color="auto"/>
            <w:right w:val="none" w:sz="0" w:space="0" w:color="auto"/>
          </w:divBdr>
        </w:div>
        <w:div w:id="1514686367">
          <w:marLeft w:val="0"/>
          <w:marRight w:val="0"/>
          <w:marTop w:val="0"/>
          <w:marBottom w:val="0"/>
          <w:divBdr>
            <w:top w:val="none" w:sz="0" w:space="0" w:color="auto"/>
            <w:left w:val="none" w:sz="0" w:space="0" w:color="auto"/>
            <w:bottom w:val="none" w:sz="0" w:space="0" w:color="auto"/>
            <w:right w:val="none" w:sz="0" w:space="0" w:color="auto"/>
          </w:divBdr>
        </w:div>
        <w:div w:id="1781873678">
          <w:marLeft w:val="0"/>
          <w:marRight w:val="0"/>
          <w:marTop w:val="0"/>
          <w:marBottom w:val="0"/>
          <w:divBdr>
            <w:top w:val="none" w:sz="0" w:space="0" w:color="auto"/>
            <w:left w:val="none" w:sz="0" w:space="0" w:color="auto"/>
            <w:bottom w:val="none" w:sz="0" w:space="0" w:color="auto"/>
            <w:right w:val="none" w:sz="0" w:space="0" w:color="auto"/>
          </w:divBdr>
        </w:div>
        <w:div w:id="1869835781">
          <w:marLeft w:val="0"/>
          <w:marRight w:val="0"/>
          <w:marTop w:val="0"/>
          <w:marBottom w:val="0"/>
          <w:divBdr>
            <w:top w:val="none" w:sz="0" w:space="0" w:color="auto"/>
            <w:left w:val="none" w:sz="0" w:space="0" w:color="auto"/>
            <w:bottom w:val="none" w:sz="0" w:space="0" w:color="auto"/>
            <w:right w:val="none" w:sz="0" w:space="0" w:color="auto"/>
          </w:divBdr>
        </w:div>
        <w:div w:id="1968386627">
          <w:marLeft w:val="0"/>
          <w:marRight w:val="0"/>
          <w:marTop w:val="0"/>
          <w:marBottom w:val="0"/>
          <w:divBdr>
            <w:top w:val="none" w:sz="0" w:space="0" w:color="auto"/>
            <w:left w:val="none" w:sz="0" w:space="0" w:color="auto"/>
            <w:bottom w:val="none" w:sz="0" w:space="0" w:color="auto"/>
            <w:right w:val="none" w:sz="0" w:space="0" w:color="auto"/>
          </w:divBdr>
        </w:div>
        <w:div w:id="2117361954">
          <w:marLeft w:val="0"/>
          <w:marRight w:val="0"/>
          <w:marTop w:val="0"/>
          <w:marBottom w:val="0"/>
          <w:divBdr>
            <w:top w:val="none" w:sz="0" w:space="0" w:color="auto"/>
            <w:left w:val="none" w:sz="0" w:space="0" w:color="auto"/>
            <w:bottom w:val="none" w:sz="0" w:space="0" w:color="auto"/>
            <w:right w:val="none" w:sz="0" w:space="0" w:color="auto"/>
          </w:divBdr>
        </w:div>
      </w:divsChild>
    </w:div>
    <w:div w:id="1678070210">
      <w:bodyDiv w:val="1"/>
      <w:marLeft w:val="0"/>
      <w:marRight w:val="0"/>
      <w:marTop w:val="0"/>
      <w:marBottom w:val="0"/>
      <w:divBdr>
        <w:top w:val="none" w:sz="0" w:space="0" w:color="auto"/>
        <w:left w:val="none" w:sz="0" w:space="0" w:color="auto"/>
        <w:bottom w:val="none" w:sz="0" w:space="0" w:color="auto"/>
        <w:right w:val="none" w:sz="0" w:space="0" w:color="auto"/>
      </w:divBdr>
    </w:div>
    <w:div w:id="1725133651">
      <w:bodyDiv w:val="1"/>
      <w:marLeft w:val="0"/>
      <w:marRight w:val="0"/>
      <w:marTop w:val="0"/>
      <w:marBottom w:val="0"/>
      <w:divBdr>
        <w:top w:val="none" w:sz="0" w:space="0" w:color="auto"/>
        <w:left w:val="none" w:sz="0" w:space="0" w:color="auto"/>
        <w:bottom w:val="none" w:sz="0" w:space="0" w:color="auto"/>
        <w:right w:val="none" w:sz="0" w:space="0" w:color="auto"/>
      </w:divBdr>
    </w:div>
    <w:div w:id="1954941987">
      <w:bodyDiv w:val="1"/>
      <w:marLeft w:val="0"/>
      <w:marRight w:val="0"/>
      <w:marTop w:val="0"/>
      <w:marBottom w:val="0"/>
      <w:divBdr>
        <w:top w:val="none" w:sz="0" w:space="0" w:color="auto"/>
        <w:left w:val="none" w:sz="0" w:space="0" w:color="auto"/>
        <w:bottom w:val="none" w:sz="0" w:space="0" w:color="auto"/>
        <w:right w:val="none" w:sz="0" w:space="0" w:color="auto"/>
      </w:divBdr>
    </w:div>
    <w:div w:id="206733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overtyactionlab.org/case-study/parental-engagement-improve-childrens-schooling" TargetMode="External"/><Relationship Id="rId18" Type="http://schemas.openxmlformats.org/officeDocument/2006/relationships/hyperlink" Target="https://www.dfat.gov.au/about-us/publications/Pages/australia-awards-global-strategy" TargetMode="External"/><Relationship Id="rId26" Type="http://schemas.openxmlformats.org/officeDocument/2006/relationships/hyperlink" Target="https://www.dfat.gov.au/about-us/publications/Pages/australia-awards-global-strategy"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overtyactionlab.org/case-study/parental-engagement-improve-childrens-schooling"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fat.gov.au/about-us/publications/Pages/strategy-for-australias-aid-investments-in-education-2015-2020" TargetMode="External"/><Relationship Id="rId17" Type="http://schemas.openxmlformats.org/officeDocument/2006/relationships/hyperlink" Target="https://www.teachingattherightlevel.org/" TargetMode="External"/><Relationship Id="rId25" Type="http://schemas.openxmlformats.org/officeDocument/2006/relationships/hyperlink" Target="https://www.teachingattherightlevel.org/"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vertyactionlab.org/case-study/teaching-right-level-improve-learning" TargetMode="External"/><Relationship Id="rId20" Type="http://schemas.openxmlformats.org/officeDocument/2006/relationships/hyperlink" Target="https://www.dfat.gov.au/about-us/publications/Pages/strategy-for-australias-aid-investments-in-education-2015-2020"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s://www.povertyactionlab.org/case-study/teaching-right-level-improve-learning" TargetMode="External"/><Relationship Id="rId32" Type="http://schemas.microsoft.com/office/2007/relationships/diagramDrawing" Target="diagrams/drawing1.xml"/><Relationship Id="rId37" Type="http://schemas.openxmlformats.org/officeDocument/2006/relationships/image" Target="cid:image001.png@01D7ABE5.49C44920" TargetMode="External"/><Relationship Id="rId5" Type="http://schemas.openxmlformats.org/officeDocument/2006/relationships/webSettings" Target="webSettings.xml"/><Relationship Id="rId15" Type="http://schemas.openxmlformats.org/officeDocument/2006/relationships/hyperlink" Target="https://www.worldbank.org/en/topic/education/brief/learning-poverty" TargetMode="External"/><Relationship Id="rId23" Type="http://schemas.openxmlformats.org/officeDocument/2006/relationships/hyperlink" Target="https://www.worldbank.org/en/topic/education/brief/learning-poverty" TargetMode="External"/><Relationship Id="rId28" Type="http://schemas.openxmlformats.org/officeDocument/2006/relationships/diagramData" Target="diagrams/data1.xml"/><Relationship Id="rId36"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hyperlink" Target="https://www.dese.gov.au/national-strategy-international-education" TargetMode="External"/><Relationship Id="rId31"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rookings.edu/blog/education-plus-development/2020/10/21/can-new-forms-of-parent-engagement-be-an-education-game-changer-post-covid-19/" TargetMode="External"/><Relationship Id="rId22" Type="http://schemas.openxmlformats.org/officeDocument/2006/relationships/hyperlink" Target="https://www.brookings.edu/blog/education-plus-development/2020/10/21/can-new-forms-of-parent-engagement-be-an-education-game-changer-post-covid-19/" TargetMode="External"/><Relationship Id="rId27" Type="http://schemas.openxmlformats.org/officeDocument/2006/relationships/hyperlink" Target="https://www.dese.gov.au/national-strategy-international-education" TargetMode="External"/><Relationship Id="rId30" Type="http://schemas.openxmlformats.org/officeDocument/2006/relationships/diagramQuickStyle" Target="diagrams/quickStyle1.xm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dfat.gov.au/about-us/publications/Pages/what-works-best-education-for-development-super-synthesis-evidence" TargetMode="External"/><Relationship Id="rId2" Type="http://schemas.openxmlformats.org/officeDocument/2006/relationships/hyperlink" Target="https://www.epi.org/publication/education-inequalities-at-the-school-starting-gate/" TargetMode="External"/><Relationship Id="rId1" Type="http://schemas.openxmlformats.org/officeDocument/2006/relationships/hyperlink" Target="https://aus01.safelinks.protection.outlook.com/?url=https%3A%2F%2Fwww.worldbank.org%2Fen%2Fcountry%2Fpng%2Fpublication%2Fpapua-new-guinea-dealing-with-a-triple-crisis&amp;data=04%7C01%7CEloise.Saif%40dfat.gov.au%7C0e243a830b5b40b8ca5708d979a33ba5%7C9b7f23b30e8347a58a40ffa8a6fea536%7C0%7C0%7C637674564686821648%7CUnknown%7CTWFpbGZsb3d8eyJWIjoiMC4wLjAwMDAiLCJQIjoiV2luMzIiLCJBTiI6Ik1haWwiLCJXVCI6Mn0%3D%7C1000&amp;sdata=JkaklzSmxjjkF1O0FyvSKH54Sb9m%2BWbDYJOeIjmguy4%3D&amp;reserved=0" TargetMode="External"/><Relationship Id="rId6" Type="http://schemas.openxmlformats.org/officeDocument/2006/relationships/hyperlink" Target="http://www.asercentre.org/p/50.html" TargetMode="External"/><Relationship Id="rId5" Type="http://schemas.openxmlformats.org/officeDocument/2006/relationships/hyperlink" Target="http://www.asercentre.org/p/76.html" TargetMode="External"/><Relationship Id="rId4" Type="http://schemas.openxmlformats.org/officeDocument/2006/relationships/hyperlink" Target="https://riseprogramme.org/publications/aligning-levels-instruction-goals-and-needs-students-aligns-varied-approaches-comm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6F5E5E-0BBA-4EA6-9BA6-842F30ACADCC}" type="doc">
      <dgm:prSet loTypeId="urn:microsoft.com/office/officeart/2005/8/layout/hChevron3" loCatId="process" qsTypeId="urn:microsoft.com/office/officeart/2005/8/quickstyle/simple1" qsCatId="simple" csTypeId="urn:microsoft.com/office/officeart/2005/8/colors/accent1_2" csCatId="accent1" phldr="1"/>
      <dgm:spPr/>
    </dgm:pt>
    <dgm:pt modelId="{F9D97CDC-B608-4D3A-90C9-A4977E944208}">
      <dgm:prSet phldrT="[Text]"/>
      <dgm:spPr>
        <a:solidFill>
          <a:srgbClr val="419FB5"/>
        </a:solidFill>
      </dgm:spPr>
      <dgm:t>
        <a:bodyPr/>
        <a:lstStyle/>
        <a:p>
          <a:r>
            <a:rPr lang="en-US">
              <a:solidFill>
                <a:schemeClr val="tx1"/>
              </a:solidFill>
            </a:rPr>
            <a:t>Understand context</a:t>
          </a:r>
        </a:p>
      </dgm:t>
    </dgm:pt>
    <dgm:pt modelId="{9A7BC80E-AEEB-4F94-BCFF-01869C684AE9}" type="parTrans" cxnId="{252371A1-D833-4262-9846-0BDC67664548}">
      <dgm:prSet/>
      <dgm:spPr/>
      <dgm:t>
        <a:bodyPr/>
        <a:lstStyle/>
        <a:p>
          <a:endParaRPr lang="en-US">
            <a:solidFill>
              <a:schemeClr val="tx1"/>
            </a:solidFill>
          </a:endParaRPr>
        </a:p>
      </dgm:t>
    </dgm:pt>
    <dgm:pt modelId="{F9432E79-42E4-4DC1-B429-36399E060DE9}" type="sibTrans" cxnId="{252371A1-D833-4262-9846-0BDC67664548}">
      <dgm:prSet/>
      <dgm:spPr/>
      <dgm:t>
        <a:bodyPr/>
        <a:lstStyle/>
        <a:p>
          <a:endParaRPr lang="en-US">
            <a:solidFill>
              <a:schemeClr val="tx1"/>
            </a:solidFill>
          </a:endParaRPr>
        </a:p>
      </dgm:t>
    </dgm:pt>
    <dgm:pt modelId="{1029A630-9CFD-493A-8CC1-1654EA2D9114}">
      <dgm:prSet phldrT="[Text]"/>
      <dgm:spPr>
        <a:solidFill>
          <a:srgbClr val="419FB5"/>
        </a:solidFill>
      </dgm:spPr>
      <dgm:t>
        <a:bodyPr/>
        <a:lstStyle/>
        <a:p>
          <a:r>
            <a:rPr lang="en-US">
              <a:solidFill>
                <a:schemeClr val="tx1"/>
              </a:solidFill>
            </a:rPr>
            <a:t>Break the issue down</a:t>
          </a:r>
        </a:p>
      </dgm:t>
    </dgm:pt>
    <dgm:pt modelId="{B238E76B-B316-493B-8B93-5C484B6F1D9E}" type="parTrans" cxnId="{0D191075-3881-4E1B-A2B4-A096215F98AB}">
      <dgm:prSet/>
      <dgm:spPr/>
      <dgm:t>
        <a:bodyPr/>
        <a:lstStyle/>
        <a:p>
          <a:endParaRPr lang="en-US">
            <a:solidFill>
              <a:schemeClr val="tx1"/>
            </a:solidFill>
          </a:endParaRPr>
        </a:p>
      </dgm:t>
    </dgm:pt>
    <dgm:pt modelId="{389258CE-7C7C-47A6-AE98-E9E8766D0CCC}" type="sibTrans" cxnId="{0D191075-3881-4E1B-A2B4-A096215F98AB}">
      <dgm:prSet/>
      <dgm:spPr/>
      <dgm:t>
        <a:bodyPr/>
        <a:lstStyle/>
        <a:p>
          <a:endParaRPr lang="en-US">
            <a:solidFill>
              <a:schemeClr val="tx1"/>
            </a:solidFill>
          </a:endParaRPr>
        </a:p>
      </dgm:t>
    </dgm:pt>
    <dgm:pt modelId="{94737E98-F810-4257-B311-9E8AA345E65F}">
      <dgm:prSet/>
      <dgm:spPr>
        <a:solidFill>
          <a:srgbClr val="419FB5"/>
        </a:solidFill>
      </dgm:spPr>
      <dgm:t>
        <a:bodyPr/>
        <a:lstStyle/>
        <a:p>
          <a:r>
            <a:rPr lang="en-US">
              <a:solidFill>
                <a:schemeClr val="tx1"/>
              </a:solidFill>
            </a:rPr>
            <a:t>Choose a starting point</a:t>
          </a:r>
        </a:p>
      </dgm:t>
    </dgm:pt>
    <dgm:pt modelId="{F26DD2F0-F42E-4E35-98A6-6FCABD5B8EA3}" type="parTrans" cxnId="{7E6782C8-6F65-4ABA-8DA5-D3FEA464ACC5}">
      <dgm:prSet/>
      <dgm:spPr/>
      <dgm:t>
        <a:bodyPr/>
        <a:lstStyle/>
        <a:p>
          <a:endParaRPr lang="en-US">
            <a:solidFill>
              <a:schemeClr val="tx1"/>
            </a:solidFill>
          </a:endParaRPr>
        </a:p>
      </dgm:t>
    </dgm:pt>
    <dgm:pt modelId="{9ECBA0D6-E0D0-42F6-9227-0ED9BDD51816}" type="sibTrans" cxnId="{7E6782C8-6F65-4ABA-8DA5-D3FEA464ACC5}">
      <dgm:prSet/>
      <dgm:spPr/>
      <dgm:t>
        <a:bodyPr/>
        <a:lstStyle/>
        <a:p>
          <a:endParaRPr lang="en-US">
            <a:solidFill>
              <a:schemeClr val="tx1"/>
            </a:solidFill>
          </a:endParaRPr>
        </a:p>
      </dgm:t>
    </dgm:pt>
    <dgm:pt modelId="{BF9FFE99-64BB-4DF6-9EC0-3FE64279D471}">
      <dgm:prSet/>
      <dgm:spPr>
        <a:solidFill>
          <a:srgbClr val="419FB5"/>
        </a:solidFill>
      </dgm:spPr>
      <dgm:t>
        <a:bodyPr/>
        <a:lstStyle/>
        <a:p>
          <a:r>
            <a:rPr lang="en-US">
              <a:solidFill>
                <a:schemeClr val="tx1"/>
              </a:solidFill>
            </a:rPr>
            <a:t>Decide what to do</a:t>
          </a:r>
        </a:p>
      </dgm:t>
    </dgm:pt>
    <dgm:pt modelId="{E33265EF-BEC3-443C-A359-38301A21ECF6}" type="parTrans" cxnId="{00FAC6B2-F001-4D98-9964-5AEBCE316A61}">
      <dgm:prSet/>
      <dgm:spPr/>
      <dgm:t>
        <a:bodyPr/>
        <a:lstStyle/>
        <a:p>
          <a:endParaRPr lang="en-US">
            <a:solidFill>
              <a:schemeClr val="tx1"/>
            </a:solidFill>
          </a:endParaRPr>
        </a:p>
      </dgm:t>
    </dgm:pt>
    <dgm:pt modelId="{F3DB31FA-1A46-4089-BEEE-2FB46C29480A}" type="sibTrans" cxnId="{00FAC6B2-F001-4D98-9964-5AEBCE316A61}">
      <dgm:prSet/>
      <dgm:spPr/>
      <dgm:t>
        <a:bodyPr/>
        <a:lstStyle/>
        <a:p>
          <a:endParaRPr lang="en-US">
            <a:solidFill>
              <a:schemeClr val="tx1"/>
            </a:solidFill>
          </a:endParaRPr>
        </a:p>
      </dgm:t>
    </dgm:pt>
    <dgm:pt modelId="{5A0EDCE4-8D5C-42E8-8FA5-86C4646834F3}">
      <dgm:prSet/>
      <dgm:spPr>
        <a:solidFill>
          <a:srgbClr val="419FB5"/>
        </a:solidFill>
      </dgm:spPr>
      <dgm:t>
        <a:bodyPr/>
        <a:lstStyle/>
        <a:p>
          <a:r>
            <a:rPr lang="en-US">
              <a:solidFill>
                <a:schemeClr val="tx1"/>
              </a:solidFill>
            </a:rPr>
            <a:t>Test, learn and persist</a:t>
          </a:r>
        </a:p>
      </dgm:t>
    </dgm:pt>
    <dgm:pt modelId="{4C8FFFA4-1878-43D5-A643-FB95FD3EA5EC}" type="parTrans" cxnId="{53A5F539-5871-4357-B2F0-65F472A362B5}">
      <dgm:prSet/>
      <dgm:spPr/>
      <dgm:t>
        <a:bodyPr/>
        <a:lstStyle/>
        <a:p>
          <a:endParaRPr lang="en-US">
            <a:solidFill>
              <a:schemeClr val="tx1"/>
            </a:solidFill>
          </a:endParaRPr>
        </a:p>
      </dgm:t>
    </dgm:pt>
    <dgm:pt modelId="{114485A3-5958-4F98-B661-44C93A7E2F85}" type="sibTrans" cxnId="{53A5F539-5871-4357-B2F0-65F472A362B5}">
      <dgm:prSet/>
      <dgm:spPr/>
      <dgm:t>
        <a:bodyPr/>
        <a:lstStyle/>
        <a:p>
          <a:endParaRPr lang="en-US">
            <a:solidFill>
              <a:schemeClr val="tx1"/>
            </a:solidFill>
          </a:endParaRPr>
        </a:p>
      </dgm:t>
    </dgm:pt>
    <dgm:pt modelId="{A4EDD76B-39D9-457E-A24D-EB7B251F8491}" type="pres">
      <dgm:prSet presAssocID="{296F5E5E-0BBA-4EA6-9BA6-842F30ACADCC}" presName="Name0" presStyleCnt="0">
        <dgm:presLayoutVars>
          <dgm:dir/>
          <dgm:resizeHandles val="exact"/>
        </dgm:presLayoutVars>
      </dgm:prSet>
      <dgm:spPr/>
    </dgm:pt>
    <dgm:pt modelId="{6688C11A-6F80-4E60-B3D1-CBFB31ED3BB6}" type="pres">
      <dgm:prSet presAssocID="{F9D97CDC-B608-4D3A-90C9-A4977E944208}" presName="parTxOnly" presStyleLbl="node1" presStyleIdx="0" presStyleCnt="5">
        <dgm:presLayoutVars>
          <dgm:bulletEnabled val="1"/>
        </dgm:presLayoutVars>
      </dgm:prSet>
      <dgm:spPr/>
    </dgm:pt>
    <dgm:pt modelId="{DB4205DE-BC71-4D56-9D60-15A2941FE86E}" type="pres">
      <dgm:prSet presAssocID="{F9432E79-42E4-4DC1-B429-36399E060DE9}" presName="parSpace" presStyleCnt="0"/>
      <dgm:spPr/>
    </dgm:pt>
    <dgm:pt modelId="{7C52B783-9FD2-4C4D-96D4-368914660A3E}" type="pres">
      <dgm:prSet presAssocID="{1029A630-9CFD-493A-8CC1-1654EA2D9114}" presName="parTxOnly" presStyleLbl="node1" presStyleIdx="1" presStyleCnt="5">
        <dgm:presLayoutVars>
          <dgm:bulletEnabled val="1"/>
        </dgm:presLayoutVars>
      </dgm:prSet>
      <dgm:spPr/>
    </dgm:pt>
    <dgm:pt modelId="{8B686214-5A1F-419B-A0FE-105CF1C9C4CA}" type="pres">
      <dgm:prSet presAssocID="{389258CE-7C7C-47A6-AE98-E9E8766D0CCC}" presName="parSpace" presStyleCnt="0"/>
      <dgm:spPr/>
    </dgm:pt>
    <dgm:pt modelId="{67C1F993-30E3-4FCB-B392-9691207BFBE8}" type="pres">
      <dgm:prSet presAssocID="{94737E98-F810-4257-B311-9E8AA345E65F}" presName="parTxOnly" presStyleLbl="node1" presStyleIdx="2" presStyleCnt="5">
        <dgm:presLayoutVars>
          <dgm:bulletEnabled val="1"/>
        </dgm:presLayoutVars>
      </dgm:prSet>
      <dgm:spPr/>
    </dgm:pt>
    <dgm:pt modelId="{F46F32C2-8EB5-4A22-9E92-113A5776CC46}" type="pres">
      <dgm:prSet presAssocID="{9ECBA0D6-E0D0-42F6-9227-0ED9BDD51816}" presName="parSpace" presStyleCnt="0"/>
      <dgm:spPr/>
    </dgm:pt>
    <dgm:pt modelId="{2896DDA5-D9DD-4C95-A426-2650D297B069}" type="pres">
      <dgm:prSet presAssocID="{BF9FFE99-64BB-4DF6-9EC0-3FE64279D471}" presName="parTxOnly" presStyleLbl="node1" presStyleIdx="3" presStyleCnt="5">
        <dgm:presLayoutVars>
          <dgm:bulletEnabled val="1"/>
        </dgm:presLayoutVars>
      </dgm:prSet>
      <dgm:spPr/>
    </dgm:pt>
    <dgm:pt modelId="{45EE95AE-3641-4CDF-AFE5-438D158A8B4C}" type="pres">
      <dgm:prSet presAssocID="{F3DB31FA-1A46-4089-BEEE-2FB46C29480A}" presName="parSpace" presStyleCnt="0"/>
      <dgm:spPr/>
    </dgm:pt>
    <dgm:pt modelId="{2472105A-E4BF-4E53-9C0F-A9426E1F7FB8}" type="pres">
      <dgm:prSet presAssocID="{5A0EDCE4-8D5C-42E8-8FA5-86C4646834F3}" presName="parTxOnly" presStyleLbl="node1" presStyleIdx="4" presStyleCnt="5">
        <dgm:presLayoutVars>
          <dgm:bulletEnabled val="1"/>
        </dgm:presLayoutVars>
      </dgm:prSet>
      <dgm:spPr/>
    </dgm:pt>
  </dgm:ptLst>
  <dgm:cxnLst>
    <dgm:cxn modelId="{6903A31A-DF02-43BA-B334-175001B6A25E}" type="presOf" srcId="{5A0EDCE4-8D5C-42E8-8FA5-86C4646834F3}" destId="{2472105A-E4BF-4E53-9C0F-A9426E1F7FB8}" srcOrd="0" destOrd="0" presId="urn:microsoft.com/office/officeart/2005/8/layout/hChevron3"/>
    <dgm:cxn modelId="{53A5F539-5871-4357-B2F0-65F472A362B5}" srcId="{296F5E5E-0BBA-4EA6-9BA6-842F30ACADCC}" destId="{5A0EDCE4-8D5C-42E8-8FA5-86C4646834F3}" srcOrd="4" destOrd="0" parTransId="{4C8FFFA4-1878-43D5-A643-FB95FD3EA5EC}" sibTransId="{114485A3-5958-4F98-B661-44C93A7E2F85}"/>
    <dgm:cxn modelId="{8EF29B63-298C-4E3B-8216-2DA04E1497B2}" type="presOf" srcId="{296F5E5E-0BBA-4EA6-9BA6-842F30ACADCC}" destId="{A4EDD76B-39D9-457E-A24D-EB7B251F8491}" srcOrd="0" destOrd="0" presId="urn:microsoft.com/office/officeart/2005/8/layout/hChevron3"/>
    <dgm:cxn modelId="{0D191075-3881-4E1B-A2B4-A096215F98AB}" srcId="{296F5E5E-0BBA-4EA6-9BA6-842F30ACADCC}" destId="{1029A630-9CFD-493A-8CC1-1654EA2D9114}" srcOrd="1" destOrd="0" parTransId="{B238E76B-B316-493B-8B93-5C484B6F1D9E}" sibTransId="{389258CE-7C7C-47A6-AE98-E9E8766D0CCC}"/>
    <dgm:cxn modelId="{D899C19B-B747-4117-8B7E-C279FBC809BE}" type="presOf" srcId="{1029A630-9CFD-493A-8CC1-1654EA2D9114}" destId="{7C52B783-9FD2-4C4D-96D4-368914660A3E}" srcOrd="0" destOrd="0" presId="urn:microsoft.com/office/officeart/2005/8/layout/hChevron3"/>
    <dgm:cxn modelId="{252371A1-D833-4262-9846-0BDC67664548}" srcId="{296F5E5E-0BBA-4EA6-9BA6-842F30ACADCC}" destId="{F9D97CDC-B608-4D3A-90C9-A4977E944208}" srcOrd="0" destOrd="0" parTransId="{9A7BC80E-AEEB-4F94-BCFF-01869C684AE9}" sibTransId="{F9432E79-42E4-4DC1-B429-36399E060DE9}"/>
    <dgm:cxn modelId="{F8EF73AC-BF13-45D5-8763-2440D86B244D}" type="presOf" srcId="{BF9FFE99-64BB-4DF6-9EC0-3FE64279D471}" destId="{2896DDA5-D9DD-4C95-A426-2650D297B069}" srcOrd="0" destOrd="0" presId="urn:microsoft.com/office/officeart/2005/8/layout/hChevron3"/>
    <dgm:cxn modelId="{00FAC6B2-F001-4D98-9964-5AEBCE316A61}" srcId="{296F5E5E-0BBA-4EA6-9BA6-842F30ACADCC}" destId="{BF9FFE99-64BB-4DF6-9EC0-3FE64279D471}" srcOrd="3" destOrd="0" parTransId="{E33265EF-BEC3-443C-A359-38301A21ECF6}" sibTransId="{F3DB31FA-1A46-4089-BEEE-2FB46C29480A}"/>
    <dgm:cxn modelId="{7E6782C8-6F65-4ABA-8DA5-D3FEA464ACC5}" srcId="{296F5E5E-0BBA-4EA6-9BA6-842F30ACADCC}" destId="{94737E98-F810-4257-B311-9E8AA345E65F}" srcOrd="2" destOrd="0" parTransId="{F26DD2F0-F42E-4E35-98A6-6FCABD5B8EA3}" sibTransId="{9ECBA0D6-E0D0-42F6-9227-0ED9BDD51816}"/>
    <dgm:cxn modelId="{2F10B2F1-FA29-4A9C-BFDE-8C3682416CAC}" type="presOf" srcId="{F9D97CDC-B608-4D3A-90C9-A4977E944208}" destId="{6688C11A-6F80-4E60-B3D1-CBFB31ED3BB6}" srcOrd="0" destOrd="0" presId="urn:microsoft.com/office/officeart/2005/8/layout/hChevron3"/>
    <dgm:cxn modelId="{488D83F6-15ED-4431-83E9-E366E516BB58}" type="presOf" srcId="{94737E98-F810-4257-B311-9E8AA345E65F}" destId="{67C1F993-30E3-4FCB-B392-9691207BFBE8}" srcOrd="0" destOrd="0" presId="urn:microsoft.com/office/officeart/2005/8/layout/hChevron3"/>
    <dgm:cxn modelId="{308CBBAC-28E0-4A39-BE13-10CA79408F4C}" type="presParOf" srcId="{A4EDD76B-39D9-457E-A24D-EB7B251F8491}" destId="{6688C11A-6F80-4E60-B3D1-CBFB31ED3BB6}" srcOrd="0" destOrd="0" presId="urn:microsoft.com/office/officeart/2005/8/layout/hChevron3"/>
    <dgm:cxn modelId="{C5A705FB-A949-49E7-BCB4-ED0C4995C904}" type="presParOf" srcId="{A4EDD76B-39D9-457E-A24D-EB7B251F8491}" destId="{DB4205DE-BC71-4D56-9D60-15A2941FE86E}" srcOrd="1" destOrd="0" presId="urn:microsoft.com/office/officeart/2005/8/layout/hChevron3"/>
    <dgm:cxn modelId="{C8573B71-9BAD-4549-B7FE-853085CCA7AF}" type="presParOf" srcId="{A4EDD76B-39D9-457E-A24D-EB7B251F8491}" destId="{7C52B783-9FD2-4C4D-96D4-368914660A3E}" srcOrd="2" destOrd="0" presId="urn:microsoft.com/office/officeart/2005/8/layout/hChevron3"/>
    <dgm:cxn modelId="{3E0AF4D4-B56A-4FFC-A1A0-F942B38D82B2}" type="presParOf" srcId="{A4EDD76B-39D9-457E-A24D-EB7B251F8491}" destId="{8B686214-5A1F-419B-A0FE-105CF1C9C4CA}" srcOrd="3" destOrd="0" presId="urn:microsoft.com/office/officeart/2005/8/layout/hChevron3"/>
    <dgm:cxn modelId="{AA60F600-AA76-410C-86A6-7BE7048CC91B}" type="presParOf" srcId="{A4EDD76B-39D9-457E-A24D-EB7B251F8491}" destId="{67C1F993-30E3-4FCB-B392-9691207BFBE8}" srcOrd="4" destOrd="0" presId="urn:microsoft.com/office/officeart/2005/8/layout/hChevron3"/>
    <dgm:cxn modelId="{7D6559D0-D96F-420F-896C-9E1C8B01371B}" type="presParOf" srcId="{A4EDD76B-39D9-457E-A24D-EB7B251F8491}" destId="{F46F32C2-8EB5-4A22-9E92-113A5776CC46}" srcOrd="5" destOrd="0" presId="urn:microsoft.com/office/officeart/2005/8/layout/hChevron3"/>
    <dgm:cxn modelId="{FC865623-A486-40D6-B622-DDFEAECFA41F}" type="presParOf" srcId="{A4EDD76B-39D9-457E-A24D-EB7B251F8491}" destId="{2896DDA5-D9DD-4C95-A426-2650D297B069}" srcOrd="6" destOrd="0" presId="urn:microsoft.com/office/officeart/2005/8/layout/hChevron3"/>
    <dgm:cxn modelId="{C89C8FE9-1F2F-4A04-9F70-36E8CD928FB7}" type="presParOf" srcId="{A4EDD76B-39D9-457E-A24D-EB7B251F8491}" destId="{45EE95AE-3641-4CDF-AFE5-438D158A8B4C}" srcOrd="7" destOrd="0" presId="urn:microsoft.com/office/officeart/2005/8/layout/hChevron3"/>
    <dgm:cxn modelId="{A25AEA3D-D493-44C0-B26A-B2CB9C83C67B}" type="presParOf" srcId="{A4EDD76B-39D9-457E-A24D-EB7B251F8491}" destId="{2472105A-E4BF-4E53-9C0F-A9426E1F7FB8}" srcOrd="8" destOrd="0" presId="urn:microsoft.com/office/officeart/2005/8/layout/hChevron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88C11A-6F80-4E60-B3D1-CBFB31ED3BB6}">
      <dsp:nvSpPr>
        <dsp:cNvPr id="0" name=""/>
        <dsp:cNvSpPr/>
      </dsp:nvSpPr>
      <dsp:spPr>
        <a:xfrm>
          <a:off x="669" y="88664"/>
          <a:ext cx="1305966" cy="522386"/>
        </a:xfrm>
        <a:prstGeom prst="homePlate">
          <a:avLst/>
        </a:prstGeom>
        <a:solidFill>
          <a:srgbClr val="419FB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rPr>
            <a:t>Understand context</a:t>
          </a:r>
        </a:p>
      </dsp:txBody>
      <dsp:txXfrm>
        <a:off x="669" y="88664"/>
        <a:ext cx="1175370" cy="522386"/>
      </dsp:txXfrm>
    </dsp:sp>
    <dsp:sp modelId="{7C52B783-9FD2-4C4D-96D4-368914660A3E}">
      <dsp:nvSpPr>
        <dsp:cNvPr id="0" name=""/>
        <dsp:cNvSpPr/>
      </dsp:nvSpPr>
      <dsp:spPr>
        <a:xfrm>
          <a:off x="1045443" y="88664"/>
          <a:ext cx="1305966" cy="522386"/>
        </a:xfrm>
        <a:prstGeom prst="chevron">
          <a:avLst/>
        </a:prstGeom>
        <a:solidFill>
          <a:srgbClr val="419FB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rPr>
            <a:t>Break the issue down</a:t>
          </a:r>
        </a:p>
      </dsp:txBody>
      <dsp:txXfrm>
        <a:off x="1306636" y="88664"/>
        <a:ext cx="783580" cy="522386"/>
      </dsp:txXfrm>
    </dsp:sp>
    <dsp:sp modelId="{67C1F993-30E3-4FCB-B392-9691207BFBE8}">
      <dsp:nvSpPr>
        <dsp:cNvPr id="0" name=""/>
        <dsp:cNvSpPr/>
      </dsp:nvSpPr>
      <dsp:spPr>
        <a:xfrm>
          <a:off x="2090216" y="88664"/>
          <a:ext cx="1305966" cy="522386"/>
        </a:xfrm>
        <a:prstGeom prst="chevron">
          <a:avLst/>
        </a:prstGeom>
        <a:solidFill>
          <a:srgbClr val="419FB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rPr>
            <a:t>Choose a starting point</a:t>
          </a:r>
        </a:p>
      </dsp:txBody>
      <dsp:txXfrm>
        <a:off x="2351409" y="88664"/>
        <a:ext cx="783580" cy="522386"/>
      </dsp:txXfrm>
    </dsp:sp>
    <dsp:sp modelId="{2896DDA5-D9DD-4C95-A426-2650D297B069}">
      <dsp:nvSpPr>
        <dsp:cNvPr id="0" name=""/>
        <dsp:cNvSpPr/>
      </dsp:nvSpPr>
      <dsp:spPr>
        <a:xfrm>
          <a:off x="3134990" y="88664"/>
          <a:ext cx="1305966" cy="522386"/>
        </a:xfrm>
        <a:prstGeom prst="chevron">
          <a:avLst/>
        </a:prstGeom>
        <a:solidFill>
          <a:srgbClr val="419FB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rPr>
            <a:t>Decide what to do</a:t>
          </a:r>
        </a:p>
      </dsp:txBody>
      <dsp:txXfrm>
        <a:off x="3396183" y="88664"/>
        <a:ext cx="783580" cy="522386"/>
      </dsp:txXfrm>
    </dsp:sp>
    <dsp:sp modelId="{2472105A-E4BF-4E53-9C0F-A9426E1F7FB8}">
      <dsp:nvSpPr>
        <dsp:cNvPr id="0" name=""/>
        <dsp:cNvSpPr/>
      </dsp:nvSpPr>
      <dsp:spPr>
        <a:xfrm>
          <a:off x="4179763" y="88664"/>
          <a:ext cx="1305966" cy="522386"/>
        </a:xfrm>
        <a:prstGeom prst="chevron">
          <a:avLst/>
        </a:prstGeom>
        <a:solidFill>
          <a:srgbClr val="419FB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rPr>
            <a:t>Test, learn and persist</a:t>
          </a:r>
        </a:p>
      </dsp:txBody>
      <dsp:txXfrm>
        <a:off x="4440956" y="88664"/>
        <a:ext cx="783580" cy="522386"/>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9CAD-1366-DB40-99E2-C1CBB48E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24707</Words>
  <Characters>141005</Characters>
  <Application>Microsoft Office Word</Application>
  <DocSecurity>0</DocSecurity>
  <Lines>2379</Lines>
  <Paragraphs>755</Paragraphs>
  <ScaleCrop>false</ScaleCrop>
  <Company/>
  <LinksUpToDate>false</LinksUpToDate>
  <CharactersWithSpaces>165263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PNG Partnerships For Improving Education (PIE) Volume 1 - Narrative</dc:title>
  <dc:subject/>
  <dc:creator/>
  <cp:keywords/>
  <dc:description/>
  <cp:lastModifiedBy/>
  <cp:revision>1</cp:revision>
  <dcterms:created xsi:type="dcterms:W3CDTF">2021-10-15T00:31:00Z</dcterms:created>
  <dcterms:modified xsi:type="dcterms:W3CDTF">2021-10-15T00:31:00Z</dcterms:modified>
  <cp:category/>
</cp:coreProperties>
</file>